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26C2B" w14:textId="77777777" w:rsidR="007347A8" w:rsidRDefault="007347A8" w:rsidP="008C5563">
      <w:pPr>
        <w:spacing w:line="240" w:lineRule="auto"/>
        <w:jc w:val="center"/>
        <w:rPr>
          <w:b/>
        </w:rPr>
      </w:pPr>
    </w:p>
    <w:p w14:paraId="0935662F" w14:textId="77777777" w:rsidR="007347A8" w:rsidRDefault="007347A8" w:rsidP="008C5563">
      <w:pPr>
        <w:spacing w:line="240" w:lineRule="auto"/>
        <w:jc w:val="center"/>
        <w:rPr>
          <w:b/>
        </w:rPr>
      </w:pPr>
    </w:p>
    <w:p w14:paraId="24918219" w14:textId="77777777" w:rsidR="00FF0CBE" w:rsidRDefault="00FF0CBE" w:rsidP="008C5563">
      <w:pPr>
        <w:spacing w:line="240" w:lineRule="auto"/>
        <w:jc w:val="center"/>
        <w:rPr>
          <w:b/>
        </w:rPr>
      </w:pPr>
    </w:p>
    <w:p w14:paraId="7D38BFA9" w14:textId="77777777" w:rsidR="00FF0CBE" w:rsidRDefault="00FF0CBE" w:rsidP="008C5563">
      <w:pPr>
        <w:spacing w:line="240" w:lineRule="auto"/>
        <w:jc w:val="center"/>
        <w:rPr>
          <w:b/>
        </w:rPr>
      </w:pPr>
    </w:p>
    <w:p w14:paraId="5796886B" w14:textId="321C7807" w:rsidR="002E2F37" w:rsidRDefault="00292A62" w:rsidP="008C5563">
      <w:pPr>
        <w:spacing w:line="240" w:lineRule="auto"/>
        <w:jc w:val="center"/>
        <w:rPr>
          <w:b/>
        </w:rPr>
      </w:pPr>
      <w:r>
        <w:rPr>
          <w:b/>
        </w:rPr>
        <w:t xml:space="preserve">Investigating </w:t>
      </w:r>
      <w:r w:rsidR="00814CB6">
        <w:rPr>
          <w:b/>
        </w:rPr>
        <w:t>obje</w:t>
      </w:r>
      <w:r w:rsidR="00263B9F">
        <w:rPr>
          <w:b/>
        </w:rPr>
        <w:t xml:space="preserve">ctive </w:t>
      </w:r>
      <w:r w:rsidR="007D5AEE">
        <w:rPr>
          <w:b/>
        </w:rPr>
        <w:t>and subjective factors</w:t>
      </w:r>
      <w:r w:rsidR="00263B9F">
        <w:rPr>
          <w:b/>
        </w:rPr>
        <w:t xml:space="preserve"> influencing </w:t>
      </w:r>
      <w:r w:rsidR="00BB4425">
        <w:rPr>
          <w:b/>
        </w:rPr>
        <w:t xml:space="preserve">the </w:t>
      </w:r>
      <w:r w:rsidR="00263B9F" w:rsidRPr="00AC72BE">
        <w:rPr>
          <w:b/>
        </w:rPr>
        <w:t>adoption, frequency, and characteristics of ride-hailing trips</w:t>
      </w:r>
      <w:r w:rsidR="00453EF4">
        <w:rPr>
          <w:b/>
        </w:rPr>
        <w:t xml:space="preserve"> </w:t>
      </w:r>
    </w:p>
    <w:p w14:paraId="54F8A44E" w14:textId="61C43314" w:rsidR="00115957" w:rsidRDefault="00115957" w:rsidP="008C5563">
      <w:pPr>
        <w:spacing w:line="240" w:lineRule="auto"/>
        <w:jc w:val="center"/>
        <w:rPr>
          <w:b/>
        </w:rPr>
      </w:pPr>
    </w:p>
    <w:p w14:paraId="6D290C83" w14:textId="0FB4A4B0" w:rsidR="00B32745" w:rsidRDefault="00B32745" w:rsidP="008C5563">
      <w:pPr>
        <w:spacing w:line="240" w:lineRule="auto"/>
        <w:jc w:val="center"/>
        <w:rPr>
          <w:b/>
        </w:rPr>
      </w:pPr>
    </w:p>
    <w:p w14:paraId="201EA684" w14:textId="609DD10B" w:rsidR="007347A8" w:rsidRDefault="007347A8" w:rsidP="008C5563">
      <w:pPr>
        <w:spacing w:line="240" w:lineRule="auto"/>
        <w:jc w:val="center"/>
        <w:rPr>
          <w:b/>
        </w:rPr>
      </w:pPr>
    </w:p>
    <w:p w14:paraId="21698723" w14:textId="68721205" w:rsidR="007347A8" w:rsidRDefault="007347A8" w:rsidP="008C5563">
      <w:pPr>
        <w:spacing w:line="240" w:lineRule="auto"/>
        <w:jc w:val="center"/>
        <w:rPr>
          <w:b/>
        </w:rPr>
      </w:pPr>
    </w:p>
    <w:p w14:paraId="7E778DFF" w14:textId="77777777" w:rsidR="007347A8" w:rsidRDefault="007347A8" w:rsidP="003309EF">
      <w:pPr>
        <w:spacing w:line="240" w:lineRule="auto"/>
        <w:rPr>
          <w:b/>
        </w:rPr>
      </w:pPr>
    </w:p>
    <w:p w14:paraId="7E484A69" w14:textId="365B8E3D" w:rsidR="007347A8" w:rsidRDefault="007347A8" w:rsidP="008C5563">
      <w:pPr>
        <w:spacing w:line="240" w:lineRule="auto"/>
        <w:jc w:val="center"/>
        <w:rPr>
          <w:b/>
        </w:rPr>
      </w:pPr>
    </w:p>
    <w:p w14:paraId="716C89CE" w14:textId="6BEFA742" w:rsidR="007347A8" w:rsidRDefault="007347A8" w:rsidP="008C5563">
      <w:pPr>
        <w:spacing w:line="240" w:lineRule="auto"/>
        <w:jc w:val="center"/>
        <w:rPr>
          <w:b/>
        </w:rPr>
      </w:pPr>
    </w:p>
    <w:p w14:paraId="47E63793" w14:textId="77777777" w:rsidR="00A05E9A" w:rsidRDefault="00A05E9A" w:rsidP="008C5563">
      <w:pPr>
        <w:spacing w:line="240" w:lineRule="auto"/>
        <w:jc w:val="center"/>
        <w:rPr>
          <w:b/>
        </w:rPr>
      </w:pPr>
    </w:p>
    <w:p w14:paraId="1EFBAC15" w14:textId="77777777" w:rsidR="00E77EE2" w:rsidRDefault="00E77EE2" w:rsidP="008C5563">
      <w:pPr>
        <w:spacing w:line="240" w:lineRule="auto"/>
        <w:jc w:val="center"/>
        <w:rPr>
          <w:b/>
        </w:rPr>
      </w:pPr>
    </w:p>
    <w:p w14:paraId="38056C2F" w14:textId="77777777" w:rsidR="00B12E9D" w:rsidRPr="00DE3806" w:rsidRDefault="00B12E9D" w:rsidP="008C5563">
      <w:pPr>
        <w:spacing w:line="240" w:lineRule="auto"/>
        <w:jc w:val="center"/>
        <w:rPr>
          <w:b/>
        </w:rPr>
      </w:pPr>
      <w:r w:rsidRPr="00DE3806">
        <w:rPr>
          <w:b/>
        </w:rPr>
        <w:t>Patrícia S. Lavieri</w:t>
      </w:r>
    </w:p>
    <w:p w14:paraId="64A2DA07" w14:textId="77777777" w:rsidR="000D665E" w:rsidRDefault="000D665E" w:rsidP="000D665E">
      <w:pPr>
        <w:spacing w:line="240" w:lineRule="auto"/>
        <w:jc w:val="center"/>
      </w:pPr>
      <w:r>
        <w:t>The University of Melbourne</w:t>
      </w:r>
    </w:p>
    <w:p w14:paraId="569327AB" w14:textId="77777777" w:rsidR="000D665E" w:rsidRDefault="000D665E" w:rsidP="000D665E">
      <w:pPr>
        <w:spacing w:line="240" w:lineRule="auto"/>
        <w:jc w:val="center"/>
      </w:pPr>
      <w:r>
        <w:t>Department of Infrastructure Engineering</w:t>
      </w:r>
    </w:p>
    <w:p w14:paraId="66659EE4" w14:textId="77777777" w:rsidR="000D665E" w:rsidRDefault="000D665E" w:rsidP="000D665E">
      <w:pPr>
        <w:spacing w:line="240" w:lineRule="auto"/>
        <w:jc w:val="center"/>
      </w:pPr>
      <w:r>
        <w:t>Grattan Street, Parkville, Victoria, 3010, Australia</w:t>
      </w:r>
    </w:p>
    <w:p w14:paraId="638D6D83" w14:textId="688016D4" w:rsidR="000D665E" w:rsidRDefault="000D665E" w:rsidP="000D665E">
      <w:pPr>
        <w:spacing w:line="240" w:lineRule="auto"/>
        <w:jc w:val="center"/>
      </w:pPr>
      <w:r>
        <w:t xml:space="preserve">Tel: +61-3-9035-3274; Email: </w:t>
      </w:r>
      <w:hyperlink r:id="rId8" w:history="1">
        <w:r w:rsidR="00FF0CBE" w:rsidRPr="00E64504">
          <w:rPr>
            <w:rStyle w:val="Hyperlink"/>
          </w:rPr>
          <w:t>patricia.lavieri@unimelb.edu.au</w:t>
        </w:r>
      </w:hyperlink>
      <w:r w:rsidR="00FF0CBE">
        <w:t xml:space="preserve"> </w:t>
      </w:r>
    </w:p>
    <w:p w14:paraId="43AF2EE1" w14:textId="77777777" w:rsidR="000D665E" w:rsidRDefault="000D665E" w:rsidP="000D665E">
      <w:pPr>
        <w:spacing w:line="240" w:lineRule="auto"/>
        <w:jc w:val="center"/>
      </w:pPr>
      <w:r>
        <w:t>and</w:t>
      </w:r>
    </w:p>
    <w:p w14:paraId="732E1242" w14:textId="58AA0AFA" w:rsidR="00B12E9D" w:rsidRDefault="000D665E" w:rsidP="008C5563">
      <w:pPr>
        <w:spacing w:line="240" w:lineRule="auto"/>
        <w:jc w:val="center"/>
      </w:pPr>
      <w:r>
        <w:t>The University of Texas at Austin, Austin, TX 78712, USA</w:t>
      </w:r>
    </w:p>
    <w:p w14:paraId="2E2D09B6" w14:textId="57F8CC18" w:rsidR="000939E3" w:rsidRDefault="000939E3" w:rsidP="008C5563">
      <w:pPr>
        <w:spacing w:line="240" w:lineRule="auto"/>
        <w:jc w:val="center"/>
      </w:pPr>
    </w:p>
    <w:p w14:paraId="7EBAA5C8" w14:textId="77777777" w:rsidR="000B7588" w:rsidRDefault="000B7588" w:rsidP="008C5563">
      <w:pPr>
        <w:spacing w:line="240" w:lineRule="auto"/>
        <w:jc w:val="center"/>
      </w:pPr>
    </w:p>
    <w:p w14:paraId="2AC9ECE5" w14:textId="77777777" w:rsidR="000939E3" w:rsidRPr="001C2360" w:rsidRDefault="000939E3" w:rsidP="008C5563">
      <w:pPr>
        <w:spacing w:line="240" w:lineRule="auto"/>
        <w:jc w:val="center"/>
        <w:rPr>
          <w:rFonts w:cs="Times New Roman"/>
          <w:b/>
          <w:szCs w:val="24"/>
        </w:rPr>
      </w:pPr>
      <w:r w:rsidRPr="001C2360">
        <w:rPr>
          <w:rFonts w:cs="Times New Roman"/>
          <w:b/>
          <w:szCs w:val="24"/>
        </w:rPr>
        <w:t>Chandra R. Bhat (corresponding author)</w:t>
      </w:r>
    </w:p>
    <w:p w14:paraId="1F91CE88" w14:textId="77777777" w:rsidR="000939E3" w:rsidRPr="001C2360" w:rsidRDefault="000939E3" w:rsidP="008C5563">
      <w:pPr>
        <w:spacing w:line="240" w:lineRule="auto"/>
        <w:jc w:val="center"/>
        <w:rPr>
          <w:rFonts w:cs="Times New Roman"/>
          <w:szCs w:val="24"/>
        </w:rPr>
      </w:pPr>
      <w:r w:rsidRPr="001C2360">
        <w:rPr>
          <w:rFonts w:cs="Times New Roman"/>
          <w:szCs w:val="24"/>
        </w:rPr>
        <w:t>The University of Texas at Austin</w:t>
      </w:r>
    </w:p>
    <w:p w14:paraId="37ACF9DE" w14:textId="77777777" w:rsidR="000939E3" w:rsidRPr="001C2360" w:rsidRDefault="000939E3" w:rsidP="008C5563">
      <w:pPr>
        <w:spacing w:line="240" w:lineRule="auto"/>
        <w:jc w:val="center"/>
        <w:rPr>
          <w:rFonts w:cs="Times New Roman"/>
          <w:szCs w:val="24"/>
        </w:rPr>
      </w:pPr>
      <w:r w:rsidRPr="001C2360">
        <w:rPr>
          <w:rFonts w:cs="Times New Roman"/>
          <w:szCs w:val="24"/>
        </w:rPr>
        <w:t>Department of Civil, Architectural and Environmental Engineering</w:t>
      </w:r>
    </w:p>
    <w:p w14:paraId="01FA97EA" w14:textId="06D29796" w:rsidR="000939E3" w:rsidRPr="001C2360" w:rsidRDefault="000939E3" w:rsidP="008C5563">
      <w:pPr>
        <w:spacing w:line="240" w:lineRule="auto"/>
        <w:jc w:val="center"/>
        <w:rPr>
          <w:rFonts w:cs="Times New Roman"/>
          <w:szCs w:val="24"/>
        </w:rPr>
      </w:pPr>
      <w:r w:rsidRPr="001C2360">
        <w:rPr>
          <w:rFonts w:cs="Times New Roman"/>
          <w:szCs w:val="24"/>
        </w:rPr>
        <w:t>301 E. Dean Keeton St. Stop C1761, Austin</w:t>
      </w:r>
      <w:r>
        <w:rPr>
          <w:rFonts w:cs="Times New Roman"/>
          <w:szCs w:val="24"/>
        </w:rPr>
        <w:t>,</w:t>
      </w:r>
      <w:r w:rsidRPr="001C2360">
        <w:rPr>
          <w:rFonts w:cs="Times New Roman"/>
          <w:szCs w:val="24"/>
        </w:rPr>
        <w:t xml:space="preserve"> TX 78712</w:t>
      </w:r>
      <w:r w:rsidR="006C3F2C">
        <w:rPr>
          <w:rFonts w:cs="Times New Roman"/>
          <w:szCs w:val="24"/>
        </w:rPr>
        <w:t>, USA</w:t>
      </w:r>
    </w:p>
    <w:p w14:paraId="05A28C75" w14:textId="14F8B702" w:rsidR="000939E3" w:rsidRPr="001C2360" w:rsidRDefault="000939E3" w:rsidP="008C5563">
      <w:pPr>
        <w:spacing w:line="240" w:lineRule="auto"/>
        <w:jc w:val="center"/>
        <w:rPr>
          <w:rStyle w:val="Hyperlink"/>
          <w:rFonts w:cs="Times New Roman"/>
          <w:szCs w:val="24"/>
        </w:rPr>
      </w:pPr>
      <w:r w:rsidRPr="001C2360">
        <w:rPr>
          <w:rFonts w:cs="Times New Roman"/>
          <w:szCs w:val="24"/>
        </w:rPr>
        <w:t xml:space="preserve">Tel: </w:t>
      </w:r>
      <w:r w:rsidR="00FF0CBE">
        <w:rPr>
          <w:rFonts w:cs="Times New Roman"/>
          <w:szCs w:val="24"/>
        </w:rPr>
        <w:t>1-</w:t>
      </w:r>
      <w:r w:rsidRPr="001C2360">
        <w:rPr>
          <w:rFonts w:cs="Times New Roman"/>
          <w:szCs w:val="24"/>
        </w:rPr>
        <w:t xml:space="preserve">512-471-4535; Email: </w:t>
      </w:r>
      <w:hyperlink r:id="rId9" w:history="1">
        <w:r w:rsidRPr="001C2360">
          <w:rPr>
            <w:rStyle w:val="Hyperlink"/>
            <w:rFonts w:cs="Times New Roman"/>
            <w:szCs w:val="24"/>
          </w:rPr>
          <w:t>bhat@mail.utexas.edu</w:t>
        </w:r>
      </w:hyperlink>
    </w:p>
    <w:p w14:paraId="47F30A92" w14:textId="77777777" w:rsidR="000939E3" w:rsidRDefault="000939E3" w:rsidP="008C5563">
      <w:pPr>
        <w:spacing w:line="240" w:lineRule="auto"/>
        <w:jc w:val="center"/>
        <w:rPr>
          <w:rFonts w:cs="Times New Roman"/>
          <w:bCs/>
          <w:kern w:val="32"/>
          <w:szCs w:val="24"/>
        </w:rPr>
      </w:pPr>
      <w:r>
        <w:rPr>
          <w:rFonts w:cs="Times New Roman"/>
          <w:bCs/>
          <w:kern w:val="32"/>
          <w:szCs w:val="24"/>
        </w:rPr>
        <w:t>a</w:t>
      </w:r>
      <w:r w:rsidRPr="001C2360">
        <w:rPr>
          <w:rFonts w:cs="Times New Roman"/>
          <w:bCs/>
          <w:kern w:val="32"/>
          <w:szCs w:val="24"/>
        </w:rPr>
        <w:t>nd</w:t>
      </w:r>
    </w:p>
    <w:p w14:paraId="35C3C171" w14:textId="51E957FF" w:rsidR="00B12E9D" w:rsidRDefault="000939E3" w:rsidP="008C5563">
      <w:pPr>
        <w:spacing w:line="240" w:lineRule="auto"/>
        <w:jc w:val="center"/>
      </w:pPr>
      <w:r w:rsidRPr="00E62149">
        <w:rPr>
          <w:rFonts w:cs="Times New Roman"/>
          <w:szCs w:val="24"/>
        </w:rPr>
        <w:t>The Hong Kong Polytechnic University</w:t>
      </w:r>
      <w:r w:rsidRPr="00E62149">
        <w:rPr>
          <w:rFonts w:cs="Times New Roman"/>
          <w:bCs/>
          <w:kern w:val="32"/>
          <w:szCs w:val="24"/>
        </w:rPr>
        <w:t xml:space="preserve">, </w:t>
      </w:r>
      <w:r w:rsidRPr="00E62149">
        <w:rPr>
          <w:rFonts w:cs="Times New Roman"/>
          <w:szCs w:val="24"/>
        </w:rPr>
        <w:t>Hung Hom, Kowloon, Hong Kong</w:t>
      </w:r>
    </w:p>
    <w:p w14:paraId="31E0E3F1" w14:textId="77777777" w:rsidR="00B12E9D" w:rsidRDefault="00B12E9D" w:rsidP="008C5563">
      <w:pPr>
        <w:spacing w:line="240" w:lineRule="auto"/>
        <w:jc w:val="center"/>
      </w:pPr>
    </w:p>
    <w:p w14:paraId="1B9570DD" w14:textId="77777777" w:rsidR="009F0CE2" w:rsidRDefault="00B12E9D" w:rsidP="008C5563">
      <w:pPr>
        <w:spacing w:line="240" w:lineRule="auto"/>
        <w:jc w:val="center"/>
        <w:sectPr w:rsidR="009F0CE2" w:rsidSect="009F0CE2">
          <w:footerReference w:type="default" r:id="rId10"/>
          <w:pgSz w:w="12240" w:h="15840"/>
          <w:pgMar w:top="1440" w:right="1440" w:bottom="1440" w:left="1440" w:header="720" w:footer="720" w:gutter="0"/>
          <w:pgNumType w:start="1"/>
          <w:cols w:space="720"/>
          <w:titlePg/>
          <w:docGrid w:linePitch="360"/>
        </w:sectPr>
      </w:pPr>
      <w:r>
        <w:br w:type="page"/>
      </w:r>
    </w:p>
    <w:p w14:paraId="2B01B011" w14:textId="3C5F298D" w:rsidR="000939E3" w:rsidRDefault="00D024CC" w:rsidP="00FF0CBE">
      <w:r>
        <w:rPr>
          <w:b/>
        </w:rPr>
        <w:lastRenderedPageBreak/>
        <w:t>ABSTRACT</w:t>
      </w:r>
      <w:r>
        <w:rPr>
          <w:b/>
        </w:rPr>
        <w:br/>
      </w:r>
      <w:r w:rsidR="00485E85" w:rsidRPr="00970F51">
        <w:t xml:space="preserve">Even as </w:t>
      </w:r>
      <w:r w:rsidR="00485E85" w:rsidRPr="00C6074C">
        <w:t>ride</w:t>
      </w:r>
      <w:r w:rsidR="00485E85">
        <w:t>-hailing</w:t>
      </w:r>
      <w:r w:rsidR="00485E85" w:rsidRPr="00970F51">
        <w:t xml:space="preserve"> </w:t>
      </w:r>
      <w:r w:rsidR="007347A8">
        <w:t xml:space="preserve">has </w:t>
      </w:r>
      <w:r w:rsidR="00485E85">
        <w:t>become</w:t>
      </w:r>
      <w:r w:rsidR="00485E85" w:rsidRPr="00970F51">
        <w:t xml:space="preserve"> </w:t>
      </w:r>
      <w:r w:rsidR="00485E85">
        <w:t>ubiquitous</w:t>
      </w:r>
      <w:r w:rsidR="00485E85" w:rsidRPr="00970F51">
        <w:t xml:space="preserve"> </w:t>
      </w:r>
      <w:r w:rsidR="00485E85">
        <w:t>i</w:t>
      </w:r>
      <w:r w:rsidR="00485E85" w:rsidRPr="00970F51">
        <w:t xml:space="preserve">n most urban areas, its impacts on individual travel are </w:t>
      </w:r>
      <w:r w:rsidR="00485E85">
        <w:t xml:space="preserve">still </w:t>
      </w:r>
      <w:r w:rsidR="00485E85" w:rsidRPr="00970F51">
        <w:t>unclear</w:t>
      </w:r>
      <w:r w:rsidR="002C5B82">
        <w:t>.</w:t>
      </w:r>
      <w:r w:rsidR="00BC1EC2">
        <w:t xml:space="preserve"> </w:t>
      </w:r>
      <w:r w:rsidR="00D71335" w:rsidRPr="00D71335">
        <w:t xml:space="preserve">This includes limited knowledge of demand characteristics (especially for pooled rides), travel modes being substituted, types of activities being accessed, </w:t>
      </w:r>
      <w:r w:rsidR="00476034">
        <w:t xml:space="preserve">as well as </w:t>
      </w:r>
      <w:r w:rsidR="00D71335" w:rsidRPr="00D71335">
        <w:t>possible trip induction effects</w:t>
      </w:r>
      <w:r w:rsidR="00476034">
        <w:t xml:space="preserve">. </w:t>
      </w:r>
      <w:r w:rsidR="00D3567E">
        <w:t>The current study contribute</w:t>
      </w:r>
      <w:r w:rsidR="002C5B82">
        <w:t>s</w:t>
      </w:r>
      <w:r w:rsidR="00D3567E">
        <w:t xml:space="preserve"> to this knowledge gap by investigating ride-hailing experience, frequency, and trip characteristics through two multi-dimensional models</w:t>
      </w:r>
      <w:r w:rsidR="002C5B82">
        <w:t xml:space="preserve"> estimated using data from the Dallas-Fort Worth </w:t>
      </w:r>
      <w:r w:rsidR="004B4DD6">
        <w:t>Metropolitan A</w:t>
      </w:r>
      <w:r w:rsidR="002C5B82">
        <w:t>rea</w:t>
      </w:r>
      <w:r w:rsidR="00DA692F">
        <w:t xml:space="preserve">. </w:t>
      </w:r>
      <w:r w:rsidR="00E0019A">
        <w:t>R</w:t>
      </w:r>
      <w:r w:rsidR="00B14033">
        <w:t xml:space="preserve">ide-hailing adoption and usage </w:t>
      </w:r>
      <w:r w:rsidR="00E0019A">
        <w:t xml:space="preserve">are </w:t>
      </w:r>
      <w:r w:rsidR="00A260B0">
        <w:t>modeled</w:t>
      </w:r>
      <w:r w:rsidR="00046627">
        <w:t xml:space="preserve"> </w:t>
      </w:r>
      <w:r w:rsidR="00B14033">
        <w:t>as function</w:t>
      </w:r>
      <w:r w:rsidR="00B151E2">
        <w:t>s</w:t>
      </w:r>
      <w:r w:rsidR="00B14033">
        <w:t xml:space="preserve"> </w:t>
      </w:r>
      <w:r w:rsidR="0030546A">
        <w:t>of unobserved lifestyle stochastic latent constructs, observed transportation-related choices, and sociodemographic variables</w:t>
      </w:r>
      <w:r w:rsidR="00A260B0">
        <w:t>.</w:t>
      </w:r>
      <w:r w:rsidR="00D75855">
        <w:t xml:space="preserve"> </w:t>
      </w:r>
      <w:r w:rsidR="00A260B0">
        <w:t>The results</w:t>
      </w:r>
      <w:r w:rsidR="001265F8">
        <w:t xml:space="preserve"> point to </w:t>
      </w:r>
      <w:r w:rsidR="00773145">
        <w:t xml:space="preserve">low </w:t>
      </w:r>
      <w:r w:rsidR="00D75855">
        <w:t xml:space="preserve">residential location density and people’s privacy concerns as the main </w:t>
      </w:r>
      <w:r w:rsidR="00773145">
        <w:t>deterrents</w:t>
      </w:r>
      <w:r w:rsidR="00D75855">
        <w:t xml:space="preserve"> </w:t>
      </w:r>
      <w:r w:rsidR="00773145">
        <w:t>to</w:t>
      </w:r>
      <w:r w:rsidR="00D75855">
        <w:t xml:space="preserve"> pooled ride-hailing </w:t>
      </w:r>
      <w:r w:rsidR="00773145">
        <w:t>adoption</w:t>
      </w:r>
      <w:r w:rsidR="004A5F83">
        <w:t xml:space="preserve">, with non-Hispanic Whites </w:t>
      </w:r>
      <w:r w:rsidR="001E1349">
        <w:t xml:space="preserve">being </w:t>
      </w:r>
      <w:r w:rsidR="005E589D">
        <w:t xml:space="preserve">more </w:t>
      </w:r>
      <w:r w:rsidR="001E1349">
        <w:t>privacy sensitive</w:t>
      </w:r>
      <w:r w:rsidR="005E589D">
        <w:t xml:space="preserve"> than individuals of other ethnicities</w:t>
      </w:r>
      <w:r w:rsidR="001E1349">
        <w:t xml:space="preserve">. </w:t>
      </w:r>
      <w:r w:rsidR="003A5818">
        <w:t xml:space="preserve">Further, </w:t>
      </w:r>
      <w:r w:rsidR="000F7016">
        <w:t xml:space="preserve">our </w:t>
      </w:r>
      <w:r w:rsidR="00DE62ED">
        <w:t xml:space="preserve">results suggest a need for policies that discourage the substitution of short-distance </w:t>
      </w:r>
      <w:r w:rsidR="00EB47A6">
        <w:t>“</w:t>
      </w:r>
      <w:r w:rsidR="00DE62ED">
        <w:t xml:space="preserve">walkable” trips by ride-hailing, and a need for low cost and well-integrated </w:t>
      </w:r>
      <w:r w:rsidR="00AC5CB7">
        <w:t>multi-modal</w:t>
      </w:r>
      <w:r w:rsidR="00DE62ED">
        <w:t xml:space="preserve"> systems to avoid substitution of transit trips by </w:t>
      </w:r>
      <w:r w:rsidR="000F7016">
        <w:t>this mode</w:t>
      </w:r>
      <w:r w:rsidR="00DE62ED">
        <w:t xml:space="preserve">. </w:t>
      </w:r>
    </w:p>
    <w:p w14:paraId="0818D6A7" w14:textId="77777777" w:rsidR="000939E3" w:rsidRDefault="000939E3" w:rsidP="00FF0CBE"/>
    <w:p w14:paraId="7DF96D83" w14:textId="4441B94B" w:rsidR="00D024CC" w:rsidRDefault="000939E3" w:rsidP="00FF0CBE">
      <w:pPr>
        <w:spacing w:line="276" w:lineRule="auto"/>
        <w:jc w:val="left"/>
        <w:rPr>
          <w:b/>
        </w:rPr>
      </w:pPr>
      <w:r w:rsidRPr="00AA1AA5">
        <w:rPr>
          <w:rFonts w:cs="Times New Roman"/>
          <w:i/>
          <w:szCs w:val="24"/>
        </w:rPr>
        <w:t>Keywords:</w:t>
      </w:r>
      <w:r w:rsidRPr="00AA1AA5">
        <w:rPr>
          <w:rFonts w:cs="Times New Roman"/>
          <w:b/>
          <w:i/>
          <w:szCs w:val="24"/>
        </w:rPr>
        <w:t xml:space="preserve"> </w:t>
      </w:r>
      <w:r w:rsidR="009E3B28">
        <w:t xml:space="preserve">Ride-hailing, </w:t>
      </w:r>
      <w:r w:rsidR="00AB174E">
        <w:t>pooling</w:t>
      </w:r>
      <w:r w:rsidR="009E3B28">
        <w:t>, travel behavior, market adoption and use of disruptive mobility services, psycho-social latent variables, GHDM model.</w:t>
      </w:r>
      <w:r w:rsidR="00D024CC">
        <w:rPr>
          <w:b/>
        </w:rPr>
        <w:br w:type="page"/>
      </w:r>
    </w:p>
    <w:p w14:paraId="5BA56938" w14:textId="77777777" w:rsidR="000939E3" w:rsidRDefault="000939E3" w:rsidP="008B7EE1">
      <w:pPr>
        <w:pStyle w:val="ListParagraph"/>
        <w:numPr>
          <w:ilvl w:val="0"/>
          <w:numId w:val="1"/>
        </w:numPr>
        <w:rPr>
          <w:b/>
        </w:rPr>
        <w:sectPr w:rsidR="000939E3" w:rsidSect="000D3AD3">
          <w:pgSz w:w="12240" w:h="15840"/>
          <w:pgMar w:top="1440" w:right="1440" w:bottom="1440" w:left="1440" w:header="720" w:footer="720" w:gutter="0"/>
          <w:cols w:space="720"/>
          <w:docGrid w:linePitch="360"/>
        </w:sectPr>
      </w:pPr>
    </w:p>
    <w:p w14:paraId="64EB377E" w14:textId="1D1F7A59" w:rsidR="00B12E9D" w:rsidRPr="00044EAE" w:rsidRDefault="00950A5A" w:rsidP="00871C66">
      <w:pPr>
        <w:pStyle w:val="ListParagraph"/>
        <w:numPr>
          <w:ilvl w:val="0"/>
          <w:numId w:val="1"/>
        </w:numPr>
        <w:rPr>
          <w:b/>
        </w:rPr>
      </w:pPr>
      <w:r w:rsidRPr="00044EAE">
        <w:rPr>
          <w:b/>
        </w:rPr>
        <w:lastRenderedPageBreak/>
        <w:t>INTRODUCTION</w:t>
      </w:r>
    </w:p>
    <w:p w14:paraId="6C9F7C1D" w14:textId="5FCF146F" w:rsidR="0003780B" w:rsidRDefault="009B20E7" w:rsidP="00D66D7E">
      <w:pPr>
        <w:rPr>
          <w:rFonts w:cs="Times New Roman"/>
          <w:szCs w:val="24"/>
        </w:rPr>
      </w:pPr>
      <w:r>
        <w:t>Ride-hailing services have</w:t>
      </w:r>
      <w:r w:rsidRPr="006F22E8">
        <w:t xml:space="preserve"> experienced </w:t>
      </w:r>
      <w:r w:rsidR="00B439A3">
        <w:t>a rapid</w:t>
      </w:r>
      <w:r w:rsidRPr="006F22E8">
        <w:t xml:space="preserve"> growth in the past </w:t>
      </w:r>
      <w:r w:rsidR="00F84A69">
        <w:t xml:space="preserve">few </w:t>
      </w:r>
      <w:r w:rsidRPr="006F22E8">
        <w:t>years</w:t>
      </w:r>
      <w:r w:rsidR="00C35274">
        <w:t xml:space="preserve"> and are currently </w:t>
      </w:r>
      <w:r w:rsidR="00A32289">
        <w:t>operating</w:t>
      </w:r>
      <w:r w:rsidR="00C35274">
        <w:t xml:space="preserve"> in </w:t>
      </w:r>
      <w:r w:rsidR="006177E7">
        <w:t>hundreds of cities around the world</w:t>
      </w:r>
      <w:r w:rsidRPr="006F22E8">
        <w:t>.</w:t>
      </w:r>
      <w:r w:rsidR="00266DDC">
        <w:t xml:space="preserve"> </w:t>
      </w:r>
      <w:r w:rsidR="00D01CE9">
        <w:t>I</w:t>
      </w:r>
      <w:r w:rsidR="00371599">
        <w:t xml:space="preserve">n 2018, </w:t>
      </w:r>
      <w:r w:rsidR="00637FA9">
        <w:t>the two largest ride</w:t>
      </w:r>
      <w:r w:rsidR="00F81E12">
        <w:t>-hailing companies</w:t>
      </w:r>
      <w:r w:rsidR="001A7E64">
        <w:t xml:space="preserve"> </w:t>
      </w:r>
      <w:r w:rsidR="00F81E12">
        <w:t>serve</w:t>
      </w:r>
      <w:r w:rsidR="00371599">
        <w:t>d</w:t>
      </w:r>
      <w:r w:rsidR="00B148FB">
        <w:t xml:space="preserve"> together</w:t>
      </w:r>
      <w:r w:rsidR="00F81E12">
        <w:t xml:space="preserve"> more than 45 million trips per day</w:t>
      </w:r>
      <w:r w:rsidR="001A7E64">
        <w:t xml:space="preserve"> (</w:t>
      </w:r>
      <w:r w:rsidR="006A50D6">
        <w:t>Schlobach and Retzer, 2018</w:t>
      </w:r>
      <w:r w:rsidR="001A7E64">
        <w:t>)</w:t>
      </w:r>
      <w:r w:rsidR="00B148FB">
        <w:t xml:space="preserve">, </w:t>
      </w:r>
      <w:r w:rsidR="00BF266B">
        <w:t xml:space="preserve">and </w:t>
      </w:r>
      <w:r w:rsidR="00B06775">
        <w:t xml:space="preserve">the </w:t>
      </w:r>
      <w:r w:rsidR="00D47772">
        <w:t xml:space="preserve">overall </w:t>
      </w:r>
      <w:r w:rsidR="00B06775">
        <w:t xml:space="preserve">penetration rate of this </w:t>
      </w:r>
      <w:r w:rsidR="00503899">
        <w:t xml:space="preserve">service </w:t>
      </w:r>
      <w:r w:rsidR="00617B5F">
        <w:t>reached</w:t>
      </w:r>
      <w:r w:rsidR="00BF266B">
        <w:t xml:space="preserve"> </w:t>
      </w:r>
      <w:r w:rsidR="00B06775">
        <w:t>9</w:t>
      </w:r>
      <w:r w:rsidR="00BF266B">
        <w:t>%</w:t>
      </w:r>
      <w:r w:rsidR="00617B5F">
        <w:t xml:space="preserve"> of the global mar</w:t>
      </w:r>
      <w:r w:rsidR="00E93D7A">
        <w:t>ket</w:t>
      </w:r>
      <w:r w:rsidR="00BF266B">
        <w:t xml:space="preserve"> </w:t>
      </w:r>
      <w:r w:rsidR="00E82BA4">
        <w:t>(Statista, 2019)</w:t>
      </w:r>
      <w:r w:rsidR="00870360">
        <w:t>.</w:t>
      </w:r>
      <w:r w:rsidR="004F2771">
        <w:rPr>
          <w:rStyle w:val="FootnoteReference"/>
        </w:rPr>
        <w:footnoteReference w:id="1"/>
      </w:r>
      <w:r w:rsidR="00E30560">
        <w:t xml:space="preserve"> </w:t>
      </w:r>
      <w:r w:rsidR="00C02890">
        <w:rPr>
          <w:rFonts w:cs="Times New Roman"/>
          <w:szCs w:val="24"/>
        </w:rPr>
        <w:t xml:space="preserve">Despite the </w:t>
      </w:r>
      <w:r w:rsidR="00C02890" w:rsidRPr="003A3DAE">
        <w:rPr>
          <w:rFonts w:cs="Times New Roman"/>
          <w:szCs w:val="24"/>
        </w:rPr>
        <w:t xml:space="preserve">considerable traction </w:t>
      </w:r>
      <w:r w:rsidR="00C02890">
        <w:rPr>
          <w:rFonts w:cs="Times New Roman"/>
          <w:szCs w:val="24"/>
        </w:rPr>
        <w:t xml:space="preserve">that ride-hailing </w:t>
      </w:r>
      <w:r w:rsidR="002A420A">
        <w:rPr>
          <w:rFonts w:cs="Times New Roman"/>
          <w:szCs w:val="24"/>
        </w:rPr>
        <w:t>is</w:t>
      </w:r>
      <w:r w:rsidR="009C5F7C">
        <w:rPr>
          <w:rFonts w:cs="Times New Roman"/>
          <w:szCs w:val="24"/>
        </w:rPr>
        <w:t xml:space="preserve"> continu</w:t>
      </w:r>
      <w:r w:rsidR="00845643">
        <w:rPr>
          <w:rFonts w:cs="Times New Roman"/>
          <w:szCs w:val="24"/>
        </w:rPr>
        <w:t>ally</w:t>
      </w:r>
      <w:r w:rsidR="009C5F7C">
        <w:rPr>
          <w:rFonts w:cs="Times New Roman"/>
          <w:szCs w:val="24"/>
        </w:rPr>
        <w:t xml:space="preserve"> gain</w:t>
      </w:r>
      <w:r w:rsidR="002A420A">
        <w:rPr>
          <w:rFonts w:cs="Times New Roman"/>
          <w:szCs w:val="24"/>
        </w:rPr>
        <w:t>ing</w:t>
      </w:r>
      <w:r w:rsidR="009C5F7C">
        <w:rPr>
          <w:rFonts w:cs="Times New Roman"/>
          <w:szCs w:val="24"/>
        </w:rPr>
        <w:t xml:space="preserve"> in</w:t>
      </w:r>
      <w:r w:rsidR="00C02890" w:rsidRPr="003A3DAE">
        <w:rPr>
          <w:rFonts w:cs="Times New Roman"/>
          <w:szCs w:val="24"/>
        </w:rPr>
        <w:t xml:space="preserve"> m</w:t>
      </w:r>
      <w:r w:rsidR="00E30560">
        <w:rPr>
          <w:rFonts w:cs="Times New Roman"/>
          <w:szCs w:val="24"/>
        </w:rPr>
        <w:t xml:space="preserve">any </w:t>
      </w:r>
      <w:r w:rsidR="00C02890" w:rsidRPr="003A3DAE">
        <w:rPr>
          <w:rFonts w:cs="Times New Roman"/>
          <w:szCs w:val="24"/>
        </w:rPr>
        <w:t xml:space="preserve">urban areas, </w:t>
      </w:r>
      <w:r w:rsidR="00C02890">
        <w:rPr>
          <w:rFonts w:cs="Times New Roman"/>
          <w:szCs w:val="24"/>
        </w:rPr>
        <w:t>it</w:t>
      </w:r>
      <w:r w:rsidR="00880B39">
        <w:rPr>
          <w:rFonts w:cs="Times New Roman"/>
          <w:szCs w:val="24"/>
        </w:rPr>
        <w:t xml:space="preserve"> is still unclear whether such services bring benefits or drawback</w:t>
      </w:r>
      <w:r w:rsidR="00652DA7">
        <w:rPr>
          <w:rFonts w:cs="Times New Roman"/>
          <w:szCs w:val="24"/>
        </w:rPr>
        <w:t>s</w:t>
      </w:r>
      <w:r w:rsidR="00880B39">
        <w:rPr>
          <w:rFonts w:cs="Times New Roman"/>
          <w:szCs w:val="24"/>
        </w:rPr>
        <w:t xml:space="preserve"> to urban </w:t>
      </w:r>
      <w:r w:rsidR="0092185C">
        <w:rPr>
          <w:rFonts w:cs="Times New Roman"/>
          <w:szCs w:val="24"/>
        </w:rPr>
        <w:t>transportation</w:t>
      </w:r>
      <w:r w:rsidR="00880B39">
        <w:rPr>
          <w:rFonts w:cs="Times New Roman"/>
          <w:szCs w:val="24"/>
        </w:rPr>
        <w:t>.</w:t>
      </w:r>
      <w:r w:rsidR="0092185C">
        <w:rPr>
          <w:rFonts w:cs="Times New Roman"/>
          <w:szCs w:val="24"/>
        </w:rPr>
        <w:t xml:space="preserve"> </w:t>
      </w:r>
      <w:r w:rsidR="00237B74">
        <w:rPr>
          <w:rFonts w:cs="Times New Roman"/>
          <w:szCs w:val="24"/>
        </w:rPr>
        <w:t xml:space="preserve">For </w:t>
      </w:r>
      <w:r w:rsidR="005864DD">
        <w:rPr>
          <w:rFonts w:cs="Times New Roman"/>
          <w:szCs w:val="24"/>
        </w:rPr>
        <w:t>example</w:t>
      </w:r>
      <w:r w:rsidR="00237B74">
        <w:rPr>
          <w:rFonts w:cs="Times New Roman"/>
          <w:szCs w:val="24"/>
        </w:rPr>
        <w:t xml:space="preserve">, </w:t>
      </w:r>
      <w:r w:rsidR="00376C34">
        <w:rPr>
          <w:rFonts w:cs="Times New Roman"/>
          <w:szCs w:val="24"/>
        </w:rPr>
        <w:t xml:space="preserve">on the positive side, </w:t>
      </w:r>
      <w:r w:rsidR="00237B74">
        <w:rPr>
          <w:rFonts w:cs="Times New Roman"/>
          <w:szCs w:val="24"/>
        </w:rPr>
        <w:t>pooled ride-hailing services</w:t>
      </w:r>
      <w:r w:rsidR="00D827E6">
        <w:rPr>
          <w:rFonts w:cs="Times New Roman"/>
          <w:szCs w:val="24"/>
        </w:rPr>
        <w:t xml:space="preserve"> have the potential </w:t>
      </w:r>
      <w:r w:rsidR="00FD0E5B">
        <w:rPr>
          <w:rFonts w:cs="Times New Roman"/>
          <w:szCs w:val="24"/>
        </w:rPr>
        <w:t>to increase vehicle occupancy</w:t>
      </w:r>
      <w:r w:rsidR="00845643">
        <w:rPr>
          <w:rFonts w:cs="Times New Roman"/>
          <w:szCs w:val="24"/>
        </w:rPr>
        <w:t>,</w:t>
      </w:r>
      <w:r w:rsidR="00FD0E5B">
        <w:rPr>
          <w:rFonts w:cs="Times New Roman"/>
          <w:szCs w:val="24"/>
        </w:rPr>
        <w:t xml:space="preserve"> while still offering convenience to its user</w:t>
      </w:r>
      <w:r w:rsidR="00845643">
        <w:rPr>
          <w:rFonts w:cs="Times New Roman"/>
          <w:szCs w:val="24"/>
        </w:rPr>
        <w:t>s.</w:t>
      </w:r>
      <w:r w:rsidR="00845643">
        <w:rPr>
          <w:rStyle w:val="FootnoteReference"/>
        </w:rPr>
        <w:footnoteReference w:id="2"/>
      </w:r>
      <w:r w:rsidR="00845643">
        <w:rPr>
          <w:rFonts w:cs="Times New Roman"/>
          <w:szCs w:val="24"/>
        </w:rPr>
        <w:t xml:space="preserve"> This </w:t>
      </w:r>
      <w:r w:rsidR="00C77697">
        <w:rPr>
          <w:rFonts w:cs="Times New Roman"/>
          <w:szCs w:val="24"/>
        </w:rPr>
        <w:t xml:space="preserve">could </w:t>
      </w:r>
      <w:r w:rsidR="00F06EAF">
        <w:rPr>
          <w:rFonts w:cs="Times New Roman"/>
          <w:szCs w:val="24"/>
        </w:rPr>
        <w:t xml:space="preserve">result in </w:t>
      </w:r>
      <w:r w:rsidR="0055533D">
        <w:rPr>
          <w:rFonts w:cs="Times New Roman"/>
          <w:szCs w:val="24"/>
        </w:rPr>
        <w:t>an</w:t>
      </w:r>
      <w:r w:rsidR="00F06EAF">
        <w:rPr>
          <w:rFonts w:cs="Times New Roman"/>
          <w:szCs w:val="24"/>
        </w:rPr>
        <w:t xml:space="preserve"> </w:t>
      </w:r>
      <w:r w:rsidR="00CA4D37">
        <w:rPr>
          <w:rFonts w:cs="Times New Roman"/>
          <w:szCs w:val="24"/>
        </w:rPr>
        <w:t xml:space="preserve">increase in vehicle occupancy and a </w:t>
      </w:r>
      <w:r w:rsidR="00F06EAF">
        <w:rPr>
          <w:rFonts w:cs="Times New Roman"/>
          <w:szCs w:val="24"/>
        </w:rPr>
        <w:t xml:space="preserve">reduction of vehicle miles traveled </w:t>
      </w:r>
      <w:r w:rsidR="00437368">
        <w:rPr>
          <w:rFonts w:cs="Times New Roman"/>
          <w:szCs w:val="24"/>
        </w:rPr>
        <w:t xml:space="preserve">(VMT) </w:t>
      </w:r>
      <w:r w:rsidR="00F06EAF">
        <w:rPr>
          <w:rFonts w:cs="Times New Roman"/>
          <w:szCs w:val="24"/>
        </w:rPr>
        <w:t xml:space="preserve">in cities with current predominance of </w:t>
      </w:r>
      <w:r w:rsidR="00A652F0">
        <w:rPr>
          <w:rFonts w:cs="Times New Roman"/>
          <w:szCs w:val="24"/>
        </w:rPr>
        <w:t>drive alone trips</w:t>
      </w:r>
      <w:r w:rsidR="00006897">
        <w:t>.</w:t>
      </w:r>
      <w:r w:rsidR="00F9019A">
        <w:t xml:space="preserve"> Ride-hailing may also serve as</w:t>
      </w:r>
      <w:r w:rsidR="008D07FA">
        <w:t xml:space="preserve"> an accessibility enhancer </w:t>
      </w:r>
      <w:r w:rsidR="00845643">
        <w:t>for</w:t>
      </w:r>
      <w:r w:rsidR="008D07FA">
        <w:t xml:space="preserve"> those </w:t>
      </w:r>
      <w:r w:rsidR="00845643">
        <w:t>who</w:t>
      </w:r>
      <w:r w:rsidR="008D07FA">
        <w:t xml:space="preserve"> cannot drive or do no</w:t>
      </w:r>
      <w:r w:rsidR="00C91A04">
        <w:t>t</w:t>
      </w:r>
      <w:r w:rsidR="008D07FA">
        <w:t xml:space="preserve"> own vehicles (</w:t>
      </w:r>
      <w:r w:rsidR="00845643">
        <w:t xml:space="preserve">see, for example, </w:t>
      </w:r>
      <w:r w:rsidR="00351123" w:rsidRPr="001052A7">
        <w:rPr>
          <w:rFonts w:cs="Times New Roman"/>
          <w:szCs w:val="24"/>
        </w:rPr>
        <w:t>Leistner and Steiner, 2017</w:t>
      </w:r>
      <w:r w:rsidR="007F0665">
        <w:rPr>
          <w:rFonts w:cs="Times New Roman"/>
          <w:szCs w:val="24"/>
        </w:rPr>
        <w:t xml:space="preserve"> and</w:t>
      </w:r>
      <w:r w:rsidR="00E0514C">
        <w:rPr>
          <w:rFonts w:cs="Times New Roman"/>
          <w:szCs w:val="24"/>
        </w:rPr>
        <w:t xml:space="preserve"> Lavieri et al., 2018</w:t>
      </w:r>
      <w:r w:rsidR="00B96D36">
        <w:rPr>
          <w:rFonts w:cs="Times New Roman"/>
          <w:szCs w:val="24"/>
        </w:rPr>
        <w:t>a</w:t>
      </w:r>
      <w:r w:rsidR="008D07FA">
        <w:t>).</w:t>
      </w:r>
      <w:r w:rsidR="00DB2079">
        <w:t xml:space="preserve"> </w:t>
      </w:r>
      <w:r w:rsidR="00CC7173">
        <w:rPr>
          <w:rFonts w:cs="Times New Roman"/>
          <w:szCs w:val="24"/>
        </w:rPr>
        <w:t xml:space="preserve">On the </w:t>
      </w:r>
      <w:r w:rsidR="004C1E0A">
        <w:rPr>
          <w:rFonts w:cs="Times New Roman"/>
          <w:szCs w:val="24"/>
        </w:rPr>
        <w:t xml:space="preserve">other </w:t>
      </w:r>
      <w:r w:rsidR="00FA5BCC">
        <w:rPr>
          <w:rFonts w:cs="Times New Roman"/>
          <w:szCs w:val="24"/>
        </w:rPr>
        <w:t>hand</w:t>
      </w:r>
      <w:r w:rsidR="00CC7173">
        <w:rPr>
          <w:rFonts w:cs="Times New Roman"/>
          <w:szCs w:val="24"/>
        </w:rPr>
        <w:t xml:space="preserve">, </w:t>
      </w:r>
      <w:r w:rsidR="00DB2079">
        <w:rPr>
          <w:rFonts w:cs="Times New Roman"/>
          <w:szCs w:val="24"/>
        </w:rPr>
        <w:t xml:space="preserve">the </w:t>
      </w:r>
      <w:r w:rsidR="00E715BC">
        <w:rPr>
          <w:rFonts w:cs="Times New Roman"/>
          <w:szCs w:val="24"/>
        </w:rPr>
        <w:t xml:space="preserve">convenience of hailing a ride through a smartphone </w:t>
      </w:r>
      <w:r w:rsidR="00310612">
        <w:rPr>
          <w:rFonts w:cs="Times New Roman"/>
          <w:szCs w:val="24"/>
        </w:rPr>
        <w:t xml:space="preserve">app </w:t>
      </w:r>
      <w:r w:rsidR="00E715BC">
        <w:rPr>
          <w:rFonts w:cs="Times New Roman"/>
          <w:szCs w:val="24"/>
        </w:rPr>
        <w:t>m</w:t>
      </w:r>
      <w:r w:rsidR="00CC7173">
        <w:rPr>
          <w:rFonts w:cs="Times New Roman"/>
          <w:szCs w:val="24"/>
        </w:rPr>
        <w:t xml:space="preserve">ay </w:t>
      </w:r>
      <w:r w:rsidR="00FC5E8F">
        <w:rPr>
          <w:rFonts w:cs="Times New Roman"/>
          <w:szCs w:val="24"/>
        </w:rPr>
        <w:t>reduce</w:t>
      </w:r>
      <w:r w:rsidR="00FA7627">
        <w:rPr>
          <w:rFonts w:cs="Times New Roman"/>
          <w:szCs w:val="24"/>
        </w:rPr>
        <w:t xml:space="preserve"> </w:t>
      </w:r>
      <w:r w:rsidR="006F5C91">
        <w:rPr>
          <w:rFonts w:cs="Times New Roman"/>
          <w:szCs w:val="24"/>
        </w:rPr>
        <w:t xml:space="preserve">transit ridership and </w:t>
      </w:r>
      <w:r w:rsidR="001F1E76">
        <w:rPr>
          <w:rFonts w:cs="Times New Roman"/>
          <w:szCs w:val="24"/>
        </w:rPr>
        <w:t xml:space="preserve">active </w:t>
      </w:r>
      <w:r w:rsidR="00BC20AE">
        <w:rPr>
          <w:rFonts w:cs="Times New Roman"/>
          <w:szCs w:val="24"/>
        </w:rPr>
        <w:t>travel or</w:t>
      </w:r>
      <w:r w:rsidR="00EA4F29">
        <w:rPr>
          <w:rFonts w:cs="Times New Roman"/>
          <w:szCs w:val="24"/>
        </w:rPr>
        <w:t xml:space="preserve"> induce the </w:t>
      </w:r>
      <w:r w:rsidR="00BC20AE">
        <w:rPr>
          <w:rFonts w:cs="Times New Roman"/>
          <w:szCs w:val="24"/>
        </w:rPr>
        <w:t>generation</w:t>
      </w:r>
      <w:r w:rsidR="00EA4F29">
        <w:rPr>
          <w:rFonts w:cs="Times New Roman"/>
          <w:szCs w:val="24"/>
        </w:rPr>
        <w:t xml:space="preserve"> of new trips that would not be undertaken otherwise, </w:t>
      </w:r>
      <w:r w:rsidR="00BC20AE">
        <w:rPr>
          <w:rFonts w:cs="Times New Roman"/>
          <w:szCs w:val="24"/>
        </w:rPr>
        <w:t>and consequently increase motorized travel</w:t>
      </w:r>
      <w:r w:rsidR="00E95905">
        <w:rPr>
          <w:rFonts w:cs="Times New Roman"/>
          <w:szCs w:val="24"/>
        </w:rPr>
        <w:t xml:space="preserve"> (</w:t>
      </w:r>
      <w:r w:rsidR="0073601B">
        <w:rPr>
          <w:rFonts w:cs="Times New Roman"/>
          <w:szCs w:val="24"/>
        </w:rPr>
        <w:t>Rayle et al., 2016</w:t>
      </w:r>
      <w:r w:rsidR="00845643">
        <w:rPr>
          <w:rFonts w:cs="Times New Roman"/>
          <w:szCs w:val="24"/>
        </w:rPr>
        <w:t>)</w:t>
      </w:r>
      <w:r w:rsidR="00BC20AE">
        <w:rPr>
          <w:rFonts w:cs="Times New Roman"/>
          <w:szCs w:val="24"/>
        </w:rPr>
        <w:t>.</w:t>
      </w:r>
      <w:r w:rsidR="00F71FD6">
        <w:rPr>
          <w:rFonts w:cs="Times New Roman"/>
          <w:szCs w:val="24"/>
        </w:rPr>
        <w:t xml:space="preserve"> </w:t>
      </w:r>
    </w:p>
    <w:p w14:paraId="5E6EE079" w14:textId="0ADF2DF9" w:rsidR="00C63AFB" w:rsidRDefault="00457881" w:rsidP="0003780B">
      <w:pPr>
        <w:ind w:firstLine="720"/>
        <w:rPr>
          <w:rFonts w:cs="Times New Roman"/>
          <w:szCs w:val="24"/>
        </w:rPr>
      </w:pPr>
      <w:r>
        <w:rPr>
          <w:rFonts w:cs="Times New Roman"/>
          <w:szCs w:val="24"/>
        </w:rPr>
        <w:t xml:space="preserve">A decisive evaluation of ride-hailing effects on the behavior of travelers is still </w:t>
      </w:r>
      <w:r w:rsidR="00CA3259">
        <w:rPr>
          <w:rFonts w:cs="Times New Roman"/>
          <w:szCs w:val="24"/>
        </w:rPr>
        <w:t xml:space="preserve">far from being achieved as </w:t>
      </w:r>
      <w:r w:rsidR="003D76BA">
        <w:rPr>
          <w:rFonts w:cs="Times New Roman"/>
          <w:szCs w:val="24"/>
        </w:rPr>
        <w:t>the service</w:t>
      </w:r>
      <w:r w:rsidR="00723988">
        <w:rPr>
          <w:rFonts w:cs="Times New Roman"/>
          <w:szCs w:val="24"/>
        </w:rPr>
        <w:t xml:space="preserve"> and market </w:t>
      </w:r>
      <w:r w:rsidR="008F0C0A">
        <w:rPr>
          <w:rFonts w:cs="Times New Roman"/>
          <w:szCs w:val="24"/>
        </w:rPr>
        <w:t>are dynamically chang</w:t>
      </w:r>
      <w:r w:rsidR="00D53C52">
        <w:rPr>
          <w:rFonts w:cs="Times New Roman"/>
          <w:szCs w:val="24"/>
        </w:rPr>
        <w:t>ing</w:t>
      </w:r>
      <w:r w:rsidR="008A7A65">
        <w:rPr>
          <w:rFonts w:cs="Times New Roman"/>
          <w:szCs w:val="24"/>
        </w:rPr>
        <w:t xml:space="preserve">. </w:t>
      </w:r>
      <w:r w:rsidR="00245933">
        <w:rPr>
          <w:rFonts w:cs="Times New Roman"/>
          <w:szCs w:val="24"/>
        </w:rPr>
        <w:t>M</w:t>
      </w:r>
      <w:r w:rsidR="008F0C0A">
        <w:rPr>
          <w:rFonts w:cs="Times New Roman"/>
          <w:szCs w:val="24"/>
        </w:rPr>
        <w:t>ore companies continue to join the market adopting different marketing, fare, and service strategies to attract customers, and the general population is still gaining familiarity with the service</w:t>
      </w:r>
      <w:r w:rsidR="008A7A65">
        <w:rPr>
          <w:rFonts w:cs="Times New Roman"/>
          <w:szCs w:val="24"/>
        </w:rPr>
        <w:t xml:space="preserve">. </w:t>
      </w:r>
      <w:r w:rsidR="00245933">
        <w:rPr>
          <w:rFonts w:cs="Times New Roman"/>
          <w:szCs w:val="24"/>
        </w:rPr>
        <w:t>It is no surprise then that</w:t>
      </w:r>
      <w:r w:rsidR="0011254C">
        <w:rPr>
          <w:rFonts w:cs="Times New Roman"/>
          <w:szCs w:val="24"/>
        </w:rPr>
        <w:t xml:space="preserve"> the past years have seen </w:t>
      </w:r>
      <w:r w:rsidR="00F458D7">
        <w:rPr>
          <w:rFonts w:cs="Times New Roman"/>
          <w:szCs w:val="24"/>
        </w:rPr>
        <w:t xml:space="preserve">multiple, even if limited, efforts in the literature </w:t>
      </w:r>
      <w:r w:rsidR="00C16E70">
        <w:rPr>
          <w:rFonts w:cs="Times New Roman"/>
          <w:szCs w:val="24"/>
        </w:rPr>
        <w:t>focused on</w:t>
      </w:r>
      <w:r w:rsidR="00F458D7">
        <w:rPr>
          <w:rFonts w:cs="Times New Roman"/>
          <w:szCs w:val="24"/>
        </w:rPr>
        <w:t xml:space="preserve"> </w:t>
      </w:r>
      <w:r w:rsidR="00B828A2">
        <w:rPr>
          <w:rFonts w:cs="Times New Roman"/>
          <w:szCs w:val="24"/>
        </w:rPr>
        <w:t>shedding</w:t>
      </w:r>
      <w:r w:rsidR="00AA0461">
        <w:rPr>
          <w:rFonts w:cs="Times New Roman"/>
          <w:szCs w:val="24"/>
        </w:rPr>
        <w:t xml:space="preserve"> light </w:t>
      </w:r>
      <w:r w:rsidR="00B828A2">
        <w:rPr>
          <w:rFonts w:cs="Times New Roman"/>
          <w:szCs w:val="24"/>
        </w:rPr>
        <w:t>to</w:t>
      </w:r>
      <w:r w:rsidR="00AA0461">
        <w:rPr>
          <w:rFonts w:cs="Times New Roman"/>
          <w:szCs w:val="24"/>
        </w:rPr>
        <w:t xml:space="preserve"> the ride-hailing phenomenon</w:t>
      </w:r>
      <w:r w:rsidR="004D6A82">
        <w:rPr>
          <w:rFonts w:cs="Times New Roman"/>
          <w:szCs w:val="24"/>
        </w:rPr>
        <w:t xml:space="preserve">, as </w:t>
      </w:r>
      <w:r w:rsidR="00B828A2">
        <w:rPr>
          <w:rFonts w:cs="Times New Roman"/>
          <w:szCs w:val="24"/>
        </w:rPr>
        <w:t xml:space="preserve">discussed </w:t>
      </w:r>
      <w:r w:rsidR="004D6A82">
        <w:rPr>
          <w:rFonts w:cs="Times New Roman"/>
          <w:szCs w:val="24"/>
        </w:rPr>
        <w:t xml:space="preserve">in the </w:t>
      </w:r>
      <w:r w:rsidR="00B828A2">
        <w:rPr>
          <w:rFonts w:cs="Times New Roman"/>
          <w:szCs w:val="24"/>
        </w:rPr>
        <w:t>next</w:t>
      </w:r>
      <w:r w:rsidR="004D6A82">
        <w:rPr>
          <w:rFonts w:cs="Times New Roman"/>
          <w:szCs w:val="24"/>
        </w:rPr>
        <w:t xml:space="preserve"> section.</w:t>
      </w:r>
      <w:r w:rsidR="003D76BA">
        <w:rPr>
          <w:rFonts w:cs="Times New Roman"/>
          <w:szCs w:val="24"/>
        </w:rPr>
        <w:t xml:space="preserve"> </w:t>
      </w:r>
    </w:p>
    <w:p w14:paraId="4F8E4765" w14:textId="77777777" w:rsidR="00F5046E" w:rsidRPr="00F5046E" w:rsidRDefault="00F5046E" w:rsidP="003A3DAE">
      <w:pPr>
        <w:ind w:firstLine="360"/>
        <w:rPr>
          <w:rFonts w:cs="Times New Roman"/>
          <w:b/>
          <w:szCs w:val="24"/>
        </w:rPr>
      </w:pPr>
    </w:p>
    <w:p w14:paraId="2055CE6D" w14:textId="5859117A" w:rsidR="00A00167" w:rsidRPr="00A00167" w:rsidRDefault="00112F29" w:rsidP="00871C66">
      <w:pPr>
        <w:pStyle w:val="ListParagraph"/>
        <w:numPr>
          <w:ilvl w:val="1"/>
          <w:numId w:val="1"/>
        </w:numPr>
      </w:pPr>
      <w:r w:rsidRPr="00A00167">
        <w:rPr>
          <w:b/>
        </w:rPr>
        <w:t>R</w:t>
      </w:r>
      <w:r w:rsidR="000939E3">
        <w:rPr>
          <w:b/>
        </w:rPr>
        <w:t>ide-H</w:t>
      </w:r>
      <w:r w:rsidR="002720EB" w:rsidRPr="00A00167">
        <w:rPr>
          <w:b/>
        </w:rPr>
        <w:t xml:space="preserve">ailing </w:t>
      </w:r>
      <w:r w:rsidR="000939E3">
        <w:rPr>
          <w:b/>
        </w:rPr>
        <w:t>A</w:t>
      </w:r>
      <w:r w:rsidR="002720EB" w:rsidRPr="00A00167">
        <w:rPr>
          <w:b/>
        </w:rPr>
        <w:t xml:space="preserve">doption, </w:t>
      </w:r>
      <w:r w:rsidR="000939E3">
        <w:rPr>
          <w:b/>
        </w:rPr>
        <w:t>U</w:t>
      </w:r>
      <w:r w:rsidR="00372289" w:rsidRPr="00A00167">
        <w:rPr>
          <w:b/>
        </w:rPr>
        <w:t>se</w:t>
      </w:r>
      <w:r w:rsidR="002720EB" w:rsidRPr="00A00167">
        <w:rPr>
          <w:b/>
        </w:rPr>
        <w:t xml:space="preserve"> and </w:t>
      </w:r>
      <w:r w:rsidR="000939E3">
        <w:rPr>
          <w:b/>
        </w:rPr>
        <w:t>I</w:t>
      </w:r>
      <w:r w:rsidR="002720EB" w:rsidRPr="00A00167">
        <w:rPr>
          <w:b/>
        </w:rPr>
        <w:t xml:space="preserve">mpacts on </w:t>
      </w:r>
      <w:r w:rsidR="000939E3">
        <w:rPr>
          <w:b/>
        </w:rPr>
        <w:t>T</w:t>
      </w:r>
      <w:r w:rsidR="002720EB" w:rsidRPr="00A00167">
        <w:rPr>
          <w:b/>
        </w:rPr>
        <w:t xml:space="preserve">ravel </w:t>
      </w:r>
      <w:r w:rsidR="000939E3">
        <w:rPr>
          <w:b/>
        </w:rPr>
        <w:t>B</w:t>
      </w:r>
      <w:r w:rsidR="00AE63D3" w:rsidRPr="00A00167">
        <w:rPr>
          <w:b/>
        </w:rPr>
        <w:t>ehavior</w:t>
      </w:r>
      <w:r w:rsidR="00A00167" w:rsidRPr="00A00167">
        <w:rPr>
          <w:b/>
        </w:rPr>
        <w:t xml:space="preserve"> </w:t>
      </w:r>
    </w:p>
    <w:p w14:paraId="16DCF22F" w14:textId="58855436" w:rsidR="00EA7926" w:rsidRDefault="00844DEC" w:rsidP="00827D8E">
      <w:pPr>
        <w:rPr>
          <w:rFonts w:cs="Times New Roman"/>
          <w:szCs w:val="24"/>
        </w:rPr>
      </w:pPr>
      <w:r>
        <w:rPr>
          <w:rFonts w:cs="Times New Roman"/>
          <w:szCs w:val="24"/>
        </w:rPr>
        <w:t>T</w:t>
      </w:r>
      <w:r w:rsidR="002D02C5">
        <w:rPr>
          <w:rFonts w:cs="Times New Roman"/>
          <w:szCs w:val="24"/>
        </w:rPr>
        <w:t xml:space="preserve">he </w:t>
      </w:r>
      <w:r w:rsidR="002D02C5" w:rsidRPr="003A3DAE">
        <w:rPr>
          <w:rFonts w:cs="Times New Roman"/>
          <w:szCs w:val="24"/>
        </w:rPr>
        <w:t xml:space="preserve">scarcity of publicly available </w:t>
      </w:r>
      <w:r w:rsidR="002D02C5">
        <w:rPr>
          <w:rFonts w:cs="Times New Roman"/>
          <w:szCs w:val="24"/>
        </w:rPr>
        <w:t xml:space="preserve">data </w:t>
      </w:r>
      <w:r w:rsidR="00624312">
        <w:rPr>
          <w:rFonts w:cs="Times New Roman"/>
          <w:szCs w:val="24"/>
        </w:rPr>
        <w:t xml:space="preserve">on </w:t>
      </w:r>
      <w:r w:rsidR="00A3349B">
        <w:rPr>
          <w:rFonts w:cs="Times New Roman"/>
          <w:szCs w:val="24"/>
        </w:rPr>
        <w:t>ride-hailing</w:t>
      </w:r>
      <w:r w:rsidR="00624312">
        <w:rPr>
          <w:rFonts w:cs="Times New Roman"/>
          <w:szCs w:val="24"/>
        </w:rPr>
        <w:t xml:space="preserve"> </w:t>
      </w:r>
      <w:r w:rsidR="002D02C5">
        <w:rPr>
          <w:rFonts w:cs="Times New Roman"/>
          <w:szCs w:val="24"/>
        </w:rPr>
        <w:t>is</w:t>
      </w:r>
      <w:r w:rsidR="00D437B5">
        <w:rPr>
          <w:rFonts w:cs="Times New Roman"/>
          <w:szCs w:val="24"/>
        </w:rPr>
        <w:t xml:space="preserve"> among the</w:t>
      </w:r>
      <w:r w:rsidR="004E1CF4">
        <w:rPr>
          <w:rFonts w:cs="Times New Roman"/>
          <w:szCs w:val="24"/>
        </w:rPr>
        <w:t xml:space="preserve"> main</w:t>
      </w:r>
      <w:r w:rsidR="00D437B5">
        <w:rPr>
          <w:rFonts w:cs="Times New Roman"/>
          <w:szCs w:val="24"/>
        </w:rPr>
        <w:t xml:space="preserve"> </w:t>
      </w:r>
      <w:r w:rsidR="00624312">
        <w:rPr>
          <w:rFonts w:cs="Times New Roman"/>
          <w:szCs w:val="24"/>
        </w:rPr>
        <w:t>reasons</w:t>
      </w:r>
      <w:r w:rsidR="004E1CF4">
        <w:rPr>
          <w:rFonts w:cs="Times New Roman"/>
          <w:szCs w:val="24"/>
        </w:rPr>
        <w:t xml:space="preserve"> for the currently </w:t>
      </w:r>
      <w:r w:rsidR="00624312">
        <w:rPr>
          <w:rFonts w:cs="Times New Roman"/>
          <w:szCs w:val="24"/>
        </w:rPr>
        <w:t>limited</w:t>
      </w:r>
      <w:r w:rsidR="004E1CF4">
        <w:rPr>
          <w:rFonts w:cs="Times New Roman"/>
          <w:szCs w:val="24"/>
        </w:rPr>
        <w:t xml:space="preserve"> research on travel behavior </w:t>
      </w:r>
      <w:r w:rsidR="00624312">
        <w:rPr>
          <w:rFonts w:cs="Times New Roman"/>
          <w:szCs w:val="24"/>
        </w:rPr>
        <w:t xml:space="preserve">considerations </w:t>
      </w:r>
      <w:r w:rsidR="004E1CF4">
        <w:rPr>
          <w:rFonts w:cs="Times New Roman"/>
          <w:szCs w:val="24"/>
        </w:rPr>
        <w:t>associated with ride-hailin</w:t>
      </w:r>
      <w:r w:rsidR="00624312">
        <w:rPr>
          <w:rFonts w:cs="Times New Roman"/>
          <w:szCs w:val="24"/>
        </w:rPr>
        <w:t>g</w:t>
      </w:r>
      <w:r w:rsidR="004E1CF4">
        <w:rPr>
          <w:rFonts w:cs="Times New Roman"/>
          <w:szCs w:val="24"/>
        </w:rPr>
        <w:t xml:space="preserve">. </w:t>
      </w:r>
      <w:r w:rsidR="00624312">
        <w:rPr>
          <w:rFonts w:cs="Times New Roman"/>
          <w:szCs w:val="24"/>
        </w:rPr>
        <w:t>In particular, a</w:t>
      </w:r>
      <w:r w:rsidR="004E1CF4">
        <w:rPr>
          <w:rFonts w:cs="Times New Roman"/>
          <w:szCs w:val="24"/>
        </w:rPr>
        <w:t>lthough r</w:t>
      </w:r>
      <w:r w:rsidR="00EA7926">
        <w:rPr>
          <w:rFonts w:cs="Times New Roman"/>
          <w:szCs w:val="24"/>
        </w:rPr>
        <w:t>ide-hailing companies</w:t>
      </w:r>
      <w:r w:rsidR="00527C46">
        <w:rPr>
          <w:rFonts w:cs="Times New Roman"/>
          <w:szCs w:val="24"/>
        </w:rPr>
        <w:t xml:space="preserve"> c</w:t>
      </w:r>
      <w:r w:rsidR="004E1CF4">
        <w:rPr>
          <w:rFonts w:cs="Times New Roman"/>
          <w:szCs w:val="24"/>
        </w:rPr>
        <w:t>ollect</w:t>
      </w:r>
      <w:r w:rsidR="00EA7926">
        <w:rPr>
          <w:rFonts w:cs="Times New Roman"/>
          <w:szCs w:val="24"/>
        </w:rPr>
        <w:t xml:space="preserve"> user information and detailed trip characteristics, such </w:t>
      </w:r>
      <w:r w:rsidR="004E1CF4">
        <w:rPr>
          <w:rFonts w:cs="Times New Roman"/>
          <w:szCs w:val="24"/>
        </w:rPr>
        <w:t>data</w:t>
      </w:r>
      <w:r w:rsidR="00EA7926">
        <w:rPr>
          <w:rFonts w:cs="Times New Roman"/>
          <w:szCs w:val="24"/>
        </w:rPr>
        <w:t xml:space="preserve"> </w:t>
      </w:r>
      <w:r w:rsidR="00624312">
        <w:rPr>
          <w:rFonts w:cs="Times New Roman"/>
          <w:szCs w:val="24"/>
        </w:rPr>
        <w:t>are</w:t>
      </w:r>
      <w:r w:rsidR="00EA7926">
        <w:rPr>
          <w:rFonts w:cs="Times New Roman"/>
          <w:szCs w:val="24"/>
        </w:rPr>
        <w:t xml:space="preserve"> usually not publicly released due to privacy concerns and proprietary value. </w:t>
      </w:r>
      <w:r w:rsidR="004E1CF4">
        <w:rPr>
          <w:rFonts w:cs="Times New Roman"/>
          <w:szCs w:val="24"/>
        </w:rPr>
        <w:t>Thus</w:t>
      </w:r>
      <w:r w:rsidR="00EA7926">
        <w:rPr>
          <w:rFonts w:cs="Times New Roman"/>
          <w:szCs w:val="24"/>
        </w:rPr>
        <w:t xml:space="preserve">, </w:t>
      </w:r>
      <w:r w:rsidR="004E1CF4">
        <w:rPr>
          <w:rFonts w:cs="Times New Roman"/>
          <w:szCs w:val="24"/>
        </w:rPr>
        <w:t xml:space="preserve">the majority of the studies on ride-hailing demand rely on </w:t>
      </w:r>
      <w:r w:rsidR="004E1CF4" w:rsidRPr="003A3DAE">
        <w:rPr>
          <w:rFonts w:cs="Times New Roman"/>
          <w:szCs w:val="24"/>
        </w:rPr>
        <w:t>specialized user surveys</w:t>
      </w:r>
      <w:r w:rsidR="004E1CF4">
        <w:rPr>
          <w:rFonts w:cs="Times New Roman"/>
          <w:szCs w:val="24"/>
        </w:rPr>
        <w:t xml:space="preserve"> (R</w:t>
      </w:r>
      <w:r w:rsidR="00A56170">
        <w:rPr>
          <w:rFonts w:cs="Times New Roman"/>
          <w:szCs w:val="24"/>
        </w:rPr>
        <w:t>a</w:t>
      </w:r>
      <w:r w:rsidR="004E1CF4">
        <w:rPr>
          <w:rFonts w:cs="Times New Roman"/>
          <w:szCs w:val="24"/>
        </w:rPr>
        <w:t xml:space="preserve">yle et al., 2016; </w:t>
      </w:r>
      <w:r w:rsidR="004E1CF4" w:rsidRPr="001052A7">
        <w:rPr>
          <w:rFonts w:cs="Times New Roman"/>
          <w:szCs w:val="24"/>
        </w:rPr>
        <w:t>Leistner and Steiner, 2017),</w:t>
      </w:r>
      <w:r w:rsidR="004E1CF4">
        <w:rPr>
          <w:rFonts w:cs="Times New Roman"/>
          <w:szCs w:val="24"/>
        </w:rPr>
        <w:t xml:space="preserve"> online surveys</w:t>
      </w:r>
      <w:r w:rsidR="004E1CF4" w:rsidRPr="003A3DAE">
        <w:rPr>
          <w:rFonts w:cs="Times New Roman"/>
          <w:szCs w:val="24"/>
        </w:rPr>
        <w:t xml:space="preserve"> </w:t>
      </w:r>
      <w:r w:rsidR="004E1CF4">
        <w:rPr>
          <w:rFonts w:cs="Times New Roman"/>
          <w:szCs w:val="24"/>
        </w:rPr>
        <w:t xml:space="preserve">(Smith, 2016; Clewlow and Mishra, 2017; </w:t>
      </w:r>
      <w:r w:rsidR="0072654D">
        <w:rPr>
          <w:rFonts w:cs="Times New Roman"/>
          <w:szCs w:val="24"/>
        </w:rPr>
        <w:t>Alemi et al., 2018</w:t>
      </w:r>
      <w:r w:rsidR="00FD71B2">
        <w:rPr>
          <w:rFonts w:cs="Times New Roman"/>
          <w:szCs w:val="24"/>
        </w:rPr>
        <w:t>a</w:t>
      </w:r>
      <w:r w:rsidR="0072654D">
        <w:rPr>
          <w:rFonts w:cs="Times New Roman"/>
          <w:szCs w:val="24"/>
        </w:rPr>
        <w:t xml:space="preserve">; </w:t>
      </w:r>
      <w:r w:rsidR="00594487">
        <w:rPr>
          <w:rFonts w:cs="Times New Roman"/>
          <w:szCs w:val="24"/>
        </w:rPr>
        <w:t xml:space="preserve">Alemi et al., 2018b; </w:t>
      </w:r>
      <w:r w:rsidR="004E1CF4">
        <w:rPr>
          <w:rFonts w:cs="Times New Roman"/>
          <w:szCs w:val="24"/>
        </w:rPr>
        <w:t xml:space="preserve">Hampshire et al., 2018), </w:t>
      </w:r>
      <w:r w:rsidR="00624312">
        <w:rPr>
          <w:rFonts w:cs="Times New Roman"/>
          <w:szCs w:val="24"/>
        </w:rPr>
        <w:t xml:space="preserve">the </w:t>
      </w:r>
      <w:r w:rsidR="004E1CF4">
        <w:rPr>
          <w:rFonts w:cs="Times New Roman"/>
          <w:szCs w:val="24"/>
        </w:rPr>
        <w:t xml:space="preserve">limited information available in </w:t>
      </w:r>
      <w:r w:rsidR="004E1CF4" w:rsidRPr="003A3DAE">
        <w:rPr>
          <w:rFonts w:cs="Times New Roman"/>
          <w:szCs w:val="24"/>
        </w:rPr>
        <w:t>large-scale household travel surveys</w:t>
      </w:r>
      <w:r w:rsidR="004E1CF4">
        <w:rPr>
          <w:rFonts w:cs="Times New Roman"/>
          <w:szCs w:val="24"/>
        </w:rPr>
        <w:t xml:space="preserve"> (Dias et al., 2017; Lavieri et al., 201</w:t>
      </w:r>
      <w:r w:rsidR="00D437B5">
        <w:rPr>
          <w:rFonts w:cs="Times New Roman"/>
          <w:szCs w:val="24"/>
        </w:rPr>
        <w:t>7</w:t>
      </w:r>
      <w:r w:rsidR="004E1CF4">
        <w:rPr>
          <w:rFonts w:cs="Times New Roman"/>
          <w:szCs w:val="24"/>
        </w:rPr>
        <w:t>)</w:t>
      </w:r>
      <w:r w:rsidR="00527C46">
        <w:rPr>
          <w:rFonts w:cs="Times New Roman"/>
          <w:szCs w:val="24"/>
        </w:rPr>
        <w:t>,</w:t>
      </w:r>
      <w:r w:rsidR="004E1CF4">
        <w:rPr>
          <w:rFonts w:cs="Times New Roman"/>
          <w:szCs w:val="24"/>
        </w:rPr>
        <w:t xml:space="preserve"> or </w:t>
      </w:r>
      <w:r w:rsidR="00DB57FA">
        <w:rPr>
          <w:rFonts w:cs="Times New Roman"/>
          <w:szCs w:val="24"/>
        </w:rPr>
        <w:t xml:space="preserve">aggregate time series data of transportation related </w:t>
      </w:r>
      <w:r w:rsidR="00527C46">
        <w:rPr>
          <w:rFonts w:cs="Times New Roman"/>
          <w:szCs w:val="24"/>
        </w:rPr>
        <w:t>characteristics</w:t>
      </w:r>
      <w:r w:rsidR="00DB57FA">
        <w:rPr>
          <w:rFonts w:cs="Times New Roman"/>
          <w:szCs w:val="24"/>
        </w:rPr>
        <w:t xml:space="preserve"> </w:t>
      </w:r>
      <w:r w:rsidR="004E1CF4">
        <w:rPr>
          <w:rFonts w:cs="Times New Roman"/>
          <w:szCs w:val="24"/>
        </w:rPr>
        <w:t xml:space="preserve">(Li et al., 2017; Ward et al., 2018).  Just </w:t>
      </w:r>
      <w:r w:rsidR="00060B5C">
        <w:rPr>
          <w:rFonts w:cs="Times New Roman"/>
          <w:szCs w:val="24"/>
        </w:rPr>
        <w:t>recent</w:t>
      </w:r>
      <w:r w:rsidR="004E1CF4">
        <w:rPr>
          <w:rFonts w:cs="Times New Roman"/>
          <w:szCs w:val="24"/>
        </w:rPr>
        <w:t xml:space="preserve">ly, </w:t>
      </w:r>
      <w:r w:rsidR="0072654D">
        <w:rPr>
          <w:rFonts w:cs="Times New Roman"/>
          <w:szCs w:val="24"/>
        </w:rPr>
        <w:t xml:space="preserve">some </w:t>
      </w:r>
      <w:r w:rsidR="004E1CF4">
        <w:rPr>
          <w:rFonts w:cs="Times New Roman"/>
          <w:szCs w:val="24"/>
        </w:rPr>
        <w:t xml:space="preserve">studies </w:t>
      </w:r>
      <w:r w:rsidR="00624312">
        <w:rPr>
          <w:rFonts w:cs="Times New Roman"/>
          <w:szCs w:val="24"/>
        </w:rPr>
        <w:t xml:space="preserve">have examined ride-hailing considerations and </w:t>
      </w:r>
      <w:r w:rsidR="00624312">
        <w:rPr>
          <w:rFonts w:cs="Times New Roman"/>
          <w:szCs w:val="24"/>
        </w:rPr>
        <w:lastRenderedPageBreak/>
        <w:t xml:space="preserve">impacts </w:t>
      </w:r>
      <w:r w:rsidR="00EA7926">
        <w:rPr>
          <w:rFonts w:cs="Times New Roman"/>
          <w:szCs w:val="24"/>
        </w:rPr>
        <w:t xml:space="preserve">based on </w:t>
      </w:r>
      <w:r w:rsidR="00F33F5B">
        <w:rPr>
          <w:rFonts w:cs="Times New Roman"/>
          <w:szCs w:val="24"/>
        </w:rPr>
        <w:t>big data (Kooti et al., 2017)</w:t>
      </w:r>
      <w:r w:rsidR="00624312">
        <w:rPr>
          <w:rFonts w:cs="Times New Roman"/>
          <w:szCs w:val="24"/>
        </w:rPr>
        <w:t>,</w:t>
      </w:r>
      <w:r w:rsidR="00F33F5B">
        <w:rPr>
          <w:rFonts w:cs="Times New Roman"/>
          <w:szCs w:val="24"/>
        </w:rPr>
        <w:t xml:space="preserve"> or </w:t>
      </w:r>
      <w:r w:rsidR="00EA7926">
        <w:rPr>
          <w:rFonts w:cs="Times New Roman"/>
          <w:szCs w:val="24"/>
        </w:rPr>
        <w:t xml:space="preserve">data </w:t>
      </w:r>
      <w:r w:rsidR="003416AE">
        <w:rPr>
          <w:rFonts w:cs="Times New Roman"/>
          <w:szCs w:val="24"/>
        </w:rPr>
        <w:t>from</w:t>
      </w:r>
      <w:r w:rsidR="00EA7926">
        <w:rPr>
          <w:rFonts w:cs="Times New Roman"/>
          <w:szCs w:val="24"/>
        </w:rPr>
        <w:t xml:space="preserve"> ride-hailing companies</w:t>
      </w:r>
      <w:r w:rsidR="00707838">
        <w:rPr>
          <w:rFonts w:cs="Times New Roman"/>
          <w:szCs w:val="24"/>
        </w:rPr>
        <w:t xml:space="preserve"> (</w:t>
      </w:r>
      <w:r w:rsidR="003416AE">
        <w:rPr>
          <w:rFonts w:cs="Times New Roman"/>
          <w:szCs w:val="24"/>
        </w:rPr>
        <w:t xml:space="preserve">Gerte et al., </w:t>
      </w:r>
      <w:r w:rsidR="00060B5C">
        <w:rPr>
          <w:rFonts w:cs="Times New Roman"/>
          <w:szCs w:val="24"/>
        </w:rPr>
        <w:t>2018</w:t>
      </w:r>
      <w:r w:rsidR="003416AE">
        <w:rPr>
          <w:rFonts w:cs="Times New Roman"/>
          <w:szCs w:val="24"/>
        </w:rPr>
        <w:t xml:space="preserve">; Komanduri et al., 2018; </w:t>
      </w:r>
      <w:r w:rsidR="00707838">
        <w:rPr>
          <w:rFonts w:cs="Times New Roman"/>
          <w:szCs w:val="24"/>
        </w:rPr>
        <w:t>Lavieri et al., 2018</w:t>
      </w:r>
      <w:r w:rsidR="00B96D36">
        <w:rPr>
          <w:rFonts w:cs="Times New Roman"/>
          <w:szCs w:val="24"/>
        </w:rPr>
        <w:t>a</w:t>
      </w:r>
      <w:r w:rsidR="003416AE">
        <w:rPr>
          <w:rFonts w:cs="Times New Roman"/>
          <w:szCs w:val="24"/>
        </w:rPr>
        <w:t>; Zheng et al., 2018)</w:t>
      </w:r>
      <w:r w:rsidR="00624312">
        <w:rPr>
          <w:rFonts w:cs="Times New Roman"/>
          <w:szCs w:val="24"/>
        </w:rPr>
        <w:t>,</w:t>
      </w:r>
      <w:r w:rsidR="00B4308B">
        <w:rPr>
          <w:rFonts w:cs="Times New Roman"/>
          <w:szCs w:val="24"/>
        </w:rPr>
        <w:t xml:space="preserve"> but </w:t>
      </w:r>
      <w:r w:rsidR="00624312">
        <w:rPr>
          <w:rFonts w:cs="Times New Roman"/>
          <w:szCs w:val="24"/>
        </w:rPr>
        <w:t xml:space="preserve">these data sets have </w:t>
      </w:r>
      <w:r w:rsidR="00B4308B">
        <w:rPr>
          <w:rFonts w:cs="Times New Roman"/>
          <w:szCs w:val="24"/>
        </w:rPr>
        <w:t>limited</w:t>
      </w:r>
      <w:r w:rsidR="00624312">
        <w:rPr>
          <w:rFonts w:cs="Times New Roman"/>
          <w:szCs w:val="24"/>
        </w:rPr>
        <w:t xml:space="preserve"> to no</w:t>
      </w:r>
      <w:r w:rsidR="00D437B5">
        <w:rPr>
          <w:rFonts w:cs="Times New Roman"/>
          <w:szCs w:val="24"/>
        </w:rPr>
        <w:t xml:space="preserve"> </w:t>
      </w:r>
      <w:r w:rsidR="00B4308B">
        <w:rPr>
          <w:rFonts w:cs="Times New Roman"/>
          <w:szCs w:val="24"/>
        </w:rPr>
        <w:t>user information</w:t>
      </w:r>
      <w:r w:rsidR="004E1CF4">
        <w:rPr>
          <w:rFonts w:cs="Times New Roman"/>
          <w:szCs w:val="24"/>
        </w:rPr>
        <w:t xml:space="preserve">. </w:t>
      </w:r>
      <w:r w:rsidR="00EA7926">
        <w:rPr>
          <w:rFonts w:cs="Times New Roman"/>
          <w:szCs w:val="24"/>
        </w:rPr>
        <w:t xml:space="preserve"> </w:t>
      </w:r>
    </w:p>
    <w:p w14:paraId="3543AC99" w14:textId="2EF35571" w:rsidR="004E1CF4" w:rsidRDefault="00140AF4" w:rsidP="00827D8E">
      <w:pPr>
        <w:ind w:firstLine="720"/>
        <w:rPr>
          <w:rFonts w:cs="Times New Roman"/>
          <w:szCs w:val="24"/>
        </w:rPr>
      </w:pPr>
      <w:r>
        <w:rPr>
          <w:rFonts w:cs="Times New Roman"/>
          <w:szCs w:val="24"/>
        </w:rPr>
        <w:t>The</w:t>
      </w:r>
      <w:r w:rsidR="00170F9D">
        <w:rPr>
          <w:rFonts w:cs="Times New Roman"/>
          <w:szCs w:val="24"/>
        </w:rPr>
        <w:t xml:space="preserve"> </w:t>
      </w:r>
      <w:r w:rsidR="00527C46">
        <w:rPr>
          <w:rFonts w:cs="Times New Roman"/>
          <w:szCs w:val="24"/>
        </w:rPr>
        <w:t xml:space="preserve">aforementioned </w:t>
      </w:r>
      <w:r w:rsidR="00170F9D">
        <w:rPr>
          <w:rFonts w:cs="Times New Roman"/>
          <w:szCs w:val="24"/>
        </w:rPr>
        <w:t xml:space="preserve">diversity of data sources </w:t>
      </w:r>
      <w:r w:rsidR="00D34895">
        <w:rPr>
          <w:rFonts w:cs="Times New Roman"/>
          <w:szCs w:val="24"/>
        </w:rPr>
        <w:t>has</w:t>
      </w:r>
      <w:r w:rsidR="00F33F5B">
        <w:rPr>
          <w:rFonts w:cs="Times New Roman"/>
          <w:szCs w:val="24"/>
        </w:rPr>
        <w:t xml:space="preserve"> </w:t>
      </w:r>
      <w:r w:rsidR="00527C46">
        <w:rPr>
          <w:rFonts w:cs="Times New Roman"/>
          <w:szCs w:val="24"/>
        </w:rPr>
        <w:t xml:space="preserve">led </w:t>
      </w:r>
      <w:r w:rsidR="00F33F5B">
        <w:rPr>
          <w:rFonts w:cs="Times New Roman"/>
          <w:szCs w:val="24"/>
        </w:rPr>
        <w:t xml:space="preserve">to </w:t>
      </w:r>
      <w:r w:rsidR="00527C46">
        <w:rPr>
          <w:rFonts w:cs="Times New Roman"/>
          <w:szCs w:val="24"/>
        </w:rPr>
        <w:t xml:space="preserve">the use of </w:t>
      </w:r>
      <w:r w:rsidR="00F33F5B">
        <w:rPr>
          <w:rFonts w:cs="Times New Roman"/>
          <w:szCs w:val="24"/>
        </w:rPr>
        <w:t xml:space="preserve">a variety of </w:t>
      </w:r>
      <w:r w:rsidR="00170F9D">
        <w:rPr>
          <w:rFonts w:cs="Times New Roman"/>
          <w:szCs w:val="24"/>
        </w:rPr>
        <w:t>analytic frameworks</w:t>
      </w:r>
      <w:r w:rsidR="00B73EF1">
        <w:rPr>
          <w:rFonts w:cs="Times New Roman"/>
          <w:szCs w:val="24"/>
        </w:rPr>
        <w:t xml:space="preserve"> </w:t>
      </w:r>
      <w:r w:rsidR="00527C46">
        <w:rPr>
          <w:rFonts w:cs="Times New Roman"/>
          <w:szCs w:val="24"/>
        </w:rPr>
        <w:t>to investigate ride</w:t>
      </w:r>
      <w:r w:rsidR="00827D8E">
        <w:rPr>
          <w:rFonts w:cs="Times New Roman"/>
          <w:szCs w:val="24"/>
        </w:rPr>
        <w:t>-</w:t>
      </w:r>
      <w:r w:rsidR="00527C46">
        <w:rPr>
          <w:rFonts w:cs="Times New Roman"/>
          <w:szCs w:val="24"/>
        </w:rPr>
        <w:t>hailing behavior and its impacts</w:t>
      </w:r>
      <w:r w:rsidR="00B73EF1">
        <w:rPr>
          <w:rFonts w:cs="Times New Roman"/>
          <w:szCs w:val="24"/>
        </w:rPr>
        <w:t xml:space="preserve">. Many earlier </w:t>
      </w:r>
      <w:r w:rsidR="00B73EF1" w:rsidRPr="00827D8E">
        <w:rPr>
          <w:rFonts w:cs="Times New Roman"/>
          <w:szCs w:val="24"/>
          <w:u w:val="single"/>
        </w:rPr>
        <w:t>survey</w:t>
      </w:r>
      <w:r w:rsidR="00B73EF1">
        <w:rPr>
          <w:rFonts w:cs="Times New Roman"/>
          <w:szCs w:val="24"/>
        </w:rPr>
        <w:t>-based ride-hailing studies have been of an exploratory nature</w:t>
      </w:r>
      <w:r w:rsidR="00DB57FA">
        <w:rPr>
          <w:rFonts w:cs="Times New Roman"/>
          <w:szCs w:val="24"/>
        </w:rPr>
        <w:t>, relying</w:t>
      </w:r>
      <w:r w:rsidR="00EB4575">
        <w:rPr>
          <w:rFonts w:cs="Times New Roman"/>
          <w:szCs w:val="24"/>
        </w:rPr>
        <w:t xml:space="preserve"> on </w:t>
      </w:r>
      <w:r w:rsidR="0072654D">
        <w:rPr>
          <w:rFonts w:cs="Times New Roman"/>
          <w:szCs w:val="24"/>
        </w:rPr>
        <w:t xml:space="preserve">descriptive </w:t>
      </w:r>
      <w:r w:rsidR="00EB4575">
        <w:rPr>
          <w:rFonts w:cs="Times New Roman"/>
          <w:szCs w:val="24"/>
        </w:rPr>
        <w:t>statistics</w:t>
      </w:r>
      <w:r w:rsidR="00B73EF1">
        <w:rPr>
          <w:rFonts w:cs="Times New Roman"/>
          <w:szCs w:val="24"/>
        </w:rPr>
        <w:t>, though a handful of studies have developed individual-level ordered-response models to examine ride-hailing frequency (see Dias et al., 2017 and Alemi et al., 2018a)</w:t>
      </w:r>
      <w:r w:rsidR="00245933">
        <w:rPr>
          <w:rFonts w:cs="Times New Roman"/>
          <w:szCs w:val="24"/>
        </w:rPr>
        <w:t>,</w:t>
      </w:r>
      <w:r w:rsidR="00B73EF1">
        <w:rPr>
          <w:rFonts w:cs="Times New Roman"/>
          <w:szCs w:val="24"/>
        </w:rPr>
        <w:t xml:space="preserve"> and Lavieri et al. (2017) incorporated the binary choice representing ride-hailing experience as one of multiple travel behavior dimensions within a stochastic latent constructs approach. The earlier </w:t>
      </w:r>
      <w:r w:rsidR="00B73EF1" w:rsidRPr="00827D8E">
        <w:rPr>
          <w:rFonts w:cs="Times New Roman"/>
          <w:szCs w:val="24"/>
          <w:u w:val="single"/>
        </w:rPr>
        <w:t>non-survey</w:t>
      </w:r>
      <w:r w:rsidR="00B73EF1">
        <w:rPr>
          <w:rFonts w:cs="Times New Roman"/>
          <w:szCs w:val="24"/>
        </w:rPr>
        <w:t xml:space="preserve"> ride</w:t>
      </w:r>
      <w:r w:rsidR="00EB6CA2">
        <w:rPr>
          <w:rFonts w:cs="Times New Roman"/>
          <w:szCs w:val="24"/>
        </w:rPr>
        <w:t>-</w:t>
      </w:r>
      <w:r w:rsidR="00B73EF1">
        <w:rPr>
          <w:rFonts w:cs="Times New Roman"/>
          <w:szCs w:val="24"/>
        </w:rPr>
        <w:t xml:space="preserve">hailing studies that </w:t>
      </w:r>
      <w:r w:rsidR="00B4308B">
        <w:rPr>
          <w:rFonts w:cs="Times New Roman"/>
          <w:szCs w:val="24"/>
        </w:rPr>
        <w:t xml:space="preserve">do not have data at the individual </w:t>
      </w:r>
      <w:r w:rsidR="00B73EF1">
        <w:rPr>
          <w:rFonts w:cs="Times New Roman"/>
          <w:szCs w:val="24"/>
        </w:rPr>
        <w:t xml:space="preserve">user </w:t>
      </w:r>
      <w:r w:rsidR="00B4308B">
        <w:rPr>
          <w:rFonts w:cs="Times New Roman"/>
          <w:szCs w:val="24"/>
        </w:rPr>
        <w:t>level</w:t>
      </w:r>
      <w:r w:rsidR="00B73EF1">
        <w:rPr>
          <w:rFonts w:cs="Times New Roman"/>
          <w:szCs w:val="24"/>
        </w:rPr>
        <w:t xml:space="preserve"> have typically aggregated trip-level information to spatial units,</w:t>
      </w:r>
      <w:r w:rsidR="0031226E">
        <w:rPr>
          <w:rFonts w:cs="Times New Roman"/>
          <w:szCs w:val="24"/>
        </w:rPr>
        <w:t xml:space="preserve"> </w:t>
      </w:r>
      <w:r w:rsidR="00B73EF1">
        <w:rPr>
          <w:rFonts w:cs="Times New Roman"/>
          <w:szCs w:val="24"/>
        </w:rPr>
        <w:t>and appended demographic information on the spatial units from Census data</w:t>
      </w:r>
      <w:r w:rsidR="00EB6CA2">
        <w:rPr>
          <w:rFonts w:cs="Times New Roman"/>
          <w:szCs w:val="24"/>
        </w:rPr>
        <w:t>,</w:t>
      </w:r>
      <w:r w:rsidR="00B73EF1">
        <w:rPr>
          <w:rFonts w:cs="Times New Roman"/>
          <w:szCs w:val="24"/>
        </w:rPr>
        <w:t xml:space="preserve"> to </w:t>
      </w:r>
      <w:r w:rsidR="00EB6CA2">
        <w:rPr>
          <w:rFonts w:cs="Times New Roman"/>
          <w:szCs w:val="24"/>
        </w:rPr>
        <w:t xml:space="preserve">relate aggregate demand to spatial-level demographics. Examples of such studies include </w:t>
      </w:r>
      <w:r w:rsidR="009B7346">
        <w:rPr>
          <w:rFonts w:cs="Times New Roman"/>
          <w:szCs w:val="24"/>
        </w:rPr>
        <w:t>Gerte et al. (2018) and Lavieri et al. (2018</w:t>
      </w:r>
      <w:r w:rsidR="00B96D36">
        <w:rPr>
          <w:rFonts w:cs="Times New Roman"/>
          <w:szCs w:val="24"/>
        </w:rPr>
        <w:t>a</w:t>
      </w:r>
      <w:r w:rsidR="009B7346">
        <w:rPr>
          <w:rFonts w:cs="Times New Roman"/>
          <w:szCs w:val="24"/>
        </w:rPr>
        <w:t>)</w:t>
      </w:r>
      <w:r w:rsidR="00EB6CA2">
        <w:rPr>
          <w:rFonts w:cs="Times New Roman"/>
          <w:szCs w:val="24"/>
        </w:rPr>
        <w:t xml:space="preserve">, with the former using a random effects linear panel model to evaluate the variation in generation of ride-hailing trips per taxi zone within a 49-week period and the latter </w:t>
      </w:r>
      <w:r w:rsidR="00F97D6B">
        <w:rPr>
          <w:rFonts w:cs="Times New Roman"/>
          <w:szCs w:val="24"/>
        </w:rPr>
        <w:t>us</w:t>
      </w:r>
      <w:r w:rsidR="00EB6CA2">
        <w:rPr>
          <w:rFonts w:cs="Times New Roman"/>
          <w:szCs w:val="24"/>
        </w:rPr>
        <w:t>ing</w:t>
      </w:r>
      <w:r w:rsidR="00F97D6B">
        <w:rPr>
          <w:rFonts w:cs="Times New Roman"/>
          <w:szCs w:val="24"/>
        </w:rPr>
        <w:t xml:space="preserve"> a spatially lagged bivariate count model to examine the average number of </w:t>
      </w:r>
      <w:r w:rsidR="00EB6CA2">
        <w:rPr>
          <w:rFonts w:cs="Times New Roman"/>
          <w:szCs w:val="24"/>
        </w:rPr>
        <w:t>ride</w:t>
      </w:r>
      <w:r w:rsidR="00152638">
        <w:rPr>
          <w:rFonts w:cs="Times New Roman"/>
          <w:szCs w:val="24"/>
        </w:rPr>
        <w:t>-</w:t>
      </w:r>
      <w:r w:rsidR="00EB6CA2">
        <w:rPr>
          <w:rFonts w:cs="Times New Roman"/>
          <w:szCs w:val="24"/>
        </w:rPr>
        <w:t xml:space="preserve">hailing </w:t>
      </w:r>
      <w:r w:rsidR="00F97D6B">
        <w:rPr>
          <w:rFonts w:cs="Times New Roman"/>
          <w:szCs w:val="24"/>
        </w:rPr>
        <w:t>trips generated per</w:t>
      </w:r>
      <w:r w:rsidR="00347868">
        <w:rPr>
          <w:rFonts w:cs="Times New Roman"/>
          <w:szCs w:val="24"/>
        </w:rPr>
        <w:t xml:space="preserve"> </w:t>
      </w:r>
      <w:r w:rsidR="000860CF">
        <w:rPr>
          <w:rFonts w:cs="Times New Roman"/>
          <w:szCs w:val="24"/>
        </w:rPr>
        <w:t xml:space="preserve">traffic analysis </w:t>
      </w:r>
      <w:r w:rsidR="00347868">
        <w:rPr>
          <w:rFonts w:cs="Times New Roman"/>
          <w:szCs w:val="24"/>
        </w:rPr>
        <w:t xml:space="preserve">zone on week and weekend days. </w:t>
      </w:r>
      <w:r w:rsidR="00EB6CA2">
        <w:rPr>
          <w:rFonts w:cs="Times New Roman"/>
          <w:szCs w:val="24"/>
        </w:rPr>
        <w:t>In related non-survey studies,</w:t>
      </w:r>
      <w:r w:rsidR="00A00167">
        <w:rPr>
          <w:rFonts w:cs="Times New Roman"/>
          <w:szCs w:val="24"/>
        </w:rPr>
        <w:t xml:space="preserve"> Li et al. (2017) and Ward et al. (2018) utilized </w:t>
      </w:r>
      <w:r w:rsidR="00EB6CA2">
        <w:rPr>
          <w:rFonts w:cs="Times New Roman"/>
          <w:szCs w:val="24"/>
        </w:rPr>
        <w:t>a “</w:t>
      </w:r>
      <w:r w:rsidR="00A00167">
        <w:rPr>
          <w:rFonts w:cs="Times New Roman"/>
          <w:szCs w:val="24"/>
        </w:rPr>
        <w:t>difference in differences</w:t>
      </w:r>
      <w:r w:rsidR="00EB6CA2">
        <w:rPr>
          <w:rFonts w:cs="Times New Roman"/>
          <w:szCs w:val="24"/>
        </w:rPr>
        <w:t>”</w:t>
      </w:r>
      <w:r w:rsidR="00A00167">
        <w:rPr>
          <w:rFonts w:cs="Times New Roman"/>
          <w:szCs w:val="24"/>
        </w:rPr>
        <w:t xml:space="preserve"> regression to model aggregate time series data</w:t>
      </w:r>
      <w:r w:rsidR="00F97D6B">
        <w:rPr>
          <w:rFonts w:cs="Times New Roman"/>
          <w:szCs w:val="24"/>
        </w:rPr>
        <w:t xml:space="preserve"> of transportation related variables</w:t>
      </w:r>
      <w:r w:rsidR="00192943">
        <w:rPr>
          <w:rFonts w:cs="Times New Roman"/>
          <w:szCs w:val="24"/>
        </w:rPr>
        <w:t xml:space="preserve">, including </w:t>
      </w:r>
      <w:r w:rsidR="00AF4B3F">
        <w:rPr>
          <w:rFonts w:cs="Times New Roman"/>
          <w:szCs w:val="24"/>
        </w:rPr>
        <w:t>vehicle ownership, miles traveled and congestion levels before and after ride-hailing services penetrated the market</w:t>
      </w:r>
      <w:r w:rsidR="00A00167">
        <w:rPr>
          <w:rFonts w:cs="Times New Roman"/>
          <w:szCs w:val="24"/>
        </w:rPr>
        <w:t xml:space="preserve">. </w:t>
      </w:r>
    </w:p>
    <w:p w14:paraId="004133EA" w14:textId="40B126DD" w:rsidR="00E728FE" w:rsidRDefault="00EB6CA2" w:rsidP="00512694">
      <w:pPr>
        <w:ind w:firstLine="720"/>
        <w:rPr>
          <w:rFonts w:cs="Times New Roman"/>
          <w:szCs w:val="24"/>
        </w:rPr>
      </w:pPr>
      <w:r>
        <w:rPr>
          <w:rFonts w:cs="Times New Roman"/>
          <w:szCs w:val="24"/>
        </w:rPr>
        <w:t xml:space="preserve">The </w:t>
      </w:r>
      <w:r w:rsidR="00192943">
        <w:rPr>
          <w:rFonts w:cs="Times New Roman"/>
          <w:szCs w:val="24"/>
        </w:rPr>
        <w:t xml:space="preserve">many </w:t>
      </w:r>
      <w:r>
        <w:rPr>
          <w:rFonts w:cs="Times New Roman"/>
          <w:szCs w:val="24"/>
        </w:rPr>
        <w:t xml:space="preserve">earlier studies </w:t>
      </w:r>
      <w:r w:rsidR="00192943">
        <w:rPr>
          <w:rFonts w:cs="Times New Roman"/>
          <w:szCs w:val="24"/>
        </w:rPr>
        <w:t xml:space="preserve">listed above </w:t>
      </w:r>
      <w:r>
        <w:rPr>
          <w:rFonts w:cs="Times New Roman"/>
          <w:szCs w:val="24"/>
        </w:rPr>
        <w:t xml:space="preserve">have provided important insights regarding </w:t>
      </w:r>
      <w:r w:rsidR="00A91880">
        <w:rPr>
          <w:rFonts w:cs="Times New Roman"/>
          <w:szCs w:val="24"/>
        </w:rPr>
        <w:t>individual-level and trip-level ride-hailing behavior</w:t>
      </w:r>
      <w:r>
        <w:rPr>
          <w:rFonts w:cs="Times New Roman"/>
          <w:szCs w:val="24"/>
        </w:rPr>
        <w:t xml:space="preserve">. </w:t>
      </w:r>
      <w:r w:rsidR="00A91880">
        <w:rPr>
          <w:rFonts w:cs="Times New Roman"/>
          <w:szCs w:val="24"/>
        </w:rPr>
        <w:t xml:space="preserve">In terms of </w:t>
      </w:r>
      <w:r w:rsidR="00A91880" w:rsidRPr="00DB57FA">
        <w:rPr>
          <w:rFonts w:cs="Times New Roman"/>
          <w:szCs w:val="24"/>
          <w:u w:val="single"/>
        </w:rPr>
        <w:t>individual-level behavior</w:t>
      </w:r>
      <w:r w:rsidR="00A91880">
        <w:rPr>
          <w:rFonts w:cs="Times New Roman"/>
          <w:szCs w:val="24"/>
        </w:rPr>
        <w:t xml:space="preserve">, and notwithstanding </w:t>
      </w:r>
      <w:r>
        <w:rPr>
          <w:rFonts w:cs="Times New Roman"/>
          <w:szCs w:val="24"/>
        </w:rPr>
        <w:t>the differences in the type</w:t>
      </w:r>
      <w:r w:rsidR="00192943">
        <w:rPr>
          <w:rFonts w:cs="Times New Roman"/>
          <w:szCs w:val="24"/>
        </w:rPr>
        <w:t>s</w:t>
      </w:r>
      <w:r>
        <w:rPr>
          <w:rFonts w:cs="Times New Roman"/>
          <w:szCs w:val="24"/>
        </w:rPr>
        <w:t xml:space="preserve"> of data and analysis techniques used</w:t>
      </w:r>
      <w:r w:rsidR="00A91880">
        <w:rPr>
          <w:rFonts w:cs="Times New Roman"/>
          <w:szCs w:val="24"/>
        </w:rPr>
        <w:t xml:space="preserve"> in</w:t>
      </w:r>
      <w:r w:rsidR="00170DC0">
        <w:rPr>
          <w:rFonts w:cs="Times New Roman"/>
          <w:szCs w:val="24"/>
        </w:rPr>
        <w:t xml:space="preserve"> e</w:t>
      </w:r>
      <w:r w:rsidR="00A91880">
        <w:rPr>
          <w:rFonts w:cs="Times New Roman"/>
          <w:szCs w:val="24"/>
        </w:rPr>
        <w:t>arlier studies</w:t>
      </w:r>
      <w:r>
        <w:rPr>
          <w:rFonts w:cs="Times New Roman"/>
          <w:szCs w:val="24"/>
        </w:rPr>
        <w:t xml:space="preserve">, some common themes </w:t>
      </w:r>
      <w:r w:rsidR="00192943">
        <w:rPr>
          <w:rFonts w:cs="Times New Roman"/>
          <w:szCs w:val="24"/>
        </w:rPr>
        <w:t xml:space="preserve">have </w:t>
      </w:r>
      <w:r w:rsidR="00A91880">
        <w:rPr>
          <w:rFonts w:cs="Times New Roman"/>
          <w:szCs w:val="24"/>
        </w:rPr>
        <w:t>emerge</w:t>
      </w:r>
      <w:r w:rsidR="00192943">
        <w:rPr>
          <w:rFonts w:cs="Times New Roman"/>
          <w:szCs w:val="24"/>
        </w:rPr>
        <w:t>d</w:t>
      </w:r>
      <w:r w:rsidR="00D951E4">
        <w:rPr>
          <w:rFonts w:cs="Times New Roman"/>
          <w:szCs w:val="24"/>
        </w:rPr>
        <w:t xml:space="preserve">. For example, </w:t>
      </w:r>
      <w:r w:rsidR="00170F9D">
        <w:rPr>
          <w:rFonts w:cs="Times New Roman"/>
          <w:szCs w:val="24"/>
        </w:rPr>
        <w:t xml:space="preserve">the </w:t>
      </w:r>
      <w:r w:rsidR="001D1E55">
        <w:rPr>
          <w:rFonts w:cs="Times New Roman"/>
          <w:szCs w:val="24"/>
        </w:rPr>
        <w:t>a</w:t>
      </w:r>
      <w:r w:rsidR="00763E30">
        <w:rPr>
          <w:rFonts w:cs="Times New Roman"/>
          <w:szCs w:val="24"/>
        </w:rPr>
        <w:t>doption of ride-hailing seems to be more prev</w:t>
      </w:r>
      <w:r w:rsidR="001F3CE0">
        <w:rPr>
          <w:rFonts w:cs="Times New Roman"/>
          <w:szCs w:val="24"/>
        </w:rPr>
        <w:t>alent among young adults (18-</w:t>
      </w:r>
      <w:r w:rsidR="00763E30">
        <w:rPr>
          <w:rFonts w:cs="Times New Roman"/>
          <w:szCs w:val="24"/>
        </w:rPr>
        <w:t xml:space="preserve">30 years old) </w:t>
      </w:r>
      <w:r w:rsidR="00D951E4">
        <w:rPr>
          <w:rFonts w:cs="Times New Roman"/>
          <w:szCs w:val="24"/>
        </w:rPr>
        <w:t>who</w:t>
      </w:r>
      <w:r w:rsidR="00763E30">
        <w:rPr>
          <w:rFonts w:cs="Times New Roman"/>
          <w:szCs w:val="24"/>
        </w:rPr>
        <w:t xml:space="preserve"> live in urban areas</w:t>
      </w:r>
      <w:r w:rsidR="009F1D01">
        <w:rPr>
          <w:rFonts w:cs="Times New Roman"/>
          <w:szCs w:val="24"/>
        </w:rPr>
        <w:t>,</w:t>
      </w:r>
      <w:r w:rsidR="00763E30">
        <w:rPr>
          <w:rFonts w:cs="Times New Roman"/>
          <w:szCs w:val="24"/>
        </w:rPr>
        <w:t xml:space="preserve"> have </w:t>
      </w:r>
      <w:r w:rsidR="00D951E4">
        <w:rPr>
          <w:rFonts w:cs="Times New Roman"/>
          <w:szCs w:val="24"/>
        </w:rPr>
        <w:t xml:space="preserve">a </w:t>
      </w:r>
      <w:r w:rsidR="00763E30">
        <w:rPr>
          <w:rFonts w:cs="Times New Roman"/>
          <w:szCs w:val="24"/>
        </w:rPr>
        <w:t>college education</w:t>
      </w:r>
      <w:r w:rsidR="009F1D01">
        <w:rPr>
          <w:rFonts w:cs="Times New Roman"/>
          <w:szCs w:val="24"/>
        </w:rPr>
        <w:t>,</w:t>
      </w:r>
      <w:r w:rsidR="00763E30">
        <w:rPr>
          <w:rFonts w:cs="Times New Roman"/>
          <w:szCs w:val="24"/>
        </w:rPr>
        <w:t xml:space="preserve"> and </w:t>
      </w:r>
      <w:r w:rsidR="00E42E63">
        <w:rPr>
          <w:rFonts w:cs="Times New Roman"/>
          <w:szCs w:val="24"/>
        </w:rPr>
        <w:t xml:space="preserve">are in </w:t>
      </w:r>
      <w:r w:rsidR="00763E30">
        <w:rPr>
          <w:rFonts w:cs="Times New Roman"/>
          <w:szCs w:val="24"/>
        </w:rPr>
        <w:t>m</w:t>
      </w:r>
      <w:r w:rsidR="00E42E63">
        <w:rPr>
          <w:rFonts w:cs="Times New Roman"/>
          <w:szCs w:val="24"/>
        </w:rPr>
        <w:t>edium</w:t>
      </w:r>
      <w:r w:rsidR="00763E30">
        <w:rPr>
          <w:rFonts w:cs="Times New Roman"/>
          <w:szCs w:val="24"/>
        </w:rPr>
        <w:t>-</w:t>
      </w:r>
      <w:r w:rsidR="007E3F36">
        <w:rPr>
          <w:rFonts w:cs="Times New Roman"/>
          <w:szCs w:val="24"/>
        </w:rPr>
        <w:t>to-</w:t>
      </w:r>
      <w:r w:rsidR="00763E30">
        <w:rPr>
          <w:rFonts w:cs="Times New Roman"/>
          <w:szCs w:val="24"/>
        </w:rPr>
        <w:t>high income segment</w:t>
      </w:r>
      <w:r w:rsidR="009F1D01">
        <w:rPr>
          <w:rFonts w:cs="Times New Roman"/>
          <w:szCs w:val="24"/>
        </w:rPr>
        <w:t>s</w:t>
      </w:r>
      <w:r w:rsidR="00763E30">
        <w:rPr>
          <w:rFonts w:cs="Times New Roman"/>
          <w:szCs w:val="24"/>
        </w:rPr>
        <w:t xml:space="preserve"> (Smith, 2016; Clewlow and Mishra, 2017; Dias et al., 2017; Kooti et al.</w:t>
      </w:r>
      <w:r w:rsidR="0049239E">
        <w:rPr>
          <w:rFonts w:cs="Times New Roman"/>
          <w:szCs w:val="24"/>
        </w:rPr>
        <w:t>,</w:t>
      </w:r>
      <w:r w:rsidR="00763E30">
        <w:rPr>
          <w:rFonts w:cs="Times New Roman"/>
          <w:szCs w:val="24"/>
        </w:rPr>
        <w:t xml:space="preserve"> 2017). </w:t>
      </w:r>
      <w:r w:rsidR="005F4246" w:rsidRPr="002B30DE">
        <w:rPr>
          <w:rFonts w:cs="Times New Roman"/>
          <w:szCs w:val="24"/>
        </w:rPr>
        <w:t>Kooti et al. (201</w:t>
      </w:r>
      <w:r w:rsidR="00BC3219">
        <w:rPr>
          <w:rFonts w:cs="Times New Roman"/>
          <w:szCs w:val="24"/>
        </w:rPr>
        <w:t>7</w:t>
      </w:r>
      <w:r w:rsidR="005F4246" w:rsidRPr="002B30DE">
        <w:rPr>
          <w:rFonts w:cs="Times New Roman"/>
          <w:szCs w:val="24"/>
        </w:rPr>
        <w:t xml:space="preserve">) </w:t>
      </w:r>
      <w:r w:rsidR="00D951E4">
        <w:rPr>
          <w:rFonts w:cs="Times New Roman"/>
          <w:szCs w:val="24"/>
        </w:rPr>
        <w:t xml:space="preserve">further </w:t>
      </w:r>
      <w:r w:rsidR="005F4246" w:rsidRPr="002B30DE">
        <w:rPr>
          <w:rFonts w:cs="Times New Roman"/>
          <w:szCs w:val="24"/>
        </w:rPr>
        <w:t>observed that</w:t>
      </w:r>
      <w:r w:rsidR="009F1D01">
        <w:rPr>
          <w:rFonts w:cs="Times New Roman"/>
          <w:szCs w:val="24"/>
        </w:rPr>
        <w:t>,</w:t>
      </w:r>
      <w:r w:rsidR="005F4246" w:rsidRPr="002B30DE">
        <w:rPr>
          <w:rFonts w:cs="Times New Roman"/>
          <w:szCs w:val="24"/>
        </w:rPr>
        <w:t xml:space="preserve"> </w:t>
      </w:r>
      <w:r w:rsidR="005F4246">
        <w:rPr>
          <w:rFonts w:cs="Times New Roman"/>
          <w:szCs w:val="24"/>
        </w:rPr>
        <w:t xml:space="preserve">although </w:t>
      </w:r>
      <w:r w:rsidR="005F4246" w:rsidRPr="002B30DE">
        <w:rPr>
          <w:rFonts w:cs="Times New Roman"/>
          <w:szCs w:val="24"/>
        </w:rPr>
        <w:t xml:space="preserve">older </w:t>
      </w:r>
      <w:r w:rsidR="007E3F36">
        <w:rPr>
          <w:rFonts w:cs="Times New Roman"/>
          <w:szCs w:val="24"/>
        </w:rPr>
        <w:t>individuals</w:t>
      </w:r>
      <w:r w:rsidR="005F4246" w:rsidRPr="002B30DE">
        <w:rPr>
          <w:rFonts w:cs="Times New Roman"/>
          <w:szCs w:val="24"/>
        </w:rPr>
        <w:t xml:space="preserve"> </w:t>
      </w:r>
      <w:r w:rsidR="005F4246">
        <w:rPr>
          <w:rFonts w:cs="Times New Roman"/>
          <w:szCs w:val="24"/>
        </w:rPr>
        <w:t>use ride-hailing services less frequently</w:t>
      </w:r>
      <w:r w:rsidR="009F1D01">
        <w:rPr>
          <w:rFonts w:cs="Times New Roman"/>
          <w:szCs w:val="24"/>
        </w:rPr>
        <w:t xml:space="preserve"> than </w:t>
      </w:r>
      <w:r w:rsidR="007E3F36">
        <w:rPr>
          <w:rFonts w:cs="Times New Roman"/>
          <w:szCs w:val="24"/>
        </w:rPr>
        <w:t xml:space="preserve">their </w:t>
      </w:r>
      <w:r w:rsidR="009F1D01">
        <w:rPr>
          <w:rFonts w:cs="Times New Roman"/>
          <w:szCs w:val="24"/>
        </w:rPr>
        <w:t xml:space="preserve">younger </w:t>
      </w:r>
      <w:r w:rsidR="007E3F36">
        <w:rPr>
          <w:rFonts w:cs="Times New Roman"/>
          <w:szCs w:val="24"/>
        </w:rPr>
        <w:t>counterparts</w:t>
      </w:r>
      <w:r w:rsidR="005F4246">
        <w:rPr>
          <w:rFonts w:cs="Times New Roman"/>
          <w:szCs w:val="24"/>
        </w:rPr>
        <w:t xml:space="preserve">, </w:t>
      </w:r>
      <w:r w:rsidR="007E3F36">
        <w:rPr>
          <w:rFonts w:cs="Times New Roman"/>
          <w:szCs w:val="24"/>
        </w:rPr>
        <w:t>older</w:t>
      </w:r>
      <w:r w:rsidR="005F4246">
        <w:rPr>
          <w:rFonts w:cs="Times New Roman"/>
          <w:szCs w:val="24"/>
        </w:rPr>
        <w:t xml:space="preserve"> </w:t>
      </w:r>
      <w:r w:rsidR="007E3F36">
        <w:rPr>
          <w:rFonts w:cs="Times New Roman"/>
          <w:szCs w:val="24"/>
        </w:rPr>
        <w:t xml:space="preserve">individuals </w:t>
      </w:r>
      <w:r w:rsidR="005F4246" w:rsidRPr="002B30DE">
        <w:rPr>
          <w:rFonts w:cs="Times New Roman"/>
          <w:szCs w:val="24"/>
        </w:rPr>
        <w:t xml:space="preserve">tend to </w:t>
      </w:r>
      <w:r w:rsidR="005F4246">
        <w:rPr>
          <w:rFonts w:cs="Times New Roman"/>
          <w:szCs w:val="24"/>
        </w:rPr>
        <w:t>make</w:t>
      </w:r>
      <w:r w:rsidR="005F4246" w:rsidRPr="002B30DE">
        <w:rPr>
          <w:rFonts w:cs="Times New Roman"/>
          <w:szCs w:val="24"/>
        </w:rPr>
        <w:t xml:space="preserve"> longer </w:t>
      </w:r>
      <w:r w:rsidR="007E3F36">
        <w:rPr>
          <w:rFonts w:cs="Times New Roman"/>
          <w:szCs w:val="24"/>
        </w:rPr>
        <w:t xml:space="preserve">ride-hailing </w:t>
      </w:r>
      <w:r w:rsidR="005F4246" w:rsidRPr="002B30DE">
        <w:rPr>
          <w:rFonts w:cs="Times New Roman"/>
          <w:szCs w:val="24"/>
        </w:rPr>
        <w:t>trips and choos</w:t>
      </w:r>
      <w:r w:rsidR="005F4246">
        <w:rPr>
          <w:rFonts w:cs="Times New Roman"/>
          <w:szCs w:val="24"/>
        </w:rPr>
        <w:t xml:space="preserve">e </w:t>
      </w:r>
      <w:r w:rsidR="00DB57FA">
        <w:rPr>
          <w:rFonts w:cs="Times New Roman"/>
          <w:szCs w:val="24"/>
        </w:rPr>
        <w:t>services that are more expensive</w:t>
      </w:r>
      <w:r w:rsidR="005F4246">
        <w:rPr>
          <w:rFonts w:cs="Times New Roman"/>
          <w:szCs w:val="24"/>
        </w:rPr>
        <w:t xml:space="preserve">. </w:t>
      </w:r>
      <w:r w:rsidR="00494DE6">
        <w:rPr>
          <w:rFonts w:cs="Times New Roman"/>
          <w:szCs w:val="24"/>
        </w:rPr>
        <w:t>Additionally, some studies hav</w:t>
      </w:r>
      <w:r w:rsidR="00A85F77">
        <w:rPr>
          <w:rFonts w:cs="Times New Roman"/>
          <w:szCs w:val="24"/>
        </w:rPr>
        <w:t>e noted</w:t>
      </w:r>
      <w:r w:rsidR="00494DE6">
        <w:rPr>
          <w:rFonts w:cs="Times New Roman"/>
          <w:szCs w:val="24"/>
        </w:rPr>
        <w:t xml:space="preserve"> that t</w:t>
      </w:r>
      <w:r w:rsidR="00494DE6" w:rsidRPr="003A3DAE">
        <w:rPr>
          <w:rFonts w:cs="Times New Roman"/>
          <w:szCs w:val="24"/>
        </w:rPr>
        <w:t xml:space="preserve">he majority of </w:t>
      </w:r>
      <w:r w:rsidR="00494DE6">
        <w:rPr>
          <w:rFonts w:cs="Times New Roman"/>
          <w:szCs w:val="24"/>
        </w:rPr>
        <w:t>ride-hailing</w:t>
      </w:r>
      <w:r w:rsidR="00494DE6" w:rsidRPr="003A3DAE">
        <w:rPr>
          <w:rFonts w:cs="Times New Roman"/>
          <w:szCs w:val="24"/>
        </w:rPr>
        <w:t xml:space="preserve"> users own personal vehicles (</w:t>
      </w:r>
      <w:r w:rsidR="00494DE6">
        <w:rPr>
          <w:rFonts w:cs="Times New Roman"/>
          <w:szCs w:val="24"/>
        </w:rPr>
        <w:t xml:space="preserve">Smith, 2016; Dias et al., 2017), but vehicle ownership is lower among frequent users (Smith, 2016, Alemi et al., 2018a). </w:t>
      </w:r>
    </w:p>
    <w:p w14:paraId="282B02CA" w14:textId="77777777" w:rsidR="0068749A" w:rsidRDefault="00567516" w:rsidP="00CE7196">
      <w:pPr>
        <w:ind w:firstLine="720"/>
        <w:rPr>
          <w:rFonts w:cs="Times New Roman"/>
          <w:szCs w:val="24"/>
        </w:rPr>
      </w:pPr>
      <w:r>
        <w:rPr>
          <w:rFonts w:cs="Times New Roman"/>
          <w:szCs w:val="24"/>
        </w:rPr>
        <w:t>With regard to</w:t>
      </w:r>
      <w:r w:rsidR="00A91880">
        <w:rPr>
          <w:rFonts w:cs="Times New Roman"/>
          <w:szCs w:val="24"/>
        </w:rPr>
        <w:t xml:space="preserve"> </w:t>
      </w:r>
      <w:r w:rsidRPr="00DB57FA">
        <w:rPr>
          <w:rFonts w:cs="Times New Roman"/>
          <w:szCs w:val="24"/>
          <w:u w:val="single"/>
        </w:rPr>
        <w:t>trip</w:t>
      </w:r>
      <w:r w:rsidR="00A91880" w:rsidRPr="00DB57FA">
        <w:rPr>
          <w:rFonts w:cs="Times New Roman"/>
          <w:szCs w:val="24"/>
          <w:u w:val="single"/>
        </w:rPr>
        <w:t>-level</w:t>
      </w:r>
      <w:r w:rsidRPr="00DB57FA">
        <w:rPr>
          <w:rFonts w:cs="Times New Roman"/>
          <w:szCs w:val="24"/>
          <w:u w:val="single"/>
        </w:rPr>
        <w:t xml:space="preserve"> </w:t>
      </w:r>
      <w:r w:rsidR="00A91880" w:rsidRPr="00DB57FA">
        <w:rPr>
          <w:rFonts w:cs="Times New Roman"/>
          <w:szCs w:val="24"/>
          <w:u w:val="single"/>
        </w:rPr>
        <w:t>ride</w:t>
      </w:r>
      <w:r w:rsidR="00170DC0" w:rsidRPr="00DB57FA">
        <w:rPr>
          <w:rFonts w:cs="Times New Roman"/>
          <w:szCs w:val="24"/>
          <w:u w:val="single"/>
        </w:rPr>
        <w:t>-</w:t>
      </w:r>
      <w:r w:rsidR="00A91880" w:rsidRPr="00DB57FA">
        <w:rPr>
          <w:rFonts w:cs="Times New Roman"/>
          <w:szCs w:val="24"/>
          <w:u w:val="single"/>
        </w:rPr>
        <w:t>hailing behavior</w:t>
      </w:r>
      <w:r>
        <w:rPr>
          <w:rFonts w:cs="Times New Roman"/>
          <w:szCs w:val="24"/>
        </w:rPr>
        <w:t xml:space="preserve">, the few studies that </w:t>
      </w:r>
      <w:r w:rsidR="00675CDB">
        <w:rPr>
          <w:rFonts w:cs="Times New Roman"/>
          <w:szCs w:val="24"/>
        </w:rPr>
        <w:t xml:space="preserve">have </w:t>
      </w:r>
      <w:r>
        <w:rPr>
          <w:rFonts w:cs="Times New Roman"/>
          <w:szCs w:val="24"/>
        </w:rPr>
        <w:t xml:space="preserve">collected information on trip purpose </w:t>
      </w:r>
      <w:r w:rsidR="00170DC0">
        <w:rPr>
          <w:rFonts w:cs="Times New Roman"/>
          <w:szCs w:val="24"/>
        </w:rPr>
        <w:t xml:space="preserve">have </w:t>
      </w:r>
      <w:r>
        <w:rPr>
          <w:rFonts w:cs="Times New Roman"/>
          <w:szCs w:val="24"/>
        </w:rPr>
        <w:t xml:space="preserve">identified that social and recreational trips are the most </w:t>
      </w:r>
      <w:r w:rsidR="009F1D01">
        <w:rPr>
          <w:rFonts w:cs="Times New Roman"/>
          <w:szCs w:val="24"/>
        </w:rPr>
        <w:t xml:space="preserve">common purposes </w:t>
      </w:r>
      <w:r w:rsidR="00170DC0">
        <w:rPr>
          <w:rFonts w:cs="Times New Roman"/>
          <w:szCs w:val="24"/>
        </w:rPr>
        <w:t xml:space="preserve">for ride-hailing </w:t>
      </w:r>
      <w:r>
        <w:rPr>
          <w:rFonts w:cs="Times New Roman"/>
          <w:szCs w:val="24"/>
        </w:rPr>
        <w:t xml:space="preserve">(Rayle et al., 2016; Hampshire et al., 2018). </w:t>
      </w:r>
      <w:r w:rsidR="00170DC0">
        <w:rPr>
          <w:rFonts w:cs="Times New Roman"/>
          <w:szCs w:val="24"/>
        </w:rPr>
        <w:t xml:space="preserve">In terms of travel modes from which ride-hailing draws </w:t>
      </w:r>
      <w:r w:rsidR="007E3F36">
        <w:rPr>
          <w:rFonts w:cs="Times New Roman"/>
          <w:szCs w:val="24"/>
        </w:rPr>
        <w:t>patronage</w:t>
      </w:r>
      <w:r w:rsidR="00170DC0">
        <w:rPr>
          <w:rFonts w:cs="Times New Roman"/>
          <w:szCs w:val="24"/>
        </w:rPr>
        <w:t xml:space="preserve">, </w:t>
      </w:r>
      <w:r w:rsidR="007E3F36">
        <w:rPr>
          <w:rFonts w:cs="Times New Roman"/>
          <w:szCs w:val="24"/>
        </w:rPr>
        <w:t xml:space="preserve">earlier studies have indicated that </w:t>
      </w:r>
      <w:r w:rsidR="009F1D01">
        <w:rPr>
          <w:rFonts w:cs="Times New Roman"/>
          <w:szCs w:val="24"/>
        </w:rPr>
        <w:t>r</w:t>
      </w:r>
      <w:r w:rsidR="00EF4D38">
        <w:rPr>
          <w:rFonts w:cs="Times New Roman"/>
          <w:szCs w:val="24"/>
        </w:rPr>
        <w:t xml:space="preserve">ide-hailing </w:t>
      </w:r>
      <w:r w:rsidR="00EF4D38">
        <w:rPr>
          <w:rFonts w:cs="Times New Roman"/>
          <w:szCs w:val="24"/>
        </w:rPr>
        <w:lastRenderedPageBreak/>
        <w:t>often substitut</w:t>
      </w:r>
      <w:r w:rsidR="00170DC0">
        <w:rPr>
          <w:rFonts w:cs="Times New Roman"/>
          <w:szCs w:val="24"/>
        </w:rPr>
        <w:t>es</w:t>
      </w:r>
      <w:r w:rsidR="00EF4D38">
        <w:rPr>
          <w:rFonts w:cs="Times New Roman"/>
          <w:szCs w:val="24"/>
        </w:rPr>
        <w:t xml:space="preserve"> for taxi trips</w:t>
      </w:r>
      <w:r w:rsidR="00170DC0">
        <w:rPr>
          <w:rFonts w:cs="Times New Roman"/>
          <w:szCs w:val="24"/>
        </w:rPr>
        <w:t xml:space="preserve">. </w:t>
      </w:r>
      <w:r w:rsidR="00E728FE">
        <w:rPr>
          <w:rFonts w:cs="Times New Roman"/>
          <w:szCs w:val="24"/>
        </w:rPr>
        <w:t>The ease of payment, the ease to call, the lower cost,</w:t>
      </w:r>
      <w:r w:rsidR="00E728FE" w:rsidRPr="00763E30">
        <w:rPr>
          <w:rFonts w:cs="Times New Roman"/>
          <w:szCs w:val="24"/>
        </w:rPr>
        <w:t xml:space="preserve"> </w:t>
      </w:r>
      <w:r w:rsidR="00E728FE">
        <w:rPr>
          <w:rFonts w:cs="Times New Roman"/>
          <w:szCs w:val="24"/>
        </w:rPr>
        <w:t xml:space="preserve">and the shorter wait times are frequently cited by individuals as reasons to use ride-hailing relative to taxis. </w:t>
      </w:r>
      <w:r w:rsidR="00170DC0">
        <w:rPr>
          <w:rFonts w:cs="Times New Roman"/>
          <w:szCs w:val="24"/>
        </w:rPr>
        <w:t>However,</w:t>
      </w:r>
      <w:r w:rsidR="00EF4D38">
        <w:rPr>
          <w:rFonts w:cs="Times New Roman"/>
          <w:szCs w:val="24"/>
        </w:rPr>
        <w:t xml:space="preserve"> </w:t>
      </w:r>
      <w:r w:rsidR="00170DC0">
        <w:rPr>
          <w:rFonts w:cs="Times New Roman"/>
          <w:szCs w:val="24"/>
        </w:rPr>
        <w:t>even if to a lesser degree, ride-hailing also draws</w:t>
      </w:r>
      <w:r w:rsidR="007E3F36">
        <w:rPr>
          <w:rFonts w:cs="Times New Roman"/>
          <w:szCs w:val="24"/>
        </w:rPr>
        <w:t xml:space="preserve"> away </w:t>
      </w:r>
      <w:r w:rsidR="00170DC0">
        <w:rPr>
          <w:rFonts w:cs="Times New Roman"/>
          <w:szCs w:val="24"/>
        </w:rPr>
        <w:t xml:space="preserve">from </w:t>
      </w:r>
      <w:r w:rsidR="007E3F36">
        <w:rPr>
          <w:rFonts w:cs="Times New Roman"/>
          <w:szCs w:val="24"/>
        </w:rPr>
        <w:t xml:space="preserve">public transit </w:t>
      </w:r>
      <w:r w:rsidR="00170DC0">
        <w:rPr>
          <w:rFonts w:cs="Times New Roman"/>
          <w:szCs w:val="24"/>
        </w:rPr>
        <w:t>trips</w:t>
      </w:r>
      <w:r w:rsidR="007E3F36">
        <w:rPr>
          <w:rFonts w:cs="Times New Roman"/>
          <w:szCs w:val="24"/>
        </w:rPr>
        <w:t>, active mode trips (that is, trips made by bicycling and walking),</w:t>
      </w:r>
      <w:r w:rsidR="00170DC0">
        <w:rPr>
          <w:rFonts w:cs="Times New Roman"/>
          <w:szCs w:val="24"/>
        </w:rPr>
        <w:t xml:space="preserve"> </w:t>
      </w:r>
      <w:r w:rsidR="00EF4D38">
        <w:rPr>
          <w:rFonts w:cs="Times New Roman"/>
          <w:szCs w:val="24"/>
        </w:rPr>
        <w:t xml:space="preserve">and </w:t>
      </w:r>
      <w:r w:rsidR="00170DC0">
        <w:rPr>
          <w:rFonts w:cs="Times New Roman"/>
          <w:szCs w:val="24"/>
        </w:rPr>
        <w:t xml:space="preserve">solo-driving trips, at least as reported </w:t>
      </w:r>
      <w:r w:rsidR="009F1D01">
        <w:rPr>
          <w:rFonts w:cs="Times New Roman"/>
          <w:szCs w:val="24"/>
        </w:rPr>
        <w:t xml:space="preserve">by survey respondents </w:t>
      </w:r>
      <w:r w:rsidR="00BB6113">
        <w:rPr>
          <w:rFonts w:cs="Times New Roman"/>
          <w:szCs w:val="24"/>
        </w:rPr>
        <w:t>(Rayle et al.</w:t>
      </w:r>
      <w:r w:rsidR="0049239E">
        <w:rPr>
          <w:rFonts w:cs="Times New Roman"/>
          <w:szCs w:val="24"/>
        </w:rPr>
        <w:t>,</w:t>
      </w:r>
      <w:r w:rsidR="00BB6113">
        <w:rPr>
          <w:rFonts w:cs="Times New Roman"/>
          <w:szCs w:val="24"/>
        </w:rPr>
        <w:t xml:space="preserve"> 2016; </w:t>
      </w:r>
      <w:r w:rsidR="002048BF">
        <w:rPr>
          <w:rFonts w:cs="Times New Roman"/>
          <w:szCs w:val="24"/>
        </w:rPr>
        <w:t>Alemi et al., 201</w:t>
      </w:r>
      <w:r w:rsidR="006105F2">
        <w:rPr>
          <w:rFonts w:cs="Times New Roman"/>
          <w:szCs w:val="24"/>
        </w:rPr>
        <w:t>8b</w:t>
      </w:r>
      <w:r w:rsidR="002048BF">
        <w:rPr>
          <w:rFonts w:cs="Times New Roman"/>
          <w:szCs w:val="24"/>
        </w:rPr>
        <w:t xml:space="preserve">; </w:t>
      </w:r>
      <w:r w:rsidR="00BB6113">
        <w:rPr>
          <w:rFonts w:cs="Times New Roman"/>
          <w:szCs w:val="24"/>
        </w:rPr>
        <w:t>Alemi et al.</w:t>
      </w:r>
      <w:r w:rsidR="0049239E">
        <w:rPr>
          <w:rFonts w:cs="Times New Roman"/>
          <w:szCs w:val="24"/>
        </w:rPr>
        <w:t>,</w:t>
      </w:r>
      <w:r w:rsidR="00BB6113">
        <w:rPr>
          <w:rFonts w:cs="Times New Roman"/>
          <w:szCs w:val="24"/>
        </w:rPr>
        <w:t xml:space="preserve"> 2018</w:t>
      </w:r>
      <w:r w:rsidR="006105F2">
        <w:rPr>
          <w:rFonts w:cs="Times New Roman"/>
          <w:szCs w:val="24"/>
        </w:rPr>
        <w:t>c</w:t>
      </w:r>
      <w:r w:rsidR="00322012">
        <w:rPr>
          <w:rFonts w:cs="Times New Roman"/>
          <w:szCs w:val="24"/>
        </w:rPr>
        <w:t>; Zheng et al., 2018</w:t>
      </w:r>
      <w:r w:rsidR="00BB6113">
        <w:rPr>
          <w:rFonts w:cs="Times New Roman"/>
          <w:szCs w:val="24"/>
        </w:rPr>
        <w:t>).</w:t>
      </w:r>
      <w:r w:rsidR="00322012">
        <w:rPr>
          <w:rFonts w:cs="Times New Roman"/>
          <w:szCs w:val="24"/>
        </w:rPr>
        <w:t xml:space="preserve"> </w:t>
      </w:r>
      <w:r w:rsidR="00E728FE">
        <w:rPr>
          <w:rFonts w:cs="Times New Roman"/>
          <w:szCs w:val="24"/>
        </w:rPr>
        <w:t xml:space="preserve">Shorter travel times are identified as the primary reason to prefer ride-hailing over </w:t>
      </w:r>
      <w:r w:rsidR="007E3F36">
        <w:rPr>
          <w:rFonts w:cs="Times New Roman"/>
          <w:szCs w:val="24"/>
        </w:rPr>
        <w:t xml:space="preserve">public </w:t>
      </w:r>
      <w:r w:rsidR="00E728FE">
        <w:rPr>
          <w:rFonts w:cs="Times New Roman"/>
          <w:szCs w:val="24"/>
        </w:rPr>
        <w:t xml:space="preserve">transit </w:t>
      </w:r>
      <w:r w:rsidR="007E3F36">
        <w:rPr>
          <w:rFonts w:cs="Times New Roman"/>
          <w:szCs w:val="24"/>
        </w:rPr>
        <w:t>and</w:t>
      </w:r>
      <w:r w:rsidR="00E728FE">
        <w:rPr>
          <w:rFonts w:cs="Times New Roman"/>
          <w:szCs w:val="24"/>
        </w:rPr>
        <w:t xml:space="preserve"> active modes, while limited parking at the destination and avoiding driving while intoxicated are the typical reasons provided for preferring ride-hailing over driving a private car. </w:t>
      </w:r>
      <w:r w:rsidR="00595133">
        <w:rPr>
          <w:rFonts w:cs="Times New Roman"/>
          <w:szCs w:val="24"/>
        </w:rPr>
        <w:t xml:space="preserve">There also </w:t>
      </w:r>
      <w:r w:rsidR="007E3F36">
        <w:rPr>
          <w:rFonts w:cs="Times New Roman"/>
          <w:szCs w:val="24"/>
        </w:rPr>
        <w:t xml:space="preserve">is </w:t>
      </w:r>
      <w:r w:rsidR="00595133">
        <w:rPr>
          <w:rFonts w:cs="Times New Roman"/>
          <w:szCs w:val="24"/>
        </w:rPr>
        <w:t xml:space="preserve">some evidence of </w:t>
      </w:r>
      <w:r w:rsidR="00170DC0">
        <w:rPr>
          <w:rFonts w:cs="Times New Roman"/>
          <w:szCs w:val="24"/>
        </w:rPr>
        <w:t>new</w:t>
      </w:r>
      <w:r w:rsidR="00EB33B8">
        <w:rPr>
          <w:rFonts w:cs="Times New Roman"/>
          <w:szCs w:val="24"/>
        </w:rPr>
        <w:t>ly generated</w:t>
      </w:r>
      <w:r w:rsidR="00170DC0">
        <w:rPr>
          <w:rFonts w:cs="Times New Roman"/>
          <w:szCs w:val="24"/>
        </w:rPr>
        <w:t xml:space="preserve"> </w:t>
      </w:r>
      <w:r w:rsidR="00595133">
        <w:rPr>
          <w:rFonts w:cs="Times New Roman"/>
          <w:szCs w:val="24"/>
        </w:rPr>
        <w:t xml:space="preserve">ride-hailing </w:t>
      </w:r>
      <w:r w:rsidR="00EB33B8">
        <w:rPr>
          <w:rFonts w:cs="Times New Roman"/>
          <w:szCs w:val="24"/>
        </w:rPr>
        <w:t xml:space="preserve">trips that </w:t>
      </w:r>
      <w:r w:rsidR="00170DC0">
        <w:rPr>
          <w:rFonts w:cs="Times New Roman"/>
          <w:szCs w:val="24"/>
        </w:rPr>
        <w:t xml:space="preserve">would not have been made </w:t>
      </w:r>
      <w:r w:rsidR="00EB33B8">
        <w:rPr>
          <w:rFonts w:cs="Times New Roman"/>
          <w:szCs w:val="24"/>
        </w:rPr>
        <w:t>otherwise</w:t>
      </w:r>
      <w:r w:rsidR="00DB57FA">
        <w:rPr>
          <w:rFonts w:cs="Times New Roman"/>
          <w:szCs w:val="24"/>
        </w:rPr>
        <w:t xml:space="preserve">. </w:t>
      </w:r>
      <w:r w:rsidR="00EB33B8">
        <w:rPr>
          <w:rFonts w:cs="Times New Roman"/>
          <w:szCs w:val="24"/>
        </w:rPr>
        <w:t>In particular, t</w:t>
      </w:r>
      <w:r w:rsidR="003F19B1">
        <w:rPr>
          <w:rFonts w:cs="Times New Roman"/>
          <w:szCs w:val="24"/>
        </w:rPr>
        <w:t>wo studies from California</w:t>
      </w:r>
      <w:r w:rsidR="00831AE8">
        <w:rPr>
          <w:rFonts w:cs="Times New Roman"/>
          <w:szCs w:val="24"/>
        </w:rPr>
        <w:t xml:space="preserve"> (U.S.)</w:t>
      </w:r>
      <w:r w:rsidR="003F19B1">
        <w:rPr>
          <w:rFonts w:cs="Times New Roman"/>
          <w:szCs w:val="24"/>
        </w:rPr>
        <w:t xml:space="preserve">, one focusing </w:t>
      </w:r>
      <w:r w:rsidR="00EB33B8">
        <w:rPr>
          <w:rFonts w:cs="Times New Roman"/>
          <w:szCs w:val="24"/>
        </w:rPr>
        <w:t>o</w:t>
      </w:r>
      <w:r w:rsidR="003F19B1">
        <w:rPr>
          <w:rFonts w:cs="Times New Roman"/>
          <w:szCs w:val="24"/>
        </w:rPr>
        <w:t xml:space="preserve">n San Francisco </w:t>
      </w:r>
      <w:r w:rsidR="00EB33B8">
        <w:rPr>
          <w:rFonts w:cs="Times New Roman"/>
          <w:szCs w:val="24"/>
        </w:rPr>
        <w:t xml:space="preserve">(see </w:t>
      </w:r>
      <w:r w:rsidR="00EB33B8" w:rsidRPr="002048BF">
        <w:rPr>
          <w:rFonts w:cs="Times New Roman"/>
          <w:szCs w:val="24"/>
        </w:rPr>
        <w:t>Rayle et al., 2016</w:t>
      </w:r>
      <w:r w:rsidR="00EB33B8">
        <w:rPr>
          <w:rFonts w:cs="Times New Roman"/>
          <w:szCs w:val="24"/>
        </w:rPr>
        <w:t xml:space="preserve">) </w:t>
      </w:r>
      <w:r w:rsidR="003F19B1">
        <w:rPr>
          <w:rFonts w:cs="Times New Roman"/>
          <w:szCs w:val="24"/>
        </w:rPr>
        <w:t xml:space="preserve">and </w:t>
      </w:r>
      <w:r w:rsidR="00EB33B8">
        <w:rPr>
          <w:rFonts w:cs="Times New Roman"/>
          <w:szCs w:val="24"/>
        </w:rPr>
        <w:t xml:space="preserve">the other </w:t>
      </w:r>
      <w:r w:rsidR="003F19B1">
        <w:rPr>
          <w:rFonts w:cs="Times New Roman"/>
          <w:szCs w:val="24"/>
        </w:rPr>
        <w:t>covering multiple metropolitan areas</w:t>
      </w:r>
      <w:r w:rsidR="00EB33B8">
        <w:rPr>
          <w:rFonts w:cs="Times New Roman"/>
          <w:szCs w:val="24"/>
        </w:rPr>
        <w:t xml:space="preserve"> (see </w:t>
      </w:r>
      <w:r w:rsidR="00EB33B8" w:rsidRPr="002048BF">
        <w:rPr>
          <w:rFonts w:cs="Times New Roman"/>
          <w:szCs w:val="24"/>
        </w:rPr>
        <w:t>Alemi et al., 201</w:t>
      </w:r>
      <w:r w:rsidR="000452FE">
        <w:rPr>
          <w:rFonts w:cs="Times New Roman"/>
          <w:szCs w:val="24"/>
        </w:rPr>
        <w:t>8b</w:t>
      </w:r>
      <w:r w:rsidR="00EB33B8">
        <w:rPr>
          <w:rFonts w:cs="Times New Roman"/>
          <w:szCs w:val="24"/>
        </w:rPr>
        <w:t>)</w:t>
      </w:r>
      <w:r w:rsidR="009F1D01">
        <w:rPr>
          <w:rFonts w:cs="Times New Roman"/>
          <w:szCs w:val="24"/>
        </w:rPr>
        <w:t>,</w:t>
      </w:r>
      <w:r w:rsidR="003F19B1">
        <w:rPr>
          <w:rFonts w:cs="Times New Roman"/>
          <w:szCs w:val="24"/>
        </w:rPr>
        <w:t xml:space="preserve"> </w:t>
      </w:r>
      <w:r w:rsidR="00EB33B8">
        <w:rPr>
          <w:rFonts w:cs="Times New Roman"/>
          <w:szCs w:val="24"/>
        </w:rPr>
        <w:t>found</w:t>
      </w:r>
      <w:r w:rsidR="003F19B1">
        <w:rPr>
          <w:rFonts w:cs="Times New Roman"/>
          <w:szCs w:val="24"/>
        </w:rPr>
        <w:t xml:space="preserve"> </w:t>
      </w:r>
      <w:r w:rsidR="00EB33B8">
        <w:rPr>
          <w:rFonts w:cs="Times New Roman"/>
          <w:szCs w:val="24"/>
        </w:rPr>
        <w:t xml:space="preserve">that about </w:t>
      </w:r>
      <w:r w:rsidR="003F19B1">
        <w:rPr>
          <w:rFonts w:cs="Times New Roman"/>
          <w:szCs w:val="24"/>
        </w:rPr>
        <w:t>8</w:t>
      </w:r>
      <w:r w:rsidR="003D6A82">
        <w:rPr>
          <w:rFonts w:cs="Times New Roman"/>
          <w:szCs w:val="24"/>
        </w:rPr>
        <w:t>.0</w:t>
      </w:r>
      <w:r w:rsidR="003F19B1">
        <w:rPr>
          <w:rFonts w:cs="Times New Roman"/>
          <w:szCs w:val="24"/>
        </w:rPr>
        <w:t xml:space="preserve">% of </w:t>
      </w:r>
      <w:r w:rsidR="00A26D85">
        <w:rPr>
          <w:rFonts w:cs="Times New Roman"/>
          <w:szCs w:val="24"/>
        </w:rPr>
        <w:t xml:space="preserve">users </w:t>
      </w:r>
      <w:r w:rsidR="00EB33B8">
        <w:rPr>
          <w:rFonts w:cs="Times New Roman"/>
          <w:szCs w:val="24"/>
        </w:rPr>
        <w:t xml:space="preserve">would not have made </w:t>
      </w:r>
      <w:r w:rsidR="00A26D85">
        <w:rPr>
          <w:rFonts w:cs="Times New Roman"/>
          <w:szCs w:val="24"/>
        </w:rPr>
        <w:t xml:space="preserve">their </w:t>
      </w:r>
      <w:r w:rsidR="00EB33B8">
        <w:rPr>
          <w:rFonts w:cs="Times New Roman"/>
          <w:szCs w:val="24"/>
        </w:rPr>
        <w:t xml:space="preserve">most recent ride-hailing </w:t>
      </w:r>
      <w:r w:rsidR="00A26D85">
        <w:rPr>
          <w:rFonts w:cs="Times New Roman"/>
          <w:szCs w:val="24"/>
        </w:rPr>
        <w:t xml:space="preserve">trip </w:t>
      </w:r>
      <w:r w:rsidR="003F19B1">
        <w:rPr>
          <w:rFonts w:cs="Times New Roman"/>
          <w:szCs w:val="24"/>
        </w:rPr>
        <w:t>if this mode w</w:t>
      </w:r>
      <w:r w:rsidR="00EB33B8">
        <w:rPr>
          <w:rFonts w:cs="Times New Roman"/>
          <w:szCs w:val="24"/>
        </w:rPr>
        <w:t>ere</w:t>
      </w:r>
      <w:r w:rsidR="003F19B1">
        <w:rPr>
          <w:rFonts w:cs="Times New Roman"/>
          <w:szCs w:val="24"/>
        </w:rPr>
        <w:t xml:space="preserve"> not available.</w:t>
      </w:r>
      <w:r w:rsidR="00A26D85">
        <w:rPr>
          <w:rFonts w:cs="Times New Roman"/>
          <w:szCs w:val="24"/>
        </w:rPr>
        <w:t xml:space="preserve"> </w:t>
      </w:r>
    </w:p>
    <w:p w14:paraId="607152AD" w14:textId="09EB8BC2" w:rsidR="00714596" w:rsidRDefault="0068749A" w:rsidP="00CE7196">
      <w:pPr>
        <w:ind w:firstLine="720"/>
        <w:rPr>
          <w:rFonts w:cs="Times New Roman"/>
          <w:szCs w:val="24"/>
        </w:rPr>
      </w:pPr>
      <w:r>
        <w:rPr>
          <w:rFonts w:cs="Times New Roman"/>
          <w:szCs w:val="24"/>
        </w:rPr>
        <w:t>A</w:t>
      </w:r>
      <w:r w:rsidR="00E42E63">
        <w:rPr>
          <w:rFonts w:cs="Times New Roman"/>
          <w:szCs w:val="24"/>
        </w:rPr>
        <w:t xml:space="preserve">ggregate analyses comparing gasoline consumption, </w:t>
      </w:r>
      <w:r w:rsidR="00437368">
        <w:rPr>
          <w:rFonts w:cs="Times New Roman"/>
          <w:szCs w:val="24"/>
        </w:rPr>
        <w:t>VMT</w:t>
      </w:r>
      <w:r w:rsidR="009F1D01">
        <w:rPr>
          <w:rFonts w:cs="Times New Roman"/>
          <w:szCs w:val="24"/>
        </w:rPr>
        <w:t>,</w:t>
      </w:r>
      <w:r w:rsidR="00E42E63">
        <w:rPr>
          <w:rFonts w:cs="Times New Roman"/>
          <w:szCs w:val="24"/>
        </w:rPr>
        <w:t xml:space="preserve"> and </w:t>
      </w:r>
      <w:r w:rsidR="00494DE6">
        <w:rPr>
          <w:rFonts w:cs="Times New Roman"/>
          <w:szCs w:val="24"/>
        </w:rPr>
        <w:t xml:space="preserve">traffic </w:t>
      </w:r>
      <w:r w:rsidR="00E42E63">
        <w:rPr>
          <w:rFonts w:cs="Times New Roman"/>
          <w:szCs w:val="24"/>
        </w:rPr>
        <w:t>congestion before and after ride-hailing market penetration in U.S cities have not identified an</w:t>
      </w:r>
      <w:r w:rsidR="00EB33B8">
        <w:rPr>
          <w:rFonts w:cs="Times New Roman"/>
          <w:szCs w:val="24"/>
        </w:rPr>
        <w:t>y</w:t>
      </w:r>
      <w:r w:rsidR="00E42E63">
        <w:rPr>
          <w:rFonts w:cs="Times New Roman"/>
          <w:szCs w:val="24"/>
        </w:rPr>
        <w:t xml:space="preserve"> overall increase in</w:t>
      </w:r>
      <w:r w:rsidR="00494DE6">
        <w:rPr>
          <w:rFonts w:cs="Times New Roman"/>
          <w:szCs w:val="24"/>
        </w:rPr>
        <w:t xml:space="preserve"> vehicle</w:t>
      </w:r>
      <w:r w:rsidR="00E42E63">
        <w:rPr>
          <w:rFonts w:cs="Times New Roman"/>
          <w:szCs w:val="24"/>
        </w:rPr>
        <w:t xml:space="preserve"> usage</w:t>
      </w:r>
      <w:r w:rsidR="009C77EB">
        <w:rPr>
          <w:rFonts w:cs="Times New Roman"/>
          <w:szCs w:val="24"/>
        </w:rPr>
        <w:t xml:space="preserve"> per-capita</w:t>
      </w:r>
      <w:r w:rsidR="00494DE6">
        <w:rPr>
          <w:rFonts w:cs="Times New Roman"/>
          <w:szCs w:val="24"/>
        </w:rPr>
        <w:t>;</w:t>
      </w:r>
      <w:r w:rsidR="00E42E63">
        <w:rPr>
          <w:rFonts w:cs="Times New Roman"/>
          <w:szCs w:val="24"/>
        </w:rPr>
        <w:t xml:space="preserve"> on the contrary, they </w:t>
      </w:r>
      <w:r w:rsidR="00494DE6">
        <w:rPr>
          <w:rFonts w:cs="Times New Roman"/>
          <w:szCs w:val="24"/>
        </w:rPr>
        <w:t xml:space="preserve">have </w:t>
      </w:r>
      <w:r w:rsidR="00E42E63">
        <w:rPr>
          <w:rFonts w:cs="Times New Roman"/>
          <w:szCs w:val="24"/>
        </w:rPr>
        <w:t xml:space="preserve">observed a slight decrease (Li et al., 2017; Ward et al., </w:t>
      </w:r>
      <w:r w:rsidR="003D6A82">
        <w:rPr>
          <w:rFonts w:cs="Times New Roman"/>
          <w:szCs w:val="24"/>
        </w:rPr>
        <w:t>2018)</w:t>
      </w:r>
      <w:r w:rsidR="00E42E63">
        <w:rPr>
          <w:rFonts w:cs="Times New Roman"/>
          <w:szCs w:val="24"/>
        </w:rPr>
        <w:t>.</w:t>
      </w:r>
      <w:r w:rsidR="003D6A82">
        <w:rPr>
          <w:rFonts w:cs="Times New Roman"/>
          <w:szCs w:val="24"/>
        </w:rPr>
        <w:t xml:space="preserve"> </w:t>
      </w:r>
      <w:r w:rsidR="00E42E63">
        <w:rPr>
          <w:rFonts w:cs="Times New Roman"/>
          <w:szCs w:val="24"/>
        </w:rPr>
        <w:t xml:space="preserve">Ward et al. (2018) also observed a decrease in </w:t>
      </w:r>
      <w:r w:rsidR="009C77EB">
        <w:rPr>
          <w:rFonts w:cs="Times New Roman"/>
          <w:szCs w:val="24"/>
        </w:rPr>
        <w:t xml:space="preserve">per-capita </w:t>
      </w:r>
      <w:r w:rsidR="00E42E63">
        <w:rPr>
          <w:rFonts w:cs="Times New Roman"/>
          <w:szCs w:val="24"/>
        </w:rPr>
        <w:t>vehicle registration rates</w:t>
      </w:r>
      <w:r w:rsidR="00494DE6">
        <w:rPr>
          <w:rFonts w:cs="Times New Roman"/>
          <w:szCs w:val="24"/>
        </w:rPr>
        <w:t xml:space="preserve"> over the past few years</w:t>
      </w:r>
      <w:r w:rsidR="00EB33B8">
        <w:rPr>
          <w:rFonts w:cs="Times New Roman"/>
          <w:szCs w:val="24"/>
        </w:rPr>
        <w:t xml:space="preserve">, coinciding with the period of </w:t>
      </w:r>
      <w:r w:rsidR="002048BF">
        <w:rPr>
          <w:rFonts w:cs="Times New Roman"/>
          <w:szCs w:val="24"/>
        </w:rPr>
        <w:t>substantial ride</w:t>
      </w:r>
      <w:r w:rsidR="00EB33B8">
        <w:rPr>
          <w:rFonts w:cs="Times New Roman"/>
          <w:szCs w:val="24"/>
        </w:rPr>
        <w:t>-</w:t>
      </w:r>
      <w:r w:rsidR="00494DE6">
        <w:rPr>
          <w:rFonts w:cs="Times New Roman"/>
          <w:szCs w:val="24"/>
        </w:rPr>
        <w:t>ha</w:t>
      </w:r>
      <w:r w:rsidR="00EB33B8">
        <w:rPr>
          <w:rFonts w:cs="Times New Roman"/>
          <w:szCs w:val="24"/>
        </w:rPr>
        <w:t>iling use increase.</w:t>
      </w:r>
      <w:r w:rsidR="00EC7CA2">
        <w:rPr>
          <w:rFonts w:cs="Times New Roman"/>
          <w:szCs w:val="24"/>
        </w:rPr>
        <w:t xml:space="preserve"> Still, </w:t>
      </w:r>
      <w:r w:rsidR="009C57F5">
        <w:rPr>
          <w:rFonts w:cs="Times New Roman"/>
          <w:szCs w:val="24"/>
        </w:rPr>
        <w:t>localized effects of increase in congestion</w:t>
      </w:r>
      <w:r w:rsidR="0045758D">
        <w:rPr>
          <w:rFonts w:cs="Times New Roman"/>
          <w:szCs w:val="24"/>
        </w:rPr>
        <w:t xml:space="preserve">, especially due to empty </w:t>
      </w:r>
      <w:r w:rsidR="00AC0082">
        <w:rPr>
          <w:rFonts w:cs="Times New Roman"/>
          <w:szCs w:val="24"/>
        </w:rPr>
        <w:t>ride-hailing cars</w:t>
      </w:r>
      <w:r w:rsidR="0045758D">
        <w:rPr>
          <w:rFonts w:cs="Times New Roman"/>
          <w:szCs w:val="24"/>
        </w:rPr>
        <w:t xml:space="preserve"> (only with drivers</w:t>
      </w:r>
      <w:r w:rsidR="00AC0082">
        <w:rPr>
          <w:rFonts w:cs="Times New Roman"/>
          <w:szCs w:val="24"/>
        </w:rPr>
        <w:t>),</w:t>
      </w:r>
      <w:r w:rsidR="0065438A">
        <w:rPr>
          <w:rFonts w:cs="Times New Roman"/>
          <w:szCs w:val="24"/>
        </w:rPr>
        <w:t xml:space="preserve"> </w:t>
      </w:r>
      <w:r w:rsidR="00287629">
        <w:rPr>
          <w:rFonts w:cs="Times New Roman"/>
          <w:szCs w:val="24"/>
        </w:rPr>
        <w:t xml:space="preserve">were </w:t>
      </w:r>
      <w:r w:rsidR="0065438A">
        <w:rPr>
          <w:rFonts w:cs="Times New Roman"/>
          <w:szCs w:val="24"/>
        </w:rPr>
        <w:t>observed in</w:t>
      </w:r>
      <w:r w:rsidR="00E07811">
        <w:rPr>
          <w:rFonts w:cs="Times New Roman"/>
          <w:szCs w:val="24"/>
        </w:rPr>
        <w:t xml:space="preserve"> dense activity centers such as downtown Manhattan, NY (</w:t>
      </w:r>
      <w:r w:rsidR="002B78A3">
        <w:rPr>
          <w:rFonts w:cs="Times New Roman"/>
          <w:szCs w:val="24"/>
        </w:rPr>
        <w:t>Schaller, 2017</w:t>
      </w:r>
      <w:r w:rsidR="00E07811">
        <w:rPr>
          <w:rFonts w:cs="Times New Roman"/>
          <w:szCs w:val="24"/>
        </w:rPr>
        <w:t>)</w:t>
      </w:r>
      <w:r w:rsidR="00AC0082">
        <w:rPr>
          <w:rFonts w:cs="Times New Roman"/>
          <w:szCs w:val="24"/>
        </w:rPr>
        <w:t>.</w:t>
      </w:r>
      <w:r w:rsidR="00E77D39">
        <w:rPr>
          <w:rFonts w:cs="Times New Roman"/>
          <w:szCs w:val="24"/>
        </w:rPr>
        <w:t xml:space="preserve"> Such </w:t>
      </w:r>
      <w:r w:rsidR="004E68B9">
        <w:rPr>
          <w:rFonts w:cs="Times New Roman"/>
          <w:szCs w:val="24"/>
        </w:rPr>
        <w:t xml:space="preserve">differences in </w:t>
      </w:r>
      <w:r w:rsidR="00E77D39">
        <w:rPr>
          <w:rFonts w:cs="Times New Roman"/>
          <w:szCs w:val="24"/>
        </w:rPr>
        <w:t xml:space="preserve">results </w:t>
      </w:r>
      <w:r w:rsidR="006D7634">
        <w:rPr>
          <w:rFonts w:cs="Times New Roman"/>
          <w:szCs w:val="24"/>
        </w:rPr>
        <w:t>suggest</w:t>
      </w:r>
      <w:r w:rsidR="00E77D39">
        <w:rPr>
          <w:rFonts w:cs="Times New Roman"/>
          <w:szCs w:val="24"/>
        </w:rPr>
        <w:t xml:space="preserve"> that </w:t>
      </w:r>
      <w:r w:rsidR="006E56B1">
        <w:rPr>
          <w:rFonts w:cs="Times New Roman"/>
          <w:szCs w:val="24"/>
        </w:rPr>
        <w:t xml:space="preserve">impacts </w:t>
      </w:r>
      <w:r w:rsidR="006D7634">
        <w:rPr>
          <w:rFonts w:cs="Times New Roman"/>
          <w:szCs w:val="24"/>
        </w:rPr>
        <w:t xml:space="preserve">of ride-hailing </w:t>
      </w:r>
      <w:r w:rsidR="006C1F2D">
        <w:rPr>
          <w:rFonts w:cs="Times New Roman"/>
          <w:szCs w:val="24"/>
        </w:rPr>
        <w:t xml:space="preserve">on urban travel </w:t>
      </w:r>
      <w:r w:rsidR="006E56B1">
        <w:rPr>
          <w:rFonts w:cs="Times New Roman"/>
          <w:szCs w:val="24"/>
        </w:rPr>
        <w:t xml:space="preserve">may be heterogeneous depending on </w:t>
      </w:r>
      <w:r w:rsidR="00647F53">
        <w:rPr>
          <w:rFonts w:cs="Times New Roman"/>
          <w:szCs w:val="24"/>
        </w:rPr>
        <w:t>built environment</w:t>
      </w:r>
      <w:r w:rsidR="004E68B9">
        <w:rPr>
          <w:rFonts w:cs="Times New Roman"/>
          <w:szCs w:val="24"/>
        </w:rPr>
        <w:t xml:space="preserve"> and population characteristics.</w:t>
      </w:r>
    </w:p>
    <w:p w14:paraId="4C10396F" w14:textId="5D527006" w:rsidR="00E735C4" w:rsidRDefault="00E735C4" w:rsidP="002B1790">
      <w:pPr>
        <w:ind w:firstLine="720"/>
        <w:rPr>
          <w:rFonts w:cs="Times New Roman"/>
          <w:szCs w:val="24"/>
        </w:rPr>
      </w:pPr>
      <w:r>
        <w:rPr>
          <w:rFonts w:cs="Times New Roman"/>
          <w:szCs w:val="24"/>
        </w:rPr>
        <w:t>The overview above indicates that earlier studies have contributed to our understanding of ride-hailing demand, yet the overall knowledge base about ride-hailing behavior and impacts is still limited in many ways.</w:t>
      </w:r>
      <w:r w:rsidRPr="00232B75">
        <w:rPr>
          <w:rFonts w:cs="Times New Roman"/>
          <w:szCs w:val="24"/>
        </w:rPr>
        <w:t xml:space="preserve"> First</w:t>
      </w:r>
      <w:r>
        <w:rPr>
          <w:rFonts w:cs="Times New Roman"/>
          <w:szCs w:val="24"/>
        </w:rPr>
        <w:t>, people’s propensity to choose pooled ride-hailing services has received relatively little attention, and possible positive or negative externalities associated with its adoption have not been sufficiently examined. Second, there has been little discussion directed to the examination of different uses of ride-hailing services and their associated implications. Third, from an analytic standpoint, there is a need for more multivariate analyses that simultaneously control for the effects of multiple variables, including lifestyle-related users’ characteristics and perceptions. Fourth, it is likely that the effects of ride-hailing in transit-rich cities (the case of most areas investigated by existing studies) and other cities with high levels of car dominance</w:t>
      </w:r>
      <w:r w:rsidRPr="00530173">
        <w:rPr>
          <w:rFonts w:cs="Times New Roman"/>
          <w:szCs w:val="24"/>
        </w:rPr>
        <w:t xml:space="preserve"> </w:t>
      </w:r>
      <w:r>
        <w:rPr>
          <w:rFonts w:cs="Times New Roman"/>
          <w:szCs w:val="24"/>
        </w:rPr>
        <w:t xml:space="preserve">differ. Thus, research efforts in multiple cities and regions are important. </w:t>
      </w:r>
      <w:r w:rsidRPr="00232B75">
        <w:rPr>
          <w:rFonts w:cs="Times New Roman"/>
          <w:szCs w:val="24"/>
        </w:rPr>
        <w:t>Finally</w:t>
      </w:r>
      <w:r>
        <w:rPr>
          <w:rFonts w:cs="Times New Roman"/>
          <w:szCs w:val="24"/>
        </w:rPr>
        <w:t xml:space="preserve">, as ride-hailing continues to expand rapidly with more companies joining the market (adopting different marketing, fare, and service strategies to attract customers), and the general population </w:t>
      </w:r>
      <w:r>
        <w:rPr>
          <w:rFonts w:cs="Times New Roman"/>
          <w:szCs w:val="24"/>
        </w:rPr>
        <w:lastRenderedPageBreak/>
        <w:t>gain</w:t>
      </w:r>
      <w:r w:rsidR="00A85F77">
        <w:rPr>
          <w:rFonts w:cs="Times New Roman"/>
          <w:szCs w:val="24"/>
        </w:rPr>
        <w:t>s</w:t>
      </w:r>
      <w:r>
        <w:rPr>
          <w:rFonts w:cs="Times New Roman"/>
          <w:szCs w:val="24"/>
        </w:rPr>
        <w:t xml:space="preserve"> more familiarity with the service, it is important that ride-hailing </w:t>
      </w:r>
      <w:r w:rsidR="000B25F3">
        <w:rPr>
          <w:rFonts w:cs="Times New Roman"/>
          <w:szCs w:val="24"/>
        </w:rPr>
        <w:t>investigations be undertaken over time</w:t>
      </w:r>
      <w:r>
        <w:rPr>
          <w:rFonts w:cs="Times New Roman"/>
          <w:szCs w:val="24"/>
        </w:rPr>
        <w:t>.</w:t>
      </w:r>
    </w:p>
    <w:p w14:paraId="2C5D52E4" w14:textId="77777777" w:rsidR="00E33C56" w:rsidRDefault="00E33C56" w:rsidP="00CE7196">
      <w:pPr>
        <w:ind w:firstLine="720"/>
        <w:rPr>
          <w:rFonts w:cs="Times New Roman"/>
          <w:szCs w:val="24"/>
        </w:rPr>
      </w:pPr>
    </w:p>
    <w:p w14:paraId="3D0B4AC8" w14:textId="1CB5EA55" w:rsidR="00E33C56" w:rsidRPr="00E33C56" w:rsidRDefault="00E33C56" w:rsidP="00871C66">
      <w:pPr>
        <w:pStyle w:val="ListParagraph"/>
        <w:numPr>
          <w:ilvl w:val="1"/>
          <w:numId w:val="1"/>
        </w:numPr>
        <w:rPr>
          <w:b/>
        </w:rPr>
      </w:pPr>
      <w:r w:rsidRPr="00E33C56">
        <w:rPr>
          <w:b/>
        </w:rPr>
        <w:t xml:space="preserve">The Current Study </w:t>
      </w:r>
    </w:p>
    <w:p w14:paraId="50CF8D7F" w14:textId="2CB3F8F4" w:rsidR="00B45ABD" w:rsidRDefault="00FA3D80" w:rsidP="00E735C4">
      <w:pPr>
        <w:rPr>
          <w:rFonts w:cs="Times New Roman"/>
          <w:szCs w:val="24"/>
        </w:rPr>
      </w:pPr>
      <w:r>
        <w:t xml:space="preserve">The current study </w:t>
      </w:r>
      <w:r w:rsidR="00134559">
        <w:t xml:space="preserve">contributes to the </w:t>
      </w:r>
      <w:r w:rsidR="00523F7F">
        <w:t xml:space="preserve">gaps </w:t>
      </w:r>
      <w:r w:rsidR="00134559">
        <w:t>identified</w:t>
      </w:r>
      <w:r w:rsidR="00523F7F">
        <w:t xml:space="preserve"> </w:t>
      </w:r>
      <w:r w:rsidR="00E735C4">
        <w:t>earlier</w:t>
      </w:r>
      <w:r w:rsidR="00523F7F">
        <w:t xml:space="preserve"> </w:t>
      </w:r>
      <w:r w:rsidR="00D153FE">
        <w:t>by</w:t>
      </w:r>
      <w:r w:rsidR="00392B24">
        <w:t xml:space="preserve"> modeling</w:t>
      </w:r>
      <w:r>
        <w:t xml:space="preserve"> ride-hailing experience, frequency, and trip characteristics</w:t>
      </w:r>
      <w:r w:rsidR="00675CDB">
        <w:t xml:space="preserve"> in the Dallas-Fort Worth-Arlington Metropolitan Area (DFW) of Texas, U.S.</w:t>
      </w:r>
      <w:r w:rsidR="00B45ABD">
        <w:t xml:space="preserve"> </w:t>
      </w:r>
      <w:r w:rsidR="007B6ACA">
        <w:t xml:space="preserve">We develop two multi-dimensional models of ride-hailing behavior, one at an individual-level and the second at a trip-level. In the </w:t>
      </w:r>
      <w:r w:rsidR="007B6ACA" w:rsidRPr="005E7FFA">
        <w:rPr>
          <w:u w:val="single"/>
        </w:rPr>
        <w:t>first individual-level model</w:t>
      </w:r>
      <w:r w:rsidR="007B6ACA">
        <w:t xml:space="preserve">, </w:t>
      </w:r>
      <w:r w:rsidR="002113E9">
        <w:rPr>
          <w:rFonts w:cs="Times New Roman"/>
          <w:szCs w:val="24"/>
        </w:rPr>
        <w:t xml:space="preserve">we </w:t>
      </w:r>
      <w:r w:rsidR="00F33406">
        <w:rPr>
          <w:rFonts w:cs="Times New Roman"/>
          <w:szCs w:val="24"/>
        </w:rPr>
        <w:t>propose a close look into the characteristics of current users and non-users of ride-hailing and pooled ride-hailing services</w:t>
      </w:r>
      <w:r w:rsidR="002113E9">
        <w:rPr>
          <w:rFonts w:cs="Times New Roman"/>
          <w:szCs w:val="24"/>
        </w:rPr>
        <w:t xml:space="preserve"> by jointly modeling </w:t>
      </w:r>
      <w:r w:rsidR="007B6ACA">
        <w:t>ride-hailing experience and frequency as functions of unobserved lifestyle stochastic latent constructs, observed transportation-related choices</w:t>
      </w:r>
      <w:r w:rsidR="00DF0A85">
        <w:t>,</w:t>
      </w:r>
      <w:r w:rsidR="007B6ACA">
        <w:t xml:space="preserve"> and sociodemographic variables. In the </w:t>
      </w:r>
      <w:r w:rsidR="007B6ACA" w:rsidRPr="001F3CE0">
        <w:rPr>
          <w:u w:val="single"/>
        </w:rPr>
        <w:t>second trip-level model</w:t>
      </w:r>
      <w:r w:rsidR="007B6ACA">
        <w:t xml:space="preserve">, four nominal dimensions of the individual’s last ride-hailing trip are modeled simultaneously: trip purpose, time-of-day, companionship, and mode substituted. In combination, the results from the two multivariate models developed in this paper </w:t>
      </w:r>
      <w:r w:rsidR="00564E2D">
        <w:t>allow</w:t>
      </w:r>
      <w:r w:rsidR="00B45ABD">
        <w:rPr>
          <w:rFonts w:cs="Times New Roman"/>
          <w:szCs w:val="24"/>
        </w:rPr>
        <w:t xml:space="preserve"> the identification of behavioral differences regarding ride-hailing use across population segments with varying lifecycle and lifestyle conditions, and contribute to the discussion of four important </w:t>
      </w:r>
      <w:r w:rsidR="000B25F3">
        <w:rPr>
          <w:rFonts w:cs="Times New Roman"/>
          <w:szCs w:val="24"/>
        </w:rPr>
        <w:t>issues</w:t>
      </w:r>
      <w:r w:rsidR="00B45ABD">
        <w:rPr>
          <w:rFonts w:cs="Times New Roman"/>
          <w:szCs w:val="24"/>
        </w:rPr>
        <w:t>: (1) people’s a</w:t>
      </w:r>
      <w:r w:rsidR="00B45ABD" w:rsidRPr="00EA5038">
        <w:rPr>
          <w:rFonts w:cs="Times New Roman"/>
          <w:szCs w:val="24"/>
        </w:rPr>
        <w:t xml:space="preserve">cceptance and use of pooled rides; </w:t>
      </w:r>
      <w:r w:rsidR="00B45ABD">
        <w:rPr>
          <w:rFonts w:cs="Times New Roman"/>
          <w:szCs w:val="24"/>
        </w:rPr>
        <w:t>(</w:t>
      </w:r>
      <w:r w:rsidR="00B45ABD" w:rsidRPr="00EA5038">
        <w:rPr>
          <w:rFonts w:cs="Times New Roman"/>
          <w:szCs w:val="24"/>
        </w:rPr>
        <w:t>2</w:t>
      </w:r>
      <w:r w:rsidR="00B45ABD">
        <w:rPr>
          <w:rFonts w:cs="Times New Roman"/>
          <w:szCs w:val="24"/>
        </w:rPr>
        <w:t>) the use of ride-hailing as an a</w:t>
      </w:r>
      <w:r w:rsidR="00B45ABD" w:rsidRPr="00EA5038">
        <w:rPr>
          <w:rFonts w:cs="Times New Roman"/>
          <w:szCs w:val="24"/>
        </w:rPr>
        <w:t xml:space="preserve">ccessibility versus </w:t>
      </w:r>
      <w:r w:rsidR="00B45ABD">
        <w:rPr>
          <w:rFonts w:cs="Times New Roman"/>
          <w:szCs w:val="24"/>
        </w:rPr>
        <w:t xml:space="preserve">a </w:t>
      </w:r>
      <w:r w:rsidR="00B45ABD" w:rsidRPr="00EA5038">
        <w:rPr>
          <w:rFonts w:cs="Times New Roman"/>
          <w:szCs w:val="24"/>
        </w:rPr>
        <w:t xml:space="preserve">convenience mobility tool; </w:t>
      </w:r>
      <w:r w:rsidR="00B45ABD">
        <w:rPr>
          <w:rFonts w:cs="Times New Roman"/>
          <w:szCs w:val="24"/>
        </w:rPr>
        <w:t>(</w:t>
      </w:r>
      <w:r w:rsidR="00B45ABD" w:rsidRPr="00EA5038">
        <w:rPr>
          <w:rFonts w:cs="Times New Roman"/>
          <w:szCs w:val="24"/>
        </w:rPr>
        <w:t>3</w:t>
      </w:r>
      <w:r w:rsidR="00B45ABD">
        <w:rPr>
          <w:rFonts w:cs="Times New Roman"/>
          <w:szCs w:val="24"/>
        </w:rPr>
        <w:t>) the r</w:t>
      </w:r>
      <w:r w:rsidR="00B45ABD" w:rsidRPr="00EA5038">
        <w:rPr>
          <w:rFonts w:cs="Times New Roman"/>
          <w:szCs w:val="24"/>
        </w:rPr>
        <w:t xml:space="preserve">elationship </w:t>
      </w:r>
      <w:r w:rsidR="00B45ABD">
        <w:rPr>
          <w:rFonts w:cs="Times New Roman"/>
          <w:szCs w:val="24"/>
        </w:rPr>
        <w:t xml:space="preserve">of this mode </w:t>
      </w:r>
      <w:r w:rsidR="00B45ABD" w:rsidRPr="00EA5038">
        <w:rPr>
          <w:rFonts w:cs="Times New Roman"/>
          <w:szCs w:val="24"/>
        </w:rPr>
        <w:t>with transit and active travel;</w:t>
      </w:r>
      <w:r w:rsidR="00B45ABD">
        <w:rPr>
          <w:rFonts w:cs="Times New Roman"/>
          <w:szCs w:val="24"/>
        </w:rPr>
        <w:t xml:space="preserve"> (4) and the potential l</w:t>
      </w:r>
      <w:r w:rsidR="00B45ABD" w:rsidRPr="00EA5038">
        <w:rPr>
          <w:rFonts w:cs="Times New Roman"/>
          <w:szCs w:val="24"/>
        </w:rPr>
        <w:t>atent demand and trip induction</w:t>
      </w:r>
      <w:r w:rsidR="00B45ABD">
        <w:rPr>
          <w:rFonts w:cs="Times New Roman"/>
          <w:szCs w:val="24"/>
        </w:rPr>
        <w:t xml:space="preserve"> generated by this service. </w:t>
      </w:r>
    </w:p>
    <w:p w14:paraId="42A36290" w14:textId="0F627E96" w:rsidR="00935263" w:rsidRDefault="00FA3D80" w:rsidP="00973AFA">
      <w:pPr>
        <w:ind w:firstLine="720"/>
      </w:pPr>
      <w:r>
        <w:t xml:space="preserve"> </w:t>
      </w:r>
      <w:r w:rsidR="00675CDB">
        <w:t>The data used in th</w:t>
      </w:r>
      <w:r w:rsidR="00B00FBE">
        <w:t>e</w:t>
      </w:r>
      <w:r w:rsidR="00675CDB">
        <w:t xml:space="preserve"> study is drawn from an online survey, </w:t>
      </w:r>
      <w:r w:rsidR="00B2362C">
        <w:t>developed</w:t>
      </w:r>
      <w:r w:rsidR="00675CDB">
        <w:t xml:space="preserve"> and administered by the authors</w:t>
      </w:r>
      <w:r w:rsidR="00997F1F">
        <w:t xml:space="preserve"> in the </w:t>
      </w:r>
      <w:r w:rsidR="00997F1F" w:rsidRPr="00154AEA">
        <w:t>fall of 2017</w:t>
      </w:r>
      <w:r w:rsidR="008B19FE">
        <w:t>, of commuters in the Dallas Fort</w:t>
      </w:r>
      <w:r w:rsidR="00335F64">
        <w:t xml:space="preserve"> W</w:t>
      </w:r>
      <w:r w:rsidR="008B19FE">
        <w:t>orth (DFW) metro area</w:t>
      </w:r>
      <w:r w:rsidR="00675CDB">
        <w:t xml:space="preserve">. DFW is the largest metropolitan area in Texas in terms of population and the fourth largest in the U.S. It has more than 7.4 million </w:t>
      </w:r>
      <w:r w:rsidR="00B00FBE">
        <w:t>in</w:t>
      </w:r>
      <w:r w:rsidR="00675CDB">
        <w:t>habitants and is the fastest growing metropolitan area in the country (</w:t>
      </w:r>
      <w:r w:rsidR="00D12B31">
        <w:t>U.S.</w:t>
      </w:r>
      <w:r w:rsidR="00675CDB">
        <w:t xml:space="preserve"> Census Bureau, 2018a). In contrast to the majority of cities investigated in previous studies (such as San Francisco by Rayle et al., 2016; Boston, Chicago, New York, San Francisco, Los Angeles, and Washington, D.C by Clewlow and Mishra, 2017; New York by Gerte et al., 2018; </w:t>
      </w:r>
      <w:r w:rsidR="00B00FBE">
        <w:t xml:space="preserve">and </w:t>
      </w:r>
      <w:r w:rsidR="00675CDB">
        <w:t xml:space="preserve">Seattle by Dias et al., 2017 and Lavieri et al., 2017), DFW is a car-dominated urban area where more than 81% of commute trips are undertaken using the drive alone mode and another 10% are pursued by a private vehicle car even if not alone. </w:t>
      </w:r>
      <w:r w:rsidR="00B00FBE">
        <w:t>Public t</w:t>
      </w:r>
      <w:r w:rsidR="00675CDB">
        <w:t>ransit accounts for only 2% of the overall commute mode share</w:t>
      </w:r>
      <w:r w:rsidR="007A1C4C">
        <w:t xml:space="preserve"> </w:t>
      </w:r>
      <w:r w:rsidR="00675CDB">
        <w:t>(</w:t>
      </w:r>
      <w:r w:rsidR="00D12B31">
        <w:t>U.S.</w:t>
      </w:r>
      <w:r w:rsidR="00675CDB">
        <w:t xml:space="preserve"> Census Bureau, 2018b). Additionally, while the national average for zero-vehicle households is 9.0%, the DFW average is 5.0% (</w:t>
      </w:r>
      <w:r w:rsidR="00D12B31">
        <w:t xml:space="preserve">U.S. </w:t>
      </w:r>
      <w:r w:rsidR="00675CDB">
        <w:t xml:space="preserve">Census Bureau, 2018c). </w:t>
      </w:r>
      <w:r w:rsidR="006B0752">
        <w:t>Overall, considering that there may be differences in the way ride-hailing may be incorporated within people’s travel plans when in a car-dominated environment relative to a multimodal environment, the current study brings a new perspective to the ride-hailing literature.</w:t>
      </w:r>
      <w:r w:rsidR="00CC43CF">
        <w:t xml:space="preserve"> </w:t>
      </w:r>
    </w:p>
    <w:p w14:paraId="4F5A18D9" w14:textId="3AEA949C" w:rsidR="0079257E" w:rsidRDefault="00734D24" w:rsidP="000A0177">
      <w:pPr>
        <w:tabs>
          <w:tab w:val="left" w:pos="720"/>
        </w:tabs>
      </w:pPr>
      <w:r>
        <w:lastRenderedPageBreak/>
        <w:tab/>
      </w:r>
      <w:r w:rsidR="00997F1F">
        <w:t xml:space="preserve"> </w:t>
      </w:r>
      <w:r w:rsidR="00F72EEE" w:rsidRPr="00844E66">
        <w:t xml:space="preserve">The remainder </w:t>
      </w:r>
      <w:r w:rsidR="00AF65BA" w:rsidRPr="00844E66">
        <w:t>of this paper is organized as follows. The next section contains a detailed description of the analytic framework</w:t>
      </w:r>
      <w:r w:rsidR="005C70F5">
        <w:t xml:space="preserve"> and data</w:t>
      </w:r>
      <w:r w:rsidR="00AF65BA" w:rsidRPr="00844E66">
        <w:t xml:space="preserve">, including the description of </w:t>
      </w:r>
      <w:r w:rsidR="00495F70">
        <w:t xml:space="preserve">the </w:t>
      </w:r>
      <w:r w:rsidR="00AF65BA" w:rsidRPr="00844E66">
        <w:t xml:space="preserve">conceptual and methodological aspects of the models. Section </w:t>
      </w:r>
      <w:r w:rsidR="00D1100D" w:rsidRPr="00844E66">
        <w:t>3</w:t>
      </w:r>
      <w:r w:rsidR="00AF65BA" w:rsidRPr="00844E66">
        <w:t xml:space="preserve"> and </w:t>
      </w:r>
      <w:r w:rsidR="00D1100D" w:rsidRPr="00844E66">
        <w:t>4</w:t>
      </w:r>
      <w:r w:rsidR="00AF65BA" w:rsidRPr="00844E66">
        <w:t xml:space="preserve"> describe the results of the </w:t>
      </w:r>
      <w:r w:rsidR="00B2362C">
        <w:t xml:space="preserve">individual-level </w:t>
      </w:r>
      <w:r w:rsidR="00AF65BA" w:rsidRPr="00844E66">
        <w:t>experience and frequency model, and the trip</w:t>
      </w:r>
      <w:r w:rsidR="00B2362C">
        <w:t>-level</w:t>
      </w:r>
      <w:r w:rsidR="00AF65BA" w:rsidRPr="00844E66">
        <w:t xml:space="preserve"> characteristics model, respectively. Policy implications are discussed </w:t>
      </w:r>
      <w:r w:rsidR="003F7373">
        <w:t>with the</w:t>
      </w:r>
      <w:r w:rsidR="00AF65BA" w:rsidRPr="00844E66">
        <w:t xml:space="preserve"> conclusions in the final section.</w:t>
      </w:r>
      <w:r w:rsidR="00AF65BA">
        <w:t xml:space="preserve"> </w:t>
      </w:r>
    </w:p>
    <w:p w14:paraId="4E780C8E" w14:textId="77777777" w:rsidR="006703DC" w:rsidRPr="003A3DAE" w:rsidRDefault="006703DC" w:rsidP="003A3DAE">
      <w:pPr>
        <w:rPr>
          <w:b/>
        </w:rPr>
      </w:pPr>
    </w:p>
    <w:p w14:paraId="3AC9519B" w14:textId="6170B965" w:rsidR="00902961" w:rsidRPr="00B52B75" w:rsidRDefault="00495F70" w:rsidP="00405569">
      <w:pPr>
        <w:pStyle w:val="ListParagraph"/>
        <w:keepNext/>
        <w:numPr>
          <w:ilvl w:val="0"/>
          <w:numId w:val="1"/>
        </w:numPr>
        <w:rPr>
          <w:b/>
        </w:rPr>
      </w:pPr>
      <w:r>
        <w:rPr>
          <w:b/>
        </w:rPr>
        <w:t xml:space="preserve">DATA AND </w:t>
      </w:r>
      <w:r w:rsidR="007B3BE9" w:rsidRPr="00044EAE">
        <w:rPr>
          <w:b/>
        </w:rPr>
        <w:t>ANALYTIC FRAMEWORK</w:t>
      </w:r>
    </w:p>
    <w:p w14:paraId="2ADF1C85" w14:textId="07B6E590" w:rsidR="00D9625B" w:rsidRPr="00902961" w:rsidRDefault="00902961" w:rsidP="00871C66">
      <w:pPr>
        <w:keepNext/>
        <w:ind w:left="360" w:hanging="360"/>
        <w:rPr>
          <w:b/>
        </w:rPr>
      </w:pPr>
      <w:r w:rsidRPr="00902961">
        <w:rPr>
          <w:b/>
        </w:rPr>
        <w:t xml:space="preserve">2.1 </w:t>
      </w:r>
      <w:r>
        <w:rPr>
          <w:b/>
        </w:rPr>
        <w:t>Survey</w:t>
      </w:r>
    </w:p>
    <w:p w14:paraId="3A0D7EAF" w14:textId="5DF04CE4" w:rsidR="00BC7FD6" w:rsidRDefault="007B3BE9" w:rsidP="007B3BE9">
      <w:r>
        <w:t>T</w:t>
      </w:r>
      <w:r w:rsidRPr="00A40FEF">
        <w:t>he data used for the analysi</w:t>
      </w:r>
      <w:r w:rsidR="0011111A">
        <w:t xml:space="preserve">s </w:t>
      </w:r>
      <w:r w:rsidR="0011111A" w:rsidRPr="00132C2C">
        <w:rPr>
          <w:rFonts w:cs="Times New Roman"/>
          <w:szCs w:val="24"/>
        </w:rPr>
        <w:t>was obtained throu</w:t>
      </w:r>
      <w:r w:rsidR="0011111A">
        <w:rPr>
          <w:rFonts w:cs="Times New Roman"/>
          <w:szCs w:val="24"/>
        </w:rPr>
        <w:t>gh a web-based survey. T</w:t>
      </w:r>
      <w:r w:rsidR="0011111A" w:rsidRPr="00132C2C">
        <w:rPr>
          <w:rFonts w:cs="Times New Roman"/>
          <w:szCs w:val="24"/>
        </w:rPr>
        <w:t xml:space="preserve">he distribution was </w:t>
      </w:r>
      <w:r w:rsidR="00666287">
        <w:rPr>
          <w:rFonts w:cs="Times New Roman"/>
          <w:szCs w:val="24"/>
        </w:rPr>
        <w:t>achieved</w:t>
      </w:r>
      <w:r w:rsidR="0011111A" w:rsidRPr="00132C2C">
        <w:rPr>
          <w:rFonts w:cs="Times New Roman"/>
          <w:szCs w:val="24"/>
        </w:rPr>
        <w:t xml:space="preserve"> through mailing lists </w:t>
      </w:r>
      <w:r w:rsidR="00666287">
        <w:rPr>
          <w:rFonts w:cs="Times New Roman"/>
          <w:szCs w:val="24"/>
        </w:rPr>
        <w:t>held by</w:t>
      </w:r>
      <w:r w:rsidR="0011111A" w:rsidRPr="00132C2C">
        <w:rPr>
          <w:rFonts w:cs="Times New Roman"/>
          <w:szCs w:val="24"/>
        </w:rPr>
        <w:t xml:space="preserve"> multiple </w:t>
      </w:r>
      <w:r w:rsidR="00666287">
        <w:rPr>
          <w:rFonts w:cs="Times New Roman"/>
          <w:szCs w:val="24"/>
        </w:rPr>
        <w:t xml:space="preserve">entities </w:t>
      </w:r>
      <w:r w:rsidR="0011111A" w:rsidRPr="00132C2C">
        <w:rPr>
          <w:rFonts w:cs="Times New Roman"/>
          <w:szCs w:val="24"/>
        </w:rPr>
        <w:t xml:space="preserve">(local transportation planning organizations, universities, private transportation sector companies, non-profit organizations, and </w:t>
      </w:r>
      <w:r w:rsidR="009061FD">
        <w:rPr>
          <w:rFonts w:cs="Times New Roman"/>
          <w:szCs w:val="24"/>
        </w:rPr>
        <w:t xml:space="preserve">online </w:t>
      </w:r>
      <w:r w:rsidR="0011111A" w:rsidRPr="00132C2C">
        <w:rPr>
          <w:rFonts w:cs="Times New Roman"/>
          <w:szCs w:val="24"/>
        </w:rPr>
        <w:t>socia</w:t>
      </w:r>
      <w:r w:rsidR="0011111A">
        <w:rPr>
          <w:rFonts w:cs="Times New Roman"/>
          <w:szCs w:val="24"/>
        </w:rPr>
        <w:t>l media)</w:t>
      </w:r>
      <w:r w:rsidR="00666287">
        <w:rPr>
          <w:rFonts w:cs="Times New Roman"/>
          <w:szCs w:val="24"/>
        </w:rPr>
        <w:t>,</w:t>
      </w:r>
      <w:r w:rsidR="0011111A">
        <w:rPr>
          <w:rFonts w:cs="Times New Roman"/>
          <w:szCs w:val="24"/>
        </w:rPr>
        <w:t xml:space="preserve"> </w:t>
      </w:r>
      <w:r w:rsidR="00512694">
        <w:rPr>
          <w:rFonts w:cs="Times New Roman"/>
          <w:szCs w:val="24"/>
        </w:rPr>
        <w:t>yielding</w:t>
      </w:r>
      <w:r w:rsidR="0011111A">
        <w:rPr>
          <w:rFonts w:cs="Times New Roman"/>
          <w:szCs w:val="24"/>
        </w:rPr>
        <w:t xml:space="preserve"> a final clean </w:t>
      </w:r>
      <w:r w:rsidR="00D051F0">
        <w:rPr>
          <w:rFonts w:cs="Times New Roman"/>
          <w:szCs w:val="24"/>
        </w:rPr>
        <w:t xml:space="preserve">convenience </w:t>
      </w:r>
      <w:r w:rsidR="0011111A" w:rsidRPr="00132C2C">
        <w:rPr>
          <w:rFonts w:cs="Times New Roman"/>
          <w:szCs w:val="24"/>
        </w:rPr>
        <w:t>sample of 1,</w:t>
      </w:r>
      <w:r w:rsidR="0011111A">
        <w:rPr>
          <w:rFonts w:cs="Times New Roman"/>
          <w:szCs w:val="24"/>
        </w:rPr>
        <w:t>607</w:t>
      </w:r>
      <w:r w:rsidR="0011111A" w:rsidRPr="00132C2C">
        <w:rPr>
          <w:rFonts w:cs="Times New Roman"/>
          <w:szCs w:val="24"/>
        </w:rPr>
        <w:t xml:space="preserve"> respondents.</w:t>
      </w:r>
      <w:r w:rsidR="001E2A5C">
        <w:rPr>
          <w:rFonts w:cs="Times New Roman"/>
          <w:szCs w:val="24"/>
        </w:rPr>
        <w:t xml:space="preserve"> </w:t>
      </w:r>
      <w:r w:rsidR="00666287">
        <w:rPr>
          <w:rFonts w:cs="Times New Roman"/>
          <w:szCs w:val="24"/>
        </w:rPr>
        <w:t xml:space="preserve">To focus on individuals with commute travel, </w:t>
      </w:r>
      <w:r w:rsidR="004C3835">
        <w:rPr>
          <w:rFonts w:cs="Times New Roman"/>
          <w:szCs w:val="24"/>
        </w:rPr>
        <w:t xml:space="preserve">the survey was confined to </w:t>
      </w:r>
      <w:r w:rsidR="001E2A5C">
        <w:rPr>
          <w:rFonts w:cs="Times New Roman"/>
          <w:szCs w:val="24"/>
        </w:rPr>
        <w:t>individuals who had their primary work place out</w:t>
      </w:r>
      <w:r w:rsidR="006C1B77">
        <w:rPr>
          <w:rFonts w:cs="Times New Roman"/>
          <w:szCs w:val="24"/>
        </w:rPr>
        <w:t>side their homes</w:t>
      </w:r>
      <w:r w:rsidR="00870360">
        <w:rPr>
          <w:rFonts w:cs="Times New Roman"/>
          <w:szCs w:val="24"/>
        </w:rPr>
        <w:t>.</w:t>
      </w:r>
      <w:r w:rsidR="005D3102">
        <w:rPr>
          <w:rStyle w:val="FootnoteReference"/>
          <w:rFonts w:cs="Times New Roman"/>
          <w:szCs w:val="24"/>
        </w:rPr>
        <w:footnoteReference w:id="3"/>
      </w:r>
      <w:r w:rsidR="006C1B77">
        <w:rPr>
          <w:rFonts w:cs="Times New Roman"/>
          <w:szCs w:val="24"/>
        </w:rPr>
        <w:t xml:space="preserve"> </w:t>
      </w:r>
      <w:r>
        <w:t>Respondents were presented with the definition of ride-hailing as “</w:t>
      </w:r>
      <w:r w:rsidRPr="002D611D">
        <w:t>Ride-</w:t>
      </w:r>
      <w:r>
        <w:t xml:space="preserve">hailing </w:t>
      </w:r>
      <w:r w:rsidRPr="002D611D">
        <w:t>services use websites and mobile apps to pair passengers with drivers who provide passengers with transportation in the driver's non-commercial vehicle. Examples are Uber and Lyft.</w:t>
      </w:r>
      <w:r>
        <w:t xml:space="preserve">”, and then were asked if they had ever used this type of service. The sub-sample that answered </w:t>
      </w:r>
      <w:r w:rsidR="00A7468B">
        <w:t xml:space="preserve">positively </w:t>
      </w:r>
      <w:r>
        <w:t xml:space="preserve">was </w:t>
      </w:r>
      <w:r w:rsidR="00666287">
        <w:t xml:space="preserve">further </w:t>
      </w:r>
      <w:r>
        <w:t>presented with a definition of pooled ride-hailing (</w:t>
      </w:r>
      <w:r w:rsidRPr="002D611D">
        <w:t>“In the carpooling option of ride-sourcing, additional passengers with similar routes get picked and dropped off in the middle of the customer's ride. Customers receive discounted rat</w:t>
      </w:r>
      <w:r w:rsidR="004038BF">
        <w:t>es when they choose this option</w:t>
      </w:r>
      <w:r w:rsidRPr="002D611D">
        <w:t>”</w:t>
      </w:r>
      <w:r>
        <w:t>)</w:t>
      </w:r>
      <w:r w:rsidRPr="002D611D">
        <w:t xml:space="preserve"> and asked about the use of </w:t>
      </w:r>
      <w:r w:rsidR="0037334E">
        <w:t xml:space="preserve">such a pooled ride-hailing </w:t>
      </w:r>
      <w:r w:rsidRPr="002D611D">
        <w:t>service.</w:t>
      </w:r>
      <w:r>
        <w:t xml:space="preserve"> Based on </w:t>
      </w:r>
      <w:r w:rsidR="0037334E">
        <w:t xml:space="preserve">the responses to </w:t>
      </w:r>
      <w:r>
        <w:t>these</w:t>
      </w:r>
      <w:r w:rsidR="0037334E">
        <w:t xml:space="preserve"> questions</w:t>
      </w:r>
      <w:r>
        <w:t xml:space="preserve">, </w:t>
      </w:r>
      <w:r w:rsidR="0037334E">
        <w:t xml:space="preserve">and as applicable, </w:t>
      </w:r>
      <w:r>
        <w:t xml:space="preserve">the respondents were asked </w:t>
      </w:r>
      <w:r w:rsidR="0037334E">
        <w:t xml:space="preserve">to indicate their frequency of use, in the past 30 days, of </w:t>
      </w:r>
      <w:r w:rsidR="0075216B">
        <w:t>private</w:t>
      </w:r>
      <w:r>
        <w:t xml:space="preserve"> and pooled </w:t>
      </w:r>
      <w:r w:rsidR="0037334E">
        <w:t xml:space="preserve">ride-hailing </w:t>
      </w:r>
      <w:r>
        <w:t xml:space="preserve">services. Also, all respondents </w:t>
      </w:r>
      <w:r w:rsidR="00A7468B">
        <w:t>who</w:t>
      </w:r>
      <w:r>
        <w:t xml:space="preserve"> </w:t>
      </w:r>
      <w:r w:rsidR="00A7468B">
        <w:t>indicate</w:t>
      </w:r>
      <w:r w:rsidR="00C25DB7">
        <w:t>d</w:t>
      </w:r>
      <w:r w:rsidR="00A7468B">
        <w:t xml:space="preserve"> the use of </w:t>
      </w:r>
      <w:r>
        <w:t xml:space="preserve">ride-hailing services at some point in their lives were asked to recall the </w:t>
      </w:r>
      <w:r w:rsidR="0037334E">
        <w:t xml:space="preserve">details of their </w:t>
      </w:r>
      <w:r>
        <w:t xml:space="preserve">last </w:t>
      </w:r>
      <w:r w:rsidR="0037334E">
        <w:t xml:space="preserve">ride-hailing </w:t>
      </w:r>
      <w:r>
        <w:t>trip and provide information on trip purpose, time of day</w:t>
      </w:r>
      <w:r w:rsidR="00A7468B">
        <w:t xml:space="preserve"> of travel</w:t>
      </w:r>
      <w:r>
        <w:t>, companion</w:t>
      </w:r>
      <w:r w:rsidR="00A7468B">
        <w:t>ship,</w:t>
      </w:r>
      <w:r>
        <w:t xml:space="preserve"> and mode substituted. </w:t>
      </w:r>
      <w:r w:rsidR="00EB0551">
        <w:t>T</w:t>
      </w:r>
      <w:r w:rsidR="00B10290">
        <w:t xml:space="preserve">he survey also </w:t>
      </w:r>
      <w:r w:rsidR="00546BEF">
        <w:t>collected</w:t>
      </w:r>
      <w:r w:rsidR="00B10290">
        <w:t xml:space="preserve"> socio-demographic </w:t>
      </w:r>
      <w:r w:rsidR="00E47C39">
        <w:t>(see Section 2.2</w:t>
      </w:r>
      <w:r w:rsidR="00495F70">
        <w:t xml:space="preserve">.1) </w:t>
      </w:r>
      <w:r w:rsidR="00B10290">
        <w:t>and attitudinal information</w:t>
      </w:r>
      <w:r w:rsidR="000E01F6">
        <w:t xml:space="preserve"> (</w:t>
      </w:r>
      <w:r w:rsidR="00495F70">
        <w:t xml:space="preserve">see Section </w:t>
      </w:r>
      <w:r w:rsidR="00E47C39">
        <w:t>2.4</w:t>
      </w:r>
      <w:r w:rsidR="00422F87">
        <w:t>)</w:t>
      </w:r>
      <w:r w:rsidR="00B10290">
        <w:t xml:space="preserve">. </w:t>
      </w:r>
    </w:p>
    <w:p w14:paraId="4E32320C" w14:textId="77777777" w:rsidR="00662C72" w:rsidRDefault="00662C72" w:rsidP="00FA3C03">
      <w:pPr>
        <w:ind w:firstLine="720"/>
      </w:pPr>
    </w:p>
    <w:p w14:paraId="76B6CDA6" w14:textId="6A152AF5" w:rsidR="00112F29" w:rsidRPr="00E47C39" w:rsidRDefault="009D0047" w:rsidP="00E47C39">
      <w:pPr>
        <w:pStyle w:val="ListParagraph"/>
        <w:numPr>
          <w:ilvl w:val="1"/>
          <w:numId w:val="23"/>
        </w:numPr>
        <w:rPr>
          <w:b/>
        </w:rPr>
      </w:pPr>
      <w:r w:rsidRPr="00E47C39">
        <w:rPr>
          <w:b/>
        </w:rPr>
        <w:t>Individual-</w:t>
      </w:r>
      <w:r w:rsidR="000939E3" w:rsidRPr="00E47C39">
        <w:rPr>
          <w:b/>
        </w:rPr>
        <w:t>L</w:t>
      </w:r>
      <w:r w:rsidRPr="00E47C39">
        <w:rPr>
          <w:b/>
        </w:rPr>
        <w:t xml:space="preserve">evel </w:t>
      </w:r>
      <w:r w:rsidR="00112F29" w:rsidRPr="00E47C39">
        <w:rPr>
          <w:b/>
        </w:rPr>
        <w:t xml:space="preserve">Experience and </w:t>
      </w:r>
      <w:r w:rsidR="000939E3" w:rsidRPr="00E47C39">
        <w:rPr>
          <w:b/>
        </w:rPr>
        <w:t>F</w:t>
      </w:r>
      <w:r w:rsidR="00112F29" w:rsidRPr="00E47C39">
        <w:rPr>
          <w:b/>
        </w:rPr>
        <w:t xml:space="preserve">requency of </w:t>
      </w:r>
      <w:r w:rsidR="000939E3" w:rsidRPr="00E47C39">
        <w:rPr>
          <w:b/>
        </w:rPr>
        <w:t>U</w:t>
      </w:r>
      <w:r w:rsidR="00112F29" w:rsidRPr="00E47C39">
        <w:rPr>
          <w:b/>
        </w:rPr>
        <w:t xml:space="preserve">se </w:t>
      </w:r>
      <w:r w:rsidR="000939E3" w:rsidRPr="00E47C39">
        <w:rPr>
          <w:b/>
        </w:rPr>
        <w:t>M</w:t>
      </w:r>
      <w:r w:rsidR="00A350CD" w:rsidRPr="00E47C39">
        <w:rPr>
          <w:b/>
        </w:rPr>
        <w:t>odel</w:t>
      </w:r>
    </w:p>
    <w:p w14:paraId="2531E8C5" w14:textId="2BA95CE9" w:rsidR="006A5CC0" w:rsidRPr="003309EF" w:rsidRDefault="00885E3E" w:rsidP="00FF0CBE">
      <w:pPr>
        <w:pStyle w:val="PlainText"/>
        <w:spacing w:line="300" w:lineRule="auto"/>
        <w:jc w:val="both"/>
        <w:rPr>
          <w:rFonts w:ascii="Times New Roman" w:hAnsi="Times New Roman" w:cs="Times New Roman"/>
          <w:sz w:val="24"/>
          <w:szCs w:val="24"/>
        </w:rPr>
      </w:pPr>
      <w:r w:rsidRPr="003309EF">
        <w:rPr>
          <w:rFonts w:ascii="Times New Roman" w:hAnsi="Times New Roman" w:cs="Times New Roman"/>
          <w:sz w:val="24"/>
          <w:szCs w:val="24"/>
        </w:rPr>
        <w:t xml:space="preserve">The individual level model focuses on two main </w:t>
      </w:r>
      <w:r w:rsidR="008A0FE8" w:rsidRPr="003309EF">
        <w:rPr>
          <w:rFonts w:ascii="Times New Roman" w:hAnsi="Times New Roman" w:cs="Times New Roman"/>
          <w:sz w:val="24"/>
          <w:szCs w:val="24"/>
        </w:rPr>
        <w:t xml:space="preserve">endogenous outcomes, ride-hailing experience and frequency, and two </w:t>
      </w:r>
      <w:r w:rsidR="007A4D7B" w:rsidRPr="003309EF">
        <w:rPr>
          <w:rFonts w:ascii="Times New Roman" w:hAnsi="Times New Roman" w:cs="Times New Roman"/>
          <w:sz w:val="24"/>
          <w:szCs w:val="24"/>
        </w:rPr>
        <w:t xml:space="preserve">additional endogenous variables, residential location and </w:t>
      </w:r>
      <w:r w:rsidR="002A4903" w:rsidRPr="003309EF">
        <w:rPr>
          <w:rFonts w:ascii="Times New Roman" w:hAnsi="Times New Roman" w:cs="Times New Roman"/>
          <w:sz w:val="24"/>
          <w:szCs w:val="24"/>
        </w:rPr>
        <w:t xml:space="preserve">household vehicle availability. </w:t>
      </w:r>
      <w:r w:rsidR="008E13F2" w:rsidRPr="003309EF">
        <w:rPr>
          <w:rFonts w:ascii="Times New Roman" w:hAnsi="Times New Roman" w:cs="Times New Roman"/>
          <w:sz w:val="24"/>
          <w:szCs w:val="24"/>
        </w:rPr>
        <w:t xml:space="preserve">Ride-hailing experience is represented as a nominal dependent variable with three categories: (1) no experience with ride-hailing services, (2) experience only with private services (the individual traveled alone or with people s/he knew), and (3) experience with private </w:t>
      </w:r>
      <w:r w:rsidR="008E13F2" w:rsidRPr="003309EF">
        <w:rPr>
          <w:rFonts w:ascii="Times New Roman" w:hAnsi="Times New Roman" w:cs="Times New Roman"/>
          <w:sz w:val="24"/>
          <w:szCs w:val="24"/>
        </w:rPr>
        <w:lastRenderedPageBreak/>
        <w:t xml:space="preserve">and pooled services (the individual has, at least once, traveled with strangers for a cheaper fare). Ride-hailing frequency corresponds to the number of trips made by ride-hailing users within a one-month period prior to the date of the survey. </w:t>
      </w:r>
      <w:r w:rsidR="00FC2FB7" w:rsidRPr="003309EF">
        <w:rPr>
          <w:rFonts w:ascii="Times New Roman" w:hAnsi="Times New Roman" w:cs="Times New Roman"/>
          <w:sz w:val="24"/>
          <w:szCs w:val="24"/>
        </w:rPr>
        <w:t xml:space="preserve">This is modeled as an ordinal discrete variable with five possible values: zero trips, 1-3 trips, 4-5 trips, 6-10 trips, and more than 10 trips. </w:t>
      </w:r>
      <w:r w:rsidR="008E13F2" w:rsidRPr="003309EF">
        <w:rPr>
          <w:rFonts w:ascii="Times New Roman" w:hAnsi="Times New Roman" w:cs="Times New Roman"/>
          <w:sz w:val="24"/>
          <w:szCs w:val="24"/>
        </w:rPr>
        <w:t xml:space="preserve">Residential location is defined based on a survey item in which the respondents identified the type of neighborhood where they lived: (1) rural area, (2) small town, (3) neighborhood in the suburbs, (4) neighborhood in a central area but not downtown, and (5) downtown. Due to paucity of responses in the “small town” and “downtown” categories, we decided to regroup these five categories into the following three categories of residential location type: rural area or small town (referred to as rural area in the remainder of the paper), suburban area, and central area/downtown (referred to as urban area). Vehicle availability is characterized as the number of vehicles per worker in the household and is categorized in one of three ordinal levels: </w:t>
      </w:r>
      <w:r w:rsidR="008E13F2" w:rsidRPr="003309EF">
        <w:rPr>
          <w:rFonts w:ascii="Times New Roman" w:hAnsi="Times New Roman" w:cs="Times New Roman"/>
          <w:i/>
          <w:sz w:val="24"/>
          <w:szCs w:val="24"/>
        </w:rPr>
        <w:t>less than one vehicle per worker</w:t>
      </w:r>
      <w:r w:rsidR="008E13F2" w:rsidRPr="00FF0CBE">
        <w:rPr>
          <w:rFonts w:ascii="Times New Roman" w:hAnsi="Times New Roman" w:cs="Times New Roman"/>
          <w:sz w:val="24"/>
          <w:szCs w:val="24"/>
        </w:rPr>
        <w:t xml:space="preserve">, </w:t>
      </w:r>
      <w:r w:rsidR="008E13F2" w:rsidRPr="003309EF">
        <w:rPr>
          <w:rFonts w:ascii="Times New Roman" w:hAnsi="Times New Roman" w:cs="Times New Roman"/>
          <w:i/>
          <w:sz w:val="24"/>
          <w:szCs w:val="24"/>
        </w:rPr>
        <w:t>one vehicle per worker</w:t>
      </w:r>
      <w:r w:rsidR="008E13F2" w:rsidRPr="00FF0CBE">
        <w:rPr>
          <w:rFonts w:ascii="Times New Roman" w:hAnsi="Times New Roman" w:cs="Times New Roman"/>
          <w:sz w:val="24"/>
          <w:szCs w:val="24"/>
        </w:rPr>
        <w:t>, and</w:t>
      </w:r>
      <w:r w:rsidR="008E13F2" w:rsidRPr="003309EF">
        <w:rPr>
          <w:rFonts w:ascii="Times New Roman" w:hAnsi="Times New Roman" w:cs="Times New Roman"/>
          <w:i/>
          <w:sz w:val="24"/>
          <w:szCs w:val="24"/>
        </w:rPr>
        <w:t xml:space="preserve"> more than one vehicle per worker</w:t>
      </w:r>
      <w:r w:rsidR="008E13F2" w:rsidRPr="003309EF">
        <w:rPr>
          <w:rFonts w:ascii="Times New Roman" w:hAnsi="Times New Roman" w:cs="Times New Roman"/>
          <w:sz w:val="24"/>
          <w:szCs w:val="24"/>
        </w:rPr>
        <w:t>. This definition is widely accepted in the literature as an indicator of vehicle availability or sufficiency for households with workers, because of the role that work schedules and commuting episodes play in shaping household activity schedules and task/vehicle allocation among household members (see, for example, Astroza et al., 2018).</w:t>
      </w:r>
      <w:r w:rsidR="00E2241D" w:rsidRPr="003309EF">
        <w:rPr>
          <w:rFonts w:ascii="Times New Roman" w:hAnsi="Times New Roman" w:cs="Times New Roman"/>
          <w:sz w:val="24"/>
          <w:szCs w:val="24"/>
        </w:rPr>
        <w:t xml:space="preserve"> </w:t>
      </w:r>
      <w:r w:rsidR="00492282" w:rsidRPr="003309EF">
        <w:rPr>
          <w:rFonts w:ascii="Times New Roman" w:hAnsi="Times New Roman" w:cs="Times New Roman"/>
          <w:sz w:val="24"/>
          <w:szCs w:val="24"/>
        </w:rPr>
        <w:t>The</w:t>
      </w:r>
      <w:r w:rsidR="00422F87" w:rsidRPr="003309EF">
        <w:rPr>
          <w:rFonts w:ascii="Times New Roman" w:hAnsi="Times New Roman" w:cs="Times New Roman"/>
          <w:sz w:val="24"/>
          <w:szCs w:val="24"/>
        </w:rPr>
        <w:t xml:space="preserve"> last</w:t>
      </w:r>
      <w:r w:rsidR="00492282" w:rsidRPr="003309EF">
        <w:rPr>
          <w:rFonts w:ascii="Times New Roman" w:hAnsi="Times New Roman" w:cs="Times New Roman"/>
          <w:sz w:val="24"/>
          <w:szCs w:val="24"/>
        </w:rPr>
        <w:t xml:space="preserve"> two co-endogenous</w:t>
      </w:r>
      <w:r w:rsidR="00693BA4" w:rsidRPr="003309EF">
        <w:rPr>
          <w:rFonts w:ascii="Times New Roman" w:hAnsi="Times New Roman" w:cs="Times New Roman"/>
          <w:sz w:val="24"/>
          <w:szCs w:val="24"/>
        </w:rPr>
        <w:t xml:space="preserve"> </w:t>
      </w:r>
      <w:r w:rsidR="00492282" w:rsidRPr="003309EF">
        <w:rPr>
          <w:rFonts w:ascii="Times New Roman" w:hAnsi="Times New Roman" w:cs="Times New Roman"/>
          <w:sz w:val="24"/>
          <w:szCs w:val="24"/>
        </w:rPr>
        <w:t xml:space="preserve">variables </w:t>
      </w:r>
      <w:r w:rsidR="00422F87" w:rsidRPr="003309EF">
        <w:rPr>
          <w:rFonts w:ascii="Times New Roman" w:hAnsi="Times New Roman" w:cs="Times New Roman"/>
          <w:sz w:val="24"/>
          <w:szCs w:val="24"/>
        </w:rPr>
        <w:t xml:space="preserve">(residential location and vehicle availability) </w:t>
      </w:r>
      <w:r w:rsidR="00492282" w:rsidRPr="003309EF">
        <w:rPr>
          <w:rFonts w:ascii="Times New Roman" w:hAnsi="Times New Roman" w:cs="Times New Roman"/>
          <w:sz w:val="24"/>
          <w:szCs w:val="24"/>
        </w:rPr>
        <w:t>are considered in our analysis to account for the possibility that residential location and vehicle availability, along with ride-hailing behavior, are determined as a choice bundle</w:t>
      </w:r>
      <w:r w:rsidR="00422F87" w:rsidRPr="003309EF">
        <w:rPr>
          <w:rFonts w:ascii="Times New Roman" w:hAnsi="Times New Roman" w:cs="Times New Roman"/>
          <w:sz w:val="24"/>
          <w:szCs w:val="24"/>
        </w:rPr>
        <w:t>,</w:t>
      </w:r>
      <w:r w:rsidR="00492282" w:rsidRPr="003309EF">
        <w:rPr>
          <w:rFonts w:ascii="Times New Roman" w:hAnsi="Times New Roman" w:cs="Times New Roman"/>
          <w:sz w:val="24"/>
          <w:szCs w:val="24"/>
        </w:rPr>
        <w:t xml:space="preserve"> and to accommodate for any self-selection effects in the influence of residential location and vehicle ownership on ride-hailing behavior (our expectation, though, is that these self-selection effects will be rather small, because ride-hailing is a relatively recent mobility option available within the past five years, while residential location and vehicle ownership decisions are typically made at longer time intervals than five years).</w:t>
      </w:r>
      <w:r w:rsidR="000845BB" w:rsidRPr="003309EF">
        <w:rPr>
          <w:rFonts w:ascii="Times New Roman" w:hAnsi="Times New Roman" w:cs="Times New Roman"/>
          <w:sz w:val="24"/>
          <w:szCs w:val="24"/>
        </w:rPr>
        <w:t xml:space="preserve"> Exogenous socio-demographic characteristics and four endogenous stochastic latent constructs representing attitudinal and lifestyle characteristics of the individual (</w:t>
      </w:r>
      <w:r w:rsidR="00F00E09" w:rsidRPr="003309EF">
        <w:rPr>
          <w:rFonts w:ascii="Times New Roman" w:hAnsi="Times New Roman" w:cs="Times New Roman"/>
          <w:sz w:val="24"/>
          <w:szCs w:val="24"/>
        </w:rPr>
        <w:t>privacy-sensitivity, technology-savviness, variety-seeking lifestyle propensity, and green lifestyle propensity</w:t>
      </w:r>
      <w:r w:rsidR="00456DAC" w:rsidRPr="003309EF">
        <w:rPr>
          <w:rFonts w:ascii="Times New Roman" w:hAnsi="Times New Roman" w:cs="Times New Roman"/>
          <w:sz w:val="24"/>
          <w:szCs w:val="24"/>
        </w:rPr>
        <w:t xml:space="preserve">, described in </w:t>
      </w:r>
      <w:r w:rsidR="00E47C39">
        <w:rPr>
          <w:rFonts w:ascii="Times New Roman" w:hAnsi="Times New Roman" w:cs="Times New Roman"/>
          <w:sz w:val="24"/>
          <w:szCs w:val="24"/>
        </w:rPr>
        <w:t>S</w:t>
      </w:r>
      <w:r w:rsidR="00456DAC" w:rsidRPr="003309EF">
        <w:rPr>
          <w:rFonts w:ascii="Times New Roman" w:hAnsi="Times New Roman" w:cs="Times New Roman"/>
          <w:sz w:val="24"/>
          <w:szCs w:val="24"/>
        </w:rPr>
        <w:t>ection 2.</w:t>
      </w:r>
      <w:r w:rsidR="00E47C39">
        <w:rPr>
          <w:rFonts w:ascii="Times New Roman" w:hAnsi="Times New Roman" w:cs="Times New Roman"/>
          <w:sz w:val="24"/>
          <w:szCs w:val="24"/>
        </w:rPr>
        <w:t>2</w:t>
      </w:r>
      <w:r w:rsidR="00456DAC" w:rsidRPr="003309EF">
        <w:rPr>
          <w:rFonts w:ascii="Times New Roman" w:hAnsi="Times New Roman" w:cs="Times New Roman"/>
          <w:sz w:val="24"/>
          <w:szCs w:val="24"/>
        </w:rPr>
        <w:t>.1</w:t>
      </w:r>
      <w:r w:rsidR="000845BB" w:rsidRPr="003309EF">
        <w:rPr>
          <w:rFonts w:ascii="Times New Roman" w:hAnsi="Times New Roman" w:cs="Times New Roman"/>
          <w:sz w:val="24"/>
          <w:szCs w:val="24"/>
        </w:rPr>
        <w:t>) are used as determinants of the four endogenous variables of interest</w:t>
      </w:r>
      <w:r w:rsidR="00456DAC" w:rsidRPr="003309EF">
        <w:rPr>
          <w:rFonts w:ascii="Times New Roman" w:hAnsi="Times New Roman" w:cs="Times New Roman"/>
          <w:sz w:val="24"/>
          <w:szCs w:val="24"/>
        </w:rPr>
        <w:t>.</w:t>
      </w:r>
      <w:r w:rsidR="00D86500" w:rsidRPr="003309EF">
        <w:rPr>
          <w:rFonts w:ascii="Times New Roman" w:hAnsi="Times New Roman" w:cs="Times New Roman"/>
          <w:sz w:val="24"/>
          <w:szCs w:val="24"/>
        </w:rPr>
        <w:t xml:space="preserve"> </w:t>
      </w:r>
    </w:p>
    <w:p w14:paraId="64B66FFD" w14:textId="6B94C530" w:rsidR="00245933" w:rsidRDefault="00D86500" w:rsidP="003309EF">
      <w:pPr>
        <w:ind w:firstLine="720"/>
      </w:pPr>
      <w:r>
        <w:t>The modeling methodology adopted is based on the Generalized Heterogeneous Data Model (GHDM) developed by Bhat (2015a), which allows for the joint estimation of multiple outcomes of different types (continuous, ordinal, count and nominal) by establishing a parsimonious dependence structure through stochastic latent variables</w:t>
      </w:r>
      <w:r w:rsidR="003563F8">
        <w:t xml:space="preserve"> (note that in the current application, there are only ordinal and nominal outcomes). </w:t>
      </w:r>
      <w:r w:rsidR="00A67D54">
        <w:t>T</w:t>
      </w:r>
      <w:r w:rsidR="000256F3">
        <w:t xml:space="preserve">he dependence </w:t>
      </w:r>
      <w:r w:rsidR="00854108">
        <w:t>structure,</w:t>
      </w:r>
      <w:r w:rsidR="00AD052A">
        <w:t xml:space="preserve"> </w:t>
      </w:r>
      <w:r w:rsidR="00854108">
        <w:t>variable</w:t>
      </w:r>
      <w:r w:rsidR="00EF7F58">
        <w:t xml:space="preserve"> representation</w:t>
      </w:r>
      <w:r w:rsidR="00AD052A">
        <w:t xml:space="preserve"> formulation</w:t>
      </w:r>
      <w:r w:rsidR="00EF7F58">
        <w:t xml:space="preserve">, and endogeneity hierarchy of the model are presented in </w:t>
      </w:r>
      <w:r>
        <w:t>Figure 1</w:t>
      </w:r>
      <w:r w:rsidR="00842FB4">
        <w:t xml:space="preserve"> </w:t>
      </w:r>
      <w:r w:rsidR="00EF7F58">
        <w:t xml:space="preserve">and discussed in detail </w:t>
      </w:r>
      <w:r w:rsidR="00D22153">
        <w:t xml:space="preserve">in </w:t>
      </w:r>
      <w:r w:rsidR="00E47C39">
        <w:t>S</w:t>
      </w:r>
      <w:r w:rsidR="00D22153">
        <w:t>ection 2.</w:t>
      </w:r>
      <w:r w:rsidR="00E47C39">
        <w:t>2</w:t>
      </w:r>
      <w:r w:rsidR="00D22153">
        <w:t>.2</w:t>
      </w:r>
      <w:r w:rsidR="00245933">
        <w:t>.</w:t>
      </w:r>
    </w:p>
    <w:p w14:paraId="32C69BA3" w14:textId="4C549A76" w:rsidR="00D402D8" w:rsidRDefault="00A80561" w:rsidP="003309EF">
      <w:pPr>
        <w:ind w:firstLine="720"/>
      </w:pPr>
      <w:r>
        <w:t xml:space="preserve"> </w:t>
      </w:r>
    </w:p>
    <w:p w14:paraId="084D7DB5" w14:textId="72029EAC" w:rsidR="002D5965" w:rsidRDefault="007015C5" w:rsidP="00E47C39">
      <w:pPr>
        <w:pStyle w:val="ListParagraph"/>
        <w:keepNext/>
        <w:numPr>
          <w:ilvl w:val="2"/>
          <w:numId w:val="23"/>
        </w:numPr>
        <w:ind w:left="540" w:hanging="540"/>
        <w:rPr>
          <w:i/>
        </w:rPr>
      </w:pPr>
      <w:r w:rsidRPr="00801DD9">
        <w:rPr>
          <w:i/>
        </w:rPr>
        <w:lastRenderedPageBreak/>
        <w:t>A</w:t>
      </w:r>
      <w:r w:rsidR="002D5965" w:rsidRPr="00801DD9">
        <w:rPr>
          <w:i/>
        </w:rPr>
        <w:t xml:space="preserve">ttitudinal </w:t>
      </w:r>
      <w:r w:rsidR="001358BC">
        <w:rPr>
          <w:i/>
        </w:rPr>
        <w:t>and L</w:t>
      </w:r>
      <w:r w:rsidRPr="00801DD9">
        <w:rPr>
          <w:i/>
        </w:rPr>
        <w:t xml:space="preserve">ifestyle </w:t>
      </w:r>
      <w:r w:rsidR="001358BC">
        <w:rPr>
          <w:i/>
        </w:rPr>
        <w:t>L</w:t>
      </w:r>
      <w:r w:rsidR="002D5965" w:rsidRPr="00801DD9">
        <w:rPr>
          <w:i/>
        </w:rPr>
        <w:t xml:space="preserve">atent </w:t>
      </w:r>
      <w:r w:rsidR="001358BC">
        <w:rPr>
          <w:i/>
        </w:rPr>
        <w:t>C</w:t>
      </w:r>
      <w:r w:rsidRPr="00801DD9">
        <w:rPr>
          <w:i/>
        </w:rPr>
        <w:t>onstructs</w:t>
      </w:r>
    </w:p>
    <w:p w14:paraId="2CC6BE75" w14:textId="77777777" w:rsidR="00CD356C" w:rsidRDefault="00A40310" w:rsidP="00E77EE2">
      <w:pPr>
        <w:keepNext/>
      </w:pPr>
      <w:r>
        <w:t xml:space="preserve">Four attitudinal and lifestyle latent constructs are considered in </w:t>
      </w:r>
      <w:r w:rsidR="00CC6BE1">
        <w:t>our</w:t>
      </w:r>
      <w:r>
        <w:t xml:space="preserve"> framework: privacy-sensitivity, technology-savviness, variety-seeking</w:t>
      </w:r>
      <w:r w:rsidR="002B5A06">
        <w:t xml:space="preserve"> lifestyle propensity (VSLP)</w:t>
      </w:r>
      <w:r>
        <w:t>, and green lifestyle</w:t>
      </w:r>
      <w:r w:rsidR="002B5A06">
        <w:t xml:space="preserve"> propensity (GLP)</w:t>
      </w:r>
      <w:r>
        <w:t xml:space="preserve">. </w:t>
      </w:r>
      <w:r w:rsidR="009A21C7">
        <w:t>These a</w:t>
      </w:r>
      <w:r w:rsidR="00CC6BE1">
        <w:t xml:space="preserve">re identified based on </w:t>
      </w:r>
      <w:r w:rsidR="00CC6BE1" w:rsidRPr="00C34C68">
        <w:t xml:space="preserve">earlier studies </w:t>
      </w:r>
      <w:r w:rsidR="00CC6BE1">
        <w:t xml:space="preserve">in transportation as well as </w:t>
      </w:r>
      <w:r w:rsidR="00E46EF7">
        <w:t xml:space="preserve">in the </w:t>
      </w:r>
      <w:r w:rsidR="00CC6BE1">
        <w:t>ethnograp</w:t>
      </w:r>
      <w:r w:rsidR="005C5081">
        <w:t>h</w:t>
      </w:r>
      <w:r w:rsidR="00CC6BE1">
        <w:t xml:space="preserve">y </w:t>
      </w:r>
      <w:r w:rsidR="00E46EF7">
        <w:t xml:space="preserve">field </w:t>
      </w:r>
      <w:r w:rsidR="00CC6BE1">
        <w:t xml:space="preserve">that </w:t>
      </w:r>
      <w:r w:rsidR="009A21C7">
        <w:t xml:space="preserve">recognize these psycho-social constructs as important determinants of travel-related and technology-use patterns. For instance, </w:t>
      </w:r>
      <w:r w:rsidR="008C7E48">
        <w:t>the first latent construct</w:t>
      </w:r>
      <w:r w:rsidR="006D6EB6">
        <w:t xml:space="preserve">, </w:t>
      </w:r>
      <w:r w:rsidR="00AD46DD">
        <w:t>privacy</w:t>
      </w:r>
      <w:r w:rsidR="009A21C7">
        <w:t>-sensitivity</w:t>
      </w:r>
      <w:r w:rsidR="00AD46DD">
        <w:t xml:space="preserve"> ha</w:t>
      </w:r>
      <w:r w:rsidR="009A21C7">
        <w:t>s</w:t>
      </w:r>
      <w:r w:rsidR="00AD46DD">
        <w:t xml:space="preserve"> been acknowledged and included in multiple transportation studies that investigate </w:t>
      </w:r>
      <w:r w:rsidR="005D19AD">
        <w:t xml:space="preserve">public </w:t>
      </w:r>
      <w:r w:rsidR="00AD46DD">
        <w:t>transit</w:t>
      </w:r>
      <w:r w:rsidR="00AA0C91">
        <w:t xml:space="preserve"> use (Hunecke et al., 2010; Hau</w:t>
      </w:r>
      <w:r w:rsidR="00AD46DD">
        <w:t>stein, 2012; Spears et al., 2013). This is because one of the main aspects of th</w:t>
      </w:r>
      <w:r w:rsidR="005D19AD">
        <w:t>e public transit</w:t>
      </w:r>
      <w:r w:rsidR="00AD46DD">
        <w:t xml:space="preserve"> mode that may discourage use is the presence of strangers in a shared space. </w:t>
      </w:r>
      <w:r>
        <w:t xml:space="preserve">Although ride-hailing is </w:t>
      </w:r>
      <w:r w:rsidR="009A21C7">
        <w:t xml:space="preserve">a </w:t>
      </w:r>
      <w:r>
        <w:t xml:space="preserve">car-based transportation mode, individuals </w:t>
      </w:r>
      <w:r w:rsidR="009A21C7">
        <w:t>travel with the driver</w:t>
      </w:r>
      <w:r>
        <w:t xml:space="preserve">. </w:t>
      </w:r>
      <w:r w:rsidR="00DD30C1">
        <w:t>Hence</w:t>
      </w:r>
      <w:r>
        <w:t>, u</w:t>
      </w:r>
      <w:r w:rsidR="00CD5DCB">
        <w:t xml:space="preserve">nderstanding how much individuals value being in private environments is a key element to </w:t>
      </w:r>
      <w:r w:rsidR="00165139">
        <w:t>predicting</w:t>
      </w:r>
      <w:r w:rsidR="00CD5DCB">
        <w:t xml:space="preserve"> the </w:t>
      </w:r>
      <w:r>
        <w:t>adoption of ride-hailing</w:t>
      </w:r>
      <w:r w:rsidR="00A62C92">
        <w:t xml:space="preserve">, especially the use of </w:t>
      </w:r>
      <w:r>
        <w:t>pooled ride</w:t>
      </w:r>
      <w:r w:rsidR="00A62C92">
        <w:t>-hailing</w:t>
      </w:r>
      <w:r>
        <w:t xml:space="preserve">. </w:t>
      </w:r>
      <w:r w:rsidR="004C5C89">
        <w:t xml:space="preserve">Controlling for privacy-sensitivity is also important because concerns about sharing spaces with strangers influence people’s residential location and vehicle </w:t>
      </w:r>
      <w:r w:rsidR="00E46EF7">
        <w:t xml:space="preserve">availability (through ownership) </w:t>
      </w:r>
      <w:r w:rsidR="004C5C89">
        <w:t xml:space="preserve">choices </w:t>
      </w:r>
      <w:r w:rsidR="00535FBA">
        <w:t xml:space="preserve">as </w:t>
      </w:r>
      <w:r w:rsidR="00535FBA">
        <w:rPr>
          <w:rFonts w:ascii="TimesNewRomanPSMT" w:hAnsi="TimesNewRomanPSMT" w:cs="TimesNewRomanPSMT"/>
          <w:szCs w:val="24"/>
        </w:rPr>
        <w:t xml:space="preserve">privacy </w:t>
      </w:r>
      <w:r w:rsidR="00E46EF7">
        <w:rPr>
          <w:rFonts w:ascii="TimesNewRomanPSMT" w:hAnsi="TimesNewRomanPSMT" w:cs="TimesNewRomanPSMT"/>
          <w:szCs w:val="24"/>
        </w:rPr>
        <w:t>is strongly related to spaciousness</w:t>
      </w:r>
      <w:r w:rsidR="00535FBA">
        <w:rPr>
          <w:rFonts w:ascii="TimesNewRomanPSMT" w:hAnsi="TimesNewRomanPSMT" w:cs="TimesNewRomanPSMT"/>
          <w:szCs w:val="24"/>
        </w:rPr>
        <w:t xml:space="preserve"> and exclusivity</w:t>
      </w:r>
      <w:r w:rsidR="00535FBA">
        <w:t xml:space="preserve"> </w:t>
      </w:r>
      <w:r w:rsidR="00E46EF7">
        <w:t>considerations, with individuals with a stronger privacy disposition locating</w:t>
      </w:r>
      <w:r w:rsidR="00E46EF7" w:rsidRPr="00A2598D">
        <w:t xml:space="preserve"> in </w:t>
      </w:r>
      <w:r w:rsidR="00E46EF7">
        <w:t xml:space="preserve">low to </w:t>
      </w:r>
      <w:r w:rsidR="00E46EF7" w:rsidRPr="00A2598D">
        <w:t>medium density neighborhoods</w:t>
      </w:r>
      <w:r w:rsidR="00E46EF7">
        <w:t xml:space="preserve"> and own</w:t>
      </w:r>
      <w:r w:rsidR="005D19AD">
        <w:t>ing</w:t>
      </w:r>
      <w:r w:rsidR="00E46EF7">
        <w:t xml:space="preserve"> many vehicles (see, for example, Bhat et al., 2016 and Bhat, 2015</w:t>
      </w:r>
      <w:r w:rsidR="00744D5E">
        <w:t>b</w:t>
      </w:r>
      <w:r w:rsidR="00E46EF7">
        <w:t xml:space="preserve">). </w:t>
      </w:r>
      <w:r w:rsidR="004C5C89">
        <w:t>Th</w:t>
      </w:r>
      <w:r w:rsidR="00E46EF7">
        <w:t>us, including</w:t>
      </w:r>
      <w:r w:rsidR="004C5C89">
        <w:t xml:space="preserve"> </w:t>
      </w:r>
      <w:r w:rsidR="00CA7E28">
        <w:t xml:space="preserve">this construct is important </w:t>
      </w:r>
      <w:r w:rsidR="004C5C89">
        <w:t xml:space="preserve">to avoid the overestimation of </w:t>
      </w:r>
      <w:r w:rsidR="00E46EF7">
        <w:t xml:space="preserve">any positive </w:t>
      </w:r>
      <w:r w:rsidR="004C5C89">
        <w:t xml:space="preserve">impacts of </w:t>
      </w:r>
      <w:r w:rsidR="005C3A1F">
        <w:t xml:space="preserve">dense </w:t>
      </w:r>
      <w:r w:rsidR="004C5C89">
        <w:t xml:space="preserve">residential location and </w:t>
      </w:r>
      <w:r w:rsidR="005C3A1F">
        <w:t xml:space="preserve">low </w:t>
      </w:r>
      <w:r w:rsidR="004C5C89">
        <w:t>vehicle ownership on ride-hailing use</w:t>
      </w:r>
      <w:r w:rsidR="00CA7E28">
        <w:t>.</w:t>
      </w:r>
      <w:r w:rsidR="004C5C89">
        <w:t xml:space="preserve"> </w:t>
      </w:r>
    </w:p>
    <w:p w14:paraId="2E677A28" w14:textId="77777777" w:rsidR="00FF0D38" w:rsidRDefault="008C7E48" w:rsidP="00CD356C">
      <w:pPr>
        <w:keepNext/>
        <w:ind w:firstLine="720"/>
      </w:pPr>
      <w:r>
        <w:t>The second latent construct, tech-savviness, re</w:t>
      </w:r>
      <w:r w:rsidR="00521652">
        <w:t>presents</w:t>
      </w:r>
      <w:r>
        <w:t xml:space="preserve"> the individual</w:t>
      </w:r>
      <w:r w:rsidR="00521652">
        <w:t>’</w:t>
      </w:r>
      <w:r>
        <w:t>s familiarity and affinity with technology, in our case, information and communication technologies (ICTs). This latent construct is relevant because</w:t>
      </w:r>
      <w:r w:rsidR="00E46EF7">
        <w:t>,</w:t>
      </w:r>
      <w:r>
        <w:t xml:space="preserve"> to </w:t>
      </w:r>
      <w:r w:rsidR="00521652">
        <w:t>hail a</w:t>
      </w:r>
      <w:r>
        <w:t xml:space="preserve"> ride</w:t>
      </w:r>
      <w:r w:rsidR="00E46EF7">
        <w:t>,</w:t>
      </w:r>
      <w:r>
        <w:t xml:space="preserve"> the individual</w:t>
      </w:r>
      <w:r w:rsidR="005D19AD">
        <w:t xml:space="preserve"> needs to</w:t>
      </w:r>
      <w:r>
        <w:t xml:space="preserve"> use a smartphone app. Indeed, </w:t>
      </w:r>
      <w:r w:rsidR="00830C20">
        <w:t>p</w:t>
      </w:r>
      <w:r>
        <w:t>revious stud</w:t>
      </w:r>
      <w:r w:rsidR="00397800">
        <w:t>ies</w:t>
      </w:r>
      <w:r w:rsidR="00397800" w:rsidRPr="00397800">
        <w:t xml:space="preserve"> </w:t>
      </w:r>
      <w:r w:rsidR="00E46EF7">
        <w:t xml:space="preserve">have </w:t>
      </w:r>
      <w:r w:rsidR="00397800">
        <w:t xml:space="preserve">found a significant and positive impact of tech-savviness on ride-hailing experience </w:t>
      </w:r>
      <w:r w:rsidR="006B7D61">
        <w:t xml:space="preserve">and smart phone use </w:t>
      </w:r>
      <w:r w:rsidR="00397800">
        <w:t>(Alemi et al., 201</w:t>
      </w:r>
      <w:r w:rsidR="00F80571">
        <w:t>8b</w:t>
      </w:r>
      <w:r w:rsidR="00397800">
        <w:t xml:space="preserve">; </w:t>
      </w:r>
      <w:r>
        <w:t>Lavieri et al.</w:t>
      </w:r>
      <w:r w:rsidR="00397800">
        <w:t>, 2017</w:t>
      </w:r>
      <w:r w:rsidR="006B7D61">
        <w:t>; Astroza et al., 2017</w:t>
      </w:r>
      <w:r w:rsidR="00397800">
        <w:t>).</w:t>
      </w:r>
      <w:r w:rsidR="00830C20">
        <w:t xml:space="preserve"> </w:t>
      </w:r>
      <w:r w:rsidR="00E46EF7">
        <w:t>The third construct, v</w:t>
      </w:r>
      <w:r w:rsidR="00830C20">
        <w:t xml:space="preserve">ariety-seeking lifestyle </w:t>
      </w:r>
      <w:r w:rsidR="0000172B">
        <w:t xml:space="preserve">propensity (VSLP) </w:t>
      </w:r>
      <w:r w:rsidR="00830C20">
        <w:t xml:space="preserve">represents the individual’s interest in </w:t>
      </w:r>
      <w:r w:rsidR="006B7D61">
        <w:t>explor</w:t>
      </w:r>
      <w:r w:rsidR="005D19AD">
        <w:t>ation</w:t>
      </w:r>
      <w:r w:rsidR="00830C20">
        <w:t>, and his/her openness to</w:t>
      </w:r>
      <w:r w:rsidR="00830C20" w:rsidRPr="00830C20">
        <w:t xml:space="preserve"> </w:t>
      </w:r>
      <w:r w:rsidR="00830C20">
        <w:t xml:space="preserve">new experiences </w:t>
      </w:r>
      <w:r w:rsidR="0009389E">
        <w:t xml:space="preserve">and </w:t>
      </w:r>
      <w:r w:rsidR="00830C20">
        <w:t>change</w:t>
      </w:r>
      <w:r w:rsidR="0009389E">
        <w:t>s</w:t>
      </w:r>
      <w:r w:rsidR="006B7D61">
        <w:t xml:space="preserve">. </w:t>
      </w:r>
      <w:r w:rsidR="00830C20">
        <w:t>This construct has also been used in a past ride-hailing study (Alemi et al., 201</w:t>
      </w:r>
      <w:r w:rsidR="00F80571">
        <w:t>8b</w:t>
      </w:r>
      <w:r w:rsidR="00830C20">
        <w:t xml:space="preserve">) and is important to capture </w:t>
      </w:r>
      <w:r w:rsidR="006B7D61">
        <w:t>intrinsic</w:t>
      </w:r>
      <w:r w:rsidR="00830C20">
        <w:t xml:space="preserve"> heterogeneity </w:t>
      </w:r>
      <w:r w:rsidR="006B7D61">
        <w:t xml:space="preserve">in the </w:t>
      </w:r>
      <w:r w:rsidR="00721DD4" w:rsidRPr="00721DD4">
        <w:t xml:space="preserve">willingness to deviate from </w:t>
      </w:r>
      <w:r w:rsidR="00721DD4">
        <w:t xml:space="preserve">travel </w:t>
      </w:r>
      <w:r w:rsidR="00721DD4" w:rsidRPr="00721DD4">
        <w:t>habits</w:t>
      </w:r>
      <w:r w:rsidR="00721DD4">
        <w:t xml:space="preserve"> and </w:t>
      </w:r>
      <w:r w:rsidR="00830C20">
        <w:t>mode inertia</w:t>
      </w:r>
      <w:r w:rsidR="00721DD4">
        <w:t xml:space="preserve"> (Tudela et al., 2011; </w:t>
      </w:r>
      <w:r w:rsidR="00721DD4" w:rsidRPr="00721DD4">
        <w:t>Rieser-Schüssler and Axhausen</w:t>
      </w:r>
      <w:r w:rsidR="00721DD4">
        <w:t>, 2012)</w:t>
      </w:r>
      <w:r w:rsidR="00830C20">
        <w:t xml:space="preserve">. </w:t>
      </w:r>
      <w:r w:rsidR="006B7D61">
        <w:t>The construct has been widely used within the theory of basic</w:t>
      </w:r>
      <w:r w:rsidR="005C5081">
        <w:t xml:space="preserve"> human values in the cultural-p</w:t>
      </w:r>
      <w:r w:rsidR="006B7D61">
        <w:t>s</w:t>
      </w:r>
      <w:r w:rsidR="005C5081">
        <w:t>y</w:t>
      </w:r>
      <w:r w:rsidR="006B7D61">
        <w:t xml:space="preserve">chology field, and two of the indicators used in our survey to measure this construct are based on Schwartz’s core value measures of openness to change (see Schwartz et al., 2001). </w:t>
      </w:r>
    </w:p>
    <w:p w14:paraId="1FDC32CA" w14:textId="4D508265" w:rsidR="004C5C89" w:rsidRDefault="00DD30C1" w:rsidP="00CD356C">
      <w:pPr>
        <w:keepNext/>
        <w:ind w:firstLine="720"/>
      </w:pPr>
      <w:r>
        <w:t>Finally,</w:t>
      </w:r>
      <w:r w:rsidR="00F35C59">
        <w:t xml:space="preserve"> </w:t>
      </w:r>
      <w:r w:rsidR="00844CD1">
        <w:t xml:space="preserve">the </w:t>
      </w:r>
      <w:r w:rsidR="00F35C59">
        <w:t xml:space="preserve">green lifestyle </w:t>
      </w:r>
      <w:r w:rsidR="0000172B">
        <w:t xml:space="preserve">propensity (GLP) </w:t>
      </w:r>
      <w:r w:rsidR="00844CD1">
        <w:t xml:space="preserve">construct is used to capture individuals’ tendencies toward environmentally friendly behaviors such as reduced use of </w:t>
      </w:r>
      <w:r w:rsidR="009510A7">
        <w:t>drive-alone modes</w:t>
      </w:r>
      <w:r w:rsidR="005C3A1F">
        <w:t>, reduced car ownership,</w:t>
      </w:r>
      <w:r w:rsidR="009510A7">
        <w:t xml:space="preserve"> </w:t>
      </w:r>
      <w:r w:rsidR="005C3A1F">
        <w:t>and increased</w:t>
      </w:r>
      <w:r w:rsidR="00844CD1">
        <w:t xml:space="preserve"> preference for </w:t>
      </w:r>
      <w:r w:rsidR="009510A7">
        <w:t xml:space="preserve">dense and </w:t>
      </w:r>
      <w:r w:rsidR="00844CD1">
        <w:t>walkable neighborhoods</w:t>
      </w:r>
      <w:r w:rsidR="009510A7">
        <w:t>. This latent variable is probably the most commonly used lifestyle factor in travel behavior studies (see for example, Van Acker et al., 2014</w:t>
      </w:r>
      <w:r w:rsidR="00C17B6E">
        <w:t xml:space="preserve">; </w:t>
      </w:r>
      <w:r w:rsidR="005C3A1F">
        <w:t>Bhat, 2015</w:t>
      </w:r>
      <w:r w:rsidR="00264707">
        <w:t>b</w:t>
      </w:r>
      <w:r w:rsidR="0049239E">
        <w:t>;</w:t>
      </w:r>
      <w:r w:rsidR="005C3A1F">
        <w:t xml:space="preserve"> </w:t>
      </w:r>
      <w:r w:rsidR="00C17B6E">
        <w:t>Lavieri et al., 2017; Ye and Titheridge, 2017</w:t>
      </w:r>
      <w:r w:rsidR="009510A7">
        <w:t xml:space="preserve">). </w:t>
      </w:r>
      <w:r w:rsidR="00F35C59">
        <w:lastRenderedPageBreak/>
        <w:t xml:space="preserve">Similar to privacy-sensitivity, controlling for </w:t>
      </w:r>
      <w:r w:rsidR="001825D9">
        <w:t>VSLP</w:t>
      </w:r>
      <w:r w:rsidR="00F35C59">
        <w:t xml:space="preserve"> and </w:t>
      </w:r>
      <w:r w:rsidR="001825D9">
        <w:t>GLP</w:t>
      </w:r>
      <w:r w:rsidR="00F35C59">
        <w:t xml:space="preserve"> is fundamental to capture potential self-selection effects that could bias the impacts of residential density and vehicle ownership on ride-hailing behavior.</w:t>
      </w:r>
      <w:r w:rsidR="00FF0D38">
        <w:t xml:space="preserve"> A list of the indicators </w:t>
      </w:r>
      <w:r w:rsidR="00023250">
        <w:t>associated</w:t>
      </w:r>
      <w:r w:rsidR="0003098B">
        <w:t xml:space="preserve"> with</w:t>
      </w:r>
      <w:r w:rsidR="00FF0D38">
        <w:t xml:space="preserve"> each </w:t>
      </w:r>
      <w:r w:rsidR="008D253A">
        <w:t xml:space="preserve">latent </w:t>
      </w:r>
      <w:r w:rsidR="00FF0D38">
        <w:t xml:space="preserve">construct is presented at the bottom of Figure 1.  </w:t>
      </w:r>
      <w:r w:rsidR="00F35C59">
        <w:t xml:space="preserve">  </w:t>
      </w:r>
      <w:r>
        <w:t xml:space="preserve">   </w:t>
      </w:r>
    </w:p>
    <w:p w14:paraId="429447FA" w14:textId="77777777" w:rsidR="00CC6BE1" w:rsidRDefault="00CC6BE1" w:rsidP="004927DC"/>
    <w:p w14:paraId="7C73050A" w14:textId="6D5162CA" w:rsidR="009E5E18" w:rsidRPr="00801DD9" w:rsidRDefault="003E3B52" w:rsidP="00E47C39">
      <w:pPr>
        <w:pStyle w:val="ListParagraph"/>
        <w:numPr>
          <w:ilvl w:val="2"/>
          <w:numId w:val="23"/>
        </w:numPr>
        <w:ind w:left="540" w:hanging="540"/>
        <w:rPr>
          <w:i/>
        </w:rPr>
      </w:pPr>
      <w:r>
        <w:rPr>
          <w:i/>
        </w:rPr>
        <w:t>Model Structure and t</w:t>
      </w:r>
      <w:r w:rsidR="009E5E18" w:rsidRPr="00801DD9">
        <w:rPr>
          <w:i/>
        </w:rPr>
        <w:t xml:space="preserve">he Generalized Heterogeneous Data Model </w:t>
      </w:r>
      <w:r w:rsidR="00203D26">
        <w:rPr>
          <w:i/>
        </w:rPr>
        <w:t xml:space="preserve">(GHDM) </w:t>
      </w:r>
      <w:r w:rsidR="00D804EA">
        <w:rPr>
          <w:i/>
        </w:rPr>
        <w:t>A</w:t>
      </w:r>
      <w:r w:rsidR="009E5E18" w:rsidRPr="00801DD9">
        <w:rPr>
          <w:i/>
        </w:rPr>
        <w:t>pproach</w:t>
      </w:r>
    </w:p>
    <w:p w14:paraId="7770ED02" w14:textId="4CC891C4" w:rsidR="006A6661" w:rsidRDefault="002B5A23" w:rsidP="00F70AE4">
      <w:pPr>
        <w:rPr>
          <w:noProof/>
        </w:rPr>
      </w:pPr>
      <w:r>
        <w:t xml:space="preserve">The GHDM approach (Bhat, 2015a) enables us </w:t>
      </w:r>
      <w:r w:rsidRPr="007A6E28">
        <w:t xml:space="preserve">to investigate the relationship between ride-hailing adoption and </w:t>
      </w:r>
      <w:r>
        <w:t>other transportation decisions</w:t>
      </w:r>
      <w:r w:rsidR="00245933">
        <w:t>,</w:t>
      </w:r>
      <w:r>
        <w:t xml:space="preserve"> </w:t>
      </w:r>
      <w:r w:rsidRPr="007A6E28">
        <w:t xml:space="preserve">while controlling for observed and unobserved factors that simultaneously influence </w:t>
      </w:r>
      <w:r>
        <w:t xml:space="preserve">such decisions. </w:t>
      </w:r>
      <w:r w:rsidR="007A6E28" w:rsidRPr="00096BC0">
        <w:rPr>
          <w:noProof/>
        </w:rPr>
        <w:t xml:space="preserve">There are two components to the </w:t>
      </w:r>
      <w:r w:rsidR="00D05E38">
        <w:rPr>
          <w:noProof/>
        </w:rPr>
        <w:t xml:space="preserve">GHDM </w:t>
      </w:r>
      <w:r w:rsidR="007A6E28" w:rsidRPr="00096BC0">
        <w:rPr>
          <w:noProof/>
        </w:rPr>
        <w:t xml:space="preserve">model: (1) the latent variable </w:t>
      </w:r>
      <w:r w:rsidR="007A2F59">
        <w:rPr>
          <w:noProof/>
        </w:rPr>
        <w:t>structural equation model (</w:t>
      </w:r>
      <w:r w:rsidR="007A6E28" w:rsidRPr="00096BC0">
        <w:rPr>
          <w:noProof/>
        </w:rPr>
        <w:t>SEM</w:t>
      </w:r>
      <w:r w:rsidR="007A2F59">
        <w:rPr>
          <w:noProof/>
        </w:rPr>
        <w:t>)</w:t>
      </w:r>
      <w:r w:rsidR="007A6E28" w:rsidRPr="00096BC0">
        <w:rPr>
          <w:noProof/>
        </w:rPr>
        <w:t>, and (2) the latent variable measurement equation model</w:t>
      </w:r>
      <w:r w:rsidR="007A6E28">
        <w:rPr>
          <w:noProof/>
        </w:rPr>
        <w:t xml:space="preserve"> (MEM)</w:t>
      </w:r>
      <w:r w:rsidR="007A6E28" w:rsidRPr="00096BC0">
        <w:rPr>
          <w:noProof/>
        </w:rPr>
        <w:t xml:space="preserve">. </w:t>
      </w:r>
      <w:r w:rsidR="007A6E28">
        <w:rPr>
          <w:noProof/>
        </w:rPr>
        <w:t xml:space="preserve">As illustrated in Figure 1, the SEM component defines </w:t>
      </w:r>
      <w:r w:rsidR="00456039">
        <w:rPr>
          <w:noProof/>
        </w:rPr>
        <w:t xml:space="preserve">each </w:t>
      </w:r>
      <w:r w:rsidR="007A6E28">
        <w:rPr>
          <w:noProof/>
        </w:rPr>
        <w:t xml:space="preserve">latent </w:t>
      </w:r>
      <w:r w:rsidR="00456039">
        <w:rPr>
          <w:noProof/>
        </w:rPr>
        <w:t>construct</w:t>
      </w:r>
      <w:r w:rsidR="007A6E28">
        <w:rPr>
          <w:noProof/>
        </w:rPr>
        <w:t xml:space="preserve"> </w:t>
      </w:r>
      <w:r w:rsidR="00B14975">
        <w:rPr>
          <w:noProof/>
        </w:rPr>
        <w:t xml:space="preserve">(represented as ovals on the left side of the Figure) </w:t>
      </w:r>
      <w:r w:rsidR="007A6E28">
        <w:rPr>
          <w:noProof/>
        </w:rPr>
        <w:t xml:space="preserve">as </w:t>
      </w:r>
      <w:r w:rsidR="00456039">
        <w:rPr>
          <w:noProof/>
        </w:rPr>
        <w:t xml:space="preserve">a </w:t>
      </w:r>
      <w:r w:rsidR="007A6E28">
        <w:rPr>
          <w:noProof/>
        </w:rPr>
        <w:t>function of exogeneou</w:t>
      </w:r>
      <w:r w:rsidR="005A3FCB">
        <w:rPr>
          <w:noProof/>
        </w:rPr>
        <w:t>s socio-</w:t>
      </w:r>
      <w:r w:rsidR="00456039">
        <w:rPr>
          <w:noProof/>
        </w:rPr>
        <w:t>de</w:t>
      </w:r>
      <w:r w:rsidR="005A3FCB">
        <w:rPr>
          <w:noProof/>
        </w:rPr>
        <w:t>mographic</w:t>
      </w:r>
      <w:r w:rsidR="007A6E28">
        <w:rPr>
          <w:noProof/>
        </w:rPr>
        <w:t xml:space="preserve"> variables</w:t>
      </w:r>
      <w:r w:rsidR="00456039">
        <w:rPr>
          <w:noProof/>
        </w:rPr>
        <w:t xml:space="preserve"> and an unobserved error term. Each error term represent</w:t>
      </w:r>
      <w:r w:rsidR="00B14975">
        <w:rPr>
          <w:noProof/>
        </w:rPr>
        <w:t>s</w:t>
      </w:r>
      <w:r w:rsidR="00456039">
        <w:rPr>
          <w:noProof/>
        </w:rPr>
        <w:t xml:space="preserve"> the effect of unobserved individual factors on a specific latent construct. The unobserved factors are denoted by</w:t>
      </w:r>
      <w:r w:rsidR="00486B60">
        <w:rPr>
          <w:noProof/>
        </w:rPr>
        <w:t xml:space="preserve"> </w:t>
      </w:r>
      <w:r w:rsidR="00870360" w:rsidRPr="00456039">
        <w:rPr>
          <w:position w:val="-12"/>
        </w:rPr>
        <w:object w:dxaOrig="1700" w:dyaOrig="360" w14:anchorId="547D8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18.35pt" o:ole="" o:preferrelative="f">
            <v:imagedata r:id="rId11" o:title=""/>
            <o:lock v:ext="edit" aspectratio="f"/>
          </v:shape>
          <o:OLEObject Type="Embed" ProgID="Equation.DSMT4" ShapeID="_x0000_i1025" DrawAspect="Content" ObjectID="_1620730222" r:id="rId12"/>
        </w:object>
      </w:r>
      <w:r w:rsidR="007A6E28">
        <w:rPr>
          <w:noProof/>
        </w:rPr>
        <w:t xml:space="preserve"> </w:t>
      </w:r>
      <w:r w:rsidR="00456039">
        <w:rPr>
          <w:noProof/>
        </w:rPr>
        <w:t xml:space="preserve">and collected, as shown toward the left side bottom of Figure 1, in a vector </w:t>
      </w:r>
      <w:r w:rsidR="00456039" w:rsidRPr="00456039">
        <w:rPr>
          <w:position w:val="-10"/>
        </w:rPr>
        <w:object w:dxaOrig="200" w:dyaOrig="260" w14:anchorId="702EF79C">
          <v:shape id="_x0000_i1026" type="#_x0000_t75" style="width:10.2pt;height:13.6pt" o:ole="" o:preferrelative="f">
            <v:imagedata r:id="rId13" o:title=""/>
            <o:lock v:ext="edit" aspectratio="f"/>
          </v:shape>
          <o:OLEObject Type="Embed" ProgID="Equation.DSMT4" ShapeID="_x0000_i1026" DrawAspect="Content" ObjectID="_1620730223" r:id="rId14"/>
        </w:object>
      </w:r>
      <w:r w:rsidR="00456039">
        <w:t xml:space="preserve"> assumed to be multivariate standa</w:t>
      </w:r>
      <w:r w:rsidR="00486B60">
        <w:t>rd normal with a mean vector of</w:t>
      </w:r>
      <w:r w:rsidR="00456039">
        <w:t xml:space="preserve"> </w:t>
      </w:r>
      <w:r w:rsidR="00486B60" w:rsidRPr="00486B60">
        <w:rPr>
          <w:b/>
        </w:rPr>
        <w:t>0</w:t>
      </w:r>
      <w:r w:rsidR="00486B60">
        <w:t xml:space="preserve"> </w:t>
      </w:r>
      <w:r w:rsidR="00456039">
        <w:t xml:space="preserve">and a correlation matrix of </w:t>
      </w:r>
      <w:r w:rsidR="00486B60" w:rsidRPr="00456039">
        <w:rPr>
          <w:position w:val="-4"/>
        </w:rPr>
        <w:object w:dxaOrig="240" w:dyaOrig="260" w14:anchorId="4F49EE29">
          <v:shape id="_x0000_i1027" type="#_x0000_t75" style="width:12.25pt;height:12.9pt" o:ole="" o:preferrelative="f">
            <v:imagedata r:id="rId15" o:title=""/>
            <o:lock v:ext="edit" aspectratio="f"/>
          </v:shape>
          <o:OLEObject Type="Embed" ProgID="Equation.DSMT4" ShapeID="_x0000_i1027" DrawAspect="Content" ObjectID="_1620730224" r:id="rId16"/>
        </w:object>
      </w:r>
      <w:r w:rsidR="008F271F">
        <w:t xml:space="preserve"> with six possible correlation elements </w:t>
      </w:r>
      <w:r w:rsidR="00456039">
        <w:t xml:space="preserve">(note that, due to identification considerations, the variances of the individual </w:t>
      </w:r>
      <w:r w:rsidR="00456039" w:rsidRPr="00456039">
        <w:rPr>
          <w:position w:val="-10"/>
        </w:rPr>
        <w:object w:dxaOrig="200" w:dyaOrig="260" w14:anchorId="5CDA24C0">
          <v:shape id="_x0000_i1028" type="#_x0000_t75" style="width:10.2pt;height:13.6pt" o:ole="" o:preferrelative="f">
            <v:imagedata r:id="rId13" o:title=""/>
            <o:lock v:ext="edit" aspectratio="f"/>
          </v:shape>
          <o:OLEObject Type="Embed" ProgID="Equation.DSMT4" ShapeID="_x0000_i1028" DrawAspect="Content" ObjectID="_1620730225" r:id="rId17"/>
        </w:object>
      </w:r>
      <w:r w:rsidR="00456039">
        <w:t xml:space="preserve"> elements need to be normalized to 1; see Bhat, 2015a). </w:t>
      </w:r>
      <w:r w:rsidR="008F271F">
        <w:t>Of course, the latent constructs are stochastic because of the presence of the random elements, and, by definition, are not observed. Thus, the SEM model relationship between the socio-demographic variables</w:t>
      </w:r>
      <w:r w:rsidR="00B14975">
        <w:t xml:space="preserve"> and the latent constructs</w:t>
      </w:r>
      <w:r w:rsidR="008F271F">
        <w:t xml:space="preserve">, as well as the correlation matrix elements of </w:t>
      </w:r>
      <w:r w:rsidR="008F271F" w:rsidRPr="00456039">
        <w:rPr>
          <w:position w:val="-4"/>
        </w:rPr>
        <w:object w:dxaOrig="240" w:dyaOrig="260" w14:anchorId="54818EEB">
          <v:shape id="_x0000_i1029" type="#_x0000_t75" style="width:12.25pt;height:13.6pt" o:ole="" o:preferrelative="f">
            <v:imagedata r:id="rId15" o:title=""/>
            <o:lock v:ext="edit" aspectratio="f"/>
          </v:shape>
          <o:OLEObject Type="Embed" ProgID="Equation.DSMT4" ShapeID="_x0000_i1029" DrawAspect="Content" ObjectID="_1620730226" r:id="rId18"/>
        </w:object>
      </w:r>
      <w:r w:rsidR="008F271F">
        <w:t xml:space="preserve">, are not directly estimable, but are estimated through observations on the </w:t>
      </w:r>
      <w:r w:rsidR="00AC740B">
        <w:t>latent construct indicators (not shown in Figure 1 to avoid clutter</w:t>
      </w:r>
      <w:r w:rsidR="00FC2FB7">
        <w:t xml:space="preserve">, but see Table 2 </w:t>
      </w:r>
      <w:r w:rsidR="00E47C39">
        <w:t xml:space="preserve">later </w:t>
      </w:r>
      <w:r w:rsidR="00FC2FB7">
        <w:t>and Section 2.</w:t>
      </w:r>
      <w:r w:rsidR="00E47C39">
        <w:t>4</w:t>
      </w:r>
      <w:r w:rsidR="00FC2FB7">
        <w:t xml:space="preserve"> for a discussion of these indicators</w:t>
      </w:r>
      <w:r w:rsidR="00AC740B">
        <w:t xml:space="preserve">) </w:t>
      </w:r>
      <w:r w:rsidR="00FC2FB7">
        <w:t>and the endogenous outcomes of interest (shown toward the right side of Figure 1).</w:t>
      </w:r>
      <w:r w:rsidR="006A6661">
        <w:rPr>
          <w:rStyle w:val="FootnoteReference"/>
        </w:rPr>
        <w:footnoteReference w:id="4"/>
      </w:r>
      <w:r w:rsidR="00FC2FB7">
        <w:t xml:space="preserve"> The endogenous outcomes are discrete variables in our framework, and thus, for modeling, are considered to be based on underlying latent utilities (for the nominal outcomes of resi</w:t>
      </w:r>
      <w:r w:rsidR="00335F64">
        <w:t>d</w:t>
      </w:r>
      <w:r w:rsidR="00FC2FB7">
        <w:t xml:space="preserve">ential location and ride-hailing experience, each with three possible alternatives) and propensities (for the two remaining ordinal outcomes). These underlying </w:t>
      </w:r>
      <w:r w:rsidR="006A6661">
        <w:t xml:space="preserve">latent utilities and propensities are sandwiched between the latent constructs and the observed endogenous </w:t>
      </w:r>
      <w:r w:rsidR="00B14975">
        <w:t>outcomes</w:t>
      </w:r>
      <w:r w:rsidR="006A6661">
        <w:t xml:space="preserve"> in Figure 1</w:t>
      </w:r>
      <w:r w:rsidR="002B37FC">
        <w:t xml:space="preserve"> (these latent utilities/propensities also have additional error term effects, which are again suppressed in Figure 1 to avoid clutter)</w:t>
      </w:r>
      <w:r w:rsidR="006A6661">
        <w:t xml:space="preserve">. As shown in Figure 1, the </w:t>
      </w:r>
      <w:r w:rsidR="007A6E28">
        <w:rPr>
          <w:noProof/>
        </w:rPr>
        <w:t>MEM componen</w:t>
      </w:r>
      <w:r w:rsidR="006A6661">
        <w:rPr>
          <w:noProof/>
        </w:rPr>
        <w:t xml:space="preserve">t relates </w:t>
      </w:r>
      <w:r w:rsidR="007A6E28">
        <w:rPr>
          <w:noProof/>
        </w:rPr>
        <w:t xml:space="preserve">the </w:t>
      </w:r>
      <w:r w:rsidR="006A6661">
        <w:rPr>
          <w:noProof/>
        </w:rPr>
        <w:t xml:space="preserve">underlying latent utilities/propensities of the observed discrete endogenous outcomes to the stochastic </w:t>
      </w:r>
      <w:r w:rsidR="007A6E28">
        <w:rPr>
          <w:noProof/>
        </w:rPr>
        <w:t xml:space="preserve">latent </w:t>
      </w:r>
      <w:r w:rsidR="006A6661">
        <w:rPr>
          <w:noProof/>
        </w:rPr>
        <w:t xml:space="preserve">constructs </w:t>
      </w:r>
      <w:r w:rsidR="007A6E28">
        <w:rPr>
          <w:noProof/>
        </w:rPr>
        <w:t xml:space="preserve">and exogeneous </w:t>
      </w:r>
      <w:r w:rsidR="006A6661">
        <w:rPr>
          <w:noProof/>
        </w:rPr>
        <w:t>socio-</w:t>
      </w:r>
      <w:r w:rsidR="006A6661">
        <w:rPr>
          <w:noProof/>
        </w:rPr>
        <w:lastRenderedPageBreak/>
        <w:t xml:space="preserve">demographic </w:t>
      </w:r>
      <w:r w:rsidR="007A6E28">
        <w:rPr>
          <w:noProof/>
        </w:rPr>
        <w:t>variables</w:t>
      </w:r>
      <w:r w:rsidR="006A6661">
        <w:rPr>
          <w:noProof/>
        </w:rPr>
        <w:t xml:space="preserve">. </w:t>
      </w:r>
      <w:r w:rsidR="001165B2">
        <w:rPr>
          <w:noProof/>
        </w:rPr>
        <w:t>Figure 1 indicates only those stochastic latent construct determinants for each underlying latent utility/propensity variable (shown by arrows originating from the stochastic latent constructs and terminating in specific underlying latent utility/propensity ovals) that turned out to be ultimately statistically significant in our empirical specification.</w:t>
      </w:r>
      <w:r w:rsidR="00B14975">
        <w:rPr>
          <w:noProof/>
        </w:rPr>
        <w:t xml:space="preserve"> Thus, for example, in our final specification, privacy sensitivity impacts the underlying latent propensity for vehicle availability and the ridesharing experience utilties, but not the other two endogenous outcomes. </w:t>
      </w:r>
      <w:r w:rsidR="001165B2">
        <w:rPr>
          <w:noProof/>
        </w:rPr>
        <w:t xml:space="preserve"> </w:t>
      </w:r>
    </w:p>
    <w:p w14:paraId="214266D5" w14:textId="6DFA4892" w:rsidR="00CC7BA0" w:rsidRDefault="007A6E28" w:rsidP="00FF0CBE">
      <w:pPr>
        <w:ind w:firstLine="720"/>
      </w:pPr>
      <w:r>
        <w:rPr>
          <w:noProof/>
        </w:rPr>
        <w:t>The error term</w:t>
      </w:r>
      <w:r w:rsidR="002B37FC">
        <w:rPr>
          <w:noProof/>
        </w:rPr>
        <w:t xml:space="preserve"> elements in the </w:t>
      </w:r>
      <w:r w:rsidR="00870360" w:rsidRPr="00456039">
        <w:rPr>
          <w:position w:val="-10"/>
        </w:rPr>
        <w:object w:dxaOrig="200" w:dyaOrig="260" w14:anchorId="655C28F1">
          <v:shape id="_x0000_i1030" type="#_x0000_t75" style="width:10.2pt;height:12.9pt" o:ole="" o:preferrelative="f">
            <v:imagedata r:id="rId13" o:title=""/>
            <o:lock v:ext="edit" aspectratio="f"/>
          </v:shape>
          <o:OLEObject Type="Embed" ProgID="Equation.DSMT4" ShapeID="_x0000_i1030" DrawAspect="Content" ObjectID="_1620730227" r:id="rId19"/>
        </w:object>
      </w:r>
      <w:r>
        <w:rPr>
          <w:noProof/>
        </w:rPr>
        <w:t xml:space="preserve"> </w:t>
      </w:r>
      <w:r w:rsidR="002B37FC">
        <w:rPr>
          <w:noProof/>
        </w:rPr>
        <w:t xml:space="preserve">vector </w:t>
      </w:r>
      <w:r>
        <w:rPr>
          <w:noProof/>
        </w:rPr>
        <w:t xml:space="preserve">of the </w:t>
      </w:r>
      <w:r w:rsidR="002B37FC">
        <w:rPr>
          <w:noProof/>
        </w:rPr>
        <w:t>SEM</w:t>
      </w:r>
      <w:r>
        <w:rPr>
          <w:noProof/>
        </w:rPr>
        <w:t xml:space="preserve"> (which </w:t>
      </w:r>
      <w:r w:rsidR="002B37FC">
        <w:rPr>
          <w:noProof/>
        </w:rPr>
        <w:t>impact</w:t>
      </w:r>
      <w:r>
        <w:rPr>
          <w:noProof/>
        </w:rPr>
        <w:t xml:space="preserve"> the </w:t>
      </w:r>
      <w:r w:rsidR="002B37FC">
        <w:rPr>
          <w:noProof/>
        </w:rPr>
        <w:t xml:space="preserve">stochastic </w:t>
      </w:r>
      <w:r>
        <w:rPr>
          <w:noProof/>
        </w:rPr>
        <w:t xml:space="preserve">latent </w:t>
      </w:r>
      <w:r w:rsidR="002B37FC">
        <w:rPr>
          <w:noProof/>
        </w:rPr>
        <w:t>constructs</w:t>
      </w:r>
      <w:r>
        <w:rPr>
          <w:noProof/>
        </w:rPr>
        <w:t xml:space="preserve">) permeate into the </w:t>
      </w:r>
      <w:r w:rsidR="002B37FC">
        <w:rPr>
          <w:noProof/>
        </w:rPr>
        <w:t>underlying latent utilities/propensities in the MEM</w:t>
      </w:r>
      <w:r w:rsidR="007A2F59">
        <w:rPr>
          <w:noProof/>
        </w:rPr>
        <w:t>,</w:t>
      </w:r>
      <w:r>
        <w:rPr>
          <w:noProof/>
        </w:rPr>
        <w:t xml:space="preserve"> creating a parsimoious dependence structure among all </w:t>
      </w:r>
      <w:r w:rsidR="006B5A4B">
        <w:rPr>
          <w:noProof/>
        </w:rPr>
        <w:t>endogenous</w:t>
      </w:r>
      <w:r>
        <w:rPr>
          <w:noProof/>
        </w:rPr>
        <w:t xml:space="preserve"> variables. </w:t>
      </w:r>
      <w:r w:rsidR="00F8565F">
        <w:t>Thus, for example, consider the underlying latent propensity for ridesharing use and the two underlying utility functions for the “private only” and “pooled” ride-hailing experience categories</w:t>
      </w:r>
      <w:r w:rsidR="00B14975">
        <w:t xml:space="preserve"> (the latter two utility functions are contained within the oval labeled as “ridesharing experience utilities” in Figure 1)</w:t>
      </w:r>
      <w:r w:rsidR="00F8565F">
        <w:t>. These three underlying variables are all impacted by the variety-seeking lifestyle propensity (VSLP) latent construct. Th</w:t>
      </w:r>
      <w:r w:rsidR="00B14975">
        <w:t xml:space="preserve">us, they </w:t>
      </w:r>
      <w:r w:rsidR="00F8565F">
        <w:t xml:space="preserve">get correlated because of the common presence of the </w:t>
      </w:r>
      <w:bookmarkStart w:id="0" w:name="MTBlankEqn"/>
      <w:r w:rsidR="00870360" w:rsidRPr="00F8565F">
        <w:rPr>
          <w:position w:val="-12"/>
        </w:rPr>
        <w:object w:dxaOrig="260" w:dyaOrig="360" w14:anchorId="3A19AE44">
          <v:shape id="_x0000_i1031" type="#_x0000_t75" style="width:12.9pt;height:18.35pt" o:ole="" o:preferrelative="f">
            <v:imagedata r:id="rId20" o:title=""/>
            <o:lock v:ext="edit" aspectratio="f"/>
          </v:shape>
          <o:OLEObject Type="Embed" ProgID="Equation.DSMT4" ShapeID="_x0000_i1031" DrawAspect="Content" ObjectID="_1620730228" r:id="rId21"/>
        </w:object>
      </w:r>
      <w:bookmarkEnd w:id="0"/>
      <w:r w:rsidR="00F8565F">
        <w:t xml:space="preserve"> stochastic term embedded in VSLP,</w:t>
      </w:r>
      <w:r w:rsidR="00B14975">
        <w:t xml:space="preserve"> </w:t>
      </w:r>
      <w:r w:rsidR="00F8565F">
        <w:t xml:space="preserve">obviating the need for three separate correlation terms that would be needed otherwise. </w:t>
      </w:r>
      <w:r w:rsidR="00B14975">
        <w:t xml:space="preserve">Similar parsimonious correlations are engendered </w:t>
      </w:r>
      <w:r w:rsidR="000E31FC">
        <w:t xml:space="preserve">(through other common stochastic latent constructs) </w:t>
      </w:r>
      <w:r w:rsidR="00B14975">
        <w:t xml:space="preserve">across </w:t>
      </w:r>
      <w:r w:rsidR="000E31FC">
        <w:t xml:space="preserve">the </w:t>
      </w:r>
      <w:r w:rsidR="00B14975">
        <w:t xml:space="preserve">latent propensities/utilities underlying the </w:t>
      </w:r>
      <w:r w:rsidR="000E31FC">
        <w:t xml:space="preserve">other </w:t>
      </w:r>
      <w:r w:rsidR="00B14975">
        <w:t xml:space="preserve">endogenous outcomes. </w:t>
      </w:r>
      <w:r w:rsidR="002559DD">
        <w:t>T</w:t>
      </w:r>
      <w:r w:rsidR="00D404FF">
        <w:t xml:space="preserve">his ability </w:t>
      </w:r>
      <w:r w:rsidR="00F8565F">
        <w:t xml:space="preserve">to capture correlations across the </w:t>
      </w:r>
      <w:r w:rsidR="00CC7BA0">
        <w:t xml:space="preserve">many endogenous outcome dimensions </w:t>
      </w:r>
      <w:r w:rsidR="00D404FF">
        <w:t>is important for controlling for residential location and vehicle availability-based self-selection effects (when</w:t>
      </w:r>
      <w:r w:rsidR="00FF0CBE">
        <w:t xml:space="preserve"> </w:t>
      </w:r>
      <w:r w:rsidR="00D404FF">
        <w:t xml:space="preserve">examining the effects of these two variables on ride-hailing experience and frequency) in an econometrically consistent fashion. </w:t>
      </w:r>
    </w:p>
    <w:p w14:paraId="5C631D8D" w14:textId="59E4C731" w:rsidR="00744752" w:rsidRDefault="00E1270D" w:rsidP="00FF0CBE">
      <w:pPr>
        <w:ind w:firstLine="720"/>
        <w:rPr>
          <w:noProof/>
        </w:rPr>
      </w:pPr>
      <w:r>
        <w:rPr>
          <w:noProof/>
        </w:rPr>
        <w:t xml:space="preserve">Also, to be noted is that, while the four </w:t>
      </w:r>
      <w:r w:rsidR="00CC7BA0">
        <w:rPr>
          <w:noProof/>
        </w:rPr>
        <w:t xml:space="preserve">endogenous </w:t>
      </w:r>
      <w:r>
        <w:rPr>
          <w:noProof/>
        </w:rPr>
        <w:t>outcome variables are all modeled jointly</w:t>
      </w:r>
      <w:r w:rsidR="00CC7BA0">
        <w:rPr>
          <w:noProof/>
        </w:rPr>
        <w:t xml:space="preserve"> through the aforementioned correlation effects</w:t>
      </w:r>
      <w:r w:rsidR="0087151D">
        <w:rPr>
          <w:noProof/>
        </w:rPr>
        <w:t xml:space="preserve"> in the underlying latent utilities and propensities</w:t>
      </w:r>
      <w:r>
        <w:rPr>
          <w:noProof/>
        </w:rPr>
        <w:t xml:space="preserve">, recursive effects among the </w:t>
      </w:r>
      <w:r w:rsidR="00CC7BA0">
        <w:rPr>
          <w:noProof/>
        </w:rPr>
        <w:t xml:space="preserve">observed </w:t>
      </w:r>
      <w:r>
        <w:rPr>
          <w:noProof/>
        </w:rPr>
        <w:t xml:space="preserve">endogenous </w:t>
      </w:r>
      <w:r w:rsidR="0087151D">
        <w:rPr>
          <w:noProof/>
        </w:rPr>
        <w:t>outcomes</w:t>
      </w:r>
      <w:r>
        <w:rPr>
          <w:noProof/>
        </w:rPr>
        <w:t xml:space="preserve"> </w:t>
      </w:r>
      <w:r w:rsidR="00CC7BA0">
        <w:rPr>
          <w:noProof/>
        </w:rPr>
        <w:t xml:space="preserve">can also be </w:t>
      </w:r>
      <w:r>
        <w:rPr>
          <w:noProof/>
        </w:rPr>
        <w:t>accommodated in the GHDM</w:t>
      </w:r>
      <w:r w:rsidR="0087151D">
        <w:rPr>
          <w:noProof/>
        </w:rPr>
        <w:t xml:space="preserve"> (see Bhat, 2015a)</w:t>
      </w:r>
      <w:r>
        <w:rPr>
          <w:noProof/>
        </w:rPr>
        <w:t xml:space="preserve">. Different recursive directionalities were tested in our model system, but the best data fit was obtained in the causal specification </w:t>
      </w:r>
      <w:r w:rsidR="000D16FA">
        <w:rPr>
          <w:noProof/>
        </w:rPr>
        <w:t>with residential location influencing vehicle availability, both of these then impacting ride-hailing experience, and all three finally influencing ride-hailing frequency</w:t>
      </w:r>
      <w:r w:rsidR="00CC7BA0">
        <w:rPr>
          <w:noProof/>
        </w:rPr>
        <w:t xml:space="preserve"> (as shown in Figure 1 under “observed endogenous outcomes”)</w:t>
      </w:r>
      <w:r w:rsidR="000D16FA">
        <w:rPr>
          <w:noProof/>
        </w:rPr>
        <w:t>.</w:t>
      </w:r>
      <w:r w:rsidR="002D143A" w:rsidRPr="006B3405">
        <w:rPr>
          <w:rStyle w:val="FootnoteReference"/>
        </w:rPr>
        <w:footnoteReference w:id="5"/>
      </w:r>
      <w:r w:rsidR="002D143A" w:rsidRPr="00883386">
        <w:rPr>
          <w:noProof/>
        </w:rPr>
        <w:t xml:space="preserve"> </w:t>
      </w:r>
      <w:r w:rsidR="00CC7BA0">
        <w:rPr>
          <w:noProof/>
        </w:rPr>
        <w:t>T</w:t>
      </w:r>
      <w:r w:rsidR="00B218D2">
        <w:rPr>
          <w:noProof/>
        </w:rPr>
        <w:t>he f</w:t>
      </w:r>
      <w:r w:rsidR="002B5A23">
        <w:rPr>
          <w:noProof/>
        </w:rPr>
        <w:t>ull details of the GHDM and its estimation are available in Bhat (2015a).</w:t>
      </w:r>
    </w:p>
    <w:p w14:paraId="41196CDA" w14:textId="77777777" w:rsidR="00C71D1E" w:rsidRDefault="00C71D1E" w:rsidP="00F70AE4">
      <w:pPr>
        <w:rPr>
          <w:noProof/>
        </w:rPr>
      </w:pPr>
    </w:p>
    <w:p w14:paraId="047756A0" w14:textId="3A64DFF1" w:rsidR="00112F29" w:rsidRDefault="00112F29" w:rsidP="002B1790">
      <w:pPr>
        <w:pStyle w:val="ListParagraph"/>
        <w:keepNext/>
        <w:keepLines/>
        <w:numPr>
          <w:ilvl w:val="1"/>
          <w:numId w:val="23"/>
        </w:numPr>
        <w:rPr>
          <w:b/>
        </w:rPr>
      </w:pPr>
      <w:r>
        <w:rPr>
          <w:b/>
        </w:rPr>
        <w:lastRenderedPageBreak/>
        <w:t>Trip</w:t>
      </w:r>
      <w:r w:rsidR="00D804EA">
        <w:rPr>
          <w:b/>
        </w:rPr>
        <w:t>-L</w:t>
      </w:r>
      <w:r w:rsidR="00AA056C">
        <w:rPr>
          <w:b/>
        </w:rPr>
        <w:t>evel</w:t>
      </w:r>
      <w:r>
        <w:rPr>
          <w:b/>
        </w:rPr>
        <w:t xml:space="preserve"> </w:t>
      </w:r>
      <w:r w:rsidR="00D804EA">
        <w:rPr>
          <w:b/>
        </w:rPr>
        <w:t>Ride-H</w:t>
      </w:r>
      <w:r w:rsidR="00AA056C">
        <w:rPr>
          <w:b/>
        </w:rPr>
        <w:t>ailing</w:t>
      </w:r>
      <w:r w:rsidR="00A350CD">
        <w:rPr>
          <w:b/>
        </w:rPr>
        <w:t xml:space="preserve"> </w:t>
      </w:r>
      <w:r w:rsidR="00D804EA">
        <w:rPr>
          <w:b/>
        </w:rPr>
        <w:t>A</w:t>
      </w:r>
      <w:r w:rsidR="00640661">
        <w:rPr>
          <w:b/>
        </w:rPr>
        <w:t xml:space="preserve">ttributes </w:t>
      </w:r>
      <w:r w:rsidR="00D804EA">
        <w:rPr>
          <w:b/>
        </w:rPr>
        <w:t>M</w:t>
      </w:r>
      <w:r w:rsidR="00640661">
        <w:rPr>
          <w:b/>
        </w:rPr>
        <w:t xml:space="preserve">ultivariate </w:t>
      </w:r>
      <w:r w:rsidR="00D804EA">
        <w:rPr>
          <w:b/>
        </w:rPr>
        <w:t>M</w:t>
      </w:r>
      <w:r w:rsidR="00A350CD">
        <w:rPr>
          <w:b/>
        </w:rPr>
        <w:t>odel</w:t>
      </w:r>
    </w:p>
    <w:p w14:paraId="6344EFA0" w14:textId="06EFF285" w:rsidR="00870360" w:rsidRDefault="007C331A" w:rsidP="002B1790">
      <w:pPr>
        <w:keepNext/>
        <w:keepLines/>
      </w:pPr>
      <w:r>
        <w:t xml:space="preserve">The trip-level model utilizes the subsample of individuals with ride-hailing experience and examines </w:t>
      </w:r>
      <w:r w:rsidR="00F50EC8">
        <w:t xml:space="preserve">the </w:t>
      </w:r>
      <w:r>
        <w:t xml:space="preserve">four </w:t>
      </w:r>
      <w:r w:rsidR="0086713F">
        <w:t xml:space="preserve">choice dimensions </w:t>
      </w:r>
      <w:r>
        <w:t xml:space="preserve">of trip purpose, time-of-day of trip, trip companionship, and the mode substituted by ride-hailing for the most recent ride-hailing trip undertaken by respondents. </w:t>
      </w:r>
      <w:r w:rsidR="00F50EC8">
        <w:t xml:space="preserve">The four dimensions are modeled jointly </w:t>
      </w:r>
      <w:r w:rsidR="0076664C">
        <w:t>using a</w:t>
      </w:r>
      <w:r w:rsidR="00F50EC8">
        <w:t xml:space="preserve"> multivariate multinomial probit (MMNP)</w:t>
      </w:r>
      <w:r w:rsidR="00F50EC8" w:rsidRPr="001C355E">
        <w:t xml:space="preserve"> </w:t>
      </w:r>
      <w:r w:rsidR="00F50EC8">
        <w:t xml:space="preserve">modeling </w:t>
      </w:r>
      <w:r w:rsidR="00433712">
        <w:t>approach so</w:t>
      </w:r>
      <w:r w:rsidR="00F50EC8">
        <w:t xml:space="preserve"> that common unobserved individual-level factors that affect multiple trip characteristics are captured through error correlations </w:t>
      </w:r>
      <w:r w:rsidR="008702FE">
        <w:t xml:space="preserve">and endogeneity relationships. </w:t>
      </w:r>
      <w:r w:rsidR="00E94147">
        <w:t xml:space="preserve">The MMNP formulation </w:t>
      </w:r>
      <w:r w:rsidR="007D1D5C">
        <w:t>is presented in Appendix A and the interested reader is also referred to Bhat et al. (2013) and Bhat (20</w:t>
      </w:r>
      <w:r w:rsidR="004675E0">
        <w:t>11) for</w:t>
      </w:r>
      <w:r w:rsidR="00870360">
        <w:t xml:space="preserve"> additional estimation details.</w:t>
      </w:r>
    </w:p>
    <w:p w14:paraId="746BB24F" w14:textId="768D0A4D" w:rsidR="008729A3" w:rsidRDefault="008729A3" w:rsidP="00031F92">
      <w:pPr>
        <w:ind w:firstLine="720"/>
      </w:pPr>
      <w:r>
        <w:t>The first nominal variable</w:t>
      </w:r>
      <w:r w:rsidR="00031F92">
        <w:t>,</w:t>
      </w:r>
      <w:r>
        <w:t xml:space="preserve"> trip purpose, </w:t>
      </w:r>
      <w:r w:rsidR="00031F92">
        <w:t xml:space="preserve">is </w:t>
      </w:r>
      <w:r>
        <w:t>captured in the four categories of airport trips, errand trips (including shopping, personal business, and family errand trips), recreation trips (including leisure, social activities and sports), and work trips (including education trips). The second dimension is time-of-day</w:t>
      </w:r>
      <w:r w:rsidR="00CD1641">
        <w:t xml:space="preserve">, which is characterized by </w:t>
      </w:r>
      <w:r>
        <w:t xml:space="preserve">four time windows of </w:t>
      </w:r>
      <w:bookmarkStart w:id="1" w:name="_Hlk512685352"/>
      <w:r>
        <w:t>morning (6:00 am</w:t>
      </w:r>
      <w:r w:rsidR="00870360">
        <w:t xml:space="preserve"> – </w:t>
      </w:r>
      <w:r>
        <w:t>10:59 am), mid-day (11:00 am</w:t>
      </w:r>
      <w:r w:rsidR="00870360">
        <w:t xml:space="preserve"> – </w:t>
      </w:r>
      <w:r>
        <w:t>3:59 pm), evening (4:00 pm</w:t>
      </w:r>
      <w:r w:rsidR="00870360">
        <w:t xml:space="preserve"> – </w:t>
      </w:r>
      <w:r>
        <w:t>8:59 pm), and night (9:00 pm</w:t>
      </w:r>
      <w:r w:rsidR="00870360">
        <w:t xml:space="preserve"> – </w:t>
      </w:r>
      <w:r>
        <w:t xml:space="preserve">5:59 am). </w:t>
      </w:r>
      <w:bookmarkEnd w:id="1"/>
      <w:r>
        <w:t>The third is companionship</w:t>
      </w:r>
      <w:r w:rsidR="00582307">
        <w:t xml:space="preserve">, </w:t>
      </w:r>
      <w:r w:rsidR="00BE1A4C">
        <w:t>formed by t</w:t>
      </w:r>
      <w:r>
        <w:t>wo categories</w:t>
      </w:r>
      <w:r w:rsidR="00BE1A4C">
        <w:t xml:space="preserve">, </w:t>
      </w:r>
      <w:r>
        <w:t>alone or with others</w:t>
      </w:r>
      <w:r w:rsidR="00870360">
        <w:t>.</w:t>
      </w:r>
      <w:r w:rsidR="00FD00D2">
        <w:rPr>
          <w:rStyle w:val="FootnoteReference"/>
        </w:rPr>
        <w:footnoteReference w:id="6"/>
      </w:r>
      <w:r>
        <w:t xml:space="preserve"> The fourth dimension is the mode substituted by ride-hailing (based on the response to the question “if ride-hailing were not available, which mode would you have used for the trip”), in the four categories of (a) private vehicle, (b) taxi, (c) transit and/or active travel (walk/bicycle), and (d) no trip (that is, the trip would not have been made if ride-hailing were not available). </w:t>
      </w:r>
    </w:p>
    <w:p w14:paraId="16F0E987" w14:textId="3F17B085" w:rsidR="0075623C" w:rsidRDefault="00DB5207" w:rsidP="0075623C">
      <w:pPr>
        <w:ind w:firstLine="720"/>
      </w:pPr>
      <w:r>
        <w:t xml:space="preserve">As already discussed earlier, </w:t>
      </w:r>
      <w:r w:rsidR="001B3C88">
        <w:t xml:space="preserve">only recursive effects among endogenous variables can be identified in joint limited-dependent variable systems such as in the MMNP model (after accommodating error covariance that engenders the jointness in the first place). We tested alternative recursive structures, but the one that provided the best fit was the recursive </w:t>
      </w:r>
      <w:r w:rsidR="0075623C">
        <w:t xml:space="preserve">hierarchy </w:t>
      </w:r>
      <w:r w:rsidR="001B3C88">
        <w:t xml:space="preserve">in which </w:t>
      </w:r>
      <w:r w:rsidR="0075623C">
        <w:t xml:space="preserve">trip purpose </w:t>
      </w:r>
      <w:r w:rsidR="001B3C88">
        <w:t xml:space="preserve">impacted </w:t>
      </w:r>
      <w:r w:rsidR="0075623C">
        <w:t xml:space="preserve">the remaining three attributes (time-of-day, companionship, and mode substituted), time-of-day </w:t>
      </w:r>
      <w:r w:rsidR="001B3C88">
        <w:t xml:space="preserve">impacted </w:t>
      </w:r>
      <w:r w:rsidR="0075623C">
        <w:t xml:space="preserve">the remaining two attributes (companionship and mode substituted), and companionship </w:t>
      </w:r>
      <w:r w:rsidR="001B3C88">
        <w:t xml:space="preserve">affected </w:t>
      </w:r>
      <w:r w:rsidR="0075623C">
        <w:t xml:space="preserve">the “mode substituted” trip dimension. </w:t>
      </w:r>
    </w:p>
    <w:p w14:paraId="7142EA66" w14:textId="49709F58" w:rsidR="00827B21" w:rsidRDefault="00827B21" w:rsidP="00D73E94">
      <w:pPr>
        <w:ind w:firstLine="720"/>
      </w:pPr>
      <w:r>
        <w:t xml:space="preserve">This </w:t>
      </w:r>
      <w:r w:rsidR="001B3C88">
        <w:t xml:space="preserve">trip-level </w:t>
      </w:r>
      <w:r>
        <w:t>anal</w:t>
      </w:r>
      <w:r w:rsidR="001C7A2A">
        <w:t xml:space="preserve">ysis </w:t>
      </w:r>
      <w:r w:rsidR="001B5CAA">
        <w:t xml:space="preserve">is </w:t>
      </w:r>
      <w:r w:rsidR="001C7A2A">
        <w:t xml:space="preserve">exploratory </w:t>
      </w:r>
      <w:r w:rsidR="001B5CAA">
        <w:t xml:space="preserve">in </w:t>
      </w:r>
      <w:r w:rsidR="001C7A2A">
        <w:t>nature</w:t>
      </w:r>
      <w:r w:rsidR="00640661">
        <w:t>,</w:t>
      </w:r>
      <w:r w:rsidR="001C7A2A">
        <w:t xml:space="preserve"> because </w:t>
      </w:r>
      <w:r w:rsidR="001B5CAA">
        <w:t>we are modeling the attributes of</w:t>
      </w:r>
      <w:r>
        <w:t xml:space="preserve"> an isolated trip outside the </w:t>
      </w:r>
      <w:r w:rsidR="001B5CAA">
        <w:t>broader</w:t>
      </w:r>
      <w:r>
        <w:t xml:space="preserve"> context of the individual’s </w:t>
      </w:r>
      <w:r w:rsidR="001B5CAA">
        <w:t xml:space="preserve">daily </w:t>
      </w:r>
      <w:r w:rsidR="001C7A2A">
        <w:t>activity</w:t>
      </w:r>
      <w:r w:rsidR="001B5CAA">
        <w:t>-travel</w:t>
      </w:r>
      <w:r w:rsidR="001C7A2A">
        <w:t xml:space="preserve"> </w:t>
      </w:r>
      <w:r>
        <w:t>schedule.</w:t>
      </w:r>
      <w:r w:rsidR="001B5CAA">
        <w:t xml:space="preserve"> </w:t>
      </w:r>
      <w:r w:rsidR="001822E1">
        <w:t xml:space="preserve">In particular, it is difficult to disentangle whether the choices made for the </w:t>
      </w:r>
      <w:r w:rsidR="007A2F59">
        <w:t>most recent</w:t>
      </w:r>
      <w:r w:rsidR="001822E1">
        <w:t xml:space="preserve"> ride-hailing trip </w:t>
      </w:r>
      <w:r w:rsidR="00B62D3E">
        <w:t>are a reflection of specifically choosing ride</w:t>
      </w:r>
      <w:r w:rsidR="006D3040">
        <w:t>-</w:t>
      </w:r>
      <w:r w:rsidR="00B62D3E">
        <w:t>hailing in the last trip or simply a manifestation of the totality of the activity-travel pattern of the individual. For example, if a student is more likely than a non-student to run errands in the last ride</w:t>
      </w:r>
      <w:r w:rsidR="006D3040">
        <w:t>-</w:t>
      </w:r>
      <w:r w:rsidR="00B62D3E">
        <w:t xml:space="preserve">hailing trip relative to traveling to the airport, it is not clear whether this implies that students are more likely than non-students to use </w:t>
      </w:r>
      <w:r w:rsidR="00B62D3E">
        <w:lastRenderedPageBreak/>
        <w:t>ride</w:t>
      </w:r>
      <w:r w:rsidR="006D3040">
        <w:t>-</w:t>
      </w:r>
      <w:r w:rsidR="00B62D3E">
        <w:t xml:space="preserve">hailing to run errands than to go to the airport, or whether this is simply an artifact of students rarely going to the airport in general relative to their non-student counterparts. We will not belabor over this point again when discussing the trip-level results, although all the results there should be viewed through this cautionary interpretive </w:t>
      </w:r>
      <w:r w:rsidR="00B2098C">
        <w:t>lens</w:t>
      </w:r>
      <w:r w:rsidR="00B62D3E">
        <w:t xml:space="preserve">. </w:t>
      </w:r>
      <w:r w:rsidR="001B5CAA">
        <w:t>Nonetheless, we use a multivariate modeling approach to study the different trip attributes</w:t>
      </w:r>
      <w:r w:rsidR="00640661">
        <w:t xml:space="preserve"> jointly</w:t>
      </w:r>
      <w:r w:rsidR="00B62D3E">
        <w:t>,</w:t>
      </w:r>
      <w:r w:rsidR="00640661">
        <w:t xml:space="preserve"> </w:t>
      </w:r>
      <w:r w:rsidR="001B5CAA">
        <w:t>allow</w:t>
      </w:r>
      <w:r w:rsidR="00B62D3E">
        <w:t>ing</w:t>
      </w:r>
      <w:r w:rsidR="001B5CAA">
        <w:t xml:space="preserve"> </w:t>
      </w:r>
      <w:r>
        <w:t xml:space="preserve">us to control for the effects of multiple </w:t>
      </w:r>
      <w:r w:rsidR="001B3C88">
        <w:t xml:space="preserve">endogenous </w:t>
      </w:r>
      <w:r>
        <w:t>variables system</w:t>
      </w:r>
      <w:r w:rsidR="001B3C88">
        <w:t>at</w:t>
      </w:r>
      <w:r>
        <w:t xml:space="preserve">ically and simultaneously. </w:t>
      </w:r>
    </w:p>
    <w:p w14:paraId="62856474" w14:textId="41483B4D" w:rsidR="00A54AF2" w:rsidRDefault="00103FC2" w:rsidP="00143D10">
      <w:pPr>
        <w:ind w:firstLine="360"/>
      </w:pPr>
      <w:r>
        <w:tab/>
      </w:r>
      <w:r w:rsidR="00601D29">
        <w:t>Unlike the individual-level model</w:t>
      </w:r>
      <w:r>
        <w:t xml:space="preserve">, </w:t>
      </w:r>
      <w:r w:rsidR="00EA22ED">
        <w:t>residential location den</w:t>
      </w:r>
      <w:r w:rsidR="00CA4710">
        <w:t>sity, vehicle availability, whether or not the individual has experience with pooled ride-hailing, and ride-hailing frequency</w:t>
      </w:r>
      <w:r w:rsidR="00DF4E58">
        <w:t xml:space="preserve"> </w:t>
      </w:r>
      <w:r w:rsidR="00143D10">
        <w:t xml:space="preserve">are </w:t>
      </w:r>
      <w:r w:rsidR="000838DA">
        <w:t xml:space="preserve">considered </w:t>
      </w:r>
      <w:r w:rsidR="000D4BA4">
        <w:t>as exogenous variables in this exploratory trip-level analysis</w:t>
      </w:r>
      <w:r w:rsidR="00870360">
        <w:t>.</w:t>
      </w:r>
      <w:r w:rsidR="001B3C88">
        <w:rPr>
          <w:rStyle w:val="FootnoteReference"/>
        </w:rPr>
        <w:footnoteReference w:id="7"/>
      </w:r>
      <w:r w:rsidR="00A54AF2">
        <w:t xml:space="preserve"> </w:t>
      </w:r>
      <w:r w:rsidR="00663302">
        <w:t xml:space="preserve">These variables are treated as exogeneous in this case </w:t>
      </w:r>
      <w:r w:rsidR="00901E2F">
        <w:t>to reduce the model complexity c</w:t>
      </w:r>
      <w:r w:rsidR="0090571A">
        <w:t xml:space="preserve">onsidering </w:t>
      </w:r>
      <w:r w:rsidR="00901E2F">
        <w:t xml:space="preserve">the very limited sample size and </w:t>
      </w:r>
      <w:r w:rsidR="0090571A">
        <w:t>the exploratory nature of this analysis</w:t>
      </w:r>
      <w:r w:rsidR="00901E2F">
        <w:t xml:space="preserve">. </w:t>
      </w:r>
      <w:r w:rsidR="00926A4A">
        <w:t>Similarly</w:t>
      </w:r>
      <w:r w:rsidR="00A54AF2">
        <w:t>, we also include the latent constructs as characterized from the individual-level model as exogenous variables by developing an expected value for each latent variable (based on the SEM model estimates from the individual-level model) and each individual</w:t>
      </w:r>
      <w:r w:rsidR="00901AEA">
        <w:t xml:space="preserve"> in the sample</w:t>
      </w:r>
      <w:r w:rsidR="00A54AF2">
        <w:t>.</w:t>
      </w:r>
      <w:r w:rsidR="00A54AF2">
        <w:rPr>
          <w:rStyle w:val="FootnoteReference"/>
          <w:szCs w:val="24"/>
        </w:rPr>
        <w:footnoteReference w:id="8"/>
      </w:r>
      <w:r w:rsidR="00A54AF2">
        <w:t xml:space="preserve"> </w:t>
      </w:r>
    </w:p>
    <w:p w14:paraId="455FF044" w14:textId="77777777" w:rsidR="00B62AA6" w:rsidRDefault="00B62AA6" w:rsidP="00B62AA6"/>
    <w:p w14:paraId="49A7521D" w14:textId="611B61C4" w:rsidR="00BE1432" w:rsidRPr="00BE1432" w:rsidRDefault="00E47C39" w:rsidP="00E47C39">
      <w:pPr>
        <w:ind w:left="360" w:hanging="360"/>
        <w:rPr>
          <w:b/>
        </w:rPr>
      </w:pPr>
      <w:r>
        <w:rPr>
          <w:b/>
        </w:rPr>
        <w:t>2.4</w:t>
      </w:r>
      <w:r w:rsidR="00BE1432">
        <w:rPr>
          <w:b/>
        </w:rPr>
        <w:t xml:space="preserve"> </w:t>
      </w:r>
      <w:r w:rsidR="00BE1432" w:rsidRPr="00BE1432">
        <w:rPr>
          <w:b/>
        </w:rPr>
        <w:t>Sample</w:t>
      </w:r>
      <w:r w:rsidR="008C23DD">
        <w:rPr>
          <w:b/>
        </w:rPr>
        <w:t xml:space="preserve"> Description</w:t>
      </w:r>
    </w:p>
    <w:p w14:paraId="2D788DBA" w14:textId="77777777" w:rsidR="00871C66" w:rsidRDefault="00255D70" w:rsidP="009C3FFA">
      <w:r>
        <w:t xml:space="preserve">In this section we describe the sample </w:t>
      </w:r>
      <w:r w:rsidR="00E97FA7">
        <w:t xml:space="preserve">distribution regarding sociodemographic </w:t>
      </w:r>
      <w:r w:rsidR="00A93FA3">
        <w:t>characteristics</w:t>
      </w:r>
      <w:r w:rsidR="00E97FA7">
        <w:t xml:space="preserve">, attitudinal indicators, the four endogenous </w:t>
      </w:r>
      <w:r w:rsidR="000C4A23">
        <w:t>outcomes</w:t>
      </w:r>
      <w:r w:rsidR="00E97FA7">
        <w:t xml:space="preserve"> in the individual-level model and the </w:t>
      </w:r>
      <w:r w:rsidR="00A93FA3">
        <w:t>four endogenous variables</w:t>
      </w:r>
      <w:r w:rsidR="000C4A23">
        <w:t xml:space="preserve"> </w:t>
      </w:r>
      <w:r w:rsidR="00A93FA3">
        <w:t xml:space="preserve">in the trip-level model. </w:t>
      </w:r>
      <w:r w:rsidR="00BE1432">
        <w:t xml:space="preserve">Table 1 presents the socio-demographic distribution of the sample. A comparison of the sample with the employed population of DFW (as characterized by the U.S. Census Bureau, 2018d) indicates that the survey has an overrepresentation of males (58.4% in the survey compared to 54.0% from the Census data), individuals between 45 and 64 years of age (53.2% compared to 35.8%), Non-Hispanic Whites (75.0% compared to 51.0%), and individuals with bachelor’s or post-graduate degrees (75.6% compared to 33.7%). We also observe that the majority of the sample corresponds to non-students (94.2%) and full time-employees (81.6%). Finally, in terms of household income and household composition, we are unable to compare the statistics from our survey with the Census data, because the latter provides income and household composition data only for all households </w:t>
      </w:r>
      <w:r w:rsidR="00BE1432">
        <w:lastRenderedPageBreak/>
        <w:t xml:space="preserve">(while our survey is focused on households with at least one worker with a primary workplace outside home). However, the sample statistics do suggest a skew toward individuals from higher income households and multi-worker households. Overall, there are many possible reasons for the socio-demographic differences between our sample and the Census data. For example, the main topic of the survey was self-driving vehicles, which may be of more interest to highly educated males. Also, the survey was conducted strictly through an online platform and the largest mailing list used in the distribution was of toll-road users, who are likely to be individuals with higher values of time that then correlates with the specific characteristics of our sample. In any case, while the general descriptive statistics of ride-hailing experience and use cannot be generalized to the DFW population, the </w:t>
      </w:r>
      <w:r>
        <w:t>disaggregate</w:t>
      </w:r>
      <w:r w:rsidR="00BE1432">
        <w:t xml:space="preserve"> models still provide important insights on the relationship between ride-hailing travel behavior and socio-demographic/lifestyle characteristics.</w:t>
      </w:r>
    </w:p>
    <w:p w14:paraId="3305FE40" w14:textId="2B896C8A" w:rsidR="00BE1432" w:rsidRDefault="00871C66" w:rsidP="00871C66">
      <w:pPr>
        <w:ind w:firstLine="720"/>
      </w:pPr>
      <w:r>
        <w:rPr>
          <w:rFonts w:cs="Times New Roman"/>
          <w:szCs w:val="24"/>
        </w:rPr>
        <w:t>Regarding the endogenous variables in the individual-level model, the majority of survey respondents live in suburban</w:t>
      </w:r>
      <w:r w:rsidRPr="00CE073E">
        <w:rPr>
          <w:rFonts w:cs="Times New Roman"/>
          <w:szCs w:val="24"/>
        </w:rPr>
        <w:t xml:space="preserve"> area</w:t>
      </w:r>
      <w:r>
        <w:rPr>
          <w:rFonts w:cs="Times New Roman"/>
          <w:szCs w:val="24"/>
        </w:rPr>
        <w:t>s</w:t>
      </w:r>
      <w:r w:rsidRPr="00CE073E">
        <w:rPr>
          <w:rFonts w:cs="Times New Roman"/>
          <w:szCs w:val="24"/>
        </w:rPr>
        <w:t xml:space="preserve"> (65.0%; n=1046),</w:t>
      </w:r>
      <w:r>
        <w:rPr>
          <w:rFonts w:cs="Times New Roman"/>
          <w:szCs w:val="24"/>
        </w:rPr>
        <w:t xml:space="preserve"> followed by </w:t>
      </w:r>
      <w:r w:rsidRPr="00CE073E">
        <w:rPr>
          <w:rFonts w:cs="Times New Roman"/>
          <w:szCs w:val="24"/>
        </w:rPr>
        <w:t>central area/downtown (23.4%; n=375).</w:t>
      </w:r>
      <w:r w:rsidRPr="00641315">
        <w:rPr>
          <w:rFonts w:cs="Times New Roman"/>
          <w:szCs w:val="24"/>
        </w:rPr>
        <w:t xml:space="preserve"> </w:t>
      </w:r>
      <w:r>
        <w:rPr>
          <w:rFonts w:cs="Times New Roman"/>
          <w:szCs w:val="24"/>
        </w:rPr>
        <w:t xml:space="preserve">Vehicle ownership rates are high, as only 14.7% of the household have less than one vehicle per worker (50.8% have one vehicle per worker and 34.5% more than one vehicle per worker). </w:t>
      </w:r>
      <w:r w:rsidRPr="00953C6D">
        <w:rPr>
          <w:rFonts w:cs="Times New Roman"/>
          <w:szCs w:val="24"/>
        </w:rPr>
        <w:t>In terms of ride-hailing experience, about 56.4% of the sample (n=906) reported using ride-hailing services at least once in their lifetimes</w:t>
      </w:r>
      <w:r>
        <w:rPr>
          <w:rFonts w:cs="Times New Roman"/>
          <w:szCs w:val="24"/>
        </w:rPr>
        <w:t xml:space="preserve">. </w:t>
      </w:r>
      <w:r w:rsidRPr="00953C6D">
        <w:rPr>
          <w:rFonts w:cs="Times New Roman"/>
          <w:szCs w:val="24"/>
        </w:rPr>
        <w:t>The column at the far right in Table 1 shows the fraction of individuals with ride-hailing experience by socio</w:t>
      </w:r>
      <w:r>
        <w:rPr>
          <w:rFonts w:cs="Times New Roman"/>
          <w:szCs w:val="24"/>
        </w:rPr>
        <w:t>-</w:t>
      </w:r>
      <w:r w:rsidRPr="00953C6D">
        <w:rPr>
          <w:rFonts w:cs="Times New Roman"/>
          <w:szCs w:val="24"/>
        </w:rPr>
        <w:t>demographic group. We observe that men, young adults (18</w:t>
      </w:r>
      <w:r w:rsidR="00870360">
        <w:rPr>
          <w:rFonts w:cs="Times New Roman"/>
          <w:szCs w:val="24"/>
        </w:rPr>
        <w:t>–</w:t>
      </w:r>
      <w:r w:rsidRPr="00953C6D">
        <w:rPr>
          <w:rFonts w:cs="Times New Roman"/>
          <w:szCs w:val="24"/>
        </w:rPr>
        <w:t>44 years of age), individuals of Hispanic and Asian origin, individuals with graduate degrees and students, high income individuals, and individuals living alone and in the central city areas have a higher than average tendency of having used ride-hailing services.</w:t>
      </w:r>
      <w:r>
        <w:rPr>
          <w:rFonts w:cs="Times New Roman"/>
          <w:szCs w:val="24"/>
        </w:rPr>
        <w:t xml:space="preserve"> The</w:t>
      </w:r>
      <w:r w:rsidRPr="00953C6D">
        <w:rPr>
          <w:rFonts w:cs="Times New Roman"/>
          <w:szCs w:val="24"/>
        </w:rPr>
        <w:t xml:space="preserve"> </w:t>
      </w:r>
      <w:r>
        <w:rPr>
          <w:rFonts w:cs="Times New Roman"/>
          <w:szCs w:val="24"/>
        </w:rPr>
        <w:t>specific distribution of ride-hailing experience according to the three nominal categories is:</w:t>
      </w:r>
      <w:r w:rsidRPr="00953C6D">
        <w:rPr>
          <w:rFonts w:cs="Times New Roman"/>
          <w:szCs w:val="24"/>
        </w:rPr>
        <w:t xml:space="preserve"> </w:t>
      </w:r>
      <w:r w:rsidRPr="00953C6D">
        <w:rPr>
          <w:rFonts w:cs="Times New Roman"/>
          <w:i/>
          <w:szCs w:val="24"/>
        </w:rPr>
        <w:t xml:space="preserve">no experience </w:t>
      </w:r>
      <w:r w:rsidRPr="003403B8">
        <w:rPr>
          <w:rFonts w:cs="Times New Roman"/>
          <w:szCs w:val="24"/>
        </w:rPr>
        <w:t>(43.6%; n=701),</w:t>
      </w:r>
      <w:r w:rsidRPr="00953C6D">
        <w:rPr>
          <w:rFonts w:cs="Times New Roman"/>
          <w:szCs w:val="24"/>
        </w:rPr>
        <w:t xml:space="preserve"> </w:t>
      </w:r>
      <w:r w:rsidRPr="00953C6D">
        <w:rPr>
          <w:rFonts w:cs="Times New Roman"/>
          <w:i/>
          <w:szCs w:val="24"/>
        </w:rPr>
        <w:t xml:space="preserve">experience with private rides only </w:t>
      </w:r>
      <w:r w:rsidRPr="003403B8">
        <w:rPr>
          <w:rFonts w:cs="Times New Roman"/>
          <w:szCs w:val="24"/>
        </w:rPr>
        <w:t>(46.6%; n=906-157=749),</w:t>
      </w:r>
      <w:r w:rsidRPr="00953C6D">
        <w:rPr>
          <w:rFonts w:cs="Times New Roman"/>
          <w:szCs w:val="24"/>
        </w:rPr>
        <w:t xml:space="preserve"> and </w:t>
      </w:r>
      <w:r w:rsidRPr="00953C6D">
        <w:rPr>
          <w:rFonts w:cs="Times New Roman"/>
          <w:i/>
          <w:szCs w:val="24"/>
        </w:rPr>
        <w:t xml:space="preserve">experience with pooled rides </w:t>
      </w:r>
      <w:r w:rsidRPr="00953C6D">
        <w:rPr>
          <w:rFonts w:cs="Times New Roman"/>
          <w:szCs w:val="24"/>
        </w:rPr>
        <w:t xml:space="preserve">(9.8%; n=157; note that this group may have had experience with private rides too). </w:t>
      </w:r>
      <w:r w:rsidRPr="00353867">
        <w:rPr>
          <w:rFonts w:cs="Times New Roman"/>
          <w:szCs w:val="24"/>
        </w:rPr>
        <w:t>When asked about ride-hailing frequency specifically in the month prior to the survey, 33.7% of all respondents (n=542) reported at least one trip, suggesting that there is a considerable percentage of ride-hailing users (22.7%=56.4%-33.7%) who rely on ride-hailing on a one-off basis rather than on a monthly basis. It also is important to point out that ride-hailing frequency is relevant only if the individual has had ride-hailing experience (that is, only if the individual is not in the “no experience” category for the ride-hailing experience variable). Within the sub-sample of individuals with some ride-hailing experience (n=906), the frequency of trips in the past 30 days is grouped in one of the following five ordinal levels (the share of each level, as a percentage of 906 individuals with ride-hailing experience, is represented in parentheses: zero trips (40.2%; n=364), 1-3 trips (30.9%; n=280), 4-5 trips (12.6%; n=114), 6-10 trips (11.0%; n=100), and more than 10 trips (5.3%; n=48).</w:t>
      </w:r>
      <w:r w:rsidR="00BE1432">
        <w:t xml:space="preserve"> </w:t>
      </w:r>
    </w:p>
    <w:p w14:paraId="14449E5C" w14:textId="642053DA" w:rsidR="00F471C2" w:rsidRPr="00871C66" w:rsidRDefault="002B3789" w:rsidP="00871C66">
      <w:pPr>
        <w:ind w:firstLine="720"/>
      </w:pPr>
      <w:r>
        <w:lastRenderedPageBreak/>
        <w:t xml:space="preserve">The indicators of each </w:t>
      </w:r>
      <w:r w:rsidR="00E47C39">
        <w:t xml:space="preserve">latent </w:t>
      </w:r>
      <w:r>
        <w:t xml:space="preserve">construct </w:t>
      </w:r>
      <w:r w:rsidR="00E47C39">
        <w:t xml:space="preserve">used in the GHDM model </w:t>
      </w:r>
      <w:r>
        <w:t xml:space="preserve">are presented in </w:t>
      </w:r>
      <w:r w:rsidRPr="007D4DCB">
        <w:t>Table 2</w:t>
      </w:r>
      <w:r>
        <w:t xml:space="preserve">, together with their sample distributions. </w:t>
      </w:r>
      <w:r w:rsidR="00AD5C28">
        <w:t>T</w:t>
      </w:r>
      <w:r>
        <w:t xml:space="preserve">he sample shows a general tendency toward being privacy-sensitive, tech-savvy, and having a variety-seeking lifestyle. The concern with privacy during a trip is consistent with the level of car-dominance in DFW, and may possibly impact the adoption of ride-hailing, especially pooled ride-hailing (note that the first indicator for privacy sensitivity is actually a measure of privacy insensitivity as elicited in the survey, and so the response is introduced in a reversed scale in the analysis to capture privacy sensitivity). A clear familiarity with ICTs and a variety-seeking lifestyle in the sample is expected, considering that the sample is skewed toward high levels of education and income. </w:t>
      </w:r>
      <w:r w:rsidRPr="009061FD">
        <w:t>Interestingly, the responses related to the last measure; green lifestyle; show that over 50% of the sample “somewhat” or “strongly” agree that factors other than environmental friendliness dictate their commute mode choices, while just a little over 11% of the sample “somewhat” or “strongly” agree that they do not give much thought to energy saving at home. These descriptive statistics suggest that, while most people are sensitive to energy conservation considerations at home,</w:t>
      </w:r>
      <w:r>
        <w:t xml:space="preserve"> </w:t>
      </w:r>
      <w:r w:rsidRPr="009061FD">
        <w:t>most people also believe that considerations other than their commute-related environment</w:t>
      </w:r>
      <w:r>
        <w:t>al</w:t>
      </w:r>
      <w:r w:rsidRPr="009061FD">
        <w:t xml:space="preserve"> footprint dictate their commute mode choices </w:t>
      </w:r>
      <w:r>
        <w:t>(note again that the two questions pertaining to green lifestyle measure non-green lifestyle in the way they are worded, and so are introduced in a reversed scale in the analysis to captur</w:t>
      </w:r>
      <w:r w:rsidR="00871C66">
        <w:t xml:space="preserve">e green lifestyle propensity). </w:t>
      </w:r>
    </w:p>
    <w:p w14:paraId="76C37352" w14:textId="3D709135" w:rsidR="00184878" w:rsidRDefault="00717157" w:rsidP="00717157">
      <w:pPr>
        <w:ind w:firstLine="720"/>
      </w:pPr>
      <w:r>
        <w:t xml:space="preserve">Finally, the sample distributions of </w:t>
      </w:r>
      <w:r w:rsidR="00184878">
        <w:t xml:space="preserve">the four trip-level choice dimensions are presented in Table 3. The descriptive statistics corresponding to trip purpose indicate that ride-hailing is mostly being used to access airports and recreational activities (with each of these purposes accounting for about 40% of all ride-hailing trips). The time-of-day shares show a relatively even intensity of trips during the morning and mid-day periods, though there is a definitive spike in the intensity during the evening period (note that all the morning, mid-day, and evening periods are of five hours duration, as we have defined them). The intensity of ride-hailing trips is lower during the nine-hour night period, though this is to be expected given the overall lower intensity of travel during the night relative to the day periods. In terms of trip companionship, about two-fifths of all trips are made alone, while the remaining are with others (co-workers, friends, family, and strangers). The trips with strangers, while having more of a flavor of pooled ride-hailing trips than those with co-workers, friends, and family, amounted to only 13 in number, and so were combined with trips with other accompaniment types. Finally, the dimension of mode substituted from for the ride-hailing trips suggests that much of the draw is from a private vehicle or a taxi. It is also interesting to note that almost 6% of the sample would not have traveled if ride-hailing were not available. </w:t>
      </w:r>
    </w:p>
    <w:p w14:paraId="5C5A3F54" w14:textId="77777777" w:rsidR="0004770E" w:rsidRPr="0024057D" w:rsidRDefault="0004770E" w:rsidP="002B1790">
      <w:pPr>
        <w:keepNext/>
        <w:keepLines/>
        <w:ind w:left="360"/>
        <w:rPr>
          <w:b/>
        </w:rPr>
      </w:pPr>
    </w:p>
    <w:p w14:paraId="13898B8D" w14:textId="775A3A03" w:rsidR="009E5E18" w:rsidRPr="00871C66" w:rsidRDefault="00A25820" w:rsidP="002B1790">
      <w:pPr>
        <w:pStyle w:val="ListParagraph"/>
        <w:keepNext/>
        <w:keepLines/>
        <w:numPr>
          <w:ilvl w:val="0"/>
          <w:numId w:val="1"/>
        </w:numPr>
        <w:rPr>
          <w:b/>
        </w:rPr>
      </w:pPr>
      <w:r w:rsidRPr="00871C66">
        <w:rPr>
          <w:b/>
        </w:rPr>
        <w:t xml:space="preserve">INDIVIDUAL-LEVEL </w:t>
      </w:r>
      <w:r w:rsidR="00705419" w:rsidRPr="00871C66">
        <w:rPr>
          <w:b/>
        </w:rPr>
        <w:t xml:space="preserve">EXPERIENCE AND FREQUENCY OF USE MODEL RESULTS </w:t>
      </w:r>
    </w:p>
    <w:p w14:paraId="1EBB6529" w14:textId="7C4943A2" w:rsidR="00A036A4" w:rsidRDefault="003C7262" w:rsidP="002B1790">
      <w:pPr>
        <w:keepNext/>
        <w:keepLines/>
        <w:rPr>
          <w:rFonts w:cs="Times New Roman"/>
          <w:szCs w:val="24"/>
        </w:rPr>
      </w:pPr>
      <w:r>
        <w:rPr>
          <w:rFonts w:cs="Times New Roman"/>
          <w:szCs w:val="24"/>
        </w:rPr>
        <w:t>This section presents a detailed discussion of the results of the</w:t>
      </w:r>
      <w:r w:rsidR="00D43385">
        <w:rPr>
          <w:rFonts w:cs="Times New Roman"/>
          <w:szCs w:val="24"/>
        </w:rPr>
        <w:t xml:space="preserve"> individual-level</w:t>
      </w:r>
      <w:r>
        <w:rPr>
          <w:rFonts w:cs="Times New Roman"/>
          <w:szCs w:val="24"/>
        </w:rPr>
        <w:t xml:space="preserve"> ride-hailing experience and frequency model. </w:t>
      </w:r>
      <w:r w:rsidRPr="003C7262">
        <w:rPr>
          <w:rFonts w:cs="Times New Roman"/>
          <w:szCs w:val="24"/>
        </w:rPr>
        <w:t xml:space="preserve">The final </w:t>
      </w:r>
      <w:r w:rsidR="000E023E">
        <w:rPr>
          <w:rFonts w:cs="Times New Roman"/>
          <w:szCs w:val="24"/>
        </w:rPr>
        <w:t>model</w:t>
      </w:r>
      <w:r w:rsidRPr="003C7262">
        <w:rPr>
          <w:rFonts w:cs="Times New Roman"/>
          <w:szCs w:val="24"/>
        </w:rPr>
        <w:t xml:space="preserve"> specification was obtained based on a systematic process of </w:t>
      </w:r>
      <w:r w:rsidR="00A036A4">
        <w:rPr>
          <w:rFonts w:cs="Times New Roman"/>
          <w:szCs w:val="24"/>
        </w:rPr>
        <w:t xml:space="preserve">testing alternative combinations of explanatory variables and </w:t>
      </w:r>
      <w:r w:rsidRPr="003C7262">
        <w:rPr>
          <w:rFonts w:cs="Times New Roman"/>
          <w:szCs w:val="24"/>
        </w:rPr>
        <w:t>eliminating</w:t>
      </w:r>
      <w:r>
        <w:rPr>
          <w:rFonts w:cs="Times New Roman"/>
          <w:szCs w:val="24"/>
        </w:rPr>
        <w:t xml:space="preserve"> </w:t>
      </w:r>
      <w:r w:rsidRPr="003C7262">
        <w:rPr>
          <w:rFonts w:cs="Times New Roman"/>
          <w:szCs w:val="24"/>
        </w:rPr>
        <w:t>statistically insignificant</w:t>
      </w:r>
      <w:r w:rsidR="00A036A4">
        <w:rPr>
          <w:rFonts w:cs="Times New Roman"/>
          <w:szCs w:val="24"/>
        </w:rPr>
        <w:t xml:space="preserve"> ones</w:t>
      </w:r>
      <w:r w:rsidR="00530AE0">
        <w:rPr>
          <w:rFonts w:cs="Times New Roman"/>
          <w:szCs w:val="24"/>
        </w:rPr>
        <w:t>. However, some variables that were not statistically significant at a 9</w:t>
      </w:r>
      <w:r w:rsidR="00B2098C">
        <w:rPr>
          <w:rFonts w:cs="Times New Roman"/>
          <w:szCs w:val="24"/>
        </w:rPr>
        <w:t>5</w:t>
      </w:r>
      <w:r w:rsidR="00530AE0">
        <w:rPr>
          <w:rFonts w:cs="Times New Roman"/>
          <w:szCs w:val="24"/>
        </w:rPr>
        <w:t xml:space="preserve">% confidence level were </w:t>
      </w:r>
      <w:r w:rsidR="00D43385">
        <w:rPr>
          <w:rFonts w:cs="Times New Roman"/>
          <w:szCs w:val="24"/>
        </w:rPr>
        <w:t xml:space="preserve">still retained </w:t>
      </w:r>
      <w:r w:rsidR="00530AE0">
        <w:rPr>
          <w:rFonts w:cs="Times New Roman"/>
          <w:szCs w:val="24"/>
        </w:rPr>
        <w:t xml:space="preserve">due to their </w:t>
      </w:r>
      <w:r w:rsidR="00D43385">
        <w:rPr>
          <w:rFonts w:cs="Times New Roman"/>
          <w:szCs w:val="24"/>
        </w:rPr>
        <w:t xml:space="preserve">intuitive interpretations and </w:t>
      </w:r>
      <w:r w:rsidR="00530AE0">
        <w:rPr>
          <w:rFonts w:cs="Times New Roman"/>
          <w:szCs w:val="24"/>
        </w:rPr>
        <w:t>important</w:t>
      </w:r>
      <w:r w:rsidR="00D43385">
        <w:rPr>
          <w:rFonts w:cs="Times New Roman"/>
          <w:szCs w:val="24"/>
        </w:rPr>
        <w:t xml:space="preserve"> empirical implications</w:t>
      </w:r>
      <w:r w:rsidR="00530AE0">
        <w:rPr>
          <w:rFonts w:cs="Times New Roman"/>
          <w:szCs w:val="24"/>
        </w:rPr>
        <w:t xml:space="preserve">. </w:t>
      </w:r>
      <w:r w:rsidR="00D43385">
        <w:rPr>
          <w:rFonts w:cs="Times New Roman"/>
          <w:szCs w:val="24"/>
        </w:rPr>
        <w:t>In this regard, t</w:t>
      </w:r>
      <w:r w:rsidR="00530AE0">
        <w:rPr>
          <w:rFonts w:cs="Times New Roman"/>
          <w:szCs w:val="24"/>
        </w:rPr>
        <w:t xml:space="preserve">he </w:t>
      </w:r>
      <w:r w:rsidR="00D43385">
        <w:rPr>
          <w:rFonts w:cs="Times New Roman"/>
          <w:szCs w:val="24"/>
        </w:rPr>
        <w:t xml:space="preserve">GHDM </w:t>
      </w:r>
      <w:r w:rsidR="00530AE0">
        <w:rPr>
          <w:rFonts w:cs="Times New Roman"/>
          <w:szCs w:val="24"/>
        </w:rPr>
        <w:t xml:space="preserve">methodology used involves the estimation of a large number of parameters, so the </w:t>
      </w:r>
      <w:r w:rsidR="00D43385">
        <w:rPr>
          <w:rFonts w:cs="Times New Roman"/>
          <w:szCs w:val="24"/>
        </w:rPr>
        <w:t xml:space="preserve">statistical </w:t>
      </w:r>
      <w:r w:rsidR="00530AE0">
        <w:rPr>
          <w:rFonts w:cs="Times New Roman"/>
          <w:szCs w:val="24"/>
        </w:rPr>
        <w:t xml:space="preserve">insignificance of some coefficients may </w:t>
      </w:r>
      <w:r w:rsidR="00D43385">
        <w:rPr>
          <w:rFonts w:cs="Times New Roman"/>
          <w:szCs w:val="24"/>
        </w:rPr>
        <w:t xml:space="preserve">simply be a result of having </w:t>
      </w:r>
      <w:r w:rsidR="00530AE0">
        <w:rPr>
          <w:rFonts w:cs="Times New Roman"/>
          <w:szCs w:val="24"/>
        </w:rPr>
        <w:t xml:space="preserve">only 1,607 respondents (and only 906 respondents for the ride-hailing frequency variable). </w:t>
      </w:r>
      <w:r w:rsidR="00562AFB">
        <w:rPr>
          <w:rFonts w:cs="Times New Roman"/>
          <w:szCs w:val="24"/>
        </w:rPr>
        <w:t xml:space="preserve">Also, the </w:t>
      </w:r>
      <w:r w:rsidR="00D43385">
        <w:rPr>
          <w:rFonts w:cs="Times New Roman"/>
          <w:szCs w:val="24"/>
        </w:rPr>
        <w:t>effects from this analysis</w:t>
      </w:r>
      <w:r w:rsidR="00562AFB">
        <w:rPr>
          <w:rFonts w:cs="Times New Roman"/>
          <w:szCs w:val="24"/>
        </w:rPr>
        <w:t>, even if not highly statistically significant,</w:t>
      </w:r>
      <w:r w:rsidR="00D43385">
        <w:rPr>
          <w:rFonts w:cs="Times New Roman"/>
          <w:szCs w:val="24"/>
        </w:rPr>
        <w:t xml:space="preserve"> can inform specifications in future ride-hailing investigations with larger sample sizes. </w:t>
      </w:r>
    </w:p>
    <w:p w14:paraId="16248D92" w14:textId="076C561B" w:rsidR="003C7262" w:rsidRPr="003C7262" w:rsidRDefault="00D43385" w:rsidP="00D804EA">
      <w:pPr>
        <w:ind w:firstLine="720"/>
        <w:rPr>
          <w:rFonts w:cs="Times New Roman"/>
          <w:szCs w:val="24"/>
        </w:rPr>
      </w:pPr>
      <w:r>
        <w:rPr>
          <w:rFonts w:cs="Times New Roman"/>
          <w:szCs w:val="24"/>
        </w:rPr>
        <w:t xml:space="preserve">In the next section, </w:t>
      </w:r>
      <w:r w:rsidR="00A036A4">
        <w:rPr>
          <w:rFonts w:cs="Times New Roman"/>
          <w:szCs w:val="24"/>
        </w:rPr>
        <w:t>w</w:t>
      </w:r>
      <w:r w:rsidR="0063312B">
        <w:rPr>
          <w:rFonts w:cs="Times New Roman"/>
          <w:szCs w:val="24"/>
        </w:rPr>
        <w:t xml:space="preserve">e discuss the results of the SEM model component </w:t>
      </w:r>
      <w:r>
        <w:rPr>
          <w:rFonts w:cs="Times New Roman"/>
          <w:szCs w:val="24"/>
        </w:rPr>
        <w:t>of the GHDM, as well as</w:t>
      </w:r>
      <w:r w:rsidR="0063312B">
        <w:rPr>
          <w:rFonts w:cs="Times New Roman"/>
          <w:szCs w:val="24"/>
        </w:rPr>
        <w:t xml:space="preserve"> the latent variables’ </w:t>
      </w:r>
      <w:r w:rsidR="00606C0C">
        <w:rPr>
          <w:rFonts w:cs="Times New Roman"/>
          <w:szCs w:val="24"/>
        </w:rPr>
        <w:t xml:space="preserve">correlations and </w:t>
      </w:r>
      <w:r w:rsidR="0063312B">
        <w:rPr>
          <w:rFonts w:cs="Times New Roman"/>
          <w:szCs w:val="24"/>
        </w:rPr>
        <w:t>loadings on the attitudinal and lifestyle indicators</w:t>
      </w:r>
      <w:r>
        <w:rPr>
          <w:rFonts w:cs="Times New Roman"/>
          <w:szCs w:val="24"/>
        </w:rPr>
        <w:t xml:space="preserve"> (which is one part of the MEM). In subsequent sections, we discuss the MEM relationships corresponding to the effects of socio-demographic characteristics and the latent variables on </w:t>
      </w:r>
      <w:r w:rsidR="0063312B">
        <w:rPr>
          <w:rFonts w:cs="Times New Roman"/>
          <w:szCs w:val="24"/>
        </w:rPr>
        <w:t xml:space="preserve">the </w:t>
      </w:r>
      <w:r>
        <w:rPr>
          <w:rFonts w:cs="Times New Roman"/>
          <w:szCs w:val="24"/>
        </w:rPr>
        <w:t xml:space="preserve">four </w:t>
      </w:r>
      <w:r w:rsidR="0063312B">
        <w:rPr>
          <w:rFonts w:cs="Times New Roman"/>
          <w:szCs w:val="24"/>
        </w:rPr>
        <w:t>main outcomes of interest</w:t>
      </w:r>
      <w:r>
        <w:rPr>
          <w:rFonts w:cs="Times New Roman"/>
          <w:szCs w:val="24"/>
        </w:rPr>
        <w:t xml:space="preserve"> in the individual-level model (including endogenous effects among these four outcome variables)</w:t>
      </w:r>
      <w:r w:rsidR="0063312B">
        <w:rPr>
          <w:rFonts w:cs="Times New Roman"/>
          <w:szCs w:val="24"/>
        </w:rPr>
        <w:t xml:space="preserve">. </w:t>
      </w:r>
    </w:p>
    <w:p w14:paraId="1357CBF2" w14:textId="77777777" w:rsidR="00121EF7" w:rsidRPr="00121EF7" w:rsidRDefault="00121EF7" w:rsidP="00121EF7">
      <w:pPr>
        <w:rPr>
          <w:b/>
        </w:rPr>
      </w:pPr>
    </w:p>
    <w:p w14:paraId="2A37B558" w14:textId="3E50AE94" w:rsidR="002D5965" w:rsidRDefault="00D77ACD" w:rsidP="00871C66">
      <w:pPr>
        <w:pStyle w:val="ListParagraph"/>
        <w:numPr>
          <w:ilvl w:val="1"/>
          <w:numId w:val="1"/>
        </w:numPr>
        <w:rPr>
          <w:b/>
        </w:rPr>
      </w:pPr>
      <w:r>
        <w:rPr>
          <w:b/>
        </w:rPr>
        <w:t>L</w:t>
      </w:r>
      <w:r w:rsidR="002D5965" w:rsidRPr="00044EAE">
        <w:rPr>
          <w:b/>
        </w:rPr>
        <w:t xml:space="preserve">ifestyle and </w:t>
      </w:r>
      <w:r w:rsidR="008778FE">
        <w:rPr>
          <w:b/>
        </w:rPr>
        <w:t>A</w:t>
      </w:r>
      <w:r w:rsidR="002D5965" w:rsidRPr="00044EAE">
        <w:rPr>
          <w:b/>
        </w:rPr>
        <w:t xml:space="preserve">ttitudinal </w:t>
      </w:r>
      <w:r w:rsidR="008778FE">
        <w:rPr>
          <w:b/>
        </w:rPr>
        <w:t>L</w:t>
      </w:r>
      <w:r w:rsidR="002D5965" w:rsidRPr="00044EAE">
        <w:rPr>
          <w:b/>
        </w:rPr>
        <w:t xml:space="preserve">atent </w:t>
      </w:r>
      <w:r w:rsidR="008778FE">
        <w:rPr>
          <w:b/>
        </w:rPr>
        <w:t>F</w:t>
      </w:r>
      <w:r w:rsidR="002D5965" w:rsidRPr="00044EAE">
        <w:rPr>
          <w:b/>
        </w:rPr>
        <w:t>actors</w:t>
      </w:r>
    </w:p>
    <w:p w14:paraId="3634ADD0" w14:textId="2887F7C3" w:rsidR="00437771" w:rsidRPr="000372A8" w:rsidRDefault="00583BBF" w:rsidP="003F602C">
      <w:pPr>
        <w:autoSpaceDE w:val="0"/>
        <w:autoSpaceDN w:val="0"/>
        <w:adjustRightInd w:val="0"/>
        <w:rPr>
          <w:rFonts w:cs="Times New Roman"/>
          <w:szCs w:val="24"/>
        </w:rPr>
      </w:pPr>
      <w:r w:rsidRPr="000E2190">
        <w:rPr>
          <w:rFonts w:cs="Times New Roman"/>
        </w:rPr>
        <w:t xml:space="preserve">The structural relationships between socio-demographic variables representing lifecycle stages and the latent constructs are presented in Table </w:t>
      </w:r>
      <w:r w:rsidR="00145B1F">
        <w:rPr>
          <w:rFonts w:cs="Times New Roman"/>
        </w:rPr>
        <w:t>4</w:t>
      </w:r>
      <w:r w:rsidR="00F31C9F">
        <w:rPr>
          <w:rFonts w:cs="Times New Roman"/>
        </w:rPr>
        <w:t>.</w:t>
      </w:r>
      <w:r w:rsidRPr="00B06E8D">
        <w:rPr>
          <w:rFonts w:cs="Times New Roman"/>
        </w:rPr>
        <w:t xml:space="preserve"> </w:t>
      </w:r>
      <w:r w:rsidR="006B7994" w:rsidRPr="00B06E8D">
        <w:rPr>
          <w:rFonts w:cs="Times New Roman"/>
        </w:rPr>
        <w:t>Gender shows no significant effect on the individual’s level of privacy-sensitivity and tech-savviness. Yet, women display lower levels of VSLP and higher levels of GLP.</w:t>
      </w:r>
      <w:r w:rsidR="00437771" w:rsidRPr="002835A4">
        <w:rPr>
          <w:rFonts w:cs="Times New Roman"/>
        </w:rPr>
        <w:t xml:space="preserve"> These</w:t>
      </w:r>
      <w:r w:rsidR="00AE6FD4" w:rsidRPr="002835A4">
        <w:rPr>
          <w:rFonts w:cs="Times New Roman"/>
        </w:rPr>
        <w:t xml:space="preserve"> results are </w:t>
      </w:r>
      <w:r w:rsidR="00AB3B12" w:rsidRPr="002835A4">
        <w:rPr>
          <w:rFonts w:cs="Times New Roman"/>
        </w:rPr>
        <w:t xml:space="preserve">consistent </w:t>
      </w:r>
      <w:r w:rsidR="00AE6FD4" w:rsidRPr="000372A8">
        <w:rPr>
          <w:rFonts w:cs="Times New Roman"/>
        </w:rPr>
        <w:t xml:space="preserve">with </w:t>
      </w:r>
      <w:r w:rsidR="00AB3B12" w:rsidRPr="000372A8">
        <w:rPr>
          <w:rFonts w:cs="Times New Roman"/>
        </w:rPr>
        <w:t xml:space="preserve">the </w:t>
      </w:r>
      <w:r w:rsidR="00AE6FD4" w:rsidRPr="000372A8">
        <w:rPr>
          <w:rFonts w:cs="Times New Roman"/>
        </w:rPr>
        <w:t xml:space="preserve">social psychology </w:t>
      </w:r>
      <w:r w:rsidR="00AB3B12" w:rsidRPr="00D0022B">
        <w:rPr>
          <w:rFonts w:cs="Times New Roman"/>
        </w:rPr>
        <w:t>literature</w:t>
      </w:r>
      <w:r w:rsidR="00AE6FD4" w:rsidRPr="00206BE5">
        <w:rPr>
          <w:rFonts w:cs="Times New Roman"/>
        </w:rPr>
        <w:t>.</w:t>
      </w:r>
      <w:r w:rsidR="006B7994" w:rsidRPr="00206BE5">
        <w:rPr>
          <w:rFonts w:cs="Times New Roman"/>
        </w:rPr>
        <w:t xml:space="preserve"> </w:t>
      </w:r>
      <w:r w:rsidR="00437771" w:rsidRPr="00206BE5">
        <w:rPr>
          <w:rFonts w:cs="Times New Roman"/>
        </w:rPr>
        <w:t>Gender comparisons</w:t>
      </w:r>
      <w:r w:rsidR="00AE6FD4" w:rsidRPr="00206BE5">
        <w:rPr>
          <w:rFonts w:cs="Times New Roman"/>
        </w:rPr>
        <w:t xml:space="preserve"> </w:t>
      </w:r>
      <w:r w:rsidR="00437771" w:rsidRPr="000927D6">
        <w:rPr>
          <w:rFonts w:cs="Times New Roman"/>
        </w:rPr>
        <w:t xml:space="preserve">based on the Theory of Basic Human Values (Schwartz, </w:t>
      </w:r>
      <w:r w:rsidR="00AE6FD4" w:rsidRPr="009B2566">
        <w:rPr>
          <w:rFonts w:cs="Times New Roman"/>
        </w:rPr>
        <w:t>1992)</w:t>
      </w:r>
      <w:r w:rsidR="00437771" w:rsidRPr="009B2566">
        <w:rPr>
          <w:rFonts w:cs="Times New Roman"/>
        </w:rPr>
        <w:t xml:space="preserve"> identify that men tend to be more open to experiences and changes tha</w:t>
      </w:r>
      <w:r w:rsidR="00437771" w:rsidRPr="000E2190">
        <w:rPr>
          <w:rFonts w:cs="Times New Roman"/>
        </w:rPr>
        <w:t xml:space="preserve">n women as </w:t>
      </w:r>
      <w:r w:rsidR="002B5A06">
        <w:rPr>
          <w:rFonts w:cs="Times New Roman"/>
        </w:rPr>
        <w:t>men</w:t>
      </w:r>
      <w:r w:rsidR="00437771" w:rsidRPr="000E2190">
        <w:rPr>
          <w:rFonts w:cs="Times New Roman"/>
        </w:rPr>
        <w:t xml:space="preserve"> generally attribute more value to s</w:t>
      </w:r>
      <w:r w:rsidR="0060348D" w:rsidRPr="004A719F">
        <w:rPr>
          <w:rFonts w:cs="Times New Roman"/>
        </w:rPr>
        <w:t>t</w:t>
      </w:r>
      <w:r w:rsidR="00437771" w:rsidRPr="004A719F">
        <w:rPr>
          <w:rFonts w:cs="Times New Roman"/>
        </w:rPr>
        <w:t>imulation, self-direction and hedonism values (Schwartz and Rubel, 2005</w:t>
      </w:r>
      <w:r w:rsidR="00FC4634">
        <w:rPr>
          <w:rFonts w:cs="Times New Roman"/>
        </w:rPr>
        <w:t>;</w:t>
      </w:r>
      <w:r w:rsidR="005D4DFD">
        <w:rPr>
          <w:rFonts w:cs="Times New Roman"/>
        </w:rPr>
        <w:t xml:space="preserve"> Vianello et al., 2013</w:t>
      </w:r>
      <w:r w:rsidR="00437771" w:rsidRPr="00B06E8D">
        <w:rPr>
          <w:rFonts w:cs="Times New Roman"/>
        </w:rPr>
        <w:t xml:space="preserve">). On the other hand, women are </w:t>
      </w:r>
      <w:r w:rsidR="00046765">
        <w:rPr>
          <w:rFonts w:cs="Times New Roman"/>
        </w:rPr>
        <w:t xml:space="preserve">generally </w:t>
      </w:r>
      <w:r w:rsidR="00437771" w:rsidRPr="00B06E8D">
        <w:rPr>
          <w:rFonts w:cs="Times New Roman"/>
        </w:rPr>
        <w:t>more oriented toward prosocial values than men (</w:t>
      </w:r>
      <w:r w:rsidR="00AB3B12" w:rsidRPr="00C324DB">
        <w:rPr>
          <w:rFonts w:cs="Times New Roman"/>
          <w:szCs w:val="24"/>
        </w:rPr>
        <w:t xml:space="preserve">Liu </w:t>
      </w:r>
      <w:r w:rsidR="00AB3B12" w:rsidRPr="00C324DB">
        <w:rPr>
          <w:rFonts w:cs="Times New Roman"/>
          <w:iCs/>
          <w:szCs w:val="24"/>
        </w:rPr>
        <w:t>et al</w:t>
      </w:r>
      <w:r w:rsidR="00AB3B12" w:rsidRPr="00C324DB">
        <w:rPr>
          <w:rFonts w:cs="Times New Roman"/>
          <w:szCs w:val="24"/>
        </w:rPr>
        <w:t>., 2014</w:t>
      </w:r>
      <w:r w:rsidR="003F602C" w:rsidRPr="00C324DB">
        <w:rPr>
          <w:rFonts w:cs="Times New Roman"/>
          <w:szCs w:val="24"/>
        </w:rPr>
        <w:t>;</w:t>
      </w:r>
      <w:r w:rsidR="00AB3B12" w:rsidRPr="00C324DB">
        <w:rPr>
          <w:rFonts w:cs="Times New Roman"/>
          <w:szCs w:val="24"/>
        </w:rPr>
        <w:t xml:space="preserve"> Gifford and Nilsson, 2014</w:t>
      </w:r>
      <w:r w:rsidR="00AB3B12" w:rsidRPr="00B06E8D">
        <w:rPr>
          <w:rFonts w:cs="Times New Roman"/>
        </w:rPr>
        <w:t>)</w:t>
      </w:r>
      <w:r w:rsidR="002B5A06">
        <w:rPr>
          <w:rFonts w:cs="Times New Roman"/>
        </w:rPr>
        <w:t>,</w:t>
      </w:r>
      <w:r w:rsidR="00437771" w:rsidRPr="00B06E8D">
        <w:rPr>
          <w:rFonts w:cs="Times New Roman"/>
        </w:rPr>
        <w:t xml:space="preserve"> which result in </w:t>
      </w:r>
      <w:r w:rsidR="00AE6FD4" w:rsidRPr="002835A4">
        <w:rPr>
          <w:rFonts w:cs="Times New Roman"/>
        </w:rPr>
        <w:t>more environmentally conscious behaviors (Gilg et al., 2005</w:t>
      </w:r>
      <w:r w:rsidR="00AB3B12" w:rsidRPr="000372A8">
        <w:rPr>
          <w:rFonts w:cs="Times New Roman"/>
        </w:rPr>
        <w:t>; Bhat, 2015</w:t>
      </w:r>
      <w:r w:rsidR="00AA0C91">
        <w:rPr>
          <w:rFonts w:cs="Times New Roman"/>
        </w:rPr>
        <w:t>b</w:t>
      </w:r>
      <w:r w:rsidR="00AE6FD4" w:rsidRPr="000372A8">
        <w:rPr>
          <w:rFonts w:cs="Times New Roman"/>
        </w:rPr>
        <w:t xml:space="preserve">). </w:t>
      </w:r>
    </w:p>
    <w:p w14:paraId="1DFCCAEC" w14:textId="70F6563F" w:rsidR="001A07C1" w:rsidRPr="00517684" w:rsidRDefault="00395E9B" w:rsidP="00925F33">
      <w:pPr>
        <w:ind w:firstLine="720"/>
      </w:pPr>
      <w:r w:rsidRPr="006B37DE">
        <w:t xml:space="preserve">Age presents </w:t>
      </w:r>
      <w:r w:rsidR="00F179D4" w:rsidRPr="006B37DE">
        <w:t xml:space="preserve">generally </w:t>
      </w:r>
      <w:r w:rsidRPr="006B37DE">
        <w:t xml:space="preserve">significant effects </w:t>
      </w:r>
      <w:r w:rsidR="00AB3B12" w:rsidRPr="006B37DE">
        <w:t>o</w:t>
      </w:r>
      <w:r w:rsidRPr="006B37DE">
        <w:t>n all latent constructs</w:t>
      </w:r>
      <w:r w:rsidR="00002EF8" w:rsidRPr="006B37DE">
        <w:t xml:space="preserve"> except privacy-sensitivity.</w:t>
      </w:r>
      <w:r w:rsidRPr="006B37DE">
        <w:t xml:space="preserve"> </w:t>
      </w:r>
      <w:r w:rsidR="00AB3B12" w:rsidRPr="006B37DE">
        <w:t>In general, y</w:t>
      </w:r>
      <w:r w:rsidR="00B14BBB" w:rsidRPr="006B37DE">
        <w:t xml:space="preserve">ounger adults </w:t>
      </w:r>
      <w:r w:rsidRPr="006B37DE">
        <w:t xml:space="preserve">show higher levels of </w:t>
      </w:r>
      <w:r w:rsidR="00B14BBB" w:rsidRPr="006B37DE">
        <w:t>tech-savv</w:t>
      </w:r>
      <w:r w:rsidRPr="006B37DE">
        <w:t>iness</w:t>
      </w:r>
      <w:r w:rsidR="00B14BBB" w:rsidRPr="006B37DE">
        <w:t xml:space="preserve"> and </w:t>
      </w:r>
      <w:r w:rsidRPr="006B37DE">
        <w:t>VSLP</w:t>
      </w:r>
      <w:r w:rsidR="00AB3B12" w:rsidRPr="006B37DE">
        <w:t xml:space="preserve"> than their older counterparts</w:t>
      </w:r>
      <w:r w:rsidRPr="006B37DE">
        <w:t>.</w:t>
      </w:r>
      <w:r w:rsidR="00F777FC" w:rsidRPr="006B37DE">
        <w:t xml:space="preserve"> </w:t>
      </w:r>
      <w:r w:rsidR="00C031D2" w:rsidRPr="006B37DE">
        <w:t>It is well established that younger generations, through their early exposure to ICT in their formative childhood years, are naturally more familiar and adept with such technologies (Helsper and Eynon, 2010</w:t>
      </w:r>
      <w:r w:rsidR="0049239E">
        <w:t>;</w:t>
      </w:r>
      <w:r w:rsidR="00C031D2" w:rsidRPr="006B37DE">
        <w:t xml:space="preserve"> Twenge, 2013), which contributes to their higher level of tech-savviness</w:t>
      </w:r>
      <w:r w:rsidR="00002EF8" w:rsidRPr="006B37DE">
        <w:t>.</w:t>
      </w:r>
      <w:r w:rsidR="00C031D2" w:rsidRPr="006B37DE">
        <w:t xml:space="preserve"> </w:t>
      </w:r>
      <w:r w:rsidR="00493483" w:rsidRPr="006B37DE">
        <w:t xml:space="preserve">In terms of VSLP, </w:t>
      </w:r>
      <w:r w:rsidR="00744119" w:rsidRPr="006B37DE">
        <w:t xml:space="preserve">the human values and personality literature identifies that </w:t>
      </w:r>
      <w:r w:rsidR="0060348D" w:rsidRPr="006B37DE">
        <w:lastRenderedPageBreak/>
        <w:t>younger individuals are more open to new experiences and more likely to attribute high importance to stimulation values</w:t>
      </w:r>
      <w:r w:rsidR="00084AE7" w:rsidRPr="006B37DE">
        <w:t xml:space="preserve">, seeking </w:t>
      </w:r>
      <w:r w:rsidR="0060348D" w:rsidRPr="006B37DE">
        <w:t>variety</w:t>
      </w:r>
      <w:r w:rsidR="003B34FB" w:rsidRPr="006B37DE">
        <w:t xml:space="preserve"> in their daily lives</w:t>
      </w:r>
      <w:r w:rsidR="0060348D" w:rsidRPr="006B37DE">
        <w:t xml:space="preserve"> (Gutierrez et al., 2005</w:t>
      </w:r>
      <w:r w:rsidR="008778FE">
        <w:t>; Milojev and Sibley,</w:t>
      </w:r>
      <w:r w:rsidR="00C324DB" w:rsidRPr="006B37DE">
        <w:t xml:space="preserve"> 2017</w:t>
      </w:r>
      <w:r w:rsidR="0060348D" w:rsidRPr="006B37DE">
        <w:t xml:space="preserve">). </w:t>
      </w:r>
      <w:r w:rsidR="00844255" w:rsidRPr="006B37DE">
        <w:t>T</w:t>
      </w:r>
      <w:r w:rsidR="00493483" w:rsidRPr="006B37DE">
        <w:t xml:space="preserve">he </w:t>
      </w:r>
      <w:r w:rsidR="00517684">
        <w:t xml:space="preserve">marginally significant </w:t>
      </w:r>
      <w:r w:rsidR="00F179D4" w:rsidRPr="006B37DE">
        <w:t>negative GLP among the young</w:t>
      </w:r>
      <w:r w:rsidR="00BF565B">
        <w:t>est group of individuals (18-</w:t>
      </w:r>
      <w:r w:rsidR="00F179D4" w:rsidRPr="006B37DE">
        <w:t xml:space="preserve">34 years of age) relative to their older peers is interesting, though not inconsistent </w:t>
      </w:r>
      <w:r w:rsidR="00925F33" w:rsidRPr="006B37DE">
        <w:t xml:space="preserve">with findings from recent studies that identify a decrease </w:t>
      </w:r>
      <w:r w:rsidR="00F179D4" w:rsidRPr="006B37DE">
        <w:t>in the</w:t>
      </w:r>
      <w:r w:rsidR="00925F33" w:rsidRPr="006B37DE">
        <w:t xml:space="preserve"> younger generation’s environmental consciousness</w:t>
      </w:r>
      <w:r w:rsidR="0049239E">
        <w:t>. For example, Liu et al. (</w:t>
      </w:r>
      <w:r w:rsidR="00F179D4" w:rsidRPr="006B37DE">
        <w:t>2014</w:t>
      </w:r>
      <w:r w:rsidR="0049239E">
        <w:t>)</w:t>
      </w:r>
      <w:r w:rsidR="00F179D4" w:rsidRPr="006B37DE">
        <w:t xml:space="preserve"> and </w:t>
      </w:r>
      <w:r w:rsidR="0049239E">
        <w:rPr>
          <w:rFonts w:cs="Times New Roman"/>
          <w:szCs w:val="24"/>
        </w:rPr>
        <w:t>Gifford and Nilsson (</w:t>
      </w:r>
      <w:r w:rsidR="00F179D4" w:rsidRPr="006B37DE">
        <w:rPr>
          <w:rFonts w:cs="Times New Roman"/>
          <w:szCs w:val="24"/>
        </w:rPr>
        <w:t>2014</w:t>
      </w:r>
      <w:r w:rsidR="0049239E">
        <w:rPr>
          <w:rFonts w:cs="Times New Roman"/>
          <w:szCs w:val="24"/>
        </w:rPr>
        <w:t>)</w:t>
      </w:r>
      <w:r w:rsidR="00F179D4" w:rsidRPr="006B37DE">
        <w:t xml:space="preserve"> </w:t>
      </w:r>
      <w:r w:rsidR="00517684" w:rsidRPr="006B37DE">
        <w:t xml:space="preserve">suggest that this trend among the youngest generation of adults may be the result of </w:t>
      </w:r>
      <w:r w:rsidR="00925F33" w:rsidRPr="006B37DE">
        <w:rPr>
          <w:rFonts w:cs="Times New Roman"/>
          <w:szCs w:val="24"/>
        </w:rPr>
        <w:t xml:space="preserve">an </w:t>
      </w:r>
      <w:r w:rsidR="00BC68C5" w:rsidRPr="006B37DE">
        <w:t>increas</w:t>
      </w:r>
      <w:r w:rsidR="00925F33" w:rsidRPr="006B37DE">
        <w:t>e in the</w:t>
      </w:r>
      <w:r w:rsidR="00BC68C5" w:rsidRPr="006B37DE">
        <w:t xml:space="preserve"> importance of </w:t>
      </w:r>
      <w:r w:rsidR="00517684" w:rsidRPr="006B37DE">
        <w:t>material pleasures</w:t>
      </w:r>
      <w:r w:rsidR="00BC68C5" w:rsidRPr="006B37DE">
        <w:t xml:space="preserve"> in the American society</w:t>
      </w:r>
      <w:r w:rsidR="00925F33" w:rsidRPr="006B37DE">
        <w:t xml:space="preserve"> as well as with </w:t>
      </w:r>
      <w:r w:rsidR="00517684" w:rsidRPr="006B37DE">
        <w:t xml:space="preserve">an increased level of </w:t>
      </w:r>
      <w:r w:rsidR="001C78D4" w:rsidRPr="006B37DE">
        <w:t>optimism</w:t>
      </w:r>
      <w:r w:rsidR="00517684" w:rsidRPr="006B37DE">
        <w:t xml:space="preserve"> </w:t>
      </w:r>
      <w:r w:rsidR="00925F33" w:rsidRPr="006B37DE">
        <w:t xml:space="preserve">that </w:t>
      </w:r>
      <w:r w:rsidR="001C78D4" w:rsidRPr="006B37DE">
        <w:t xml:space="preserve">technology </w:t>
      </w:r>
      <w:r w:rsidR="00925F33" w:rsidRPr="006B37DE">
        <w:t>will solve</w:t>
      </w:r>
      <w:r w:rsidR="001C78D4" w:rsidRPr="006B37DE">
        <w:t xml:space="preserve"> environmental problems</w:t>
      </w:r>
      <w:r w:rsidR="00B27D08" w:rsidRPr="006B37DE">
        <w:t>.</w:t>
      </w:r>
      <w:r w:rsidR="00B27D08" w:rsidRPr="00517684">
        <w:t xml:space="preserve"> </w:t>
      </w:r>
      <w:r w:rsidR="00493483" w:rsidRPr="00517684">
        <w:t xml:space="preserve"> </w:t>
      </w:r>
      <w:r w:rsidR="0060348D" w:rsidRPr="00517684">
        <w:t xml:space="preserve"> </w:t>
      </w:r>
    </w:p>
    <w:p w14:paraId="060188B8" w14:textId="2C605694" w:rsidR="00B14BBB" w:rsidRPr="0068629A" w:rsidRDefault="003C3563" w:rsidP="00816EAC">
      <w:pPr>
        <w:autoSpaceDE w:val="0"/>
        <w:autoSpaceDN w:val="0"/>
        <w:adjustRightInd w:val="0"/>
        <w:ind w:firstLine="720"/>
        <w:rPr>
          <w:rFonts w:cs="Times New Roman"/>
          <w:szCs w:val="24"/>
        </w:rPr>
      </w:pPr>
      <w:r w:rsidRPr="00B06E8D">
        <w:rPr>
          <w:rFonts w:cs="Times New Roman"/>
        </w:rPr>
        <w:t xml:space="preserve">Non-Hispanic White individuals </w:t>
      </w:r>
      <w:r w:rsidR="00B27D08" w:rsidRPr="00B06E8D">
        <w:rPr>
          <w:rFonts w:cs="Times New Roman"/>
        </w:rPr>
        <w:t xml:space="preserve">tend to be more privacy-sensitive and exhibit a </w:t>
      </w:r>
      <w:r w:rsidRPr="002835A4">
        <w:rPr>
          <w:rFonts w:cs="Times New Roman"/>
        </w:rPr>
        <w:t>low</w:t>
      </w:r>
      <w:r w:rsidR="00836B1E" w:rsidRPr="002835A4">
        <w:rPr>
          <w:rFonts w:cs="Times New Roman"/>
        </w:rPr>
        <w:t>er VSLP</w:t>
      </w:r>
      <w:r w:rsidR="00B27D08" w:rsidRPr="000372A8">
        <w:rPr>
          <w:rFonts w:cs="Times New Roman"/>
        </w:rPr>
        <w:t xml:space="preserve"> relative to other </w:t>
      </w:r>
      <w:r w:rsidR="001C65FF">
        <w:rPr>
          <w:rFonts w:cs="Times New Roman"/>
        </w:rPr>
        <w:t>ethnicitie</w:t>
      </w:r>
      <w:r w:rsidR="00B27D08" w:rsidRPr="000372A8">
        <w:rPr>
          <w:rFonts w:cs="Times New Roman"/>
        </w:rPr>
        <w:t>s</w:t>
      </w:r>
      <w:r w:rsidR="00836B1E" w:rsidRPr="000372A8">
        <w:rPr>
          <w:rFonts w:cs="Times New Roman"/>
        </w:rPr>
        <w:t xml:space="preserve">, results </w:t>
      </w:r>
      <w:r w:rsidR="00836B1E" w:rsidRPr="00D0022B">
        <w:rPr>
          <w:rFonts w:cs="Times New Roman"/>
        </w:rPr>
        <w:t xml:space="preserve">that </w:t>
      </w:r>
      <w:r w:rsidR="00B27D08" w:rsidRPr="00206BE5">
        <w:rPr>
          <w:rFonts w:cs="Times New Roman"/>
        </w:rPr>
        <w:t xml:space="preserve">also </w:t>
      </w:r>
      <w:r w:rsidR="00575260" w:rsidRPr="00206BE5">
        <w:rPr>
          <w:rFonts w:cs="Times New Roman"/>
        </w:rPr>
        <w:t>align wi</w:t>
      </w:r>
      <w:r w:rsidR="00575260" w:rsidRPr="000927D6">
        <w:rPr>
          <w:rFonts w:cs="Times New Roman"/>
        </w:rPr>
        <w:t xml:space="preserve">th </w:t>
      </w:r>
      <w:r w:rsidR="00B27D08" w:rsidRPr="000927D6">
        <w:rPr>
          <w:rFonts w:cs="Times New Roman"/>
        </w:rPr>
        <w:t xml:space="preserve">the </w:t>
      </w:r>
      <w:r w:rsidR="00575260" w:rsidRPr="000927D6">
        <w:rPr>
          <w:rFonts w:cs="Times New Roman"/>
        </w:rPr>
        <w:t xml:space="preserve">higher levels of drive-alone travel </w:t>
      </w:r>
      <w:r w:rsidR="007F49C0">
        <w:rPr>
          <w:rFonts w:cs="Times New Roman"/>
        </w:rPr>
        <w:t xml:space="preserve">and vehicle ownership </w:t>
      </w:r>
      <w:r w:rsidR="00575260" w:rsidRPr="000927D6">
        <w:rPr>
          <w:rFonts w:cs="Times New Roman"/>
        </w:rPr>
        <w:t>by this ethnic</w:t>
      </w:r>
      <w:r w:rsidR="00B27D08" w:rsidRPr="009B2566">
        <w:rPr>
          <w:rFonts w:cs="Times New Roman"/>
        </w:rPr>
        <w:t xml:space="preserve"> group</w:t>
      </w:r>
      <w:r w:rsidR="00575260" w:rsidRPr="000E2190">
        <w:rPr>
          <w:rFonts w:cs="Times New Roman"/>
        </w:rPr>
        <w:t xml:space="preserve"> (Giuliano, 2003</w:t>
      </w:r>
      <w:r w:rsidR="00B27D08" w:rsidRPr="000E2190">
        <w:rPr>
          <w:rFonts w:cs="Times New Roman"/>
        </w:rPr>
        <w:t>;</w:t>
      </w:r>
      <w:r w:rsidR="003479DA">
        <w:rPr>
          <w:rFonts w:cs="Times New Roman"/>
        </w:rPr>
        <w:t xml:space="preserve"> Klein et al., 2018</w:t>
      </w:r>
      <w:r w:rsidR="00575260" w:rsidRPr="00B06E8D">
        <w:rPr>
          <w:rFonts w:cs="Times New Roman"/>
        </w:rPr>
        <w:t xml:space="preserve">). </w:t>
      </w:r>
      <w:r w:rsidR="0052726E" w:rsidRPr="00B06E8D">
        <w:rPr>
          <w:rFonts w:cs="Times New Roman"/>
        </w:rPr>
        <w:t xml:space="preserve">As expected, </w:t>
      </w:r>
      <w:r w:rsidR="00145B1F" w:rsidRPr="00B06E8D">
        <w:rPr>
          <w:rFonts w:cs="Times New Roman"/>
        </w:rPr>
        <w:t xml:space="preserve">individuals who are more highly educated tend to be more green, </w:t>
      </w:r>
      <w:r w:rsidR="00145B1F" w:rsidRPr="00211B0F">
        <w:rPr>
          <w:rFonts w:cs="Times New Roman"/>
          <w:szCs w:val="24"/>
        </w:rPr>
        <w:t>consistent with results in the social-psychological literature (see, for example, Franzen and Vogl, 2013) that individuals with a higher education are more self-aware of the negative consequences of degrading the environment</w:t>
      </w:r>
      <w:r w:rsidR="00E4293A">
        <w:rPr>
          <w:rFonts w:cs="Times New Roman"/>
          <w:szCs w:val="24"/>
        </w:rPr>
        <w:t>.</w:t>
      </w:r>
      <w:r w:rsidR="00145B1F" w:rsidRPr="00211B0F">
        <w:rPr>
          <w:rFonts w:cs="Times New Roman"/>
          <w:szCs w:val="24"/>
        </w:rPr>
        <w:t xml:space="preserve"> </w:t>
      </w:r>
      <w:r w:rsidR="0052726E" w:rsidRPr="002835A4">
        <w:rPr>
          <w:rFonts w:cs="Times New Roman"/>
        </w:rPr>
        <w:t>Usually, education is also an important predictor of tech-savviness (Helsper and Eynon, 20</w:t>
      </w:r>
      <w:r w:rsidR="0052726E" w:rsidRPr="000372A8">
        <w:rPr>
          <w:rFonts w:cs="Times New Roman"/>
        </w:rPr>
        <w:t>10; Lavieri et al., 2017</w:t>
      </w:r>
      <w:r w:rsidR="001F0145">
        <w:rPr>
          <w:rFonts w:cs="Times New Roman"/>
        </w:rPr>
        <w:t>; Lavieri et al., 2018</w:t>
      </w:r>
      <w:r w:rsidR="00B96D36">
        <w:rPr>
          <w:rFonts w:cs="Times New Roman"/>
        </w:rPr>
        <w:t>b</w:t>
      </w:r>
      <w:r w:rsidR="0052726E" w:rsidRPr="000372A8">
        <w:rPr>
          <w:rFonts w:cs="Times New Roman"/>
        </w:rPr>
        <w:t>)</w:t>
      </w:r>
      <w:r w:rsidR="00B27D08" w:rsidRPr="000372A8">
        <w:rPr>
          <w:rFonts w:cs="Times New Roman"/>
        </w:rPr>
        <w:t>. H</w:t>
      </w:r>
      <w:r w:rsidR="0052726E" w:rsidRPr="000372A8">
        <w:rPr>
          <w:rFonts w:cs="Times New Roman"/>
        </w:rPr>
        <w:t>owever</w:t>
      </w:r>
      <w:r w:rsidR="00B27D08" w:rsidRPr="000372A8">
        <w:rPr>
          <w:rFonts w:cs="Times New Roman"/>
        </w:rPr>
        <w:t>,</w:t>
      </w:r>
      <w:r w:rsidR="0052726E" w:rsidRPr="000372A8">
        <w:rPr>
          <w:rFonts w:cs="Times New Roman"/>
        </w:rPr>
        <w:t xml:space="preserve"> in our model</w:t>
      </w:r>
      <w:r w:rsidR="00B27D08" w:rsidRPr="000372A8">
        <w:rPr>
          <w:rFonts w:cs="Times New Roman"/>
        </w:rPr>
        <w:t>,</w:t>
      </w:r>
      <w:r w:rsidR="0052726E" w:rsidRPr="001264BF">
        <w:rPr>
          <w:rFonts w:cs="Times New Roman"/>
        </w:rPr>
        <w:t xml:space="preserve"> such </w:t>
      </w:r>
      <w:r w:rsidR="00B27D08" w:rsidRPr="001264BF">
        <w:rPr>
          <w:rFonts w:cs="Times New Roman"/>
        </w:rPr>
        <w:t xml:space="preserve">a </w:t>
      </w:r>
      <w:r w:rsidR="0052726E" w:rsidRPr="001264BF">
        <w:rPr>
          <w:rFonts w:cs="Times New Roman"/>
        </w:rPr>
        <w:t xml:space="preserve">relationship </w:t>
      </w:r>
      <w:r w:rsidR="00FA606B" w:rsidRPr="00D0022B">
        <w:rPr>
          <w:rFonts w:cs="Times New Roman"/>
        </w:rPr>
        <w:t>i</w:t>
      </w:r>
      <w:r w:rsidR="0052726E" w:rsidRPr="00206BE5">
        <w:rPr>
          <w:rFonts w:cs="Times New Roman"/>
        </w:rPr>
        <w:t>s not statistically significant, probably because the majority of the sample has at least a bachelor’s degree.</w:t>
      </w:r>
      <w:r w:rsidR="00145B1F" w:rsidRPr="00A3349B">
        <w:rPr>
          <w:rFonts w:cs="Times New Roman"/>
        </w:rPr>
        <w:t xml:space="preserve"> </w:t>
      </w:r>
      <w:r w:rsidR="00B14BBB" w:rsidRPr="00DB57FA">
        <w:rPr>
          <w:rFonts w:cs="Times New Roman"/>
        </w:rPr>
        <w:t>Part-time employees are less tech-savvy than full-time</w:t>
      </w:r>
      <w:r w:rsidR="00403742" w:rsidRPr="002048BF">
        <w:rPr>
          <w:rFonts w:cs="Times New Roman"/>
        </w:rPr>
        <w:t xml:space="preserve"> </w:t>
      </w:r>
      <w:r w:rsidR="00517684">
        <w:rPr>
          <w:rFonts w:cs="Times New Roman"/>
        </w:rPr>
        <w:t>and self-employed individuals</w:t>
      </w:r>
      <w:r w:rsidR="00403742" w:rsidRPr="00154AEA">
        <w:rPr>
          <w:rFonts w:cs="Times New Roman"/>
        </w:rPr>
        <w:t xml:space="preserve">. As Helsper and Eynon (2010) explain, familiarity and ability to use ICTs is largely explained by exposure and </w:t>
      </w:r>
      <w:r w:rsidR="007E4B69" w:rsidRPr="005E7FFA">
        <w:rPr>
          <w:rFonts w:cs="Times New Roman"/>
        </w:rPr>
        <w:t xml:space="preserve">experience. In that </w:t>
      </w:r>
      <w:r w:rsidR="007E4B69" w:rsidRPr="00B0065F">
        <w:rPr>
          <w:rFonts w:cs="Times New Roman"/>
        </w:rPr>
        <w:t>sense, it is plausible that part-time employ</w:t>
      </w:r>
      <w:r w:rsidR="004367FF" w:rsidRPr="00B0065F">
        <w:rPr>
          <w:rFonts w:cs="Times New Roman"/>
        </w:rPr>
        <w:t>ees are generally less exposed to technology in the workplace (due to</w:t>
      </w:r>
      <w:r w:rsidR="00FA606B" w:rsidRPr="00C25DB7">
        <w:rPr>
          <w:rFonts w:cs="Times New Roman"/>
        </w:rPr>
        <w:t xml:space="preserve"> the</w:t>
      </w:r>
      <w:r w:rsidR="004367FF" w:rsidRPr="00C25DB7">
        <w:rPr>
          <w:rFonts w:cs="Times New Roman"/>
        </w:rPr>
        <w:t xml:space="preserve"> </w:t>
      </w:r>
      <w:r w:rsidR="004367FF" w:rsidRPr="003E12F9">
        <w:rPr>
          <w:rFonts w:cs="Times New Roman"/>
        </w:rPr>
        <w:t xml:space="preserve">nature </w:t>
      </w:r>
      <w:r w:rsidR="00FA606B" w:rsidRPr="003E12F9">
        <w:rPr>
          <w:rFonts w:cs="Times New Roman"/>
        </w:rPr>
        <w:t xml:space="preserve">of part-time jobs, </w:t>
      </w:r>
      <w:r w:rsidR="004367FF" w:rsidRPr="0068629A">
        <w:rPr>
          <w:rFonts w:cs="Times New Roman"/>
        </w:rPr>
        <w:t xml:space="preserve">and </w:t>
      </w:r>
      <w:r w:rsidR="00FA606B" w:rsidRPr="0068629A">
        <w:rPr>
          <w:rFonts w:cs="Times New Roman"/>
        </w:rPr>
        <w:t xml:space="preserve">the </w:t>
      </w:r>
      <w:r w:rsidR="004367FF" w:rsidRPr="0068629A">
        <w:rPr>
          <w:rFonts w:cs="Times New Roman"/>
        </w:rPr>
        <w:t xml:space="preserve">time spent at work) than full-time and self-employed individuals. </w:t>
      </w:r>
    </w:p>
    <w:p w14:paraId="03E6AB2D" w14:textId="5743D84B" w:rsidR="00B14BBB" w:rsidRDefault="00852F61" w:rsidP="004367FF">
      <w:pPr>
        <w:ind w:firstLine="720"/>
      </w:pPr>
      <w:r>
        <w:t xml:space="preserve">In terms of household demographics, </w:t>
      </w:r>
      <w:r w:rsidR="002D7CF9">
        <w:t xml:space="preserve">household </w:t>
      </w:r>
      <w:r>
        <w:t>i</w:t>
      </w:r>
      <w:r w:rsidR="00375844">
        <w:t>ncome contribute</w:t>
      </w:r>
      <w:r w:rsidR="002D7CF9">
        <w:t>s</w:t>
      </w:r>
      <w:r w:rsidR="00375844">
        <w:t xml:space="preserve"> to an increase in privacy</w:t>
      </w:r>
      <w:r w:rsidR="002D7CF9">
        <w:t>-sensitivity</w:t>
      </w:r>
      <w:r w:rsidR="00375844">
        <w:t>, tech</w:t>
      </w:r>
      <w:r w:rsidR="002D7CF9">
        <w:t>-savviness</w:t>
      </w:r>
      <w:r w:rsidR="00375844">
        <w:t xml:space="preserve"> and VSLP. </w:t>
      </w:r>
      <w:r w:rsidR="00517684">
        <w:t>The higher p</w:t>
      </w:r>
      <w:r w:rsidR="00A82C30">
        <w:t xml:space="preserve">rivacy-sensitivity among </w:t>
      </w:r>
      <w:r w:rsidR="00517684">
        <w:t xml:space="preserve">the </w:t>
      </w:r>
      <w:r w:rsidR="00A82C30">
        <w:t>w</w:t>
      </w:r>
      <w:r w:rsidR="00AB41D6">
        <w:t>ealthie</w:t>
      </w:r>
      <w:r w:rsidR="00517684">
        <w:t>st segment of</w:t>
      </w:r>
      <w:r w:rsidR="00AB41D6">
        <w:t xml:space="preserve"> individuals </w:t>
      </w:r>
      <w:r w:rsidR="00A82C30">
        <w:t xml:space="preserve">can be a direct result </w:t>
      </w:r>
      <w:r w:rsidR="00FA606B">
        <w:t xml:space="preserve">of </w:t>
      </w:r>
      <w:r w:rsidR="00A82C30">
        <w:t xml:space="preserve">having more access to private property and/or </w:t>
      </w:r>
      <w:r w:rsidR="00FA606B">
        <w:t xml:space="preserve">a need to signal exclusivity through </w:t>
      </w:r>
      <w:r w:rsidR="00A82C30">
        <w:t>separation and differentiatio</w:t>
      </w:r>
      <w:r w:rsidR="00FA606B">
        <w:t xml:space="preserve">n from others </w:t>
      </w:r>
      <w:r w:rsidR="002C0F0A">
        <w:t>(Chevalier and Gutsatz, 2012</w:t>
      </w:r>
      <w:r w:rsidR="0049239E">
        <w:t>;</w:t>
      </w:r>
      <w:r w:rsidR="00631849">
        <w:t xml:space="preserve"> Bhat, 2015b</w:t>
      </w:r>
      <w:r w:rsidR="002C0F0A">
        <w:t>)</w:t>
      </w:r>
      <w:r w:rsidR="00942D6A">
        <w:t xml:space="preserve">. These individuals may </w:t>
      </w:r>
      <w:r w:rsidR="002C0F0A">
        <w:t xml:space="preserve">also </w:t>
      </w:r>
      <w:r w:rsidR="00942D6A">
        <w:t xml:space="preserve">focus on privacy due to concerns associated with safety and preservation of material assets. </w:t>
      </w:r>
      <w:r w:rsidR="00FA606B">
        <w:t>Also, h</w:t>
      </w:r>
      <w:r w:rsidR="00942D6A">
        <w:t xml:space="preserve">igher consumption power allows </w:t>
      </w:r>
      <w:r w:rsidR="00FA606B">
        <w:t xml:space="preserve">wealthy </w:t>
      </w:r>
      <w:r w:rsidR="00942D6A">
        <w:t xml:space="preserve">individuals early access to new technologies, increasing their exposure and </w:t>
      </w:r>
      <w:r w:rsidR="00C346D4">
        <w:t>use of technology</w:t>
      </w:r>
      <w:r w:rsidR="00942D6A">
        <w:t xml:space="preserve">. </w:t>
      </w:r>
      <w:r w:rsidR="00C346D4">
        <w:t xml:space="preserve">Indeed, multiple studies find this positive association between income level and technology use or technology-savviness (see, for example, </w:t>
      </w:r>
      <w:r w:rsidR="00FA606B">
        <w:t>Astroza et al., 2017</w:t>
      </w:r>
      <w:r w:rsidR="0049239E">
        <w:t>;</w:t>
      </w:r>
      <w:r w:rsidR="00FA606B">
        <w:t xml:space="preserve"> </w:t>
      </w:r>
      <w:r w:rsidR="00C346D4">
        <w:t>Lavieri et al., 2017</w:t>
      </w:r>
      <w:r w:rsidR="0049239E">
        <w:t>;</w:t>
      </w:r>
      <w:r w:rsidR="00C346D4">
        <w:t xml:space="preserve"> and Liu and Yu, 2017).</w:t>
      </w:r>
      <w:r w:rsidR="00517684">
        <w:t xml:space="preserve"> The higher VSLP in the wealthiest segment of individuals is also reasonable, since this segment has more financial w</w:t>
      </w:r>
      <w:r w:rsidR="00040365">
        <w:t>h</w:t>
      </w:r>
      <w:r w:rsidR="00517684">
        <w:t>erewithal to pursue a variety of different types of activities.</w:t>
      </w:r>
      <w:r w:rsidR="000C4564">
        <w:t xml:space="preserve"> </w:t>
      </w:r>
      <w:r w:rsidR="004367FF" w:rsidRPr="006B37DE">
        <w:t xml:space="preserve">Finally, compared to multi-worker and single individual (worker) households, individuals living </w:t>
      </w:r>
      <w:r w:rsidR="00211B0F" w:rsidRPr="006B37DE">
        <w:t>in single-worker multi-person households</w:t>
      </w:r>
      <w:r w:rsidR="004367FF" w:rsidRPr="006B37DE">
        <w:t xml:space="preserve"> </w:t>
      </w:r>
      <w:r w:rsidR="00002EF8" w:rsidRPr="006B37DE">
        <w:t>have lower VSLP</w:t>
      </w:r>
      <w:r w:rsidR="00517684" w:rsidRPr="006B37DE">
        <w:t xml:space="preserve">. </w:t>
      </w:r>
    </w:p>
    <w:p w14:paraId="434196E5" w14:textId="2EEB9E1C" w:rsidR="00475AAB" w:rsidRDefault="00475AAB" w:rsidP="004367FF">
      <w:pPr>
        <w:ind w:firstLine="720"/>
      </w:pPr>
      <w:r>
        <w:lastRenderedPageBreak/>
        <w:t xml:space="preserve">Two </w:t>
      </w:r>
      <w:r w:rsidR="00126F17">
        <w:t xml:space="preserve">out of </w:t>
      </w:r>
      <w:r w:rsidR="002B7B57">
        <w:t>six</w:t>
      </w:r>
      <w:r w:rsidR="00126F17">
        <w:t xml:space="preserve"> </w:t>
      </w:r>
      <w:r>
        <w:t>correlations between latent variables are statistically significant</w:t>
      </w:r>
      <w:r w:rsidR="00156AD3">
        <w:t xml:space="preserve"> (</w:t>
      </w:r>
      <w:r w:rsidR="00145B1F">
        <w:t xml:space="preserve">see </w:t>
      </w:r>
      <w:r w:rsidR="00156AD3">
        <w:t xml:space="preserve">bottom of Table </w:t>
      </w:r>
      <w:r w:rsidR="00145B1F">
        <w:t>4</w:t>
      </w:r>
      <w:r w:rsidR="006A7E5C">
        <w:t xml:space="preserve">, corresponding to </w:t>
      </w:r>
      <w:r w:rsidR="00870360" w:rsidRPr="006A7E5C">
        <w:rPr>
          <w:position w:val="-12"/>
        </w:rPr>
        <w:object w:dxaOrig="1100" w:dyaOrig="360" w14:anchorId="11182A81">
          <v:shape id="_x0000_i1032" type="#_x0000_t75" style="width:55pt;height:18.35pt" o:ole="" o:preferrelative="f">
            <v:imagedata r:id="rId22" o:title=""/>
            <o:lock v:ext="edit" aspectratio="f"/>
          </v:shape>
          <o:OLEObject Type="Embed" ProgID="Equation.DSMT4" ShapeID="_x0000_i1032" DrawAspect="Content" ObjectID="_1620730229" r:id="rId23"/>
        </w:object>
      </w:r>
      <w:r w:rsidR="006A7E5C">
        <w:t xml:space="preserve"> in Figure 1</w:t>
      </w:r>
      <w:r w:rsidR="00156AD3">
        <w:t>)</w:t>
      </w:r>
      <w:r>
        <w:t>. Privacy-sensitivity is negatively associated with GLP</w:t>
      </w:r>
      <w:r w:rsidR="00631849">
        <w:t>,</w:t>
      </w:r>
      <w:r>
        <w:t xml:space="preserve"> and tech-savviness is positively associated with VSLP. </w:t>
      </w:r>
      <w:r w:rsidR="00C853C4">
        <w:t>Both relationships are intuitive</w:t>
      </w:r>
      <w:r w:rsidR="00631849">
        <w:t>. For example, the second positive</w:t>
      </w:r>
      <w:r w:rsidR="00C853C4">
        <w:t xml:space="preserve"> and reciprocal relationship between tech-savviness and VSLP is </w:t>
      </w:r>
      <w:r w:rsidR="00145B1F">
        <w:t xml:space="preserve">to be </w:t>
      </w:r>
      <w:r w:rsidR="00C853C4">
        <w:t xml:space="preserve">expected </w:t>
      </w:r>
      <w:r w:rsidR="00145B1F">
        <w:t>because</w:t>
      </w:r>
      <w:r w:rsidR="00C853C4">
        <w:t xml:space="preserve"> </w:t>
      </w:r>
      <w:r w:rsidR="00145B1F">
        <w:t xml:space="preserve">(a) </w:t>
      </w:r>
      <w:r w:rsidR="00C853C4">
        <w:t xml:space="preserve">individuals </w:t>
      </w:r>
      <w:r w:rsidR="00145B1F">
        <w:t xml:space="preserve">who </w:t>
      </w:r>
      <w:r w:rsidR="00C853C4">
        <w:t xml:space="preserve">seek variety are more likely to experiment </w:t>
      </w:r>
      <w:r w:rsidR="00145B1F">
        <w:t xml:space="preserve">with </w:t>
      </w:r>
      <w:r w:rsidR="00C853C4">
        <w:t xml:space="preserve">new products and technology, </w:t>
      </w:r>
      <w:r w:rsidR="00145B1F">
        <w:t xml:space="preserve">and (b) </w:t>
      </w:r>
      <w:r w:rsidR="00C853C4">
        <w:t xml:space="preserve">ICT and internet use </w:t>
      </w:r>
      <w:r w:rsidR="00145B1F">
        <w:t xml:space="preserve">expand </w:t>
      </w:r>
      <w:r w:rsidR="006049C8">
        <w:t xml:space="preserve">an individual’s awareness and spatial cognition about activity </w:t>
      </w:r>
      <w:r w:rsidR="00C853C4">
        <w:t>options and opportunities.</w:t>
      </w:r>
      <w:r>
        <w:t xml:space="preserve"> </w:t>
      </w:r>
    </w:p>
    <w:p w14:paraId="464695D9" w14:textId="357CDF05" w:rsidR="00B80D9E" w:rsidRDefault="006049C8" w:rsidP="006A7E5C">
      <w:pPr>
        <w:ind w:firstLine="720"/>
      </w:pPr>
      <w:r>
        <w:t xml:space="preserve">The SEM estimation is made possible through the observations on the endogenous variables, which include the latent </w:t>
      </w:r>
      <w:r w:rsidR="006A7E5C">
        <w:t>construct</w:t>
      </w:r>
      <w:r>
        <w:t xml:space="preserve"> indicators</w:t>
      </w:r>
      <w:r w:rsidR="00F77DDE">
        <w:t xml:space="preserve"> </w:t>
      </w:r>
      <w:r>
        <w:t>and the four endogenous outcomes of interest</w:t>
      </w:r>
      <w:r w:rsidR="00F77DDE">
        <w:t xml:space="preserve"> (</w:t>
      </w:r>
      <w:r w:rsidR="006A7E5C">
        <w:t>see</w:t>
      </w:r>
      <w:r w:rsidR="00F77DDE">
        <w:t xml:space="preserve"> Figure 1)</w:t>
      </w:r>
      <w:r>
        <w:t xml:space="preserve">. As discussed earlier, the presence of the latent </w:t>
      </w:r>
      <w:r w:rsidR="006A7E5C">
        <w:t>construct</w:t>
      </w:r>
      <w:r>
        <w:t xml:space="preserve"> indicators is not essential, though they provide stability in the SEM estimation. To conserve on space, we </w:t>
      </w:r>
      <w:r w:rsidR="00DF7C52">
        <w:t>relegate the</w:t>
      </w:r>
      <w:r>
        <w:t xml:space="preserve"> loadings of the latent </w:t>
      </w:r>
      <w:r w:rsidR="006A7E5C">
        <w:t>constructs</w:t>
      </w:r>
      <w:r>
        <w:t xml:space="preserve"> </w:t>
      </w:r>
      <w:r w:rsidR="006A7E5C">
        <w:t>on the underlying latent variables characterizing the construct indicators to Appendix B (Table B1).</w:t>
      </w:r>
      <w:r>
        <w:t xml:space="preserve"> However, we will note that the loadings</w:t>
      </w:r>
      <w:r w:rsidR="006A7E5C">
        <w:t xml:space="preserve"> </w:t>
      </w:r>
      <w:r>
        <w:t xml:space="preserve">were all as expected. </w:t>
      </w:r>
    </w:p>
    <w:p w14:paraId="1CEF8AB0" w14:textId="77777777" w:rsidR="00A67BA1" w:rsidRDefault="00A67BA1" w:rsidP="00E613B2"/>
    <w:p w14:paraId="2CA84826" w14:textId="161FFDA5" w:rsidR="003C7262" w:rsidRDefault="003C7262" w:rsidP="00871C66">
      <w:pPr>
        <w:pStyle w:val="ListParagraph"/>
        <w:numPr>
          <w:ilvl w:val="1"/>
          <w:numId w:val="1"/>
        </w:numPr>
        <w:rPr>
          <w:b/>
        </w:rPr>
      </w:pPr>
      <w:r>
        <w:rPr>
          <w:b/>
        </w:rPr>
        <w:t xml:space="preserve">Residential </w:t>
      </w:r>
      <w:r w:rsidR="008778FE">
        <w:rPr>
          <w:b/>
        </w:rPr>
        <w:t>L</w:t>
      </w:r>
      <w:r>
        <w:rPr>
          <w:b/>
        </w:rPr>
        <w:t xml:space="preserve">ocation and </w:t>
      </w:r>
      <w:r w:rsidR="008778FE">
        <w:rPr>
          <w:b/>
        </w:rPr>
        <w:t>V</w:t>
      </w:r>
      <w:r>
        <w:rPr>
          <w:b/>
        </w:rPr>
        <w:t xml:space="preserve">ehicle </w:t>
      </w:r>
      <w:r w:rsidR="008778FE">
        <w:rPr>
          <w:b/>
        </w:rPr>
        <w:t>A</w:t>
      </w:r>
      <w:r>
        <w:rPr>
          <w:b/>
        </w:rPr>
        <w:t xml:space="preserve">vailability </w:t>
      </w:r>
    </w:p>
    <w:p w14:paraId="4EE494D9" w14:textId="77777777" w:rsidR="00045DC2" w:rsidRDefault="00A42B5D" w:rsidP="00647997">
      <w:r w:rsidRPr="00A42B5D">
        <w:t xml:space="preserve">Residential location and </w:t>
      </w:r>
      <w:r>
        <w:t>vehicle availability are modeled as endogenous variables so that we can control for self-selection effects when analyzing the</w:t>
      </w:r>
      <w:r w:rsidR="00817E47">
        <w:t xml:space="preserve"> </w:t>
      </w:r>
      <w:r>
        <w:t>impact</w:t>
      </w:r>
      <w:r w:rsidR="00817E47">
        <w:t>s of these variables</w:t>
      </w:r>
      <w:r>
        <w:t xml:space="preserve"> on ride-hailing behavior. </w:t>
      </w:r>
      <w:r w:rsidR="00F55F51">
        <w:t xml:space="preserve">Interestingly, </w:t>
      </w:r>
      <w:r w:rsidR="00B077E6">
        <w:t xml:space="preserve">as shown in Table 5, </w:t>
      </w:r>
      <w:r w:rsidR="00F55F51">
        <w:t>after controlling for the latent variable effects, there were few other sociodemographic variables having a direct impact on residential location and vehicle availability</w:t>
      </w:r>
      <w:r w:rsidR="000844AA">
        <w:t xml:space="preserve"> (though sociodemographic variables have an indirect effect through their impacts on the latent variables</w:t>
      </w:r>
      <w:r w:rsidR="00B077E6">
        <w:t>)</w:t>
      </w:r>
      <w:r w:rsidR="00F55F51">
        <w:t xml:space="preserve">. </w:t>
      </w:r>
    </w:p>
    <w:p w14:paraId="322F27C4" w14:textId="27C417E3" w:rsidR="00825D5F" w:rsidRPr="007C003B" w:rsidRDefault="00D97187" w:rsidP="00825D5F">
      <w:pPr>
        <w:rPr>
          <w:highlight w:val="yellow"/>
        </w:rPr>
      </w:pPr>
      <w:r>
        <w:tab/>
        <w:t xml:space="preserve">In terms of latent variable </w:t>
      </w:r>
      <w:r w:rsidR="00C8777D">
        <w:t xml:space="preserve">impacts </w:t>
      </w:r>
      <w:r w:rsidR="007222FF">
        <w:t>on residential density</w:t>
      </w:r>
      <w:r>
        <w:t xml:space="preserve">, </w:t>
      </w:r>
      <w:r w:rsidR="00C8777D">
        <w:t xml:space="preserve">individuals </w:t>
      </w:r>
      <w:r w:rsidR="00F55F51">
        <w:t>who</w:t>
      </w:r>
      <w:r w:rsidR="00C8777D">
        <w:t xml:space="preserve"> are </w:t>
      </w:r>
      <w:r>
        <w:t>tech-savvy</w:t>
      </w:r>
      <w:r w:rsidR="00F55F51">
        <w:t xml:space="preserve"> </w:t>
      </w:r>
      <w:r>
        <w:t>and pursu</w:t>
      </w:r>
      <w:r w:rsidR="00C8777D">
        <w:t>e</w:t>
      </w:r>
      <w:r>
        <w:t xml:space="preserve"> a green lifestyle </w:t>
      </w:r>
      <w:r w:rsidR="00F55F51">
        <w:t xml:space="preserve">appear to prefer to reside in higher density suburban and urban areas rather than </w:t>
      </w:r>
      <w:r>
        <w:t>in a rural area</w:t>
      </w:r>
      <w:r w:rsidR="005E4F0E">
        <w:t>.</w:t>
      </w:r>
      <w:r>
        <w:t xml:space="preserve"> </w:t>
      </w:r>
      <w:r w:rsidR="00375B10">
        <w:t>Access to ICT is</w:t>
      </w:r>
      <w:r w:rsidR="00F55F51">
        <w:t xml:space="preserve"> generally more </w:t>
      </w:r>
      <w:r w:rsidR="00375B10">
        <w:t xml:space="preserve">limited in rural areas, which </w:t>
      </w:r>
      <w:r w:rsidR="00EB2630">
        <w:t xml:space="preserve">may explain the negative effect of tech-savviness on rural living. Also, </w:t>
      </w:r>
      <w:r w:rsidR="00375B10">
        <w:t xml:space="preserve">GLP is measured in </w:t>
      </w:r>
      <w:r w:rsidR="00EB2630">
        <w:t xml:space="preserve">our study in terms of </w:t>
      </w:r>
      <w:r w:rsidR="00375B10">
        <w:t xml:space="preserve">concern about transportation and energy footprint, which may not be </w:t>
      </w:r>
      <w:r w:rsidR="00F31C9F">
        <w:t xml:space="preserve">a priority for rural dwellers. </w:t>
      </w:r>
      <w:r>
        <w:t xml:space="preserve">On the other hand, </w:t>
      </w:r>
      <w:r w:rsidR="00EB2630">
        <w:t xml:space="preserve">the results indicate that individuals with a high variety-seeking lifestyle propensity </w:t>
      </w:r>
      <w:r w:rsidR="009F6B12">
        <w:t xml:space="preserve">(VSLP) </w:t>
      </w:r>
      <w:r w:rsidR="00EB2630">
        <w:t xml:space="preserve">tend to be more likely to live in </w:t>
      </w:r>
      <w:r w:rsidR="00B077E6">
        <w:t>an urban</w:t>
      </w:r>
      <w:r w:rsidR="00EB2630">
        <w:t xml:space="preserve"> area relative to other areas, presumably because </w:t>
      </w:r>
      <w:r w:rsidR="00B077E6">
        <w:t>urban</w:t>
      </w:r>
      <w:r w:rsidR="00940913">
        <w:t xml:space="preserve"> areas offer easy access to </w:t>
      </w:r>
      <w:r w:rsidR="00EB2630">
        <w:t xml:space="preserve">a </w:t>
      </w:r>
      <w:r w:rsidR="00940913">
        <w:t xml:space="preserve">diverse </w:t>
      </w:r>
      <w:r w:rsidR="00EB2630">
        <w:t xml:space="preserve">portfolio of </w:t>
      </w:r>
      <w:r w:rsidR="00940913">
        <w:t xml:space="preserve">activities and products. </w:t>
      </w:r>
      <w:r w:rsidR="00B077E6">
        <w:t xml:space="preserve">In addition to the indirect sociodemographic effects through the latent variable effects just discussed, the direct sociodemographic effects on residential location choice reveal that </w:t>
      </w:r>
      <w:r w:rsidR="00133BE1">
        <w:t xml:space="preserve">the </w:t>
      </w:r>
      <w:r w:rsidR="00B077E6">
        <w:t>young</w:t>
      </w:r>
      <w:r w:rsidR="00133BE1">
        <w:t>est segment of</w:t>
      </w:r>
      <w:r w:rsidR="00B077E6">
        <w:t xml:space="preserve"> individuals </w:t>
      </w:r>
      <w:r w:rsidR="00133BE1">
        <w:t xml:space="preserve">prefer more urbanized living relative to their older peers, presumably a reflection of wanting to have a variety of activity opportunities in close </w:t>
      </w:r>
      <w:r w:rsidR="00133BE1" w:rsidRPr="00AC72BE">
        <w:t xml:space="preserve">proximity to satisfy </w:t>
      </w:r>
      <w:r w:rsidR="002B5A06" w:rsidRPr="00AC72BE">
        <w:t xml:space="preserve">a heightened need for social interactions. </w:t>
      </w:r>
      <w:r w:rsidR="00133BE1" w:rsidRPr="006B37DE">
        <w:t>P</w:t>
      </w:r>
      <w:r w:rsidR="00DD2A3A" w:rsidRPr="006B37DE">
        <w:t>ar</w:t>
      </w:r>
      <w:r w:rsidR="00DD2A3A" w:rsidRPr="002B5A06">
        <w:t>t</w:t>
      </w:r>
      <w:r w:rsidR="00DD2A3A" w:rsidRPr="00AC72BE">
        <w:t>-</w:t>
      </w:r>
      <w:r w:rsidR="00DD2A3A" w:rsidRPr="006B37DE">
        <w:t xml:space="preserve">time employees tend to be located in </w:t>
      </w:r>
      <w:r w:rsidR="00B077E6" w:rsidRPr="006B37DE">
        <w:t>urban</w:t>
      </w:r>
      <w:r w:rsidR="00DD2A3A" w:rsidRPr="006B37DE">
        <w:t xml:space="preserve"> areas, while self-employed individuals are more likely to reside</w:t>
      </w:r>
      <w:r w:rsidR="00532220" w:rsidRPr="006B37DE">
        <w:t xml:space="preserve"> </w:t>
      </w:r>
      <w:r w:rsidR="00DD2A3A" w:rsidRPr="006B37DE">
        <w:t>in rural</w:t>
      </w:r>
      <w:r w:rsidR="00187ED4" w:rsidRPr="006B37DE">
        <w:t xml:space="preserve"> and</w:t>
      </w:r>
      <w:r w:rsidR="00DD2A3A" w:rsidRPr="006B37DE">
        <w:t xml:space="preserve"> </w:t>
      </w:r>
      <w:r w:rsidR="00532220" w:rsidRPr="006B37DE">
        <w:t>urban</w:t>
      </w:r>
      <w:r w:rsidR="00DD2A3A" w:rsidRPr="006B37DE">
        <w:t xml:space="preserve"> areas </w:t>
      </w:r>
      <w:r w:rsidR="00532220" w:rsidRPr="006B37DE">
        <w:t xml:space="preserve">rather than in </w:t>
      </w:r>
      <w:r w:rsidR="00DD2A3A" w:rsidRPr="006B37DE">
        <w:t>suburban neighborhoods.</w:t>
      </w:r>
      <w:r w:rsidR="00187ED4" w:rsidRPr="006B37DE">
        <w:t xml:space="preserve"> </w:t>
      </w:r>
      <w:r w:rsidR="006E0778" w:rsidRPr="00A36681">
        <w:t>As expected, h</w:t>
      </w:r>
      <w:r w:rsidR="00F15B59" w:rsidRPr="00A36681">
        <w:t>ouseholds with income above $150</w:t>
      </w:r>
      <w:r w:rsidR="00850657" w:rsidRPr="00A36681">
        <w:t>K</w:t>
      </w:r>
      <w:r w:rsidR="00F15B59" w:rsidRPr="00A36681">
        <w:t xml:space="preserve"> </w:t>
      </w:r>
      <w:r w:rsidR="00F15B59" w:rsidRPr="00A36681">
        <w:lastRenderedPageBreak/>
        <w:t xml:space="preserve">dollars per year are less likely </w:t>
      </w:r>
      <w:r w:rsidR="00714A42" w:rsidRPr="00A36681">
        <w:t xml:space="preserve">than those with lower incomes </w:t>
      </w:r>
      <w:r w:rsidR="00F15B59" w:rsidRPr="00A36681">
        <w:t xml:space="preserve">to be located in rural areas compared to suburbs and </w:t>
      </w:r>
      <w:r w:rsidR="00714A42" w:rsidRPr="00A36681">
        <w:t>urban</w:t>
      </w:r>
      <w:r w:rsidR="00F15B59" w:rsidRPr="00A36681">
        <w:t xml:space="preserve"> areas. </w:t>
      </w:r>
      <w:r w:rsidR="00825D5F" w:rsidRPr="00AC72BE">
        <w:t>Finally,</w:t>
      </w:r>
      <w:r w:rsidR="00F15B59" w:rsidRPr="00AC72BE">
        <w:t xml:space="preserve"> individuals living alone </w:t>
      </w:r>
      <w:r w:rsidR="002D4304" w:rsidRPr="00AC72BE">
        <w:t xml:space="preserve">show a higher propensity to </w:t>
      </w:r>
      <w:r w:rsidR="00F15B59" w:rsidRPr="00AC72BE">
        <w:t xml:space="preserve">locate in </w:t>
      </w:r>
      <w:r w:rsidR="00714A42" w:rsidRPr="00AC72BE">
        <w:t>urban</w:t>
      </w:r>
      <w:r w:rsidR="00825D5F" w:rsidRPr="00AC72BE">
        <w:t xml:space="preserve"> areas, </w:t>
      </w:r>
      <w:r w:rsidR="00714A42" w:rsidRPr="00AC72BE">
        <w:t>consistent with the age effect discussed earlier.</w:t>
      </w:r>
      <w:r w:rsidR="00187ED4" w:rsidRPr="007C003B">
        <w:rPr>
          <w:highlight w:val="yellow"/>
        </w:rPr>
        <w:t xml:space="preserve"> </w:t>
      </w:r>
    </w:p>
    <w:p w14:paraId="5615695C" w14:textId="20873E62" w:rsidR="007222FF" w:rsidRDefault="007222FF" w:rsidP="00FF0CBE">
      <w:pPr>
        <w:ind w:firstLine="720"/>
      </w:pPr>
      <w:r>
        <w:t xml:space="preserve">Vehicle availability is positively impacted by privacy-sensitivity, </w:t>
      </w:r>
      <w:r w:rsidR="001C6A7B">
        <w:t>which is expected since t</w:t>
      </w:r>
      <w:r w:rsidR="005D0F22">
        <w:t>he automobile is the most private</w:t>
      </w:r>
      <w:r w:rsidR="001C6A7B">
        <w:t xml:space="preserve"> transportation mode. In contrast, tech-savviness ha</w:t>
      </w:r>
      <w:r w:rsidR="00EA0B40">
        <w:t>s</w:t>
      </w:r>
      <w:r w:rsidR="001C6A7B">
        <w:t xml:space="preserve"> a negative effect on vehicle availably, plausibly because </w:t>
      </w:r>
      <w:r w:rsidR="00F86BCE">
        <w:t>these lifestyle variables facilitate the use of, and draw toward, multi-modal travel options</w:t>
      </w:r>
      <w:r w:rsidR="001C6A7B">
        <w:t xml:space="preserve"> (Astroza et al., 2017). </w:t>
      </w:r>
      <w:r w:rsidR="00F86BCE">
        <w:t xml:space="preserve">As </w:t>
      </w:r>
      <w:r w:rsidR="00714A42">
        <w:t>anticipated</w:t>
      </w:r>
      <w:r w:rsidR="00F86BCE">
        <w:t xml:space="preserve">, households with high incomes and with fewer workers </w:t>
      </w:r>
      <w:r w:rsidR="006D3040">
        <w:t xml:space="preserve">have </w:t>
      </w:r>
      <w:r w:rsidR="00F86BCE">
        <w:t xml:space="preserve">a higher vehicle availability, the first effect due to higher car ownership levels in households with high incomes and the second effect simply a manifestation of how we created the vehicle availability variable. Finally, households residing in the high-density urban areas of the DFW area have a lower vehicle availability, a reflection of </w:t>
      </w:r>
      <w:r w:rsidR="002A60C0">
        <w:t>the reduced</w:t>
      </w:r>
      <w:r w:rsidR="00F86BCE">
        <w:t xml:space="preserve"> need for vehicles in such areas because of good multi-modal transportation service as well as better access to activity opportunities within a compact geographic footprint. Importantly, this</w:t>
      </w:r>
      <w:r w:rsidR="00714A42">
        <w:t xml:space="preserve"> urban living</w:t>
      </w:r>
      <w:r w:rsidR="00F86BCE">
        <w:t xml:space="preserve"> effect </w:t>
      </w:r>
      <w:r w:rsidR="00B06E8D">
        <w:t xml:space="preserve">is a “true” built environment effect after controlling for residential self-selection effects through the impacts of the latent attitudinal lifestyle variables </w:t>
      </w:r>
      <w:r w:rsidR="006D3040">
        <w:t>on both res</w:t>
      </w:r>
      <w:r w:rsidR="00B06E8D">
        <w:t>i</w:t>
      </w:r>
      <w:r w:rsidR="006D3040">
        <w:t>d</w:t>
      </w:r>
      <w:r w:rsidR="00B06E8D">
        <w:t xml:space="preserve">ential location and vehicle availability. </w:t>
      </w:r>
    </w:p>
    <w:p w14:paraId="0E77E27D" w14:textId="77777777" w:rsidR="00A42B5D" w:rsidRPr="00A42B5D" w:rsidRDefault="00A42B5D" w:rsidP="00647997"/>
    <w:p w14:paraId="283896C0" w14:textId="7C418CAA" w:rsidR="009E5E18" w:rsidRDefault="00D77ACD" w:rsidP="00871C66">
      <w:pPr>
        <w:pStyle w:val="ListParagraph"/>
        <w:numPr>
          <w:ilvl w:val="1"/>
          <w:numId w:val="1"/>
        </w:numPr>
        <w:rPr>
          <w:b/>
        </w:rPr>
      </w:pPr>
      <w:r>
        <w:rPr>
          <w:b/>
        </w:rPr>
        <w:t>R</w:t>
      </w:r>
      <w:r w:rsidR="00ED605B">
        <w:rPr>
          <w:b/>
        </w:rPr>
        <w:t>ide-</w:t>
      </w:r>
      <w:r w:rsidR="008778FE">
        <w:rPr>
          <w:b/>
        </w:rPr>
        <w:t>H</w:t>
      </w:r>
      <w:r w:rsidR="00ED605B">
        <w:rPr>
          <w:b/>
        </w:rPr>
        <w:t xml:space="preserve">ailing </w:t>
      </w:r>
      <w:r w:rsidR="008778FE">
        <w:rPr>
          <w:b/>
        </w:rPr>
        <w:t>E</w:t>
      </w:r>
      <w:r w:rsidR="00ED605B">
        <w:rPr>
          <w:b/>
        </w:rPr>
        <w:t>xperience</w:t>
      </w:r>
    </w:p>
    <w:p w14:paraId="1DFC0637" w14:textId="026444B0" w:rsidR="000844AA" w:rsidRPr="00850657" w:rsidRDefault="00B83DCA" w:rsidP="008778FE">
      <w:pPr>
        <w:rPr>
          <w:highlight w:val="lightGray"/>
        </w:rPr>
      </w:pPr>
      <w:r w:rsidRPr="00B83DCA">
        <w:t>The</w:t>
      </w:r>
      <w:r>
        <w:t xml:space="preserve"> results of the ride-hailing experience model are presented in the </w:t>
      </w:r>
      <w:r w:rsidR="000844AA">
        <w:t xml:space="preserve">third </w:t>
      </w:r>
      <w:r>
        <w:t xml:space="preserve">column of Table </w:t>
      </w:r>
      <w:r w:rsidR="000844AA">
        <w:t>5</w:t>
      </w:r>
      <w:r>
        <w:t xml:space="preserve">. </w:t>
      </w:r>
      <w:r w:rsidR="000844AA">
        <w:t>The latent variable effects have the expected direction, with privacy-sensitiv</w:t>
      </w:r>
      <w:r w:rsidR="00C664A0">
        <w:t xml:space="preserve">e individuals less likely to have </w:t>
      </w:r>
      <w:r w:rsidR="000844AA">
        <w:t xml:space="preserve">experience </w:t>
      </w:r>
      <w:r w:rsidR="00C664A0">
        <w:t xml:space="preserve">with </w:t>
      </w:r>
      <w:r w:rsidR="000844AA">
        <w:t>pooled service and tech-savv</w:t>
      </w:r>
      <w:r w:rsidR="00C664A0">
        <w:t xml:space="preserve">y </w:t>
      </w:r>
      <w:r w:rsidR="002A60C0">
        <w:t>individuals most likely to have experience with private ride</w:t>
      </w:r>
      <w:r w:rsidR="00AC72BE">
        <w:t>-</w:t>
      </w:r>
      <w:r w:rsidR="002A60C0">
        <w:t>ha</w:t>
      </w:r>
      <w:r w:rsidR="00AC72BE">
        <w:t>il</w:t>
      </w:r>
      <w:r w:rsidR="002A60C0">
        <w:t xml:space="preserve">ing only. On the other hand, </w:t>
      </w:r>
      <w:r w:rsidR="00C664A0">
        <w:t xml:space="preserve">variety-seeking individuals </w:t>
      </w:r>
      <w:r w:rsidR="002A60C0">
        <w:t xml:space="preserve">are </w:t>
      </w:r>
      <w:r w:rsidR="00C664A0">
        <w:t>mo</w:t>
      </w:r>
      <w:r w:rsidR="002A60C0">
        <w:t xml:space="preserve">st </w:t>
      </w:r>
      <w:r w:rsidR="00C664A0">
        <w:t xml:space="preserve">likely to have the pooled service experience. Interestingly, </w:t>
      </w:r>
      <w:r w:rsidR="006E5041">
        <w:t xml:space="preserve">GLP </w:t>
      </w:r>
      <w:r w:rsidR="00C664A0">
        <w:t xml:space="preserve">does not seem to play a role in </w:t>
      </w:r>
      <w:r w:rsidR="000844AA" w:rsidRPr="008D797A">
        <w:t xml:space="preserve">ride-hailing adoption. </w:t>
      </w:r>
    </w:p>
    <w:p w14:paraId="688723E0" w14:textId="2549C7A7" w:rsidR="00CA261C" w:rsidRDefault="00C664A0" w:rsidP="006E5041">
      <w:pPr>
        <w:ind w:firstLine="720"/>
      </w:pPr>
      <w:r w:rsidRPr="00A36681">
        <w:t>In addition to the indirect socio-demographic influences through the latent variable effects just discussed, there are quite a few direct socio-demographic effects on ride-hailing</w:t>
      </w:r>
      <w:r w:rsidR="006E5041" w:rsidRPr="00A36681">
        <w:t xml:space="preserve"> experience</w:t>
      </w:r>
      <w:r w:rsidRPr="00A36681">
        <w:t xml:space="preserve">. This is unlike the case for residential location density and vehicle ownership where there are </w:t>
      </w:r>
      <w:r w:rsidR="00CA261C" w:rsidRPr="00A36681">
        <w:t xml:space="preserve">relatively </w:t>
      </w:r>
      <w:r w:rsidRPr="00A36681">
        <w:t>few</w:t>
      </w:r>
      <w:r w:rsidR="00CA261C" w:rsidRPr="00A36681">
        <w:t>er</w:t>
      </w:r>
      <w:r w:rsidRPr="00A36681">
        <w:t xml:space="preserve"> direct sociodemographic effects after controlling for latent variable effects. This disparity makes sense because ride-hailing is a relative</w:t>
      </w:r>
      <w:r w:rsidR="002B3118" w:rsidRPr="00A36681">
        <w:t>l</w:t>
      </w:r>
      <w:r w:rsidRPr="00A36681">
        <w:t xml:space="preserve">y recent phenomenon and individuals are still in the process of exploring the </w:t>
      </w:r>
      <w:r w:rsidR="004740C5" w:rsidRPr="00A36681">
        <w:t xml:space="preserve">many dimensions of this </w:t>
      </w:r>
      <w:r w:rsidRPr="00A36681">
        <w:t>se</w:t>
      </w:r>
      <w:r w:rsidR="006D3040" w:rsidRPr="00A36681">
        <w:t xml:space="preserve">rvice. That is, </w:t>
      </w:r>
      <w:r w:rsidRPr="00A36681">
        <w:t xml:space="preserve">ride-hailing preferences are </w:t>
      </w:r>
      <w:r w:rsidR="004740C5" w:rsidRPr="00A36681">
        <w:t xml:space="preserve">still in a formative stage, with the impacts of </w:t>
      </w:r>
      <w:r w:rsidRPr="00A36681">
        <w:t xml:space="preserve">attitudes and lifestyles </w:t>
      </w:r>
      <w:r w:rsidR="004740C5" w:rsidRPr="00A36681">
        <w:t>not yet as deeply entrenched as for residential location density and vehicle availability (the latter choices have been available to individuals over a much longer period of time)</w:t>
      </w:r>
      <w:r w:rsidR="00870360">
        <w:t>.</w:t>
      </w:r>
      <w:r w:rsidR="008A363D" w:rsidRPr="00A36681">
        <w:rPr>
          <w:rStyle w:val="FootnoteReference"/>
        </w:rPr>
        <w:footnoteReference w:id="9"/>
      </w:r>
      <w:r w:rsidR="004740C5" w:rsidRPr="00A36681">
        <w:t xml:space="preserve"> During these initial exploratory/formative stages of preference, it is the immediate demographic lifecycle </w:t>
      </w:r>
      <w:r w:rsidR="004740C5" w:rsidRPr="00A36681">
        <w:lastRenderedPageBreak/>
        <w:t xml:space="preserve">considerations that dictate and drive ride-hailing experience and frequency. Earlier studies in the social psychology literature support this notion that the effects of attitudes/lifestyle toward preference </w:t>
      </w:r>
      <w:r w:rsidR="002B3118" w:rsidRPr="00A36681">
        <w:t xml:space="preserve">for a service/product take </w:t>
      </w:r>
      <w:r w:rsidR="004740C5" w:rsidRPr="00A36681">
        <w:t xml:space="preserve">time to </w:t>
      </w:r>
      <w:r w:rsidR="00B40F92" w:rsidRPr="00A36681">
        <w:t xml:space="preserve">materialize and </w:t>
      </w:r>
      <w:r w:rsidR="004740C5" w:rsidRPr="00A36681">
        <w:t>stab</w:t>
      </w:r>
      <w:r w:rsidR="002B3118" w:rsidRPr="00A36681">
        <w:t>ilize (see, for example,</w:t>
      </w:r>
      <w:r w:rsidR="008A363D" w:rsidRPr="00A36681">
        <w:t xml:space="preserve"> </w:t>
      </w:r>
      <w:r w:rsidR="000177AE" w:rsidRPr="00A36681">
        <w:t>Hoeffler and Ariely, 1999</w:t>
      </w:r>
      <w:r w:rsidR="008A363D" w:rsidRPr="00A36681">
        <w:t>; Amir and Levav, 2008</w:t>
      </w:r>
      <w:r w:rsidR="002B3118" w:rsidRPr="00A36681">
        <w:t>).</w:t>
      </w:r>
      <w:r w:rsidR="006D4C7D" w:rsidRPr="00A36681">
        <w:t xml:space="preserve"> </w:t>
      </w:r>
    </w:p>
    <w:p w14:paraId="2378358C" w14:textId="413E7BAA" w:rsidR="0042480F" w:rsidRDefault="00812784" w:rsidP="006E5041">
      <w:pPr>
        <w:ind w:firstLine="720"/>
      </w:pPr>
      <w:r>
        <w:t>Table 5 indicates that a</w:t>
      </w:r>
      <w:r w:rsidR="000F54D1">
        <w:t>ge</w:t>
      </w:r>
      <w:r>
        <w:t xml:space="preserve"> </w:t>
      </w:r>
      <w:r w:rsidR="000F54D1">
        <w:t xml:space="preserve">has </w:t>
      </w:r>
      <w:r>
        <w:t xml:space="preserve">a direct </w:t>
      </w:r>
      <w:r w:rsidR="00135B5E">
        <w:t xml:space="preserve">negative </w:t>
      </w:r>
      <w:r>
        <w:t>effect on ride-hailing experience</w:t>
      </w:r>
      <w:r w:rsidR="0035186D">
        <w:t xml:space="preserve">, with younger individuals </w:t>
      </w:r>
      <w:r w:rsidR="00AA5983">
        <w:t xml:space="preserve">more likely than their older counterparts to </w:t>
      </w:r>
      <w:r w:rsidR="00D4589E">
        <w:t>have used ride</w:t>
      </w:r>
      <w:r w:rsidR="006D3040">
        <w:t>-</w:t>
      </w:r>
      <w:r w:rsidR="00D4589E">
        <w:t xml:space="preserve">hailing both in the private as well as pooled </w:t>
      </w:r>
      <w:r w:rsidR="00351E7A">
        <w:t>arrangements</w:t>
      </w:r>
      <w:r>
        <w:t xml:space="preserve">. </w:t>
      </w:r>
      <w:r w:rsidR="00351E7A">
        <w:t>While th</w:t>
      </w:r>
      <w:r w:rsidR="007E6321">
        <w:t>is is consistent with some earl</w:t>
      </w:r>
      <w:r w:rsidR="00351E7A">
        <w:t>i</w:t>
      </w:r>
      <w:r w:rsidR="007E6321">
        <w:t>e</w:t>
      </w:r>
      <w:r w:rsidR="00351E7A">
        <w:t>r studies</w:t>
      </w:r>
      <w:r w:rsidR="00531A67">
        <w:t xml:space="preserve"> (</w:t>
      </w:r>
      <w:r w:rsidR="005A3EC8">
        <w:t>Smith, 2016</w:t>
      </w:r>
      <w:r w:rsidR="00F31C9F">
        <w:t>;</w:t>
      </w:r>
      <w:r w:rsidR="005A3EC8">
        <w:t xml:space="preserve"> Kooti et al., 2017</w:t>
      </w:r>
      <w:r w:rsidR="00531A67">
        <w:t xml:space="preserve">), </w:t>
      </w:r>
      <w:r w:rsidR="00351E7A">
        <w:t xml:space="preserve">our study indicates that </w:t>
      </w:r>
      <w:r w:rsidR="007E6321">
        <w:t xml:space="preserve">this effect </w:t>
      </w:r>
      <w:r w:rsidR="00135B5E">
        <w:t>is beyond the negative effect of age on ride-hailing experience through the tech-sav</w:t>
      </w:r>
      <w:r w:rsidR="006D3040">
        <w:t>v</w:t>
      </w:r>
      <w:r w:rsidR="00135B5E">
        <w:t xml:space="preserve">iness and variety-seeking effects. </w:t>
      </w:r>
      <w:r w:rsidR="00531A67">
        <w:t xml:space="preserve">This </w:t>
      </w:r>
      <w:r w:rsidR="000932BF">
        <w:t>direct</w:t>
      </w:r>
      <w:r w:rsidR="00531A67">
        <w:t xml:space="preserve"> effect </w:t>
      </w:r>
      <w:r w:rsidR="000932BF">
        <w:t xml:space="preserve">may be a result of </w:t>
      </w:r>
      <w:r w:rsidR="00531A67">
        <w:t>younger individuals hav</w:t>
      </w:r>
      <w:r w:rsidR="000932BF">
        <w:t>ing</w:t>
      </w:r>
      <w:r w:rsidR="00531A67">
        <w:t xml:space="preserve"> more exposure to new services and products through larger social networks (</w:t>
      </w:r>
      <w:r w:rsidR="00462432">
        <w:t>English and Carstensen, 2014</w:t>
      </w:r>
      <w:r w:rsidR="00531A67">
        <w:t xml:space="preserve">). </w:t>
      </w:r>
    </w:p>
    <w:p w14:paraId="55AB0849" w14:textId="0A3257C1" w:rsidR="00433E30" w:rsidRDefault="00E70013" w:rsidP="00310AEB">
      <w:pPr>
        <w:ind w:firstLine="720"/>
      </w:pPr>
      <w:r w:rsidRPr="00932FEF">
        <w:t>The results also show that n</w:t>
      </w:r>
      <w:r w:rsidR="00433E30" w:rsidRPr="00932FEF">
        <w:t xml:space="preserve">on-Hispanic </w:t>
      </w:r>
      <w:r w:rsidR="00AD226D" w:rsidRPr="00932FEF">
        <w:t>W</w:t>
      </w:r>
      <w:r w:rsidR="00433E30" w:rsidRPr="00932FEF">
        <w:t xml:space="preserve">hites are less likely to have used pooled services, even after accounting for </w:t>
      </w:r>
      <w:r w:rsidR="00E525B1" w:rsidRPr="00932FEF">
        <w:t xml:space="preserve">indirect </w:t>
      </w:r>
      <w:r w:rsidR="001C65FF">
        <w:t>ethnicity</w:t>
      </w:r>
      <w:r w:rsidR="004A77E7">
        <w:t xml:space="preserve"> </w:t>
      </w:r>
      <w:r w:rsidR="00E525B1" w:rsidRPr="00932FEF">
        <w:t xml:space="preserve">effects through </w:t>
      </w:r>
      <w:r w:rsidR="00433E30" w:rsidRPr="00932FEF">
        <w:t>privacy-sensitivity</w:t>
      </w:r>
      <w:r w:rsidRPr="00932FEF">
        <w:t xml:space="preserve"> and VSLP</w:t>
      </w:r>
      <w:r w:rsidR="00E752F1" w:rsidRPr="00932FEF">
        <w:t>,</w:t>
      </w:r>
      <w:r w:rsidR="007F3A5F">
        <w:t xml:space="preserve"> and controlling for income effects. </w:t>
      </w:r>
      <w:r w:rsidR="00E752F1" w:rsidRPr="00932FEF">
        <w:t xml:space="preserve"> </w:t>
      </w:r>
      <w:r w:rsidR="007F3A5F">
        <w:t>T</w:t>
      </w:r>
      <w:r w:rsidR="00932FEF">
        <w:t>he reason behind th</w:t>
      </w:r>
      <w:r w:rsidR="007F3A5F">
        <w:t>is</w:t>
      </w:r>
      <w:r w:rsidR="00932FEF">
        <w:t xml:space="preserve"> </w:t>
      </w:r>
      <w:r w:rsidR="001C65FF">
        <w:t>ethnicity</w:t>
      </w:r>
      <w:r w:rsidR="00932FEF">
        <w:t xml:space="preserve"> effect is </w:t>
      </w:r>
      <w:r w:rsidR="007F3A5F">
        <w:t>not clear</w:t>
      </w:r>
      <w:r w:rsidR="00932FEF">
        <w:t xml:space="preserve"> and calls for more qualitative studies investigating </w:t>
      </w:r>
      <w:r w:rsidR="00EA0761">
        <w:t xml:space="preserve">the </w:t>
      </w:r>
      <w:r w:rsidR="00932FEF">
        <w:t>willingness</w:t>
      </w:r>
      <w:r w:rsidR="00EA0761">
        <w:t xml:space="preserve"> </w:t>
      </w:r>
      <w:r w:rsidR="00932FEF">
        <w:t>to share rides.</w:t>
      </w:r>
      <w:r w:rsidR="00E752F1" w:rsidRPr="00932FEF">
        <w:t xml:space="preserve"> </w:t>
      </w:r>
      <w:r w:rsidR="00342DD1">
        <w:t>Higher education appears to increase the experience with pooled ride-hailing,</w:t>
      </w:r>
      <w:r w:rsidR="00EE221C">
        <w:t xml:space="preserve"> and e</w:t>
      </w:r>
      <w:r w:rsidR="00C32B1E" w:rsidRPr="00731429">
        <w:t xml:space="preserve">mployment status shows significant direct effects on private ride-hailing experience but not on the pooled option. </w:t>
      </w:r>
      <w:r w:rsidR="008C598E">
        <w:t xml:space="preserve">Specifically, </w:t>
      </w:r>
      <w:r w:rsidR="006775BE">
        <w:t>p</w:t>
      </w:r>
      <w:r w:rsidR="00433E30" w:rsidRPr="00731429">
        <w:t xml:space="preserve">art-time employees are less likely to have </w:t>
      </w:r>
      <w:r w:rsidR="00C32B1E" w:rsidRPr="00731429">
        <w:t>experi</w:t>
      </w:r>
      <w:r w:rsidR="008C598E">
        <w:t xml:space="preserve">enced </w:t>
      </w:r>
      <w:r w:rsidR="00433E30" w:rsidRPr="00731429">
        <w:t>private</w:t>
      </w:r>
      <w:r w:rsidR="00C32B1E" w:rsidRPr="00731429">
        <w:t xml:space="preserve"> ride-hailing</w:t>
      </w:r>
      <w:r w:rsidR="00433E30" w:rsidRPr="00731429">
        <w:t xml:space="preserve"> service</w:t>
      </w:r>
      <w:r w:rsidR="00C32B1E" w:rsidRPr="00731429">
        <w:t xml:space="preserve">s </w:t>
      </w:r>
      <w:r w:rsidR="008C598E">
        <w:t>relative to</w:t>
      </w:r>
      <w:r w:rsidR="00C32B1E" w:rsidRPr="00731429">
        <w:t xml:space="preserve"> full-time employees</w:t>
      </w:r>
      <w:r w:rsidR="006D4C7D">
        <w:t xml:space="preserve">. </w:t>
      </w:r>
      <w:r w:rsidR="006775BE">
        <w:t>Similar resul</w:t>
      </w:r>
      <w:r w:rsidR="0049239E">
        <w:t>ts were observed by Dias et al.</w:t>
      </w:r>
      <w:r w:rsidR="006775BE">
        <w:t xml:space="preserve"> </w:t>
      </w:r>
      <w:r w:rsidR="00EE221C">
        <w:t>(</w:t>
      </w:r>
      <w:r w:rsidR="006775BE">
        <w:t>2017</w:t>
      </w:r>
      <w:r w:rsidR="00EE221C">
        <w:t>)</w:t>
      </w:r>
      <w:r w:rsidR="006775BE">
        <w:t>.</w:t>
      </w:r>
    </w:p>
    <w:p w14:paraId="1D69BCDA" w14:textId="38BA86AE" w:rsidR="00672742" w:rsidRDefault="00E338A7" w:rsidP="00ED592C">
      <w:pPr>
        <w:ind w:firstLine="720"/>
      </w:pPr>
      <w:r>
        <w:t xml:space="preserve">In terms of household level variables, </w:t>
      </w:r>
      <w:r w:rsidR="000F5FD5">
        <w:t xml:space="preserve">a </w:t>
      </w:r>
      <w:r>
        <w:t>h</w:t>
      </w:r>
      <w:r w:rsidR="00672742">
        <w:t>igher</w:t>
      </w:r>
      <w:r>
        <w:t xml:space="preserve"> household </w:t>
      </w:r>
      <w:r w:rsidR="00672742">
        <w:t>income</w:t>
      </w:r>
      <w:r w:rsidR="008C598E">
        <w:t xml:space="preserve"> increases experience with both private and pooled ride-hailing</w:t>
      </w:r>
      <w:r>
        <w:t xml:space="preserve">, </w:t>
      </w:r>
      <w:r w:rsidR="00444CBA">
        <w:t xml:space="preserve">beyond the positive effect of household income through </w:t>
      </w:r>
      <w:r>
        <w:t xml:space="preserve">tech-savviness and VSLP </w:t>
      </w:r>
      <w:r w:rsidR="00444CBA">
        <w:t>(and while individuals with a household income over $200,000 have a higher privacy sensitivity, and privacy sensitivity negatively impacts pooled ride-hailing experience, this indirect negative effect gets swamped by the magnitude of the positive direct effect</w:t>
      </w:r>
      <w:r w:rsidR="000F5FD5">
        <w:t xml:space="preserve"> in Table 5</w:t>
      </w:r>
      <w:r w:rsidR="00444CBA">
        <w:t xml:space="preserve">). </w:t>
      </w:r>
      <w:r w:rsidR="00EB0C11">
        <w:t>Considering that attitudinal and lifestyle factors are being</w:t>
      </w:r>
      <w:r w:rsidR="00444CBA">
        <w:t xml:space="preserve"> controlled for</w:t>
      </w:r>
      <w:r w:rsidR="00EB0C11">
        <w:t>, the direct income effect is probably a</w:t>
      </w:r>
      <w:r w:rsidR="00444CBA">
        <w:t xml:space="preserve">n </w:t>
      </w:r>
      <w:r w:rsidR="00EB0C11">
        <w:t>indicator of higher consumption power</w:t>
      </w:r>
      <w:r w:rsidR="00444CBA">
        <w:t>, though there is still a distinct p</w:t>
      </w:r>
      <w:r w:rsidR="006D3040">
        <w:t>reference for private ride-hailing over pooled ride-hailing</w:t>
      </w:r>
      <w:r w:rsidR="00444CBA">
        <w:t xml:space="preserve"> within this high income group</w:t>
      </w:r>
      <w:r w:rsidR="00EB0C11">
        <w:t xml:space="preserve">. </w:t>
      </w:r>
      <w:r w:rsidR="00EB0C11" w:rsidRPr="00731429">
        <w:t>Individuals living alone are</w:t>
      </w:r>
      <w:r w:rsidR="00672742" w:rsidRPr="00731429">
        <w:t xml:space="preserve"> more likely to have used private </w:t>
      </w:r>
      <w:r w:rsidR="00444CBA">
        <w:t xml:space="preserve">ride-hailing </w:t>
      </w:r>
      <w:r w:rsidR="00672742" w:rsidRPr="00731429">
        <w:t>service</w:t>
      </w:r>
      <w:r w:rsidR="00444CBA">
        <w:t xml:space="preserve"> relative to individuals in other household types</w:t>
      </w:r>
      <w:r w:rsidR="00672742" w:rsidRPr="00731429">
        <w:t xml:space="preserve">, while </w:t>
      </w:r>
      <w:r w:rsidR="00EB0C11" w:rsidRPr="00731429">
        <w:t xml:space="preserve">those in </w:t>
      </w:r>
      <w:r w:rsidR="00672742" w:rsidRPr="00731429">
        <w:t xml:space="preserve">single-worker </w:t>
      </w:r>
      <w:r w:rsidR="000F5FD5">
        <w:t xml:space="preserve">multi-person </w:t>
      </w:r>
      <w:r w:rsidR="00EB0C11" w:rsidRPr="00731429">
        <w:t xml:space="preserve">households </w:t>
      </w:r>
      <w:r w:rsidR="00672742" w:rsidRPr="00731429">
        <w:t xml:space="preserve">are </w:t>
      </w:r>
      <w:r w:rsidR="00444CBA">
        <w:t xml:space="preserve">the </w:t>
      </w:r>
      <w:r w:rsidR="00672742" w:rsidRPr="00731429">
        <w:t>le</w:t>
      </w:r>
      <w:r w:rsidR="00444CBA">
        <w:t>ast</w:t>
      </w:r>
      <w:r w:rsidR="00672742" w:rsidRPr="00731429">
        <w:t xml:space="preserve"> likely to have used both </w:t>
      </w:r>
      <w:r w:rsidR="00444CBA">
        <w:t xml:space="preserve">private and pooled </w:t>
      </w:r>
      <w:r w:rsidR="00672742" w:rsidRPr="00731429">
        <w:t>services</w:t>
      </w:r>
      <w:r w:rsidR="00EB0C11" w:rsidRPr="00731429">
        <w:t>.</w:t>
      </w:r>
      <w:r w:rsidR="00ED592C" w:rsidRPr="00731429">
        <w:t xml:space="preserve"> Even after controlling for self-selection effects, </w:t>
      </w:r>
      <w:r w:rsidR="006D17F3">
        <w:t xml:space="preserve">individuals living in </w:t>
      </w:r>
      <w:r w:rsidR="000F5FD5">
        <w:t xml:space="preserve">more urbanized </w:t>
      </w:r>
      <w:r w:rsidR="006D17F3">
        <w:t>locations are more likely than their counterparts in</w:t>
      </w:r>
      <w:r w:rsidR="000F5FD5">
        <w:t xml:space="preserve"> less urbanized </w:t>
      </w:r>
      <w:r w:rsidR="006D17F3">
        <w:t>locations to have used both private and pooled ride-hailing. A similar result holds for individuals in households with more than one vehicle per worker</w:t>
      </w:r>
      <w:r w:rsidR="00547876">
        <w:t xml:space="preserve">. </w:t>
      </w:r>
      <w:r w:rsidR="009F6146">
        <w:t>The result t</w:t>
      </w:r>
      <w:r w:rsidR="00547876">
        <w:t>hat a higher private vehicle availability lead</w:t>
      </w:r>
      <w:r w:rsidR="009F6146">
        <w:t>s</w:t>
      </w:r>
      <w:r w:rsidR="00547876">
        <w:t xml:space="preserve"> to a higher experience with ride-hailing suggests that, in an area such as DFW where almost all households own at least one vehicle,</w:t>
      </w:r>
      <w:r w:rsidR="006D17F3">
        <w:t xml:space="preserve"> </w:t>
      </w:r>
      <w:r w:rsidR="00547876">
        <w:t xml:space="preserve">ride-hailing serves as more of a </w:t>
      </w:r>
      <w:r w:rsidR="00731429">
        <w:t xml:space="preserve">convenience </w:t>
      </w:r>
      <w:r w:rsidR="00547876">
        <w:t xml:space="preserve">feature for those one-off trips </w:t>
      </w:r>
      <w:r w:rsidR="00731429">
        <w:t>rathe</w:t>
      </w:r>
      <w:r w:rsidR="00EB0ABB">
        <w:t xml:space="preserve">r than being an accessibility </w:t>
      </w:r>
      <w:r w:rsidR="00547876">
        <w:t>facilitator for routine trips (</w:t>
      </w:r>
      <w:r w:rsidR="000F5FD5">
        <w:t xml:space="preserve">though, </w:t>
      </w:r>
      <w:r w:rsidR="00547876">
        <w:t xml:space="preserve">as we will see in the next section, </w:t>
      </w:r>
      <w:r w:rsidR="00547876">
        <w:lastRenderedPageBreak/>
        <w:t xml:space="preserve">increasing vehicle availability has </w:t>
      </w:r>
      <w:r w:rsidR="00F357A3">
        <w:t xml:space="preserve">a </w:t>
      </w:r>
      <w:r w:rsidR="00547876">
        <w:t xml:space="preserve">negative effect on </w:t>
      </w:r>
      <w:r w:rsidR="000F5FD5">
        <w:t xml:space="preserve">ride-hailing </w:t>
      </w:r>
      <w:r w:rsidR="00547876">
        <w:t>frequency</w:t>
      </w:r>
      <w:r w:rsidR="00F357A3">
        <w:t>)</w:t>
      </w:r>
      <w:r w:rsidR="000F5FD5">
        <w:t>.</w:t>
      </w:r>
      <w:r w:rsidR="00EE1E50">
        <w:t xml:space="preserve"> </w:t>
      </w:r>
      <w:bookmarkStart w:id="2" w:name="_Hlk2344188"/>
      <w:r w:rsidR="00EE1E50">
        <w:t xml:space="preserve">That is, there appears to be an overall “wealth effect” (living in urban areas and owning more than one vehicle per worker) that is separate from the direct income/education effect leading to </w:t>
      </w:r>
      <w:r w:rsidR="00E33179">
        <w:t xml:space="preserve">more experience with ride-hailing. </w:t>
      </w:r>
    </w:p>
    <w:bookmarkEnd w:id="2"/>
    <w:p w14:paraId="7C7EB2FC" w14:textId="77777777" w:rsidR="004147BC" w:rsidRPr="008D797A" w:rsidRDefault="004147BC" w:rsidP="0042480F">
      <w:pPr>
        <w:rPr>
          <w:b/>
        </w:rPr>
      </w:pPr>
    </w:p>
    <w:p w14:paraId="23A56BCE" w14:textId="6EE36373" w:rsidR="00ED605B" w:rsidRPr="008D797A" w:rsidRDefault="00D77ACD" w:rsidP="00871C66">
      <w:pPr>
        <w:pStyle w:val="ListParagraph"/>
        <w:keepNext/>
        <w:keepLines/>
        <w:numPr>
          <w:ilvl w:val="1"/>
          <w:numId w:val="1"/>
        </w:numPr>
        <w:tabs>
          <w:tab w:val="left" w:pos="360"/>
        </w:tabs>
        <w:rPr>
          <w:b/>
        </w:rPr>
      </w:pPr>
      <w:r w:rsidRPr="008D797A">
        <w:rPr>
          <w:b/>
        </w:rPr>
        <w:t>R</w:t>
      </w:r>
      <w:r w:rsidR="00ED605B" w:rsidRPr="008D797A">
        <w:rPr>
          <w:b/>
        </w:rPr>
        <w:t>ide-</w:t>
      </w:r>
      <w:r w:rsidR="008778FE">
        <w:rPr>
          <w:b/>
        </w:rPr>
        <w:t>H</w:t>
      </w:r>
      <w:r w:rsidR="00ED605B" w:rsidRPr="008D797A">
        <w:rPr>
          <w:b/>
        </w:rPr>
        <w:t xml:space="preserve">ailing </w:t>
      </w:r>
      <w:r w:rsidR="008778FE">
        <w:rPr>
          <w:b/>
        </w:rPr>
        <w:t>F</w:t>
      </w:r>
      <w:r w:rsidR="00ED605B" w:rsidRPr="008D797A">
        <w:rPr>
          <w:b/>
        </w:rPr>
        <w:t>requency</w:t>
      </w:r>
    </w:p>
    <w:p w14:paraId="1C2573DD" w14:textId="77777777" w:rsidR="00A47F61" w:rsidRDefault="00A47F61" w:rsidP="00FF0CBE">
      <w:pPr>
        <w:keepNext/>
        <w:keepLines/>
        <w:rPr>
          <w:rFonts w:cs="Times New Roman"/>
          <w:szCs w:val="24"/>
        </w:rPr>
      </w:pPr>
      <w:r>
        <w:rPr>
          <w:rFonts w:cs="Times New Roman"/>
          <w:szCs w:val="24"/>
        </w:rPr>
        <w:t>O</w:t>
      </w:r>
      <w:r w:rsidR="00B612FD">
        <w:rPr>
          <w:rFonts w:cs="Times New Roman"/>
          <w:szCs w:val="24"/>
        </w:rPr>
        <w:t>ur model</w:t>
      </w:r>
      <w:r>
        <w:rPr>
          <w:rFonts w:cs="Times New Roman"/>
          <w:szCs w:val="24"/>
        </w:rPr>
        <w:t>, similar to that of Alemi et al. (2018a),</w:t>
      </w:r>
      <w:r w:rsidR="00B612FD">
        <w:rPr>
          <w:rFonts w:cs="Times New Roman"/>
          <w:szCs w:val="24"/>
        </w:rPr>
        <w:t xml:space="preserve"> shows that </w:t>
      </w:r>
      <w:r>
        <w:rPr>
          <w:rFonts w:cs="Times New Roman"/>
          <w:szCs w:val="24"/>
        </w:rPr>
        <w:t>few variables have an impact on ride-hailing frequency.</w:t>
      </w:r>
      <w:r w:rsidR="00B612FD">
        <w:rPr>
          <w:rFonts w:cs="Times New Roman"/>
          <w:szCs w:val="24"/>
        </w:rPr>
        <w:t xml:space="preserve"> </w:t>
      </w:r>
      <w:r>
        <w:rPr>
          <w:rFonts w:cs="Times New Roman"/>
          <w:szCs w:val="24"/>
        </w:rPr>
        <w:t xml:space="preserve">Among the latent variable effects, </w:t>
      </w:r>
      <w:r w:rsidR="006D4C7D">
        <w:rPr>
          <w:rFonts w:cs="Times New Roman"/>
          <w:szCs w:val="24"/>
        </w:rPr>
        <w:t xml:space="preserve">only </w:t>
      </w:r>
      <w:r w:rsidRPr="00B94048">
        <w:rPr>
          <w:rFonts w:cs="Times New Roman"/>
          <w:szCs w:val="24"/>
        </w:rPr>
        <w:t>VSLP has a</w:t>
      </w:r>
      <w:r w:rsidR="006D4C7D">
        <w:rPr>
          <w:rFonts w:cs="Times New Roman"/>
          <w:szCs w:val="24"/>
        </w:rPr>
        <w:t xml:space="preserve"> significant impact. </w:t>
      </w:r>
      <w:r w:rsidRPr="00B94048">
        <w:rPr>
          <w:rFonts w:cs="Times New Roman"/>
          <w:szCs w:val="24"/>
        </w:rPr>
        <w:t xml:space="preserve"> </w:t>
      </w:r>
      <w:r w:rsidR="006D4C7D">
        <w:rPr>
          <w:rFonts w:cs="Times New Roman"/>
          <w:szCs w:val="24"/>
        </w:rPr>
        <w:t>This effect</w:t>
      </w:r>
      <w:r>
        <w:rPr>
          <w:rFonts w:cs="Times New Roman"/>
          <w:szCs w:val="24"/>
        </w:rPr>
        <w:t xml:space="preserve"> may be a result of individuals with a high VSLP experimenting and exploring different travel options and different activity pursuits</w:t>
      </w:r>
      <w:r w:rsidR="006D4C7D">
        <w:t xml:space="preserve"> (see, for example, </w:t>
      </w:r>
      <w:r w:rsidR="006D4C7D" w:rsidRPr="00721DD4">
        <w:t>Rieser-Schüssler and Axhausen</w:t>
      </w:r>
      <w:r w:rsidR="006D4C7D">
        <w:t>, 2012).</w:t>
      </w:r>
    </w:p>
    <w:p w14:paraId="63DA9756" w14:textId="77777777" w:rsidR="00AE3EF9" w:rsidRDefault="00B612FD" w:rsidP="00D804EA">
      <w:pPr>
        <w:ind w:firstLine="720"/>
        <w:rPr>
          <w:rFonts w:cs="Times New Roman"/>
          <w:szCs w:val="24"/>
        </w:rPr>
      </w:pPr>
      <w:r>
        <w:rPr>
          <w:rFonts w:cs="Times New Roman"/>
          <w:szCs w:val="24"/>
        </w:rPr>
        <w:t xml:space="preserve">Among </w:t>
      </w:r>
      <w:r w:rsidR="006875DC">
        <w:rPr>
          <w:rFonts w:cs="Times New Roman"/>
          <w:szCs w:val="24"/>
        </w:rPr>
        <w:t xml:space="preserve">other demographic </w:t>
      </w:r>
      <w:r>
        <w:rPr>
          <w:rFonts w:cs="Times New Roman"/>
          <w:szCs w:val="24"/>
        </w:rPr>
        <w:t xml:space="preserve">effects, </w:t>
      </w:r>
      <w:r w:rsidR="006875DC">
        <w:rPr>
          <w:rFonts w:cs="Times New Roman"/>
          <w:szCs w:val="24"/>
        </w:rPr>
        <w:t xml:space="preserve">individuals in </w:t>
      </w:r>
      <w:r w:rsidR="006775BE">
        <w:rPr>
          <w:rFonts w:cs="Times New Roman"/>
          <w:szCs w:val="24"/>
        </w:rPr>
        <w:t>household</w:t>
      </w:r>
      <w:r w:rsidR="000F5FD5">
        <w:rPr>
          <w:rFonts w:cs="Times New Roman"/>
          <w:szCs w:val="24"/>
        </w:rPr>
        <w:t>s</w:t>
      </w:r>
      <w:r w:rsidR="006775BE">
        <w:rPr>
          <w:rFonts w:cs="Times New Roman"/>
          <w:szCs w:val="24"/>
        </w:rPr>
        <w:t xml:space="preserve"> with </w:t>
      </w:r>
      <w:r w:rsidR="006875DC">
        <w:rPr>
          <w:rFonts w:cs="Times New Roman"/>
          <w:szCs w:val="24"/>
        </w:rPr>
        <w:t xml:space="preserve">very </w:t>
      </w:r>
      <w:r w:rsidR="006775BE">
        <w:rPr>
          <w:rFonts w:cs="Times New Roman"/>
          <w:szCs w:val="24"/>
        </w:rPr>
        <w:t xml:space="preserve">high income </w:t>
      </w:r>
      <w:r w:rsidR="006875DC">
        <w:rPr>
          <w:rFonts w:cs="Times New Roman"/>
          <w:szCs w:val="24"/>
        </w:rPr>
        <w:t>(</w:t>
      </w:r>
      <w:r w:rsidR="00850657">
        <w:rPr>
          <w:rFonts w:cs="Times New Roman"/>
          <w:szCs w:val="24"/>
        </w:rPr>
        <w:t>above $</w:t>
      </w:r>
      <w:r w:rsidR="006875DC">
        <w:rPr>
          <w:rFonts w:cs="Times New Roman"/>
          <w:szCs w:val="24"/>
        </w:rPr>
        <w:t>200K</w:t>
      </w:r>
      <w:r w:rsidR="00850657">
        <w:rPr>
          <w:rFonts w:cs="Times New Roman"/>
          <w:szCs w:val="24"/>
        </w:rPr>
        <w:t xml:space="preserve"> dollars per year)</w:t>
      </w:r>
      <w:r w:rsidR="006875DC">
        <w:rPr>
          <w:rFonts w:cs="Times New Roman"/>
          <w:szCs w:val="24"/>
        </w:rPr>
        <w:t xml:space="preserve"> have a high </w:t>
      </w:r>
      <w:r w:rsidR="006775BE">
        <w:rPr>
          <w:rFonts w:cs="Times New Roman"/>
          <w:szCs w:val="24"/>
        </w:rPr>
        <w:t xml:space="preserve">ride-hailing frequency propensity, as also observed by Dias et al. (2017). Although using ride-hailing is usually cheaper than calling a taxi, frequent use can incur significant costs that may be </w:t>
      </w:r>
      <w:r w:rsidR="009618C9">
        <w:rPr>
          <w:rFonts w:cs="Times New Roman"/>
          <w:szCs w:val="24"/>
        </w:rPr>
        <w:t xml:space="preserve">more easily afforded by </w:t>
      </w:r>
      <w:r w:rsidR="006875DC">
        <w:rPr>
          <w:rFonts w:cs="Times New Roman"/>
          <w:szCs w:val="24"/>
        </w:rPr>
        <w:t xml:space="preserve">those in the </w:t>
      </w:r>
      <w:r w:rsidR="006775BE">
        <w:rPr>
          <w:rFonts w:cs="Times New Roman"/>
          <w:szCs w:val="24"/>
        </w:rPr>
        <w:t xml:space="preserve">high income segments. </w:t>
      </w:r>
      <w:r w:rsidR="009618C9">
        <w:rPr>
          <w:rFonts w:cs="Times New Roman"/>
          <w:szCs w:val="24"/>
        </w:rPr>
        <w:t xml:space="preserve">Living in </w:t>
      </w:r>
      <w:r w:rsidR="000F5FD5">
        <w:rPr>
          <w:rFonts w:cs="Times New Roman"/>
          <w:szCs w:val="24"/>
        </w:rPr>
        <w:t>an urban</w:t>
      </w:r>
      <w:r w:rsidR="009618C9">
        <w:rPr>
          <w:rFonts w:cs="Times New Roman"/>
          <w:szCs w:val="24"/>
        </w:rPr>
        <w:t xml:space="preserve"> area </w:t>
      </w:r>
      <w:r w:rsidR="000F5FD5">
        <w:rPr>
          <w:rFonts w:cs="Times New Roman"/>
          <w:szCs w:val="24"/>
        </w:rPr>
        <w:t xml:space="preserve">(relative to living in suburbs or rural areas) </w:t>
      </w:r>
      <w:r w:rsidR="009618C9">
        <w:rPr>
          <w:rFonts w:cs="Times New Roman"/>
          <w:szCs w:val="24"/>
        </w:rPr>
        <w:t xml:space="preserve">also contributes to </w:t>
      </w:r>
      <w:r w:rsidR="000D16FA">
        <w:rPr>
          <w:rFonts w:cs="Times New Roman"/>
          <w:szCs w:val="24"/>
        </w:rPr>
        <w:t xml:space="preserve">a </w:t>
      </w:r>
      <w:r w:rsidR="009618C9">
        <w:rPr>
          <w:rFonts w:cs="Times New Roman"/>
          <w:szCs w:val="24"/>
        </w:rPr>
        <w:t xml:space="preserve">higher </w:t>
      </w:r>
      <w:r w:rsidR="000D16FA">
        <w:rPr>
          <w:rFonts w:cs="Times New Roman"/>
          <w:szCs w:val="24"/>
        </w:rPr>
        <w:t xml:space="preserve">propensity associated with </w:t>
      </w:r>
      <w:r w:rsidR="009618C9">
        <w:rPr>
          <w:rFonts w:cs="Times New Roman"/>
          <w:szCs w:val="24"/>
        </w:rPr>
        <w:t>ride-hailing trip</w:t>
      </w:r>
      <w:r w:rsidR="000D16FA">
        <w:rPr>
          <w:rFonts w:cs="Times New Roman"/>
          <w:szCs w:val="24"/>
        </w:rPr>
        <w:t xml:space="preserve"> frequency</w:t>
      </w:r>
      <w:r w:rsidR="009618C9">
        <w:rPr>
          <w:rFonts w:cs="Times New Roman"/>
          <w:szCs w:val="24"/>
        </w:rPr>
        <w:t xml:space="preserve">, even after controlling for self-selection effects. </w:t>
      </w:r>
      <w:r w:rsidR="00E95920">
        <w:rPr>
          <w:rFonts w:cs="Times New Roman"/>
          <w:szCs w:val="24"/>
        </w:rPr>
        <w:t xml:space="preserve">There are </w:t>
      </w:r>
      <w:r w:rsidR="009672AD">
        <w:rPr>
          <w:rFonts w:cs="Times New Roman"/>
          <w:szCs w:val="24"/>
        </w:rPr>
        <w:t xml:space="preserve">at least three </w:t>
      </w:r>
      <w:r w:rsidR="00E95920">
        <w:rPr>
          <w:rFonts w:cs="Times New Roman"/>
          <w:szCs w:val="24"/>
        </w:rPr>
        <w:t>p</w:t>
      </w:r>
      <w:r w:rsidR="009672AD">
        <w:rPr>
          <w:rFonts w:cs="Times New Roman"/>
          <w:szCs w:val="24"/>
        </w:rPr>
        <w:t>ossible</w:t>
      </w:r>
      <w:r w:rsidR="00E95920">
        <w:rPr>
          <w:rFonts w:cs="Times New Roman"/>
          <w:szCs w:val="24"/>
        </w:rPr>
        <w:t xml:space="preserve"> reasons for this result. </w:t>
      </w:r>
      <w:r w:rsidR="009253C3">
        <w:rPr>
          <w:rFonts w:cs="Times New Roman"/>
          <w:szCs w:val="24"/>
        </w:rPr>
        <w:t xml:space="preserve">First, </w:t>
      </w:r>
      <w:r w:rsidR="000F5FD5">
        <w:rPr>
          <w:rFonts w:cs="Times New Roman"/>
          <w:szCs w:val="24"/>
        </w:rPr>
        <w:t>urban</w:t>
      </w:r>
      <w:r w:rsidR="00E95920">
        <w:rPr>
          <w:rFonts w:cs="Times New Roman"/>
          <w:szCs w:val="24"/>
        </w:rPr>
        <w:t xml:space="preserve"> areas have more parking restrictions,</w:t>
      </w:r>
      <w:r w:rsidR="009253C3">
        <w:rPr>
          <w:rFonts w:cs="Times New Roman"/>
          <w:szCs w:val="24"/>
        </w:rPr>
        <w:t xml:space="preserve"> increasing the benefit of being dropped-off at a destination. </w:t>
      </w:r>
      <w:r w:rsidR="009672AD">
        <w:rPr>
          <w:rFonts w:cs="Times New Roman"/>
          <w:szCs w:val="24"/>
        </w:rPr>
        <w:t>Second</w:t>
      </w:r>
      <w:r w:rsidR="009253C3">
        <w:rPr>
          <w:rFonts w:cs="Times New Roman"/>
          <w:szCs w:val="24"/>
        </w:rPr>
        <w:t>, distances are shorter, compared to more spread</w:t>
      </w:r>
      <w:r w:rsidR="006875DC">
        <w:rPr>
          <w:rFonts w:cs="Times New Roman"/>
          <w:szCs w:val="24"/>
        </w:rPr>
        <w:t>-out</w:t>
      </w:r>
      <w:r w:rsidR="009253C3">
        <w:rPr>
          <w:rFonts w:cs="Times New Roman"/>
          <w:szCs w:val="24"/>
        </w:rPr>
        <w:t xml:space="preserve"> suburbs and</w:t>
      </w:r>
      <w:r w:rsidR="000F5FD5">
        <w:rPr>
          <w:rFonts w:cs="Times New Roman"/>
          <w:szCs w:val="24"/>
        </w:rPr>
        <w:t xml:space="preserve"> rural areas</w:t>
      </w:r>
      <w:r w:rsidR="009253C3">
        <w:rPr>
          <w:rFonts w:cs="Times New Roman"/>
          <w:szCs w:val="24"/>
        </w:rPr>
        <w:t xml:space="preserve">, limiting the costs of the trips. </w:t>
      </w:r>
      <w:r w:rsidR="009672AD">
        <w:rPr>
          <w:rFonts w:cs="Times New Roman"/>
          <w:szCs w:val="24"/>
        </w:rPr>
        <w:t>Third</w:t>
      </w:r>
      <w:r w:rsidR="009253C3">
        <w:rPr>
          <w:rFonts w:cs="Times New Roman"/>
          <w:szCs w:val="24"/>
        </w:rPr>
        <w:t xml:space="preserve">, in </w:t>
      </w:r>
      <w:r w:rsidR="000F5FD5">
        <w:rPr>
          <w:rFonts w:cs="Times New Roman"/>
          <w:szCs w:val="24"/>
        </w:rPr>
        <w:t>urban</w:t>
      </w:r>
      <w:r w:rsidR="009253C3">
        <w:rPr>
          <w:rFonts w:cs="Times New Roman"/>
          <w:szCs w:val="24"/>
        </w:rPr>
        <w:t xml:space="preserve"> areas, the supply of drivers is higher, increasing the overall reliability of the service, which is possibly an essential condition for </w:t>
      </w:r>
      <w:r w:rsidR="000658F8">
        <w:rPr>
          <w:rFonts w:cs="Times New Roman"/>
          <w:szCs w:val="24"/>
        </w:rPr>
        <w:t>maintaining a demand of frequent users</w:t>
      </w:r>
      <w:r>
        <w:rPr>
          <w:rFonts w:cs="Times New Roman"/>
          <w:szCs w:val="24"/>
        </w:rPr>
        <w:t xml:space="preserve">. </w:t>
      </w:r>
      <w:r w:rsidR="009253C3">
        <w:rPr>
          <w:rFonts w:cs="Times New Roman"/>
          <w:szCs w:val="24"/>
        </w:rPr>
        <w:t>As</w:t>
      </w:r>
      <w:r w:rsidR="00F357A3">
        <w:rPr>
          <w:rFonts w:cs="Times New Roman"/>
          <w:szCs w:val="24"/>
        </w:rPr>
        <w:t xml:space="preserve"> also </w:t>
      </w:r>
      <w:r w:rsidR="004C40AF">
        <w:rPr>
          <w:rFonts w:cs="Times New Roman"/>
          <w:szCs w:val="24"/>
        </w:rPr>
        <w:t>observed by Alemi et al. (2018a)</w:t>
      </w:r>
      <w:r w:rsidR="009253C3">
        <w:rPr>
          <w:rFonts w:cs="Times New Roman"/>
          <w:szCs w:val="24"/>
        </w:rPr>
        <w:t>,</w:t>
      </w:r>
      <w:r w:rsidR="004C40AF">
        <w:rPr>
          <w:rFonts w:cs="Times New Roman"/>
          <w:szCs w:val="24"/>
        </w:rPr>
        <w:t xml:space="preserve"> higher vehicle availab</w:t>
      </w:r>
      <w:r w:rsidR="000F5FD5">
        <w:rPr>
          <w:rFonts w:cs="Times New Roman"/>
          <w:szCs w:val="24"/>
        </w:rPr>
        <w:t>i</w:t>
      </w:r>
      <w:r w:rsidR="004C40AF">
        <w:rPr>
          <w:rFonts w:cs="Times New Roman"/>
          <w:szCs w:val="24"/>
        </w:rPr>
        <w:t>l</w:t>
      </w:r>
      <w:r w:rsidR="000F5FD5">
        <w:rPr>
          <w:rFonts w:cs="Times New Roman"/>
          <w:szCs w:val="24"/>
        </w:rPr>
        <w:t>it</w:t>
      </w:r>
      <w:r w:rsidR="004C40AF">
        <w:rPr>
          <w:rFonts w:cs="Times New Roman"/>
          <w:szCs w:val="24"/>
        </w:rPr>
        <w:t xml:space="preserve">y rates reduce the </w:t>
      </w:r>
      <w:r w:rsidR="000D16FA">
        <w:rPr>
          <w:rFonts w:cs="Times New Roman"/>
          <w:szCs w:val="24"/>
        </w:rPr>
        <w:t xml:space="preserve">propensity underlying the </w:t>
      </w:r>
      <w:r w:rsidR="004C40AF">
        <w:rPr>
          <w:rFonts w:cs="Times New Roman"/>
          <w:szCs w:val="24"/>
        </w:rPr>
        <w:t xml:space="preserve">frequency of ride-hailing usage. </w:t>
      </w:r>
      <w:r w:rsidR="00F357A3">
        <w:rPr>
          <w:rFonts w:cs="Times New Roman"/>
          <w:szCs w:val="24"/>
        </w:rPr>
        <w:t>Combined with the earlier finding of the positive effect of vehicle availability on ride-hail</w:t>
      </w:r>
      <w:r w:rsidR="00CF3DAB">
        <w:rPr>
          <w:rFonts w:cs="Times New Roman"/>
          <w:szCs w:val="24"/>
        </w:rPr>
        <w:t>i</w:t>
      </w:r>
      <w:r w:rsidR="00F357A3">
        <w:rPr>
          <w:rFonts w:cs="Times New Roman"/>
          <w:szCs w:val="24"/>
        </w:rPr>
        <w:t xml:space="preserve">ng experience, the results perhaps suggest that individuals in households with high vehicle availability make generally many more out-of-home trips (including those one-off trips to the airport and other recreational sites) and so are more likely to have used ride-hailing </w:t>
      </w:r>
      <w:r w:rsidR="00E1270D">
        <w:rPr>
          <w:rFonts w:cs="Times New Roman"/>
          <w:szCs w:val="24"/>
        </w:rPr>
        <w:t xml:space="preserve">at some point </w:t>
      </w:r>
      <w:r w:rsidR="00F357A3">
        <w:rPr>
          <w:rFonts w:cs="Times New Roman"/>
          <w:szCs w:val="24"/>
        </w:rPr>
        <w:t xml:space="preserve">as a convenience mode. </w:t>
      </w:r>
      <w:r w:rsidR="00E1270D">
        <w:rPr>
          <w:rFonts w:cs="Times New Roman"/>
          <w:szCs w:val="24"/>
        </w:rPr>
        <w:t xml:space="preserve">However, it still holds that higher vehicle availability reduces the </w:t>
      </w:r>
      <w:r w:rsidR="000D16FA">
        <w:rPr>
          <w:rFonts w:cs="Times New Roman"/>
          <w:szCs w:val="24"/>
        </w:rPr>
        <w:t xml:space="preserve">overall ride-hailing </w:t>
      </w:r>
      <w:r w:rsidR="00E1270D">
        <w:rPr>
          <w:rFonts w:cs="Times New Roman"/>
          <w:szCs w:val="24"/>
        </w:rPr>
        <w:t>dependence</w:t>
      </w:r>
      <w:r w:rsidR="000D16FA">
        <w:rPr>
          <w:rFonts w:cs="Times New Roman"/>
          <w:szCs w:val="24"/>
        </w:rPr>
        <w:t xml:space="preserve">. </w:t>
      </w:r>
      <w:r w:rsidR="00B94048">
        <w:rPr>
          <w:rFonts w:cs="Times New Roman"/>
          <w:szCs w:val="24"/>
        </w:rPr>
        <w:t>Another endogenous effect</w:t>
      </w:r>
      <w:r w:rsidR="000D16FA">
        <w:rPr>
          <w:rFonts w:cs="Times New Roman"/>
          <w:szCs w:val="24"/>
        </w:rPr>
        <w:t xml:space="preserve"> </w:t>
      </w:r>
      <w:r w:rsidR="00B94048">
        <w:rPr>
          <w:rFonts w:cs="Times New Roman"/>
          <w:szCs w:val="24"/>
        </w:rPr>
        <w:t>i</w:t>
      </w:r>
      <w:r w:rsidR="00F348EB">
        <w:rPr>
          <w:rFonts w:cs="Times New Roman"/>
          <w:szCs w:val="24"/>
        </w:rPr>
        <w:t>s that</w:t>
      </w:r>
      <w:r w:rsidR="00B94048">
        <w:rPr>
          <w:rFonts w:cs="Times New Roman"/>
          <w:szCs w:val="24"/>
        </w:rPr>
        <w:t xml:space="preserve"> </w:t>
      </w:r>
      <w:r w:rsidR="00FF418E">
        <w:rPr>
          <w:rFonts w:cs="Times New Roman"/>
          <w:szCs w:val="24"/>
        </w:rPr>
        <w:t xml:space="preserve">users of </w:t>
      </w:r>
      <w:r w:rsidR="00B94048">
        <w:rPr>
          <w:rFonts w:cs="Times New Roman"/>
          <w:szCs w:val="24"/>
        </w:rPr>
        <w:t>pooled ride</w:t>
      </w:r>
      <w:r w:rsidR="00FF418E">
        <w:rPr>
          <w:rFonts w:cs="Times New Roman"/>
          <w:szCs w:val="24"/>
        </w:rPr>
        <w:t>-hailing have higher frequency propensities.</w:t>
      </w:r>
      <w:r w:rsidR="008D797A">
        <w:rPr>
          <w:rFonts w:cs="Times New Roman"/>
          <w:szCs w:val="24"/>
        </w:rPr>
        <w:t xml:space="preserve"> </w:t>
      </w:r>
      <w:r w:rsidR="000D16FA">
        <w:rPr>
          <w:rFonts w:cs="Times New Roman"/>
          <w:szCs w:val="24"/>
        </w:rPr>
        <w:t>P</w:t>
      </w:r>
      <w:r w:rsidR="008D797A">
        <w:rPr>
          <w:rFonts w:cs="Times New Roman"/>
          <w:szCs w:val="24"/>
        </w:rPr>
        <w:t>ooled trips offer lower fare</w:t>
      </w:r>
      <w:r w:rsidR="000942B0">
        <w:rPr>
          <w:rFonts w:cs="Times New Roman"/>
          <w:szCs w:val="24"/>
        </w:rPr>
        <w:t>s, which may be a key element for</w:t>
      </w:r>
      <w:r w:rsidR="000658F8">
        <w:rPr>
          <w:rFonts w:cs="Times New Roman"/>
          <w:szCs w:val="24"/>
        </w:rPr>
        <w:t xml:space="preserve"> </w:t>
      </w:r>
      <w:r w:rsidR="000D16FA">
        <w:rPr>
          <w:rFonts w:cs="Times New Roman"/>
          <w:szCs w:val="24"/>
        </w:rPr>
        <w:t xml:space="preserve">ride-hailing </w:t>
      </w:r>
      <w:r w:rsidR="000658F8">
        <w:rPr>
          <w:rFonts w:cs="Times New Roman"/>
          <w:szCs w:val="24"/>
        </w:rPr>
        <w:t>service</w:t>
      </w:r>
      <w:r w:rsidR="000D16FA">
        <w:rPr>
          <w:rFonts w:cs="Times New Roman"/>
          <w:szCs w:val="24"/>
        </w:rPr>
        <w:t>s</w:t>
      </w:r>
      <w:r w:rsidR="000658F8">
        <w:rPr>
          <w:rFonts w:cs="Times New Roman"/>
          <w:szCs w:val="24"/>
        </w:rPr>
        <w:t xml:space="preserve"> to maintain regular users</w:t>
      </w:r>
      <w:r w:rsidR="000942B0">
        <w:rPr>
          <w:rFonts w:cs="Times New Roman"/>
          <w:szCs w:val="24"/>
        </w:rPr>
        <w:t xml:space="preserve">. </w:t>
      </w:r>
    </w:p>
    <w:p w14:paraId="53ECA4F8" w14:textId="77777777" w:rsidR="00C876E0" w:rsidRPr="000E4A5C" w:rsidRDefault="00C876E0" w:rsidP="00C876E0"/>
    <w:p w14:paraId="3881990F" w14:textId="243BDE6C" w:rsidR="008073BA" w:rsidRPr="008073BA" w:rsidRDefault="008073BA" w:rsidP="00871C66">
      <w:pPr>
        <w:pStyle w:val="ListParagraph"/>
        <w:keepNext/>
        <w:numPr>
          <w:ilvl w:val="1"/>
          <w:numId w:val="1"/>
        </w:numPr>
        <w:tabs>
          <w:tab w:val="left" w:pos="360"/>
        </w:tabs>
        <w:rPr>
          <w:b/>
        </w:rPr>
      </w:pPr>
      <w:r w:rsidRPr="008073BA">
        <w:rPr>
          <w:b/>
        </w:rPr>
        <w:t xml:space="preserve">Model </w:t>
      </w:r>
      <w:r w:rsidR="008778FE">
        <w:rPr>
          <w:b/>
        </w:rPr>
        <w:t>F</w:t>
      </w:r>
      <w:r w:rsidRPr="008073BA">
        <w:rPr>
          <w:b/>
        </w:rPr>
        <w:t xml:space="preserve">it </w:t>
      </w:r>
      <w:r w:rsidR="008778FE">
        <w:rPr>
          <w:b/>
        </w:rPr>
        <w:t>C</w:t>
      </w:r>
      <w:r w:rsidRPr="008073BA">
        <w:rPr>
          <w:b/>
        </w:rPr>
        <w:t>omparison</w:t>
      </w:r>
    </w:p>
    <w:p w14:paraId="5ED99B8E" w14:textId="77777777" w:rsidR="004E54A3" w:rsidRPr="009D2650" w:rsidRDefault="004E54A3" w:rsidP="00A36681">
      <w:pPr>
        <w:keepNext/>
      </w:pPr>
      <w:r>
        <w:t>T</w:t>
      </w:r>
      <w:r w:rsidRPr="00C25681">
        <w:t xml:space="preserve">he </w:t>
      </w:r>
      <w:r>
        <w:t xml:space="preserve">improved data fit from jointly modeling the four </w:t>
      </w:r>
      <w:r w:rsidRPr="00C25681">
        <w:t>choice dimensions</w:t>
      </w:r>
      <w:r>
        <w:t xml:space="preserve"> in the individual-level model system may be assessed by comparing the GHDM model with an </w:t>
      </w:r>
      <w:r w:rsidRPr="00C25681">
        <w:t>Independent Heterogeneous Data Model (IHDM)</w:t>
      </w:r>
      <w:r>
        <w:t xml:space="preserve"> that does not consider the </w:t>
      </w:r>
      <w:r w:rsidRPr="00C25681">
        <w:t>jointness</w:t>
      </w:r>
      <w:r>
        <w:t xml:space="preserve"> in the four dimensions (that is, the covariances engendered by the stochastic latent constructs in the GHDM model are </w:t>
      </w:r>
      <w:r>
        <w:lastRenderedPageBreak/>
        <w:t>ignored)</w:t>
      </w:r>
      <w:r w:rsidRPr="00C25681">
        <w:t xml:space="preserve">. </w:t>
      </w:r>
      <w:r>
        <w:t xml:space="preserve">In this IHDM model, </w:t>
      </w:r>
      <w:r w:rsidRPr="00C25681">
        <w:t xml:space="preserve">we introduce the exogenous variables (sociodemographic variables) used to </w:t>
      </w:r>
      <w:r>
        <w:t>explain the</w:t>
      </w:r>
      <w:r w:rsidRPr="00C25681">
        <w:t xml:space="preserve"> latent constructs as exogenous variables in </w:t>
      </w:r>
      <w:r>
        <w:t xml:space="preserve">the </w:t>
      </w:r>
      <w:r w:rsidRPr="00C25681">
        <w:t>choice dimension</w:t>
      </w:r>
      <w:r>
        <w:t xml:space="preserve"> equations</w:t>
      </w:r>
      <w:r w:rsidRPr="00C25681">
        <w:t xml:space="preserve">. </w:t>
      </w:r>
      <w:r w:rsidR="000D16FA">
        <w:t>In t</w:t>
      </w:r>
      <w:r w:rsidRPr="00C25681">
        <w:t xml:space="preserve">his way, the contribution to the observed part of the utility due to sociodemographic variables </w:t>
      </w:r>
      <w:r>
        <w:t>is</w:t>
      </w:r>
      <w:r w:rsidRPr="00C25681">
        <w:t xml:space="preserve"> still maintained </w:t>
      </w:r>
      <w:r>
        <w:t>(and is allowed to vary relative to the GHDM to absorb, to the extent possible, the GHDM covariances due to unobserved effects).</w:t>
      </w:r>
      <w:r w:rsidRPr="00C25681">
        <w:t xml:space="preserve"> The</w:t>
      </w:r>
      <w:r>
        <w:t xml:space="preserve"> resulting </w:t>
      </w:r>
      <w:r w:rsidRPr="00C25681">
        <w:t xml:space="preserve">IHDM </w:t>
      </w:r>
      <w:r>
        <w:t xml:space="preserve">may be compared to the GHDM </w:t>
      </w:r>
      <w:r w:rsidRPr="00C25681">
        <w:t xml:space="preserve">using the composite likelihood information criterion (CLIC) introduced by </w:t>
      </w:r>
      <w:r w:rsidRPr="0042588C">
        <w:t>Varin and Vidoni (2005).</w:t>
      </w:r>
      <w:r w:rsidRPr="00C25681">
        <w:t xml:space="preserve"> </w:t>
      </w:r>
      <w:r>
        <w:t xml:space="preserve">The </w:t>
      </w:r>
      <w:r w:rsidRPr="00C25681">
        <w:t>CLIC takes the following form</w:t>
      </w:r>
      <w:r>
        <w:t xml:space="preserve"> (after replacing the composite marginal likelihood (CML) with the maximum approximate CML (MACML))</w:t>
      </w:r>
      <w:r w:rsidRPr="00C25681">
        <w:t>:</w:t>
      </w:r>
    </w:p>
    <w:p w14:paraId="5D317EE2" w14:textId="403A00CD" w:rsidR="004E54A3" w:rsidRPr="00C25681" w:rsidRDefault="00BF565B" w:rsidP="00D804EA">
      <w:pPr>
        <w:tabs>
          <w:tab w:val="right" w:pos="9360"/>
        </w:tabs>
      </w:pPr>
      <w:r w:rsidRPr="00D804EA">
        <w:rPr>
          <w:position w:val="-24"/>
        </w:rPr>
        <w:object w:dxaOrig="4780" w:dyaOrig="660" w14:anchorId="392FFDCF">
          <v:shape id="_x0000_i1090" type="#_x0000_t75" style="width:239.75pt;height:33.3pt" o:ole="" o:preferrelative="f">
            <v:imagedata r:id="rId24" o:title=""/>
            <o:lock v:ext="edit" aspectratio="f"/>
          </v:shape>
          <o:OLEObject Type="Embed" ProgID="Equation.3" ShapeID="_x0000_i1090" DrawAspect="Content" ObjectID="_1620730230" r:id="rId25"/>
        </w:object>
      </w:r>
      <w:r w:rsidR="004E54A3" w:rsidRPr="00C25681">
        <w:tab/>
      </w:r>
      <w:r w:rsidR="00A36681">
        <w:t xml:space="preserve">      </w:t>
      </w:r>
      <w:r w:rsidR="004E54A3" w:rsidRPr="00C25681">
        <w:t>(</w:t>
      </w:r>
      <w:r w:rsidR="00BE6CA4">
        <w:t>1</w:t>
      </w:r>
      <w:r w:rsidR="004E54A3" w:rsidRPr="00C25681">
        <w:t>)</w:t>
      </w:r>
    </w:p>
    <w:p w14:paraId="4EDD9E4F" w14:textId="20BD9A75" w:rsidR="0000478F" w:rsidRDefault="004E54A3" w:rsidP="00850657">
      <w:r w:rsidRPr="00C25681">
        <w:t xml:space="preserve">The model that provides a higher value of CLIC is preferred. </w:t>
      </w:r>
      <w:r w:rsidR="00381B43" w:rsidRPr="00C25681">
        <w:t xml:space="preserve">The </w:t>
      </w:r>
      <w:r w:rsidR="0049239E" w:rsidRPr="00AA7B4F">
        <w:rPr>
          <w:position w:val="-12"/>
        </w:rPr>
        <w:object w:dxaOrig="1400" w:dyaOrig="460" w14:anchorId="0128AF8A">
          <v:shape id="_x0000_i1034" type="#_x0000_t75" style="width:69.95pt;height:23.1pt" o:ole="" o:preferrelative="f">
            <v:imagedata r:id="rId26" o:title=""/>
            <o:lock v:ext="edit" aspectratio="f"/>
          </v:shape>
          <o:OLEObject Type="Embed" ProgID="Equation.3" ShapeID="_x0000_i1034" DrawAspect="Content" ObjectID="_1620730231" r:id="rId27"/>
        </w:object>
      </w:r>
      <w:r w:rsidR="00381B43">
        <w:t xml:space="preserve"> values for the GHDM and IHDM models were estimated to </w:t>
      </w:r>
      <w:r w:rsidR="00381B43" w:rsidRPr="006A7732">
        <w:t xml:space="preserve">be </w:t>
      </w:r>
      <w:r w:rsidR="0049239E">
        <w:t>–</w:t>
      </w:r>
      <w:r w:rsidR="00381B43" w:rsidRPr="006A7732">
        <w:t>394,</w:t>
      </w:r>
      <w:r w:rsidR="006A7732" w:rsidRPr="006A7732">
        <w:t>131</w:t>
      </w:r>
      <w:r w:rsidR="00381B43" w:rsidRPr="006A7732">
        <w:t xml:space="preserve"> and </w:t>
      </w:r>
      <w:r w:rsidR="0049239E">
        <w:t>–</w:t>
      </w:r>
      <w:r w:rsidR="00381B43" w:rsidRPr="006A7732">
        <w:t>398,8</w:t>
      </w:r>
      <w:r w:rsidR="006A7732" w:rsidRPr="006A7732">
        <w:t>01</w:t>
      </w:r>
      <w:r w:rsidR="00381B43" w:rsidRPr="006A7732">
        <w:t>,</w:t>
      </w:r>
      <w:r w:rsidR="00381B43">
        <w:t xml:space="preserve"> respectively, with the corresponding CLIC statistic values of </w:t>
      </w:r>
      <w:r w:rsidR="0049239E">
        <w:t>–</w:t>
      </w:r>
      <w:r w:rsidR="00381B43" w:rsidRPr="00C2010B">
        <w:t>395,</w:t>
      </w:r>
      <w:r w:rsidR="00C2010B" w:rsidRPr="00C2010B">
        <w:t>982</w:t>
      </w:r>
      <w:r w:rsidR="00381B43">
        <w:t xml:space="preserve"> and </w:t>
      </w:r>
      <w:r w:rsidR="0049239E">
        <w:t>–</w:t>
      </w:r>
      <w:r w:rsidR="00381B43" w:rsidRPr="00494ABB">
        <w:t>400,</w:t>
      </w:r>
      <w:r w:rsidR="00494ABB" w:rsidRPr="00494ABB">
        <w:t>229</w:t>
      </w:r>
      <w:r w:rsidR="00381B43" w:rsidRPr="00C850BF">
        <w:t>.</w:t>
      </w:r>
      <w:r w:rsidR="00381B43">
        <w:t xml:space="preserve"> </w:t>
      </w:r>
      <w:r w:rsidR="00381B43" w:rsidRPr="00C25681">
        <w:t>The</w:t>
      </w:r>
      <w:r w:rsidR="00381B43">
        <w:t>se</w:t>
      </w:r>
      <w:r w:rsidR="00381B43" w:rsidRPr="00C25681">
        <w:t xml:space="preserve"> CLIC statistics </w:t>
      </w:r>
      <w:r w:rsidR="00381B43">
        <w:t>clearly favor</w:t>
      </w:r>
      <w:r w:rsidR="00381B43" w:rsidRPr="00C25681">
        <w:t xml:space="preserve"> the GHDM over the IHDM. </w:t>
      </w:r>
    </w:p>
    <w:p w14:paraId="270F205B" w14:textId="521D340C" w:rsidR="002D143A" w:rsidRPr="007114F6" w:rsidRDefault="002D143A" w:rsidP="00A36681">
      <w:pPr>
        <w:ind w:firstLine="720"/>
        <w:rPr>
          <w:rFonts w:ascii="Calisto MT" w:hAnsi="Calisto MT" w:cs="Aharoni"/>
        </w:rPr>
      </w:pPr>
      <w:r>
        <w:t>T</w:t>
      </w:r>
      <w:r w:rsidRPr="00C25681">
        <w:t xml:space="preserve">he ordinal </w:t>
      </w:r>
      <w:r>
        <w:t xml:space="preserve">indicator </w:t>
      </w:r>
      <w:r w:rsidRPr="00C25681">
        <w:t xml:space="preserve">variables used in the measurement equation are </w:t>
      </w:r>
      <w:r>
        <w:t>included solely</w:t>
      </w:r>
      <w:r w:rsidRPr="00C25681">
        <w:t xml:space="preserve"> for the purpose of model identification and do not serve any purpose in </w:t>
      </w:r>
      <w:r>
        <w:t>predicting</w:t>
      </w:r>
      <w:r w:rsidRPr="00C25681">
        <w:t xml:space="preserve"> the </w:t>
      </w:r>
      <w:r w:rsidR="009A7ADE">
        <w:t xml:space="preserve">endogenous </w:t>
      </w:r>
      <w:r w:rsidRPr="00C25681">
        <w:t xml:space="preserve">choice bundle </w:t>
      </w:r>
      <w:r w:rsidR="009A7ADE">
        <w:t xml:space="preserve">of interest </w:t>
      </w:r>
      <w:r w:rsidRPr="00C25681">
        <w:t xml:space="preserve">once the model is estimated. Therefore, we can also use the familiar non-nested likelihood ratio test to </w:t>
      </w:r>
      <w:r w:rsidR="00161A19">
        <w:t xml:space="preserve">informally </w:t>
      </w:r>
      <w:r w:rsidRPr="00C25681">
        <w:t xml:space="preserve">compare </w:t>
      </w:r>
      <w:r>
        <w:t xml:space="preserve">the </w:t>
      </w:r>
      <w:r w:rsidRPr="00C25681">
        <w:t xml:space="preserve">two models. </w:t>
      </w:r>
      <w:r>
        <w:t xml:space="preserve">To do so, </w:t>
      </w:r>
      <w:r w:rsidRPr="00C25681">
        <w:t xml:space="preserve">we </w:t>
      </w:r>
      <w:r>
        <w:t>evaluate</w:t>
      </w:r>
      <w:r w:rsidRPr="00C25681">
        <w:t xml:space="preserve"> </w:t>
      </w:r>
      <w:r>
        <w:t xml:space="preserve">a predictive </w:t>
      </w:r>
      <w:r w:rsidRPr="00C25681">
        <w:t xml:space="preserve">log-likelihood value </w:t>
      </w:r>
      <w:r w:rsidR="00C412E7" w:rsidRPr="00C25681">
        <w:rPr>
          <w:position w:val="-10"/>
        </w:rPr>
        <w:object w:dxaOrig="560" w:dyaOrig="440" w14:anchorId="63DC37B0">
          <v:shape id="_x0000_i1035" type="#_x0000_t75" style="width:27.85pt;height:22.4pt" o:ole="" o:preferrelative="f">
            <v:imagedata r:id="rId28" o:title=""/>
            <o:lock v:ext="edit" aspectratio="f"/>
          </v:shape>
          <o:OLEObject Type="Embed" ProgID="Equation.3" ShapeID="_x0000_i1035" DrawAspect="Content" ObjectID="_1620730232" r:id="rId29"/>
        </w:object>
      </w:r>
      <w:r w:rsidR="00C412E7">
        <w:t xml:space="preserve"> </w:t>
      </w:r>
      <w:r w:rsidRPr="00C25681">
        <w:t xml:space="preserve">of both </w:t>
      </w:r>
      <w:r>
        <w:t xml:space="preserve">the </w:t>
      </w:r>
      <w:r w:rsidRPr="00C25681">
        <w:t xml:space="preserve">GHDM and IHDM </w:t>
      </w:r>
      <w:r>
        <w:t xml:space="preserve">models </w:t>
      </w:r>
      <w:r w:rsidRPr="00C25681">
        <w:t xml:space="preserve">using the parameter values at </w:t>
      </w:r>
      <w:r>
        <w:t>the</w:t>
      </w:r>
      <w:r w:rsidR="00D56A18">
        <w:t xml:space="preserve"> GHDM </w:t>
      </w:r>
      <w:r>
        <w:t xml:space="preserve">convergent values </w:t>
      </w:r>
      <w:r w:rsidRPr="00C25681">
        <w:t xml:space="preserve">by excluding the </w:t>
      </w:r>
      <w:r w:rsidR="00D56A18">
        <w:t xml:space="preserve">indicator </w:t>
      </w:r>
      <w:r w:rsidRPr="00C25681">
        <w:t>variables</w:t>
      </w:r>
      <w:r w:rsidR="00D56A18">
        <w:t xml:space="preserve"> and focusing only on the four endogenous variables of interest</w:t>
      </w:r>
      <w:r w:rsidRPr="00C25681">
        <w:t>. Then, one can compute the adjusted likelihood ratio index of each model with respect to the log-likelihood with only the constants as follows:</w:t>
      </w:r>
    </w:p>
    <w:p w14:paraId="0A590CDE" w14:textId="395F600B" w:rsidR="002D143A" w:rsidRPr="00C25681" w:rsidRDefault="00BF565B" w:rsidP="00D804EA">
      <w:pPr>
        <w:tabs>
          <w:tab w:val="right" w:pos="9360"/>
        </w:tabs>
      </w:pPr>
      <w:r w:rsidRPr="00C25681">
        <w:rPr>
          <w:position w:val="-28"/>
        </w:rPr>
        <w:object w:dxaOrig="1860" w:dyaOrig="780" w14:anchorId="10E30399">
          <v:shape id="_x0000_i1093" type="#_x0000_t75" style="width:93.05pt;height:38.7pt" o:ole="" o:preferrelative="f">
            <v:imagedata r:id="rId30" o:title=""/>
            <o:lock v:ext="edit" aspectratio="f"/>
          </v:shape>
          <o:OLEObject Type="Embed" ProgID="Equation.3" ShapeID="_x0000_i1093" DrawAspect="Content" ObjectID="_1620730233" r:id="rId31"/>
        </w:object>
      </w:r>
      <w:r w:rsidR="00D804EA">
        <w:t>,</w:t>
      </w:r>
      <w:r w:rsidR="00D804EA">
        <w:tab/>
      </w:r>
      <w:r w:rsidR="002D143A" w:rsidRPr="00C25681">
        <w:t>(</w:t>
      </w:r>
      <w:r w:rsidR="00A36681">
        <w:t>2</w:t>
      </w:r>
      <w:r w:rsidR="002D143A" w:rsidRPr="00C25681">
        <w:t>)</w:t>
      </w:r>
    </w:p>
    <w:p w14:paraId="154F50E8" w14:textId="71D50E05" w:rsidR="002D143A" w:rsidRDefault="002D143A" w:rsidP="00A36681">
      <w:r w:rsidRPr="00C25681">
        <w:t xml:space="preserve">where </w:t>
      </w:r>
      <w:r w:rsidR="00C412E7" w:rsidRPr="00C25681">
        <w:rPr>
          <w:position w:val="-10"/>
        </w:rPr>
        <w:object w:dxaOrig="560" w:dyaOrig="440" w14:anchorId="700DBC7A">
          <v:shape id="_x0000_i1037" type="#_x0000_t75" style="width:27.85pt;height:22.4pt" o:ole="" o:preferrelative="f">
            <v:imagedata r:id="rId32" o:title=""/>
            <o:lock v:ext="edit" aspectratio="f"/>
          </v:shape>
          <o:OLEObject Type="Embed" ProgID="Equation.3" ShapeID="_x0000_i1037" DrawAspect="Content" ObjectID="_1620730234" r:id="rId33"/>
        </w:object>
      </w:r>
      <w:r w:rsidRPr="00C25681">
        <w:t xml:space="preserve"> and</w:t>
      </w:r>
      <w:r w:rsidR="00C412E7">
        <w:t xml:space="preserve"> </w:t>
      </w:r>
      <w:r w:rsidR="00C412E7" w:rsidRPr="00C412E7">
        <w:rPr>
          <w:i/>
        </w:rPr>
        <w:t>L</w:t>
      </w:r>
      <w:r w:rsidR="00C412E7">
        <w:t>(</w:t>
      </w:r>
      <w:r w:rsidR="00C412E7" w:rsidRPr="00C412E7">
        <w:rPr>
          <w:i/>
        </w:rPr>
        <w:t>c</w:t>
      </w:r>
      <w:r w:rsidR="00C412E7">
        <w:t>)</w:t>
      </w:r>
      <w:r w:rsidRPr="00C25681">
        <w:t xml:space="preserve"> are the </w:t>
      </w:r>
      <w:r>
        <w:t xml:space="preserve">predictive </w:t>
      </w:r>
      <w:r w:rsidRPr="00C25681">
        <w:t xml:space="preserve">log-likelihood functions at convergence and at constants, respectively, and </w:t>
      </w:r>
      <w:r w:rsidRPr="00C25681">
        <w:rPr>
          <w:i/>
        </w:rPr>
        <w:t>M</w:t>
      </w:r>
      <w:r w:rsidRPr="00C25681">
        <w:t xml:space="preserve"> is the number of parameters (not including the constant(s) for each dimension</w:t>
      </w:r>
      <w:r>
        <w:t xml:space="preserve"> and not including the ordinal indicators</w:t>
      </w:r>
      <w:r w:rsidRPr="00C25681">
        <w:t xml:space="preserve">) estimated in the model. </w:t>
      </w:r>
      <w:r w:rsidR="00D56A18">
        <w:t>I</w:t>
      </w:r>
      <w:r w:rsidRPr="00C25681">
        <w:t xml:space="preserve">f the difference in the indices is </w:t>
      </w:r>
      <w:r w:rsidR="0049239E" w:rsidRPr="00C25681">
        <w:rPr>
          <w:position w:val="-10"/>
        </w:rPr>
        <w:object w:dxaOrig="1359" w:dyaOrig="360" w14:anchorId="7BA1C775">
          <v:shape id="_x0000_i1038" type="#_x0000_t75" style="width:67.25pt;height:18.35pt" o:ole="" o:preferrelative="f">
            <v:imagedata r:id="rId34" o:title=""/>
            <o:lock v:ext="edit" aspectratio="f"/>
          </v:shape>
          <o:OLEObject Type="Embed" ProgID="Equation.3" ShapeID="_x0000_i1038" DrawAspect="Content" ObjectID="_1620730235" r:id="rId35"/>
        </w:object>
      </w:r>
      <w:r w:rsidRPr="00C25681">
        <w:t xml:space="preserve">, then the probability that this difference could have occurred by chance is no larger than </w:t>
      </w:r>
      <w:r w:rsidR="00C412E7" w:rsidRPr="00C25681">
        <w:rPr>
          <w:position w:val="-10"/>
        </w:rPr>
        <w:object w:dxaOrig="2960" w:dyaOrig="360" w14:anchorId="086DD5E2">
          <v:shape id="_x0000_i1039" type="#_x0000_t75" style="width:148.1pt;height:18.35pt" o:ole="" o:preferrelative="f">
            <v:imagedata r:id="rId36" o:title=""/>
            <o:lock v:ext="edit" aspectratio="f"/>
          </v:shape>
          <o:OLEObject Type="Embed" ProgID="Equation.3" ShapeID="_x0000_i1039" DrawAspect="Content" ObjectID="_1620730236" r:id="rId37"/>
        </w:object>
      </w:r>
      <w:r w:rsidRPr="00C25681">
        <w:t xml:space="preserve"> in the asymptotic limit</w:t>
      </w:r>
      <w:r w:rsidR="00161A19">
        <w:t xml:space="preserve"> (however, this is only an informal test, because the use of the MACML inference approach rather than the traditional maximum likelihood approach changes the asymptotic properties)</w:t>
      </w:r>
      <w:r w:rsidRPr="00C25681">
        <w:t xml:space="preserve">. A small value </w:t>
      </w:r>
      <w:r>
        <w:t>for</w:t>
      </w:r>
      <w:r w:rsidRPr="00C25681">
        <w:t xml:space="preserve"> the probability of chance occurrence </w:t>
      </w:r>
      <w:r w:rsidR="00161A19">
        <w:t>suggests</w:t>
      </w:r>
      <w:r w:rsidRPr="00C25681">
        <w:t xml:space="preserve"> that the difference is statistically significant and that the model with the higher value </w:t>
      </w:r>
      <w:r>
        <w:t>for the</w:t>
      </w:r>
      <w:r w:rsidRPr="00C25681">
        <w:t xml:space="preserve"> adjusted likelihood ratio index is to be preferred. </w:t>
      </w:r>
      <w:r>
        <w:t xml:space="preserve">The </w:t>
      </w:r>
      <w:r w:rsidR="00C412E7" w:rsidRPr="00C25681">
        <w:rPr>
          <w:position w:val="-10"/>
        </w:rPr>
        <w:object w:dxaOrig="560" w:dyaOrig="440" w14:anchorId="78B2F4AC">
          <v:shape id="_x0000_i1040" type="#_x0000_t75" style="width:27.85pt;height:22.4pt" o:ole="" o:preferrelative="f">
            <v:imagedata r:id="rId38" o:title=""/>
            <o:lock v:ext="edit" aspectratio="f"/>
          </v:shape>
          <o:OLEObject Type="Embed" ProgID="Equation.3" ShapeID="_x0000_i1040" DrawAspect="Content" ObjectID="_1620730237" r:id="rId39"/>
        </w:object>
      </w:r>
      <w:r>
        <w:t xml:space="preserve"> values (number of parameters) for the GHDM and IHDM models were computed to </w:t>
      </w:r>
      <w:r w:rsidRPr="005103FA">
        <w:t xml:space="preserve">be </w:t>
      </w:r>
      <w:r w:rsidR="00C412E7">
        <w:t xml:space="preserve">    </w:t>
      </w:r>
      <w:r w:rsidR="00161A19" w:rsidRPr="005103FA">
        <w:t>–</w:t>
      </w:r>
      <w:r w:rsidR="00BB7D65" w:rsidRPr="005103FA">
        <w:t>2,728.85</w:t>
      </w:r>
      <w:r w:rsidRPr="005103FA">
        <w:t xml:space="preserve"> (number of parame</w:t>
      </w:r>
      <w:r w:rsidR="00161A19">
        <w:t>ters=</w:t>
      </w:r>
      <w:r w:rsidR="008B7123" w:rsidRPr="005103FA">
        <w:t>85</w:t>
      </w:r>
      <w:r w:rsidRPr="005103FA">
        <w:t>) and</w:t>
      </w:r>
      <w:r w:rsidR="00657F9E" w:rsidRPr="005103FA">
        <w:t xml:space="preserve"> </w:t>
      </w:r>
      <w:r w:rsidR="0049239E" w:rsidRPr="005103FA">
        <w:t>–</w:t>
      </w:r>
      <w:r w:rsidR="00657F9E" w:rsidRPr="005103FA">
        <w:t>2,7</w:t>
      </w:r>
      <w:r w:rsidR="00BB7D65" w:rsidRPr="005103FA">
        <w:t>2</w:t>
      </w:r>
      <w:r w:rsidR="00657F9E" w:rsidRPr="005103FA">
        <w:t>6.12</w:t>
      </w:r>
      <w:r w:rsidR="00161A19">
        <w:t xml:space="preserve"> (number of parameters=</w:t>
      </w:r>
      <w:r w:rsidR="00657F9E" w:rsidRPr="005103FA">
        <w:t>94</w:t>
      </w:r>
      <w:r w:rsidRPr="005103FA">
        <w:t>),</w:t>
      </w:r>
      <w:r>
        <w:t xml:space="preserve"> respectively. The </w:t>
      </w:r>
      <w:r w:rsidR="00FC2A44" w:rsidRPr="00C412E7">
        <w:rPr>
          <w:i/>
        </w:rPr>
        <w:t>L</w:t>
      </w:r>
      <w:r w:rsidR="00FC2A44">
        <w:t>(</w:t>
      </w:r>
      <w:r w:rsidR="00FC2A44" w:rsidRPr="00C412E7">
        <w:rPr>
          <w:i/>
        </w:rPr>
        <w:t>c</w:t>
      </w:r>
      <w:r w:rsidR="00FC2A44">
        <w:t>)</w:t>
      </w:r>
      <w:r w:rsidR="00FC2A44" w:rsidRPr="00C25681">
        <w:t xml:space="preserve"> </w:t>
      </w:r>
      <w:r>
        <w:t xml:space="preserve">value was </w:t>
      </w:r>
      <w:r w:rsidR="0049239E">
        <w:t>–</w:t>
      </w:r>
      <w:r w:rsidR="00BB7D65">
        <w:t>2,915.55</w:t>
      </w:r>
      <w:r w:rsidR="008778FE">
        <w:t xml:space="preserve">. </w:t>
      </w:r>
      <w:r>
        <w:t xml:space="preserve">The </w:t>
      </w:r>
      <w:r w:rsidRPr="00C25681">
        <w:t xml:space="preserve">non-nested adjusted likelihood ratio test </w:t>
      </w:r>
      <w:r w:rsidR="00161A19">
        <w:t xml:space="preserve">(in its informal version use here) </w:t>
      </w:r>
      <w:r>
        <w:t>returns a value of</w:t>
      </w:r>
      <w:r w:rsidR="00D56A18">
        <w:t xml:space="preserve"> </w:t>
      </w:r>
      <w:r w:rsidR="00870360" w:rsidRPr="00AA7B4F">
        <w:rPr>
          <w:position w:val="-10"/>
        </w:rPr>
        <w:object w:dxaOrig="999" w:dyaOrig="320" w14:anchorId="3B8A1DE9">
          <v:shape id="_x0000_i1041" type="#_x0000_t75" style="width:49.6pt;height:15.6pt" o:ole="" o:preferrelative="f">
            <v:imagedata r:id="rId40" o:title=""/>
            <o:lock v:ext="edit" aspectratio="f"/>
          </v:shape>
          <o:OLEObject Type="Embed" ProgID="Equation.DSMT4" ShapeID="_x0000_i1041" DrawAspect="Content" ObjectID="_1620730238" r:id="rId41"/>
        </w:object>
      </w:r>
      <w:r>
        <w:t xml:space="preserve">, which is literally zero, </w:t>
      </w:r>
      <w:r w:rsidR="003D66EE">
        <w:t>reinforcing the result</w:t>
      </w:r>
      <w:r w:rsidR="00161A19">
        <w:t xml:space="preserve"> from the more formal CLIC statistic in </w:t>
      </w:r>
      <w:r>
        <w:t xml:space="preserve">rejecting the IHDM model in favor of the GHDM model and </w:t>
      </w:r>
      <w:r w:rsidRPr="00C25681">
        <w:t>underscor</w:t>
      </w:r>
      <w:r>
        <w:t>ing</w:t>
      </w:r>
      <w:r w:rsidRPr="00C25681">
        <w:t xml:space="preserve"> the importance of considering </w:t>
      </w:r>
      <w:r>
        <w:t>the stochastic latent constructs that engender covariation among the choice dimensions.</w:t>
      </w:r>
    </w:p>
    <w:p w14:paraId="1FBF7B5B" w14:textId="4A81528A" w:rsidR="008824DA" w:rsidRDefault="008824DA" w:rsidP="00A36681"/>
    <w:p w14:paraId="2CC1FD2E" w14:textId="77777777" w:rsidR="000529B0" w:rsidRPr="000529B0" w:rsidRDefault="008824DA" w:rsidP="00871C66">
      <w:pPr>
        <w:pStyle w:val="ListParagraph"/>
        <w:keepNext/>
        <w:keepLines/>
        <w:numPr>
          <w:ilvl w:val="1"/>
          <w:numId w:val="1"/>
        </w:numPr>
        <w:rPr>
          <w:b/>
        </w:rPr>
      </w:pPr>
      <w:r w:rsidRPr="00806AD7">
        <w:rPr>
          <w:b/>
        </w:rPr>
        <w:t>Average Treatment Effects</w:t>
      </w:r>
      <w:r w:rsidR="000529B0" w:rsidRPr="000529B0">
        <w:t xml:space="preserve"> </w:t>
      </w:r>
    </w:p>
    <w:p w14:paraId="5E486441" w14:textId="07C18A60" w:rsidR="008824DA" w:rsidRDefault="000529B0" w:rsidP="00FF0CBE">
      <w:pPr>
        <w:keepNext/>
        <w:keepLines/>
      </w:pPr>
      <w:r>
        <w:t>To compare the magnitudes of effects and identify of the most significant determinants of ride-hailing usage, we compute average treatment effects (ATEs) of the explanatory (exogenous, latent and endogenous) variables on ride-hailing experience and frequency.</w:t>
      </w:r>
    </w:p>
    <w:p w14:paraId="4CAD9438" w14:textId="4C5BA526" w:rsidR="009B5D9B" w:rsidRDefault="009B5D9B" w:rsidP="009B5D9B">
      <w:pPr>
        <w:ind w:firstLine="720"/>
      </w:pPr>
      <w:r>
        <w:t xml:space="preserve">In these ATE computations, we consider the latent psycho-social variables too as explicit determinant variables, rather than translating these latent variable effects into corresponding exogenous demographic variable effects through the structural equation model results of </w:t>
      </w:r>
      <w:r w:rsidRPr="00E74D76">
        <w:t>Table 4.</w:t>
      </w:r>
      <w:r>
        <w:t xml:space="preserve"> That is, we do not combine the direct demographic effects and the indirect demographic effects (through the latent variables); rather, we compute the ATEs for the direct demographic effects and the ATEs for the latent variables. This is because, while the overall (indirect plus direct) demographic effects provide ride-hailing tendencies by demographic segment, they do not provide insights that may help in formulating policies. For example, one of the overall demographic effects is that non-Hispanic Whites are less likely to use pooled ride-hailing. However, this does not provide us additional insights on why this may be so. By including latent variables in the ATE computation, we may find, for example, that privacy sensitivity is one of the most important determinant variables in terms of the magnitude of effect on the use of pooled ride-hailing. If so, and</w:t>
      </w:r>
      <w:r w:rsidRPr="00AC3AE2">
        <w:t xml:space="preserve"> </w:t>
      </w:r>
      <w:r>
        <w:t>because non-Hispanic Whites are likely to be more privacy sensitive relative to individuals of other ethnicity groups (according to our structural equation model results), it provides additional insights on how to position pooled ride-hailing information campaigns directed toward this segment of the population. One additional note regarding the computation of ATE effects for the latent variables. We compute these effects by examining the impact of changing each latent variable from its minimum value (the base) to its maximum value (that is, the continuous latent variable values are changed to two discrete values for the ATE computations; the minimum expected value representing the base category).</w:t>
      </w:r>
      <w:r w:rsidRPr="00C1333E">
        <w:t xml:space="preserve"> </w:t>
      </w:r>
    </w:p>
    <w:p w14:paraId="26E629D1" w14:textId="77777777" w:rsidR="000529B0" w:rsidRPr="000529B0" w:rsidRDefault="000529B0" w:rsidP="000529B0">
      <w:pPr>
        <w:rPr>
          <w:b/>
        </w:rPr>
      </w:pPr>
    </w:p>
    <w:p w14:paraId="43A311E5" w14:textId="486CB7C1" w:rsidR="000529B0" w:rsidRPr="000529B0" w:rsidRDefault="0067717F" w:rsidP="00871C66">
      <w:pPr>
        <w:pStyle w:val="ListParagraph"/>
        <w:keepNext/>
        <w:numPr>
          <w:ilvl w:val="2"/>
          <w:numId w:val="1"/>
        </w:numPr>
        <w:ind w:left="540" w:hanging="540"/>
        <w:rPr>
          <w:i/>
        </w:rPr>
      </w:pPr>
      <w:r>
        <w:rPr>
          <w:i/>
        </w:rPr>
        <w:t>Formulation and</w:t>
      </w:r>
      <w:r w:rsidR="000529B0" w:rsidRPr="000529B0">
        <w:rPr>
          <w:i/>
        </w:rPr>
        <w:t xml:space="preserve"> </w:t>
      </w:r>
      <w:r w:rsidR="00871C66">
        <w:rPr>
          <w:i/>
        </w:rPr>
        <w:t>C</w:t>
      </w:r>
      <w:r w:rsidR="000529B0" w:rsidRPr="000529B0">
        <w:rPr>
          <w:i/>
        </w:rPr>
        <w:t xml:space="preserve">omputation </w:t>
      </w:r>
    </w:p>
    <w:p w14:paraId="2B231BD4" w14:textId="13DD0A4E" w:rsidR="00806AD7" w:rsidRPr="0006288D" w:rsidRDefault="00806AD7" w:rsidP="008C3C51">
      <w:pPr>
        <w:keepNext/>
      </w:pPr>
      <w:r>
        <w:t>The ATE measure for the ride-hailing experience</w:t>
      </w:r>
      <w:r w:rsidRPr="00A23B6D">
        <w:t xml:space="preserve"> variable </w:t>
      </w:r>
      <w:r>
        <w:t xml:space="preserve">(which is a nominal variable in our analysis) </w:t>
      </w:r>
      <w:r w:rsidRPr="00A23B6D">
        <w:t xml:space="preserve">provides the expected difference in </w:t>
      </w:r>
      <w:r>
        <w:t xml:space="preserve">ride-hailing experience </w:t>
      </w:r>
      <w:r w:rsidRPr="0006288D">
        <w:t xml:space="preserve">for a random </w:t>
      </w:r>
      <w:r>
        <w:t xml:space="preserve">individual if </w:t>
      </w:r>
      <w:r>
        <w:lastRenderedPageBreak/>
        <w:t>s/he</w:t>
      </w:r>
      <w:r w:rsidRPr="0006288D">
        <w:t xml:space="preserve"> were </w:t>
      </w:r>
      <w:r>
        <w:t xml:space="preserve">in a specific category </w:t>
      </w:r>
      <w:r w:rsidRPr="0006288D">
        <w:rPr>
          <w:i/>
        </w:rPr>
        <w:t>i</w:t>
      </w:r>
      <w:r w:rsidRPr="0006288D">
        <w:t xml:space="preserve"> </w:t>
      </w:r>
      <w:r>
        <w:t xml:space="preserve">of the </w:t>
      </w:r>
      <w:r w:rsidR="009421DC">
        <w:t xml:space="preserve">explanatory </w:t>
      </w:r>
      <w:r>
        <w:t xml:space="preserve">variable </w:t>
      </w:r>
      <w:r w:rsidRPr="0006288D">
        <w:t>as</w:t>
      </w:r>
      <w:r>
        <w:t xml:space="preserve"> opposed to another configuration </w:t>
      </w:r>
      <w:r w:rsidRPr="000830CC">
        <w:rPr>
          <w:position w:val="-6"/>
        </w:rPr>
        <w:object w:dxaOrig="520" w:dyaOrig="279" w14:anchorId="25824AE2">
          <v:shape id="_x0000_i1042" type="#_x0000_t75" style="width:25.8pt;height:13.6pt" o:ole="">
            <v:imagedata r:id="rId42" o:title=""/>
          </v:shape>
          <o:OLEObject Type="Embed" ProgID="Equation.3" ShapeID="_x0000_i1042" DrawAspect="Content" ObjectID="_1620730239" r:id="rId43"/>
        </w:object>
      </w:r>
      <w:r w:rsidRPr="0006288D">
        <w:t xml:space="preserve">. </w:t>
      </w:r>
      <w:r>
        <w:t xml:space="preserve">The ATE </w:t>
      </w:r>
      <w:r w:rsidRPr="0006288D">
        <w:t>is estimated as follows</w:t>
      </w:r>
      <w:r>
        <w:t xml:space="preserve"> for each </w:t>
      </w:r>
      <w:r w:rsidR="009421DC">
        <w:t>explanatory</w:t>
      </w:r>
      <w:r>
        <w:t xml:space="preserve"> variable</w:t>
      </w:r>
      <w:r w:rsidRPr="0006288D">
        <w:t>:</w:t>
      </w:r>
    </w:p>
    <w:p w14:paraId="7CEF6CBA" w14:textId="78429D9A" w:rsidR="00806AD7" w:rsidRPr="0006288D" w:rsidRDefault="00F74FAF" w:rsidP="00806AD7">
      <w:pPr>
        <w:tabs>
          <w:tab w:val="right" w:pos="9360"/>
        </w:tabs>
      </w:pPr>
      <w:r w:rsidRPr="000E2190">
        <w:rPr>
          <w:position w:val="-30"/>
        </w:rPr>
        <w:object w:dxaOrig="5500" w:dyaOrig="700" w14:anchorId="127F7946">
          <v:shape id="_x0000_i1043" type="#_x0000_t75" style="width:275.1pt;height:35.3pt;mso-position-vertical:absolute" o:ole="" o:preferrelative="f">
            <v:imagedata r:id="rId44" o:title=""/>
            <o:lock v:ext="edit" aspectratio="f"/>
          </v:shape>
          <o:OLEObject Type="Embed" ProgID="Equation.DSMT4" ShapeID="_x0000_i1043" DrawAspect="Content" ObjectID="_1620730240" r:id="rId45"/>
        </w:object>
      </w:r>
      <w:r w:rsidR="00806AD7">
        <w:t xml:space="preserve">              </w:t>
      </w:r>
      <w:r w:rsidR="00806AD7">
        <w:tab/>
        <w:t>(3)</w:t>
      </w:r>
    </w:p>
    <w:p w14:paraId="382854B1" w14:textId="77777777" w:rsidR="000240B2" w:rsidRDefault="00806AD7" w:rsidP="00FF0CBE">
      <w:r w:rsidRPr="00F1714C">
        <w:t xml:space="preserve">where </w:t>
      </w:r>
      <w:r w:rsidRPr="008778FE">
        <w:rPr>
          <w:position w:val="-14"/>
        </w:rPr>
        <w:object w:dxaOrig="320" w:dyaOrig="380" w14:anchorId="3F5C3C9C">
          <v:shape id="_x0000_i1044" type="#_x0000_t75" style="width:16.3pt;height:19.7pt" o:ole="">
            <v:imagedata r:id="rId46" o:title=""/>
          </v:shape>
          <o:OLEObject Type="Embed" ProgID="Equation.3" ShapeID="_x0000_i1044" DrawAspect="Content" ObjectID="_1620730241" r:id="rId47"/>
        </w:object>
      </w:r>
      <w:r>
        <w:t xml:space="preserve"> i</w:t>
      </w:r>
      <w:r w:rsidRPr="00F1714C">
        <w:t xml:space="preserve">s the dummy variable for the category </w:t>
      </w:r>
      <w:r w:rsidRPr="00A5423F">
        <w:rPr>
          <w:i/>
        </w:rPr>
        <w:t>i</w:t>
      </w:r>
      <w:r w:rsidRPr="00F1714C">
        <w:t xml:space="preserve"> of the </w:t>
      </w:r>
      <w:r w:rsidR="00423616">
        <w:t>explanatory</w:t>
      </w:r>
      <w:r w:rsidRPr="00F1714C">
        <w:t xml:space="preserve"> variable for the individual </w:t>
      </w:r>
      <w:r w:rsidRPr="00A5423F">
        <w:rPr>
          <w:i/>
        </w:rPr>
        <w:t>q</w:t>
      </w:r>
      <w:r>
        <w:rPr>
          <w:i/>
        </w:rPr>
        <w:t xml:space="preserve"> (Q</w:t>
      </w:r>
      <w:r>
        <w:t>=1607)</w:t>
      </w:r>
      <w:r w:rsidRPr="00F1714C">
        <w:t>,</w:t>
      </w:r>
      <w:r>
        <w:t xml:space="preserve"> </w:t>
      </w:r>
      <w:r w:rsidRPr="008778FE">
        <w:rPr>
          <w:position w:val="-14"/>
        </w:rPr>
        <w:object w:dxaOrig="300" w:dyaOrig="380" w14:anchorId="508DFFC4">
          <v:shape id="_x0000_i1045" type="#_x0000_t75" style="width:14.95pt;height:19pt" o:ole="">
            <v:imagedata r:id="rId48" o:title=""/>
          </v:shape>
          <o:OLEObject Type="Embed" ProgID="Equation.3" ShapeID="_x0000_i1045" DrawAspect="Content" ObjectID="_1620730242" r:id="rId49"/>
        </w:object>
      </w:r>
      <w:r w:rsidRPr="00F1714C">
        <w:t xml:space="preserve"> stands for the ride-hailing experience nominal variable, and </w:t>
      </w:r>
      <w:r w:rsidRPr="00A5423F">
        <w:rPr>
          <w:i/>
        </w:rPr>
        <w:t>j</w:t>
      </w:r>
      <w:r w:rsidRPr="00F1714C">
        <w:t xml:space="preserve"> represents a specific nominal </w:t>
      </w:r>
      <w:r w:rsidRPr="00E30EC3">
        <w:t>category of ride-hailing experience. Thus,</w:t>
      </w:r>
      <w:r>
        <w:t xml:space="preserve"> </w:t>
      </w:r>
      <w:r w:rsidRPr="008778FE">
        <w:rPr>
          <w:position w:val="-14"/>
        </w:rPr>
        <w:object w:dxaOrig="700" w:dyaOrig="420" w14:anchorId="7299ECE6">
          <v:shape id="_x0000_i1046" type="#_x0000_t75" style="width:34.65pt;height:21.05pt" o:ole="">
            <v:imagedata r:id="rId50" o:title=""/>
          </v:shape>
          <o:OLEObject Type="Embed" ProgID="Equation.3" ShapeID="_x0000_i1046" DrawAspect="Content" ObjectID="_1620730243" r:id="rId51"/>
        </w:object>
      </w:r>
      <w:r w:rsidRPr="00E30EC3">
        <w:t xml:space="preserve"> above represents the estimate of the expected</w:t>
      </w:r>
      <w:r>
        <w:t xml:space="preserve"> value change in the nominal category </w:t>
      </w:r>
      <w:r w:rsidRPr="00DA1412">
        <w:rPr>
          <w:i/>
        </w:rPr>
        <w:t>j</w:t>
      </w:r>
      <w:r>
        <w:t xml:space="preserve"> of ride-hailing because of a change from category </w:t>
      </w:r>
      <w:r w:rsidRPr="00DA1412">
        <w:rPr>
          <w:i/>
        </w:rPr>
        <w:t>k</w:t>
      </w:r>
      <w:r>
        <w:t xml:space="preserve"> </w:t>
      </w:r>
      <w:r w:rsidR="00423616">
        <w:t xml:space="preserve">to </w:t>
      </w:r>
      <w:r w:rsidR="00423616" w:rsidRPr="00423616">
        <w:rPr>
          <w:i/>
        </w:rPr>
        <w:t>i</w:t>
      </w:r>
      <w:r w:rsidR="00423616">
        <w:t xml:space="preserve"> </w:t>
      </w:r>
      <w:r>
        <w:t xml:space="preserve">of the </w:t>
      </w:r>
      <w:r w:rsidR="00423616">
        <w:t>explanatory</w:t>
      </w:r>
      <w:r>
        <w:t xml:space="preserve"> variable</w:t>
      </w:r>
      <w:r w:rsidR="00423616">
        <w:t>.</w:t>
      </w:r>
      <w:r>
        <w:t xml:space="preserve"> In computing this effect, we first assign the value of the base category for each individual in the sample (that is, we assign the value of </w:t>
      </w:r>
      <w:r w:rsidRPr="000E2190">
        <w:rPr>
          <w:position w:val="-14"/>
        </w:rPr>
        <w:object w:dxaOrig="680" w:dyaOrig="380" w14:anchorId="16222693">
          <v:shape id="_x0000_i1047" type="#_x0000_t75" style="width:33.95pt;height:19.7pt" o:ole="">
            <v:imagedata r:id="rId52" o:title=""/>
          </v:shape>
          <o:OLEObject Type="Embed" ProgID="Equation.DSMT4" ShapeID="_x0000_i1047" DrawAspect="Content" ObjectID="_1620730244" r:id="rId53"/>
        </w:object>
      </w:r>
      <w:r>
        <w:t xml:space="preserve"> to the determinant variable of each individual to compute </w:t>
      </w:r>
      <w:r w:rsidRPr="004A719F">
        <w:rPr>
          <w:position w:val="-14"/>
        </w:rPr>
        <w:object w:dxaOrig="1740" w:dyaOrig="380" w14:anchorId="372E81FC">
          <v:shape id="_x0000_i1048" type="#_x0000_t75" style="width:86.95pt;height:19.7pt" o:ole="">
            <v:imagedata r:id="rId54" o:title=""/>
          </v:shape>
          <o:OLEObject Type="Embed" ProgID="Equation.DSMT4" ShapeID="_x0000_i1048" DrawAspect="Content" ObjectID="_1620730245" r:id="rId55"/>
        </w:object>
      </w:r>
      <w:r>
        <w:t xml:space="preserve">) and then change the value of the variable to </w:t>
      </w:r>
      <w:r w:rsidRPr="006B08F0">
        <w:rPr>
          <w:position w:val="-14"/>
        </w:rPr>
        <w:object w:dxaOrig="639" w:dyaOrig="380" w14:anchorId="0E3D7D50">
          <v:shape id="_x0000_i1049" type="#_x0000_t75" style="width:31.25pt;height:19.7pt" o:ole="">
            <v:imagedata r:id="rId56" o:title=""/>
          </v:shape>
          <o:OLEObject Type="Embed" ProgID="Equation.DSMT4" ShapeID="_x0000_i1049" DrawAspect="Content" ObjectID="_1620730246" r:id="rId57"/>
        </w:object>
      </w:r>
      <w:r>
        <w:t xml:space="preserve"> to compute </w:t>
      </w:r>
      <w:r w:rsidRPr="006B08F0">
        <w:rPr>
          <w:position w:val="-14"/>
        </w:rPr>
        <w:object w:dxaOrig="1700" w:dyaOrig="380" w14:anchorId="67FD1497">
          <v:shape id="_x0000_i1050" type="#_x0000_t75" style="width:85.6pt;height:19.7pt" o:ole="">
            <v:imagedata r:id="rId58" o:title=""/>
          </v:shape>
          <o:OLEObject Type="Embed" ProgID="Equation.DSMT4" ShapeID="_x0000_i1050" DrawAspect="Content" ObjectID="_1620730247" r:id="rId59"/>
        </w:object>
      </w:r>
      <w:r>
        <w:t xml:space="preserve">) . </w:t>
      </w:r>
    </w:p>
    <w:p w14:paraId="6C297681" w14:textId="72ADEDEE" w:rsidR="0067717F" w:rsidRDefault="005F58E4" w:rsidP="0067717F">
      <w:pPr>
        <w:ind w:firstLine="720"/>
      </w:pPr>
      <w:r>
        <w:t xml:space="preserve">The ATE measures may be computed for each nominal category </w:t>
      </w:r>
      <w:r w:rsidRPr="0048393B">
        <w:rPr>
          <w:i/>
        </w:rPr>
        <w:t>j</w:t>
      </w:r>
      <w:r>
        <w:t xml:space="preserve"> of the ride-hailing experience variable as well as each combination of </w:t>
      </w:r>
      <w:r w:rsidRPr="0048393B">
        <w:rPr>
          <w:i/>
        </w:rPr>
        <w:t>i</w:t>
      </w:r>
      <w:r>
        <w:t xml:space="preserve"> and </w:t>
      </w:r>
      <w:r w:rsidRPr="0048393B">
        <w:rPr>
          <w:i/>
        </w:rPr>
        <w:t>k</w:t>
      </w:r>
      <w:r>
        <w:t xml:space="preserve"> for the </w:t>
      </w:r>
      <w:r w:rsidR="000240B2">
        <w:t>explanatory</w:t>
      </w:r>
      <w:r>
        <w:t xml:space="preserve"> variable</w:t>
      </w:r>
      <w:r w:rsidR="00CF064A">
        <w:t>s</w:t>
      </w:r>
      <w:r>
        <w:t>. In our analysis, we compute the ATE measures for the nominal categories of “private only” and “pooled</w:t>
      </w:r>
      <w:r w:rsidR="00244B73">
        <w:t>”</w:t>
      </w:r>
      <w:r>
        <w:t xml:space="preserve"> ride-hailing experience, and for </w:t>
      </w:r>
      <w:r w:rsidR="00A455C7">
        <w:t>one combination of</w:t>
      </w:r>
      <w:r w:rsidR="00CF064A" w:rsidRPr="00CF064A">
        <w:rPr>
          <w:i/>
        </w:rPr>
        <w:t xml:space="preserve"> </w:t>
      </w:r>
      <w:r w:rsidR="00CF064A" w:rsidRPr="0048393B">
        <w:rPr>
          <w:i/>
        </w:rPr>
        <w:t>i</w:t>
      </w:r>
      <w:r w:rsidR="00CF064A">
        <w:t xml:space="preserve"> and </w:t>
      </w:r>
      <w:r w:rsidR="00CF064A" w:rsidRPr="0048393B">
        <w:rPr>
          <w:i/>
        </w:rPr>
        <w:t>k</w:t>
      </w:r>
      <w:r>
        <w:t xml:space="preserve">. For example, in the case of age, the base category is </w:t>
      </w:r>
      <w:r w:rsidRPr="000E2190">
        <w:rPr>
          <w:rFonts w:cs="Times New Roman"/>
          <w:szCs w:val="24"/>
        </w:rPr>
        <w:t xml:space="preserve">the </w:t>
      </w:r>
      <w:r w:rsidR="001F0434">
        <w:rPr>
          <w:rFonts w:eastAsia="Times New Roman" w:cs="Times New Roman"/>
          <w:bCs/>
          <w:color w:val="000000"/>
          <w:szCs w:val="24"/>
        </w:rPr>
        <w:t>“</w:t>
      </w:r>
      <w:r w:rsidRPr="0048393B">
        <w:rPr>
          <w:rFonts w:eastAsia="Times New Roman" w:cs="Times New Roman"/>
          <w:bCs/>
          <w:color w:val="000000"/>
          <w:szCs w:val="24"/>
        </w:rPr>
        <w:t>65 years</w:t>
      </w:r>
      <w:r w:rsidR="001F0434">
        <w:rPr>
          <w:rFonts w:eastAsia="Times New Roman" w:cs="Times New Roman"/>
          <w:bCs/>
          <w:color w:val="000000"/>
          <w:szCs w:val="24"/>
        </w:rPr>
        <w:t xml:space="preserve"> or more</w:t>
      </w:r>
      <w:r w:rsidRPr="0048393B">
        <w:rPr>
          <w:rFonts w:eastAsia="Times New Roman" w:cs="Times New Roman"/>
          <w:bCs/>
          <w:color w:val="000000"/>
          <w:szCs w:val="24"/>
        </w:rPr>
        <w:t>” age group, while the changed category corresponds to the “18-34 years” age group.</w:t>
      </w:r>
      <w:r>
        <w:rPr>
          <w:rFonts w:eastAsia="Times New Roman" w:cs="Times New Roman"/>
          <w:b/>
          <w:bCs/>
          <w:color w:val="000000"/>
          <w:sz w:val="20"/>
          <w:szCs w:val="20"/>
        </w:rPr>
        <w:t xml:space="preserve"> </w:t>
      </w:r>
      <w:r>
        <w:t xml:space="preserve"> Similarly, for ethnicity, the base category is the “</w:t>
      </w:r>
      <w:r w:rsidR="001F0434">
        <w:t>O</w:t>
      </w:r>
      <w:r>
        <w:t>ther” ethnicity (including individuals of Hispanic and non-White ethnicities) and the changed category is the “</w:t>
      </w:r>
      <w:r w:rsidR="001F0434">
        <w:t>N</w:t>
      </w:r>
      <w:r>
        <w:t>on-Hispanic White” ethnicity</w:t>
      </w:r>
      <w:r w:rsidR="0046140B">
        <w:t>.</w:t>
      </w:r>
      <w:r>
        <w:t xml:space="preserve"> </w:t>
      </w:r>
      <w:r w:rsidRPr="00E74D76">
        <w:t xml:space="preserve">Table </w:t>
      </w:r>
      <w:r w:rsidR="00871C66">
        <w:t>6</w:t>
      </w:r>
      <w:r w:rsidRPr="00E74D76">
        <w:t>,</w:t>
      </w:r>
      <w:r>
        <w:t xml:space="preserve"> which provides the ATE values, shows the base category as well as the “changed category” for each determinant variable.</w:t>
      </w:r>
      <w:r w:rsidR="0067717F">
        <w:t xml:space="preserve"> As already indicated, in the case of the latent psychosocial variables, the base “category” corresponds to the minimum expected (that is, deterministically predicted) value of the variable, and the changed “category” corresponds to the maximum value of the variable.</w:t>
      </w:r>
    </w:p>
    <w:p w14:paraId="72B8A5B4" w14:textId="276C706B" w:rsidR="00806AD7" w:rsidRDefault="00806AD7" w:rsidP="00806AD7">
      <w:pPr>
        <w:ind w:firstLine="720"/>
      </w:pPr>
      <w:r>
        <w:t xml:space="preserve">For the ride-hailing frequency ordinal variable, we assign cardinal values to each of the frequency ordinal levels, and then compute the ATE of </w:t>
      </w:r>
      <w:r w:rsidR="007146A4">
        <w:t>explanatory</w:t>
      </w:r>
      <w:r>
        <w:t xml:space="preserve"> variables (in the same binary categorizations as discussed earlier for ride-hailing) on the expected total number of ride-hailing trips per month. The cardinal value assignments for the ordinal frequency levels in the model are as follows: (1) no ride-hailing trips: 0 trips in the past month, (2) 1-3 ride-hailing trips: 2 trips, (3) 4-5 ride-hailing trips: 4.5 trips, (4) 6-10 ride-hailing trips: 8 trips, and (5) more than 10 trips: 12 trips. With these assignments, the ATE corresponding to ride-hailing frequency for any determinant variable that is changed from category </w:t>
      </w:r>
      <w:r w:rsidRPr="0048393B">
        <w:rPr>
          <w:i/>
        </w:rPr>
        <w:t>k</w:t>
      </w:r>
      <w:r>
        <w:t xml:space="preserve"> to category </w:t>
      </w:r>
      <w:r w:rsidRPr="0048393B">
        <w:rPr>
          <w:i/>
        </w:rPr>
        <w:t>i</w:t>
      </w:r>
      <w:r>
        <w:t xml:space="preserve"> is computed as follows:</w:t>
      </w:r>
    </w:p>
    <w:p w14:paraId="30B9E6FF" w14:textId="77777777" w:rsidR="00806AD7" w:rsidRPr="00F14EEC" w:rsidRDefault="00806AD7" w:rsidP="00806AD7">
      <w:pPr>
        <w:tabs>
          <w:tab w:val="right" w:pos="9360"/>
        </w:tabs>
      </w:pPr>
      <w:r w:rsidRPr="004A719F">
        <w:rPr>
          <w:position w:val="-30"/>
        </w:rPr>
        <w:object w:dxaOrig="6660" w:dyaOrig="720" w14:anchorId="730BDD56">
          <v:shape id="_x0000_i1051" type="#_x0000_t75" style="width:333.5pt;height:36pt" o:ole="" o:preferrelative="f">
            <v:imagedata r:id="rId60" o:title=""/>
            <o:lock v:ext="edit" aspectratio="f"/>
          </v:shape>
          <o:OLEObject Type="Embed" ProgID="Equation.DSMT4" ShapeID="_x0000_i1051" DrawAspect="Content" ObjectID="_1620730248" r:id="rId61"/>
        </w:object>
      </w:r>
      <w:r>
        <w:t xml:space="preserve"> </w:t>
      </w:r>
      <w:r>
        <w:tab/>
        <w:t>(4)</w:t>
      </w:r>
    </w:p>
    <w:p w14:paraId="2EA71D46" w14:textId="77777777" w:rsidR="00974417" w:rsidRDefault="00806AD7" w:rsidP="003309EF">
      <w:r>
        <w:lastRenderedPageBreak/>
        <w:t xml:space="preserve">where </w:t>
      </w:r>
      <w:r w:rsidRPr="00DF75C6">
        <w:rPr>
          <w:position w:val="-12"/>
        </w:rPr>
        <w:object w:dxaOrig="260" w:dyaOrig="360" w14:anchorId="29372F71">
          <v:shape id="_x0000_i1052" type="#_x0000_t75" style="width:12.9pt;height:18.35pt" o:ole="" o:preferrelative="f">
            <v:imagedata r:id="rId62" o:title=""/>
            <o:lock v:ext="edit" aspectratio="f"/>
          </v:shape>
          <o:OLEObject Type="Embed" ProgID="Equation.DSMT4" ShapeID="_x0000_i1052" DrawAspect="Content" ObjectID="_1620730249" r:id="rId63"/>
        </w:object>
      </w:r>
      <w:r>
        <w:t xml:space="preserve"> is the cardinal value assignment corresponding to the ordinal ride-hailing frequency level </w:t>
      </w:r>
      <w:r>
        <w:rPr>
          <w:i/>
        </w:rPr>
        <w:t>h</w:t>
      </w:r>
      <w:r>
        <w:t xml:space="preserve">, and </w:t>
      </w:r>
      <w:r w:rsidRPr="004A719F">
        <w:rPr>
          <w:position w:val="-14"/>
        </w:rPr>
        <w:object w:dxaOrig="580" w:dyaOrig="380" w14:anchorId="4523DDFD">
          <v:shape id="_x0000_i1053" type="#_x0000_t75" style="width:28.55pt;height:19pt" o:ole="" o:preferrelative="f">
            <v:imagedata r:id="rId64" o:title=""/>
            <o:lock v:ext="edit" aspectratio="f"/>
          </v:shape>
          <o:OLEObject Type="Embed" ProgID="Equation.DSMT4" ShapeID="_x0000_i1053" DrawAspect="Content" ObjectID="_1620730250" r:id="rId65"/>
        </w:object>
      </w:r>
      <w:r>
        <w:t xml:space="preserve"> corresponds to the ordinal ride-hailing frequency of individual </w:t>
      </w:r>
      <w:r w:rsidRPr="0048393B">
        <w:rPr>
          <w:i/>
        </w:rPr>
        <w:t>q</w:t>
      </w:r>
      <w:r>
        <w:t xml:space="preserve"> in the 30 days prior to the survey (</w:t>
      </w:r>
      <w:r w:rsidRPr="00D77D1C">
        <w:rPr>
          <w:i/>
        </w:rPr>
        <w:t>Q</w:t>
      </w:r>
      <w:r>
        <w:t xml:space="preserve">=906). </w:t>
      </w:r>
    </w:p>
    <w:p w14:paraId="7BAD1844" w14:textId="66CD9FEB" w:rsidR="00974417" w:rsidRDefault="00974417" w:rsidP="00974417">
      <w:pPr>
        <w:ind w:firstLine="720"/>
      </w:pPr>
      <w:r>
        <w:rPr>
          <w:rFonts w:cs="Times New Roman"/>
          <w:szCs w:val="24"/>
        </w:rPr>
        <w:t>To calculate the ATE values in Equations (3) and (4)</w:t>
      </w:r>
      <w:r w:rsidRPr="00EF2DCA">
        <w:rPr>
          <w:rFonts w:cs="Times New Roman"/>
          <w:szCs w:val="24"/>
        </w:rPr>
        <w:t xml:space="preserve">, a realization of </w:t>
      </w:r>
      <w:r>
        <w:rPr>
          <w:rFonts w:cs="Times New Roman"/>
          <w:szCs w:val="24"/>
        </w:rPr>
        <w:t xml:space="preserve">random draws </w:t>
      </w:r>
      <w:r w:rsidRPr="00EF2DCA">
        <w:rPr>
          <w:rFonts w:cs="Times New Roman"/>
          <w:szCs w:val="24"/>
        </w:rPr>
        <w:t xml:space="preserve">is constructed by appropriately drawing from the </w:t>
      </w:r>
      <w:r>
        <w:rPr>
          <w:rFonts w:cs="Times New Roman"/>
          <w:szCs w:val="24"/>
        </w:rPr>
        <w:t xml:space="preserve">sampling </w:t>
      </w:r>
      <w:r w:rsidRPr="00EF2DCA">
        <w:rPr>
          <w:rFonts w:cs="Times New Roman"/>
          <w:szCs w:val="24"/>
        </w:rPr>
        <w:t xml:space="preserve">distribution </w:t>
      </w:r>
      <w:r>
        <w:rPr>
          <w:rFonts w:cs="Times New Roman"/>
          <w:szCs w:val="24"/>
        </w:rPr>
        <w:t>of all the relevant parameters</w:t>
      </w:r>
      <w:r w:rsidR="00961003">
        <w:rPr>
          <w:rFonts w:cs="Times New Roman"/>
          <w:szCs w:val="24"/>
        </w:rPr>
        <w:t xml:space="preserve"> in the model</w:t>
      </w:r>
      <w:r>
        <w:rPr>
          <w:rFonts w:cs="Times New Roman"/>
          <w:szCs w:val="24"/>
        </w:rPr>
        <w:t xml:space="preserve">. </w:t>
      </w:r>
      <w:r w:rsidR="00CF4EE9">
        <w:rPr>
          <w:rFonts w:cs="Times New Roman"/>
          <w:szCs w:val="24"/>
        </w:rPr>
        <w:t>The ATE values are computed for 10</w:t>
      </w:r>
      <w:r w:rsidR="00CF4EE9" w:rsidRPr="00EF2DCA">
        <w:rPr>
          <w:rFonts w:cs="Times New Roman"/>
          <w:szCs w:val="24"/>
        </w:rPr>
        <w:t xml:space="preserve">00 </w:t>
      </w:r>
      <w:r w:rsidR="00CF4EE9">
        <w:rPr>
          <w:rFonts w:cs="Times New Roman"/>
          <w:szCs w:val="24"/>
        </w:rPr>
        <w:t>different draws (for each individual) so that standard errors are obtained.</w:t>
      </w:r>
      <w:r w:rsidR="00CF4EE9">
        <w:t xml:space="preserve"> </w:t>
      </w:r>
      <w:r w:rsidRPr="00EF2DCA">
        <w:rPr>
          <w:rFonts w:cs="Times New Roman"/>
          <w:szCs w:val="24"/>
        </w:rPr>
        <w:t>Th</w:t>
      </w:r>
      <w:r w:rsidR="00CF4EE9">
        <w:rPr>
          <w:rFonts w:cs="Times New Roman"/>
          <w:szCs w:val="24"/>
        </w:rPr>
        <w:t>e</w:t>
      </w:r>
      <w:r w:rsidRPr="00EF2DCA">
        <w:rPr>
          <w:rFonts w:cs="Times New Roman"/>
          <w:szCs w:val="24"/>
        </w:rPr>
        <w:t xml:space="preserve"> value</w:t>
      </w:r>
      <w:r>
        <w:rPr>
          <w:rFonts w:cs="Times New Roman"/>
          <w:szCs w:val="24"/>
        </w:rPr>
        <w:t>s</w:t>
      </w:r>
      <w:r w:rsidRPr="00EF2DCA">
        <w:rPr>
          <w:rFonts w:cs="Times New Roman"/>
          <w:szCs w:val="24"/>
        </w:rPr>
        <w:t xml:space="preserve"> of </w:t>
      </w:r>
      <w:r>
        <w:rPr>
          <w:rFonts w:cs="Times New Roman"/>
          <w:szCs w:val="24"/>
        </w:rPr>
        <w:t>all</w:t>
      </w:r>
      <w:r w:rsidRPr="00EF2DCA">
        <w:rPr>
          <w:rFonts w:cs="Times New Roman"/>
          <w:szCs w:val="24"/>
        </w:rPr>
        <w:t xml:space="preserve"> dependent variables </w:t>
      </w:r>
      <w:r>
        <w:rPr>
          <w:rFonts w:cs="Times New Roman"/>
          <w:szCs w:val="24"/>
        </w:rPr>
        <w:t>are</w:t>
      </w:r>
      <w:r w:rsidRPr="00EF2DCA">
        <w:rPr>
          <w:rFonts w:cs="Times New Roman"/>
          <w:szCs w:val="24"/>
        </w:rPr>
        <w:t xml:space="preserve"> calculated appropriately by following the chain of </w:t>
      </w:r>
      <w:r>
        <w:rPr>
          <w:rFonts w:cs="Times New Roman"/>
          <w:szCs w:val="24"/>
        </w:rPr>
        <w:t>causal</w:t>
      </w:r>
      <w:r w:rsidRPr="00EF2DCA">
        <w:rPr>
          <w:rFonts w:cs="Times New Roman"/>
          <w:szCs w:val="24"/>
        </w:rPr>
        <w:t xml:space="preserve"> effects</w:t>
      </w:r>
      <w:r>
        <w:rPr>
          <w:rFonts w:cs="Times New Roman"/>
          <w:szCs w:val="24"/>
        </w:rPr>
        <w:t xml:space="preserve"> among the endogenous variables. </w:t>
      </w:r>
      <w:r>
        <w:t xml:space="preserve">All results are presented in Table </w:t>
      </w:r>
      <w:r w:rsidR="00367D19">
        <w:t>6</w:t>
      </w:r>
      <w:r>
        <w:t xml:space="preserve">. </w:t>
      </w:r>
    </w:p>
    <w:p w14:paraId="66DFA12C" w14:textId="2BC471D5" w:rsidR="00806AD7" w:rsidRDefault="00806AD7" w:rsidP="00806AD7"/>
    <w:p w14:paraId="2A4FC8C7" w14:textId="435C1F44" w:rsidR="009D185F" w:rsidRPr="009D185F" w:rsidRDefault="009D185F" w:rsidP="00871C66">
      <w:pPr>
        <w:pStyle w:val="ListParagraph"/>
        <w:keepNext/>
        <w:numPr>
          <w:ilvl w:val="2"/>
          <w:numId w:val="1"/>
        </w:numPr>
        <w:ind w:left="540" w:hanging="540"/>
        <w:rPr>
          <w:i/>
        </w:rPr>
      </w:pPr>
      <w:r w:rsidRPr="009D185F">
        <w:rPr>
          <w:i/>
        </w:rPr>
        <w:t xml:space="preserve">Results </w:t>
      </w:r>
    </w:p>
    <w:p w14:paraId="5454F0BA" w14:textId="171E1955" w:rsidR="00806AD7" w:rsidRDefault="00806AD7" w:rsidP="009D185F">
      <w:r>
        <w:t>Among the latent variables, tech-savviness seems to be the strongest predictor of private ride-hailing experience with an ATE coefficient of 0.16. That is, if 100 random individuals increased their level of tech-savviness from the minimum to the maximum</w:t>
      </w:r>
      <w:r w:rsidRPr="003F586C">
        <w:t xml:space="preserve"> </w:t>
      </w:r>
      <w:r>
        <w:t xml:space="preserve">sample value, there would be 16 more individuals with private ride-hailing experience. In terms of pooled ride-hailing experience, privacy-sensitivity appears to be the most important deterrent, which suggests the need for concerted efforts to better understand the fundamental origins of high privacy-sensitivity, especially within the wealthiest population segment and non-Hispanic Whites (because these two groups have the highest privacy sensitivity). Another important insight from our results is the negative correlation between green lifestyle propensity (GLP) and privacy sensitivity, which suggests that targeting individuals with a high GLP (women, non-millennials, and individuals with a graduate degree) and positioning information campaigns about the </w:t>
      </w:r>
      <w:r w:rsidRPr="0086329B">
        <w:t>environmental benefits</w:t>
      </w:r>
      <w:r>
        <w:t xml:space="preserve"> of pooled compared to riding alone may be effective through the low privacy sensitivity prevalent in these population subgroups. While such campaigns should immediately increase pooled ride-hailing in women and in the group of individuals with a graduate degree (the second group is already pre-disposed toward pooled ride-hailing, as we will discuss later), our results suggest that information campaigns targeted toward non-millennials (and especially the oldest group of 65+ years) would be more effective if also combined with efforts to make this group of the population more tech-savvy, as discussed next.</w:t>
      </w:r>
    </w:p>
    <w:p w14:paraId="59A3EB48" w14:textId="797CEAFC" w:rsidR="00806AD7" w:rsidRDefault="00806AD7" w:rsidP="00806AD7">
      <w:pPr>
        <w:ind w:firstLine="720"/>
      </w:pPr>
      <w:r>
        <w:t xml:space="preserve">The effects of the other latent variables in Table </w:t>
      </w:r>
      <w:r w:rsidR="00367D19">
        <w:t>6</w:t>
      </w:r>
      <w:r>
        <w:t xml:space="preserve"> indicate that tech-savviness and variety-seeking latent propensity (VSLP) have a positive impact on ride-hailing in general and pooled ride-hailing in particular. The positive impact on pooled ride-hailing adoption provides additional important policy insights. Tech-savviness levels in the population are generally increasing, thanks to information and communication technologies permeating into our routine daily lives. However, as evidenced in the results of Table 4, older and lower income segments seem to be falling behind and may need additional support to become “technologically-included”. This calls for informational campaigns targeted at these population segments on how </w:t>
      </w:r>
      <w:r>
        <w:lastRenderedPageBreak/>
        <w:t xml:space="preserve">ride-hailing services function and how to use smartphone apps. The positive impact of VSLP on pooled ride-hailing suggests that perhaps one other way to promote pooled ride-hailing would be to promote the notion of VSLP through the </w:t>
      </w:r>
      <w:r w:rsidR="00676639">
        <w:t>de</w:t>
      </w:r>
      <w:r w:rsidR="005A4D10">
        <w:t xml:space="preserve">velopment of personalized trip plans that show </w:t>
      </w:r>
      <w:r>
        <w:t xml:space="preserve">multiple travel options, including pooled ride-hailing. </w:t>
      </w:r>
    </w:p>
    <w:p w14:paraId="4C4BA5A2" w14:textId="0607EA4C" w:rsidR="00FF7BBB" w:rsidRDefault="00806AD7" w:rsidP="00806AD7">
      <w:pPr>
        <w:ind w:firstLine="720"/>
      </w:pPr>
      <w:r>
        <w:t xml:space="preserve">The ATEs corresponding to the direct impacts of socio-demographic variables and the other endogenous variables, when combined with the latent variable effects just discussed, point to millennials, individuals belonging to ethnicities other than the non-Hispanic White ethnicity with a graduate degree or higher, and those residing in urban areas as being the most likely to adopt pooled ride-hailing. In particular, the direct positive effect </w:t>
      </w:r>
      <w:r w:rsidR="007F399C">
        <w:t xml:space="preserve">of being a millennial </w:t>
      </w:r>
      <w:r>
        <w:t xml:space="preserve">on pooled ride-hailing complements the indirect positive effect through the high tech-savviness and VSLP prevalent among millennials, while the direct positive effect of being of </w:t>
      </w:r>
      <w:r w:rsidR="0067382B">
        <w:t>an</w:t>
      </w:r>
      <w:r>
        <w:t xml:space="preserve"> ethnicity other than non-Hispanic White complements the low privacy sensitivity in ethnicities other than non-Hispanic White (as discussed earlier, privacy sensitivity appears to be the most important consideration in the use of pooled ride-hailing). Similarly, the direct positive effect of being a non-rural area resident complements the indirect positive effect through the high tech-savviness, VSLP and </w:t>
      </w:r>
      <w:r w:rsidR="001F0434">
        <w:t xml:space="preserve">GLP among non-rural residents. </w:t>
      </w:r>
      <w:r>
        <w:t xml:space="preserve">The direct effects of income suggest that pooled ride-hailing is likely to be more adopted among individuals in low income households, which reinforces the positive indirect effect on pooled ride-hailing through the low privacy sensitivity in this </w:t>
      </w:r>
      <w:r w:rsidR="00330BEC">
        <w:t>low-income</w:t>
      </w:r>
      <w:r>
        <w:t xml:space="preserve"> group; however, this </w:t>
      </w:r>
      <w:r w:rsidR="00330BEC">
        <w:t>low-income</w:t>
      </w:r>
      <w:r>
        <w:t xml:space="preserve"> group also is less tech-savvy and has a low VSLP, both of which take away from the positive direct income effect. More generally, the positive direct effect of low income on pooled ride-hailing is likely a reflection of the cost of ride-hailing services, which are still high. After controlling for the latent variable effects, the number of monthly ride-hailing trips would increase by an average of 1.2 trips (over a 30-day period) if a random individual were transferred from the lowest to the highest household income category, which indicates that ride-hailing use by the overall employed population can increase quite substantially if ride-hailing costs significantly drop. In that sense, the introduction of self-driving ride-hailing fleets, which promise to reduce ride-hailing trip costs, may play an important role in increasing the demand for ride-hailing services in general, and pooled ride-hailing services in particular.</w:t>
      </w:r>
    </w:p>
    <w:p w14:paraId="0D1E03D5" w14:textId="2BDA0852" w:rsidR="00FF7BBB" w:rsidRDefault="00FF7BBB" w:rsidP="00FF7BBB">
      <w:pPr>
        <w:ind w:firstLine="720"/>
      </w:pPr>
      <w:r>
        <w:t xml:space="preserve">We also computed ATEs based on the IHDM model so that we can evaluate the magnitude of any self-selection effects of residential choice and vehicle availability on ride-hailing experience and frequency. As expected, ignoring these self-selection effects (as the IHDM model does) led to a higher magnitude of effect of urban living and vehicle availability on both private and pooled ride-hailing, as well as on ride-hailing frequency. Similarly, the effect of being a pooled ride-hailing user on ride-hailing frequency was also over-estimated in the IHDM model. However, as also anticipated in Section </w:t>
      </w:r>
      <w:r w:rsidR="00871C66">
        <w:t>2</w:t>
      </w:r>
      <w:r>
        <w:t xml:space="preserve">.2, these overestimations from the IHDM model were marginal and statistically insignificant. The important insight is that, at least at the current </w:t>
      </w:r>
      <w:r>
        <w:lastRenderedPageBreak/>
        <w:t xml:space="preserve">point in time, ride-hailing is a relatively new mobility option within the larger time scale at which residential choice and vehicle ownership decisions are made. Thus, at least in the very near term, studies may assume residential location choice and vehicle ownership decisions as being exogenous to ride-hailing choices, with reasonable confidence that, in doing so, the effects of residential location and vehicle ownership choices are still "true” causal effects. Of course, over time, this could change, with ride-hailing not just viewed as a travel mode, but as one element of a much broader lifestyle choice that includes residential choice and vehicle ownership. The analysis framework used in this study is thus very general, and can accommodate the more expansive lifestyle choice bundle context that is likely to unfold over time. </w:t>
      </w:r>
    </w:p>
    <w:p w14:paraId="1EDF86DC" w14:textId="307ABA03" w:rsidR="009E5E18" w:rsidRPr="00A36681" w:rsidRDefault="00806AD7" w:rsidP="00FF7BBB">
      <w:pPr>
        <w:ind w:firstLine="720"/>
        <w:rPr>
          <w:b/>
        </w:rPr>
      </w:pPr>
      <w:r>
        <w:t xml:space="preserve">  </w:t>
      </w:r>
    </w:p>
    <w:p w14:paraId="004570B4" w14:textId="77777777" w:rsidR="002D5965" w:rsidRDefault="00705419" w:rsidP="00871C66">
      <w:pPr>
        <w:pStyle w:val="ListParagraph"/>
        <w:keepNext/>
        <w:numPr>
          <w:ilvl w:val="0"/>
          <w:numId w:val="1"/>
        </w:numPr>
        <w:rPr>
          <w:b/>
        </w:rPr>
      </w:pPr>
      <w:r>
        <w:rPr>
          <w:b/>
        </w:rPr>
        <w:t>TRIP</w:t>
      </w:r>
      <w:r w:rsidR="00257135">
        <w:rPr>
          <w:b/>
        </w:rPr>
        <w:t>-LEVEL</w:t>
      </w:r>
      <w:r>
        <w:rPr>
          <w:b/>
        </w:rPr>
        <w:t xml:space="preserve"> CHARACTERISTICS MODEL RESULTS</w:t>
      </w:r>
    </w:p>
    <w:p w14:paraId="3DCA3C9E" w14:textId="77777777" w:rsidR="00573041" w:rsidRDefault="000E4A5C" w:rsidP="0078256E">
      <w:pPr>
        <w:keepNext/>
      </w:pPr>
      <w:r>
        <w:t xml:space="preserve">This section </w:t>
      </w:r>
      <w:r w:rsidR="0022518B">
        <w:t>analyzes</w:t>
      </w:r>
      <w:r>
        <w:t xml:space="preserve"> the model results </w:t>
      </w:r>
      <w:r w:rsidR="00257135">
        <w:t xml:space="preserve">corresponding </w:t>
      </w:r>
      <w:r>
        <w:t xml:space="preserve">to the </w:t>
      </w:r>
      <w:r w:rsidRPr="000E4A5C">
        <w:t>four dimensions of the individual’s last ride-hailing trip: purpose, time-of-day, companion</w:t>
      </w:r>
      <w:r w:rsidR="00BC0BDB">
        <w:t>ship</w:t>
      </w:r>
      <w:r w:rsidRPr="000E4A5C">
        <w:t>, and mode substituted.</w:t>
      </w:r>
      <w:r>
        <w:t xml:space="preserve"> </w:t>
      </w:r>
      <w:r w:rsidR="005E6738">
        <w:t>In this trip-level analysis, we included the latent psycho-social constructs as exogenous variables</w:t>
      </w:r>
      <w:r w:rsidR="00E320DD">
        <w:t>. However, except for the VSLP construct (and that too only for the trip purpose dimension), no other latent variable turned out to be statistically significant in exp</w:t>
      </w:r>
      <w:r w:rsidR="00040365">
        <w:t>l</w:t>
      </w:r>
      <w:r w:rsidR="00E320DD">
        <w:t>aining trip-level ride-hailing choices. This result is consistent with our notion earlier that trip-level choices regarding ride-hailing are likely more affected by unobserved factors associated with the nature of activities and trips rather than individuals’ psychological and lifestyle factors.</w:t>
      </w:r>
    </w:p>
    <w:p w14:paraId="128457A9" w14:textId="77777777" w:rsidR="00573041" w:rsidRDefault="00573041" w:rsidP="00573041">
      <w:pPr>
        <w:ind w:firstLine="720"/>
      </w:pPr>
      <w:r>
        <w:t xml:space="preserve">The trip-level model in this paper is more of an exploratory nature, and thus the variable effects on the many dimensions of ride-hailing should be viewed with much more caution than for the individual-level model of the previous section. However, there are still some important insights from the results that we briefly summarize in this section. </w:t>
      </w:r>
    </w:p>
    <w:p w14:paraId="67ECAFF5" w14:textId="4DA7FFC1" w:rsidR="00D56A18" w:rsidRPr="00B57898" w:rsidRDefault="00E320DD" w:rsidP="000E4A5C">
      <w:r>
        <w:t xml:space="preserve">  </w:t>
      </w:r>
    </w:p>
    <w:p w14:paraId="7E272806" w14:textId="77777777" w:rsidR="00ED605B" w:rsidRDefault="00257135" w:rsidP="00871C66">
      <w:pPr>
        <w:pStyle w:val="ListParagraph"/>
        <w:keepNext/>
        <w:numPr>
          <w:ilvl w:val="1"/>
          <w:numId w:val="1"/>
        </w:numPr>
        <w:rPr>
          <w:b/>
        </w:rPr>
      </w:pPr>
      <w:r>
        <w:rPr>
          <w:b/>
        </w:rPr>
        <w:t xml:space="preserve">Trip </w:t>
      </w:r>
      <w:r w:rsidR="00ED605B">
        <w:rPr>
          <w:b/>
        </w:rPr>
        <w:t>Purpose</w:t>
      </w:r>
    </w:p>
    <w:p w14:paraId="3F376CE2" w14:textId="376AC82F" w:rsidR="00BA725F" w:rsidRDefault="00320A22" w:rsidP="002835A4">
      <w:r>
        <w:t xml:space="preserve">The results of the model component representing trip purpose are presented in Table </w:t>
      </w:r>
      <w:r w:rsidR="00367D19">
        <w:t>7</w:t>
      </w:r>
      <w:r w:rsidR="008F6F0A">
        <w:t>a</w:t>
      </w:r>
      <w:r>
        <w:t>.</w:t>
      </w:r>
      <w:r w:rsidR="00013425">
        <w:t xml:space="preserve"> </w:t>
      </w:r>
      <w:r w:rsidR="00BA725F">
        <w:t>In the first category of latent constructs, only the VSLP variable influences trip purpose, with individuals with a higher VSLP more inclined to participate in recreation relative to other purposes. This is reasonable simply because recreation intrinsically captures a sense of variety and exploration relative to the other more sustenance and maintenance activity purposes.</w:t>
      </w:r>
    </w:p>
    <w:p w14:paraId="4C58F9EF" w14:textId="22CEB8A3" w:rsidR="001F54CF" w:rsidRDefault="006866E7" w:rsidP="00D804EA">
      <w:pPr>
        <w:ind w:firstLine="720"/>
      </w:pPr>
      <w:r>
        <w:t xml:space="preserve">Although women </w:t>
      </w:r>
      <w:r w:rsidR="00A4440C">
        <w:t xml:space="preserve">are </w:t>
      </w:r>
      <w:r>
        <w:t xml:space="preserve">usually </w:t>
      </w:r>
      <w:r w:rsidR="00A4440C">
        <w:t>responsible for m</w:t>
      </w:r>
      <w:r>
        <w:t>ore personal, family and shopping errands</w:t>
      </w:r>
      <w:r w:rsidR="00A4440C">
        <w:t xml:space="preserve"> than men</w:t>
      </w:r>
      <w:r w:rsidR="00554D54">
        <w:t xml:space="preserve"> (Fan, 2017)</w:t>
      </w:r>
      <w:r w:rsidR="00A4440C">
        <w:t>, b</w:t>
      </w:r>
      <w:r>
        <w:t>eing a woman is associated with a lower likelihood of using</w:t>
      </w:r>
      <w:r w:rsidR="000A68A3">
        <w:t xml:space="preserve"> ride-hailing for</w:t>
      </w:r>
      <w:r w:rsidR="00A4440C">
        <w:t xml:space="preserve"> these purposes</w:t>
      </w:r>
      <w:r w:rsidR="008A181C">
        <w:t xml:space="preserve">, probably indicating that ride-hailing is not the preferred option when it comes to </w:t>
      </w:r>
      <w:r w:rsidR="00352BE9">
        <w:t>completing these</w:t>
      </w:r>
      <w:r w:rsidR="008A181C">
        <w:t xml:space="preserve"> </w:t>
      </w:r>
      <w:r w:rsidR="000B240F">
        <w:t xml:space="preserve">routine </w:t>
      </w:r>
      <w:r w:rsidR="008A181C">
        <w:t>commitments.</w:t>
      </w:r>
      <w:r w:rsidR="00DE37D6">
        <w:t xml:space="preserve"> </w:t>
      </w:r>
      <w:r w:rsidR="00B169EE">
        <w:t xml:space="preserve">By way of summarizing the effects of </w:t>
      </w:r>
      <w:r w:rsidR="001822E1">
        <w:t xml:space="preserve">other socio-demographic effects, </w:t>
      </w:r>
      <w:r w:rsidR="001F54CF">
        <w:t xml:space="preserve">we observe </w:t>
      </w:r>
      <w:r w:rsidR="00FA6954">
        <w:t>that</w:t>
      </w:r>
      <w:r w:rsidR="00D56A18">
        <w:t xml:space="preserve"> </w:t>
      </w:r>
      <w:r w:rsidR="00B52AA9">
        <w:t xml:space="preserve">students </w:t>
      </w:r>
      <w:r w:rsidR="00B169EE">
        <w:t xml:space="preserve">and </w:t>
      </w:r>
      <w:r w:rsidR="00B52AA9">
        <w:t xml:space="preserve">those with lower vehicle availability </w:t>
      </w:r>
      <w:r w:rsidR="00B169EE">
        <w:t xml:space="preserve">are more likely </w:t>
      </w:r>
      <w:r w:rsidR="00B52AA9">
        <w:t>than their peers to have pursued errands</w:t>
      </w:r>
      <w:r w:rsidR="00B169EE">
        <w:t xml:space="preserve"> in their last ride-hailing trip rathe</w:t>
      </w:r>
      <w:r w:rsidR="00B52AA9">
        <w:t xml:space="preserve">r than </w:t>
      </w:r>
      <w:r w:rsidR="00D56A18">
        <w:t>other activity purposes</w:t>
      </w:r>
      <w:r w:rsidR="00B52AA9">
        <w:t>,</w:t>
      </w:r>
      <w:r w:rsidR="00B169EE">
        <w:t xml:space="preserve"> </w:t>
      </w:r>
      <w:r w:rsidR="00BE0936">
        <w:t>while millen</w:t>
      </w:r>
      <w:r w:rsidR="00040365">
        <w:t>n</w:t>
      </w:r>
      <w:r w:rsidR="00BE0936">
        <w:t xml:space="preserve">ials and those with lower vehicle availability are more likely to </w:t>
      </w:r>
      <w:r w:rsidR="00BE0936">
        <w:lastRenderedPageBreak/>
        <w:t xml:space="preserve">have pursued work-related travel rather than airport travel in their most recent ride-hailing trip. These results </w:t>
      </w:r>
      <w:r w:rsidR="00B169EE">
        <w:t xml:space="preserve">perhaps </w:t>
      </w:r>
      <w:r w:rsidR="00BE0936">
        <w:t xml:space="preserve">are </w:t>
      </w:r>
      <w:r w:rsidR="00B169EE">
        <w:t xml:space="preserve">indicative of the </w:t>
      </w:r>
      <w:r w:rsidR="00B52AA9">
        <w:t xml:space="preserve">use of ride-hailing as an “accessibility mobility tool” to compensate for limited access to routine activities using other mobility options. </w:t>
      </w:r>
      <w:r w:rsidR="00C70C15">
        <w:t>On the other hand,</w:t>
      </w:r>
      <w:r w:rsidR="00173473">
        <w:t xml:space="preserve"> </w:t>
      </w:r>
      <w:r w:rsidR="00FA6954">
        <w:t>millen</w:t>
      </w:r>
      <w:r w:rsidR="006D3040">
        <w:t>n</w:t>
      </w:r>
      <w:r w:rsidR="00FA6954">
        <w:t xml:space="preserve">ials and </w:t>
      </w:r>
      <w:r w:rsidR="00C12647">
        <w:t>non-Hispanic Whites</w:t>
      </w:r>
      <w:r w:rsidR="00FA6954">
        <w:t xml:space="preserve"> are most likely to have pursued recreation (relative to all other activity purposes) in their last ride-hailing trip, presumably a reflection of the use of ride-hailing here as a “convenience mobility tool”. The results also indicate that frequent ride-hailing users are more likely to have pursued </w:t>
      </w:r>
      <w:r w:rsidR="00FA6954" w:rsidRPr="002B7CAC">
        <w:t>work relative to other activity pu</w:t>
      </w:r>
      <w:r w:rsidR="00B6493A" w:rsidRPr="002B7CAC">
        <w:t>rposes</w:t>
      </w:r>
      <w:r w:rsidR="00BE0936" w:rsidRPr="002B7CAC">
        <w:t>.</w:t>
      </w:r>
      <w:r w:rsidR="00B6493A" w:rsidRPr="002B7CAC">
        <w:t xml:space="preserve"> </w:t>
      </w:r>
      <w:r w:rsidR="00F86CA8">
        <w:t>Finally, w</w:t>
      </w:r>
      <w:r w:rsidR="00D840F9">
        <w:t xml:space="preserve">e observe that </w:t>
      </w:r>
      <w:r w:rsidR="00473B4B">
        <w:t xml:space="preserve">living in more </w:t>
      </w:r>
      <w:r w:rsidR="00BE0936">
        <w:t>urbaniz</w:t>
      </w:r>
      <w:r w:rsidR="00473B4B">
        <w:t xml:space="preserve">ed areas </w:t>
      </w:r>
      <w:r w:rsidR="0028467E">
        <w:t xml:space="preserve">decreases the </w:t>
      </w:r>
      <w:r w:rsidR="005D4809">
        <w:t>probability</w:t>
      </w:r>
      <w:r w:rsidR="0028467E">
        <w:t xml:space="preserve"> of havin</w:t>
      </w:r>
      <w:r w:rsidR="005D4809">
        <w:t xml:space="preserve">g pursued other </w:t>
      </w:r>
      <w:r w:rsidR="0028467E">
        <w:t>activities compared to going to the airport</w:t>
      </w:r>
      <w:r w:rsidR="005D4809">
        <w:t xml:space="preserve"> in the last trip</w:t>
      </w:r>
      <w:r w:rsidR="0028467E">
        <w:t xml:space="preserve">. </w:t>
      </w:r>
      <w:r w:rsidR="00F86CA8">
        <w:t>Above all</w:t>
      </w:r>
      <w:r w:rsidR="0028467E">
        <w:t xml:space="preserve">, this result shows that individuals living in rural areas do not use ride-hailing to go to the airport, probably because the associated costs are still higher than parking at an airport. </w:t>
      </w:r>
    </w:p>
    <w:p w14:paraId="0C792BE1" w14:textId="77777777" w:rsidR="001F54CF" w:rsidRDefault="001F54CF" w:rsidP="00DA15DE"/>
    <w:p w14:paraId="1F95195A" w14:textId="05A85263" w:rsidR="00ED605B" w:rsidRDefault="00ED605B" w:rsidP="00871C66">
      <w:pPr>
        <w:pStyle w:val="ListParagraph"/>
        <w:numPr>
          <w:ilvl w:val="1"/>
          <w:numId w:val="1"/>
        </w:numPr>
        <w:rPr>
          <w:b/>
        </w:rPr>
      </w:pPr>
      <w:r>
        <w:rPr>
          <w:b/>
        </w:rPr>
        <w:t xml:space="preserve">Time of </w:t>
      </w:r>
      <w:r w:rsidR="008778FE">
        <w:rPr>
          <w:b/>
        </w:rPr>
        <w:t>D</w:t>
      </w:r>
      <w:r>
        <w:rPr>
          <w:b/>
        </w:rPr>
        <w:t>ay</w:t>
      </w:r>
    </w:p>
    <w:p w14:paraId="35FA5788" w14:textId="03F5AF26" w:rsidR="00E07AF1" w:rsidRDefault="001C6789" w:rsidP="00240CB4">
      <w:r>
        <w:t>The earlier ride-hailing</w:t>
      </w:r>
      <w:r w:rsidR="00365228">
        <w:t xml:space="preserve"> literature </w:t>
      </w:r>
      <w:r>
        <w:t xml:space="preserve">indicates </w:t>
      </w:r>
      <w:r w:rsidR="00633437">
        <w:t xml:space="preserve">that the peak period of ride-hailing trips </w:t>
      </w:r>
      <w:r w:rsidR="00365228">
        <w:t xml:space="preserve">occurs during the </w:t>
      </w:r>
      <w:r>
        <w:t>night</w:t>
      </w:r>
      <w:r w:rsidR="00365228">
        <w:t xml:space="preserve"> and </w:t>
      </w:r>
      <w:r w:rsidR="00633437">
        <w:t xml:space="preserve">does not coincide with </w:t>
      </w:r>
      <w:r>
        <w:t xml:space="preserve">the </w:t>
      </w:r>
      <w:r w:rsidR="00633437">
        <w:t>commuting and traffic peak periods</w:t>
      </w:r>
      <w:r w:rsidR="00246D8F">
        <w:t xml:space="preserve"> (see</w:t>
      </w:r>
      <w:r w:rsidR="00633437">
        <w:t xml:space="preserve"> </w:t>
      </w:r>
      <w:r w:rsidR="00232A83">
        <w:t>Kooti et al., 2017</w:t>
      </w:r>
      <w:r w:rsidR="005B2012">
        <w:t xml:space="preserve">; </w:t>
      </w:r>
      <w:r w:rsidR="005B2012" w:rsidRPr="005B2012">
        <w:rPr>
          <w:rFonts w:cs="Times New Roman"/>
          <w:color w:val="222222"/>
          <w:szCs w:val="24"/>
          <w:shd w:val="clear" w:color="auto" w:fill="FFFFFF"/>
        </w:rPr>
        <w:t>Komanduri</w:t>
      </w:r>
      <w:r w:rsidR="005B2012">
        <w:rPr>
          <w:rFonts w:cs="Times New Roman"/>
          <w:color w:val="222222"/>
          <w:szCs w:val="24"/>
          <w:shd w:val="clear" w:color="auto" w:fill="FFFFFF"/>
        </w:rPr>
        <w:t xml:space="preserve"> et al., 2018</w:t>
      </w:r>
      <w:r w:rsidR="00633437">
        <w:t xml:space="preserve">). </w:t>
      </w:r>
      <w:r w:rsidR="00246D8F">
        <w:t xml:space="preserve">However, our </w:t>
      </w:r>
      <w:r>
        <w:t>descriptive statistics indicate otherwise; as di</w:t>
      </w:r>
      <w:r w:rsidR="001F6061">
        <w:t>s</w:t>
      </w:r>
      <w:r>
        <w:t xml:space="preserve">cussed earlier in </w:t>
      </w:r>
      <w:r w:rsidRPr="005139FB">
        <w:t xml:space="preserve">Section </w:t>
      </w:r>
      <w:r w:rsidR="00EC637F" w:rsidRPr="005139FB">
        <w:t>2.</w:t>
      </w:r>
      <w:r w:rsidR="00871C66">
        <w:t>4</w:t>
      </w:r>
      <w:r w:rsidRPr="005139FB">
        <w:t>,</w:t>
      </w:r>
      <w:r w:rsidRPr="00EC637F">
        <w:t xml:space="preserve"> the</w:t>
      </w:r>
      <w:r>
        <w:t xml:space="preserve"> evening period (which includes the afternoon commute period) is when the</w:t>
      </w:r>
      <w:r w:rsidR="001F6061">
        <w:t xml:space="preserve"> overall</w:t>
      </w:r>
      <w:r>
        <w:t xml:space="preserve"> intensity of ride-hailing activity is highest. </w:t>
      </w:r>
      <w:bookmarkStart w:id="3" w:name="_Hlk2344632"/>
      <w:r w:rsidR="00473B4B">
        <w:t xml:space="preserve">But </w:t>
      </w:r>
      <w:r w:rsidR="0092152C">
        <w:t xml:space="preserve">the model results </w:t>
      </w:r>
      <w:r w:rsidR="00E33179">
        <w:t xml:space="preserve">in Table </w:t>
      </w:r>
      <w:r w:rsidR="00871C66">
        <w:t>7</w:t>
      </w:r>
      <w:r w:rsidR="00E33179">
        <w:t xml:space="preserve">a </w:t>
      </w:r>
      <w:r w:rsidR="0092152C">
        <w:t xml:space="preserve">show that </w:t>
      </w:r>
      <w:r>
        <w:t xml:space="preserve">there are variations across individuals regarding when they are most likely to make a ride-hailing trip (at least based on their most recent trip). </w:t>
      </w:r>
      <w:bookmarkEnd w:id="3"/>
      <w:r w:rsidR="00E17C4B">
        <w:t>Not surprisingly, millen</w:t>
      </w:r>
      <w:r w:rsidR="006D3040">
        <w:t>n</w:t>
      </w:r>
      <w:r w:rsidR="00E17C4B">
        <w:t>ials</w:t>
      </w:r>
      <w:r>
        <w:t xml:space="preserve"> (18-34 years of age) make most of their ride-hailing trips during the night period, consistent with this group more likely to socialize during </w:t>
      </w:r>
      <w:r w:rsidR="002F6471">
        <w:t>this</w:t>
      </w:r>
      <w:r>
        <w:t xml:space="preserve"> period (</w:t>
      </w:r>
      <w:r w:rsidRPr="00EC637F">
        <w:t xml:space="preserve">see </w:t>
      </w:r>
      <w:r w:rsidR="00EC637F" w:rsidRPr="00EC637F">
        <w:t>Garikapati et al., 2016</w:t>
      </w:r>
      <w:r w:rsidRPr="00EC637F">
        <w:t>).</w:t>
      </w:r>
      <w:r>
        <w:t xml:space="preserve"> </w:t>
      </w:r>
      <w:r w:rsidR="0028615C">
        <w:t>High-income</w:t>
      </w:r>
      <w:r>
        <w:t xml:space="preserve"> individuals, o</w:t>
      </w:r>
      <w:r w:rsidR="001F6061">
        <w:t>n</w:t>
      </w:r>
      <w:r>
        <w:t xml:space="preserve"> the other hand, are the least likely to ride-hail during the </w:t>
      </w:r>
      <w:r w:rsidR="00473B4B">
        <w:t xml:space="preserve">evening and </w:t>
      </w:r>
      <w:r>
        <w:t>night period</w:t>
      </w:r>
      <w:r w:rsidR="00473B4B">
        <w:t>s</w:t>
      </w:r>
      <w:r>
        <w:t>. I</w:t>
      </w:r>
      <w:r w:rsidR="00633437">
        <w:t xml:space="preserve">ndividuals living in single-worker </w:t>
      </w:r>
      <w:r w:rsidR="00473B4B">
        <w:t xml:space="preserve">multi-person </w:t>
      </w:r>
      <w:r w:rsidR="00633437">
        <w:t>households</w:t>
      </w:r>
      <w:r>
        <w:t xml:space="preserve"> </w:t>
      </w:r>
      <w:r w:rsidR="001F6061">
        <w:t xml:space="preserve">(relative to those in other households) </w:t>
      </w:r>
      <w:r>
        <w:t>tend to ride-hai</w:t>
      </w:r>
      <w:r w:rsidR="001F6061">
        <w:t>l during the morning and evening</w:t>
      </w:r>
      <w:r>
        <w:t xml:space="preserve"> periods</w:t>
      </w:r>
      <w:r w:rsidR="001F6061">
        <w:t xml:space="preserve">, while those residing in </w:t>
      </w:r>
      <w:r w:rsidR="002409B2">
        <w:t xml:space="preserve">suburbs and </w:t>
      </w:r>
      <w:r w:rsidR="00473B4B">
        <w:t>urban</w:t>
      </w:r>
      <w:r w:rsidR="002409B2">
        <w:t xml:space="preserve"> areas </w:t>
      </w:r>
      <w:r w:rsidR="001F6061">
        <w:t xml:space="preserve">(relative to those residing in rural areas) appear to ride-hail more </w:t>
      </w:r>
      <w:r w:rsidR="002409B2">
        <w:t xml:space="preserve">during the </w:t>
      </w:r>
      <w:r w:rsidR="001F6061">
        <w:t xml:space="preserve">morning and mid-day periods, presumably due to the convenience to get to work by ride-hailing in dense areas. Frequent ride-hailing users appear to do so during the daytime. On the other hand, individuals who ride-hail during the nights appear to </w:t>
      </w:r>
      <w:r w:rsidR="008B6FB0">
        <w:t xml:space="preserve">be from households with high vehicle availability and do so primarily for recreation, suggesting that these effects may be related to not wanting to drink and drive. </w:t>
      </w:r>
    </w:p>
    <w:p w14:paraId="5FFCBAF8" w14:textId="77777777" w:rsidR="008B6FB0" w:rsidRDefault="008B6FB0" w:rsidP="00240CB4"/>
    <w:p w14:paraId="7D9DAFA1" w14:textId="77777777" w:rsidR="00ED605B" w:rsidRDefault="00ED605B" w:rsidP="00871C66">
      <w:pPr>
        <w:pStyle w:val="ListParagraph"/>
        <w:numPr>
          <w:ilvl w:val="1"/>
          <w:numId w:val="1"/>
        </w:numPr>
        <w:rPr>
          <w:b/>
        </w:rPr>
      </w:pPr>
      <w:r>
        <w:rPr>
          <w:b/>
        </w:rPr>
        <w:t>Companion</w:t>
      </w:r>
      <w:r w:rsidR="007F0144">
        <w:rPr>
          <w:b/>
        </w:rPr>
        <w:t>ship</w:t>
      </w:r>
    </w:p>
    <w:p w14:paraId="2567B724" w14:textId="168E8E0A" w:rsidR="00071DD4" w:rsidRDefault="00D630FD" w:rsidP="00BE48C9">
      <w:r>
        <w:t xml:space="preserve">The trip-level companionship results in </w:t>
      </w:r>
      <w:r w:rsidR="00274F8C">
        <w:t xml:space="preserve">Table </w:t>
      </w:r>
      <w:r w:rsidR="00367D19">
        <w:t>7</w:t>
      </w:r>
      <w:r w:rsidR="008F6F0A">
        <w:t>b</w:t>
      </w:r>
      <w:r w:rsidR="00274F8C">
        <w:t xml:space="preserve"> </w:t>
      </w:r>
      <w:r>
        <w:t xml:space="preserve">reveal some similarities with the individual-level pooled ride-hailing results, as one would expect. For example, middle-aged individuals are more likely than their peers to have had a companion on their most recent ride-hailing trip, while non-Hispanic Whites are more likely to have traveled alone. </w:t>
      </w:r>
      <w:r w:rsidR="006D1101">
        <w:t xml:space="preserve">These are consistent with the results </w:t>
      </w:r>
      <w:r w:rsidR="006D1101">
        <w:lastRenderedPageBreak/>
        <w:t>for pooled ride</w:t>
      </w:r>
      <w:r w:rsidR="006D3040">
        <w:t>-</w:t>
      </w:r>
      <w:r w:rsidR="006D1101">
        <w:t>hailing experience. Interestingly, a highly educated individual is more likely to have traveled alone during her/his last ride-hailing trip, though highly educated individuals are in general more likely to have had a pooled ridesharing experience. This perhaps is simply a reflection of highly educated individuals using a combination of private and pooled modes as they see best fit for specific trips, even if they ar</w:t>
      </w:r>
      <w:r w:rsidR="006D3040">
        <w:t>e more open to pooled ride-hailing in</w:t>
      </w:r>
      <w:r w:rsidR="006D1101">
        <w:t xml:space="preserve"> general. </w:t>
      </w:r>
      <w:r w:rsidR="009A4858">
        <w:t xml:space="preserve">Part-time employees </w:t>
      </w:r>
      <w:r w:rsidR="00473B4B">
        <w:t xml:space="preserve">and individuals from low-income households </w:t>
      </w:r>
      <w:r w:rsidR="009A4858">
        <w:t xml:space="preserve">are more likely than </w:t>
      </w:r>
      <w:r w:rsidR="00E17C4B">
        <w:t>their</w:t>
      </w:r>
      <w:r w:rsidR="00473B4B">
        <w:t xml:space="preserve"> peers </w:t>
      </w:r>
      <w:r w:rsidR="009A4858">
        <w:t xml:space="preserve">to have traveled with others. </w:t>
      </w:r>
      <w:r w:rsidR="00BE48C9">
        <w:t xml:space="preserve">As expected, </w:t>
      </w:r>
      <w:r w:rsidR="009F6805">
        <w:t>individuals who live alone</w:t>
      </w:r>
      <w:r w:rsidR="00BE48C9">
        <w:t xml:space="preserve">, </w:t>
      </w:r>
      <w:r w:rsidR="006D1101">
        <w:t xml:space="preserve">and individuals </w:t>
      </w:r>
      <w:r w:rsidR="009F6805">
        <w:t xml:space="preserve">running errands </w:t>
      </w:r>
      <w:r w:rsidR="00BE48C9">
        <w:t xml:space="preserve">or going to work </w:t>
      </w:r>
      <w:r w:rsidR="009F6805">
        <w:t xml:space="preserve">are more likely to </w:t>
      </w:r>
      <w:r w:rsidR="006D1101">
        <w:t xml:space="preserve">have traveled </w:t>
      </w:r>
      <w:r w:rsidR="009F6805">
        <w:t xml:space="preserve">alone </w:t>
      </w:r>
      <w:r w:rsidR="006D1101">
        <w:t xml:space="preserve">during </w:t>
      </w:r>
      <w:r w:rsidR="009F6805">
        <w:t>the</w:t>
      </w:r>
      <w:r w:rsidR="006D1101">
        <w:t>ir previous</w:t>
      </w:r>
      <w:r w:rsidR="00F86CA8">
        <w:t xml:space="preserve"> ride-hailing</w:t>
      </w:r>
      <w:r w:rsidR="009F6805">
        <w:t xml:space="preserve"> trip</w:t>
      </w:r>
      <w:r w:rsidR="00F86CA8">
        <w:t>, while</w:t>
      </w:r>
      <w:r w:rsidR="00BE48C9">
        <w:t xml:space="preserve"> </w:t>
      </w:r>
      <w:r w:rsidR="009A4858">
        <w:t xml:space="preserve">individuals pursuing recreation are more likely to have traveled with others during their previous ride-hailing trip. </w:t>
      </w:r>
      <w:r w:rsidR="00BE48C9">
        <w:t xml:space="preserve">Finally, </w:t>
      </w:r>
      <w:r w:rsidR="009A4858">
        <w:t xml:space="preserve">ride-hailing trips made during the </w:t>
      </w:r>
      <w:r w:rsidR="00907154">
        <w:t xml:space="preserve">morning peak serve mostly individuals traveling alone, which may have a negative implication </w:t>
      </w:r>
      <w:r w:rsidR="009A4858">
        <w:t>on</w:t>
      </w:r>
      <w:r w:rsidR="00907154">
        <w:t xml:space="preserve"> traffic</w:t>
      </w:r>
      <w:r w:rsidR="009A4858">
        <w:t xml:space="preserve"> congestion during this period</w:t>
      </w:r>
      <w:r w:rsidR="00907154">
        <w:t>.</w:t>
      </w:r>
      <w:r w:rsidR="009F6805">
        <w:t xml:space="preserve"> </w:t>
      </w:r>
    </w:p>
    <w:p w14:paraId="16E9991A" w14:textId="77777777" w:rsidR="009F6805" w:rsidRDefault="009F6805" w:rsidP="000A7E70"/>
    <w:p w14:paraId="1AA336B1" w14:textId="783E7F19" w:rsidR="00ED605B" w:rsidRDefault="00ED605B" w:rsidP="00871C66">
      <w:pPr>
        <w:pStyle w:val="ListParagraph"/>
        <w:numPr>
          <w:ilvl w:val="1"/>
          <w:numId w:val="1"/>
        </w:numPr>
        <w:rPr>
          <w:b/>
        </w:rPr>
      </w:pPr>
      <w:r>
        <w:rPr>
          <w:b/>
        </w:rPr>
        <w:t xml:space="preserve">Mode </w:t>
      </w:r>
      <w:r w:rsidR="008778FE">
        <w:rPr>
          <w:b/>
        </w:rPr>
        <w:t>S</w:t>
      </w:r>
      <w:r>
        <w:rPr>
          <w:b/>
        </w:rPr>
        <w:t>ubstituted</w:t>
      </w:r>
      <w:r w:rsidR="008B218C">
        <w:rPr>
          <w:b/>
        </w:rPr>
        <w:t xml:space="preserve"> by </w:t>
      </w:r>
      <w:r w:rsidR="008778FE">
        <w:rPr>
          <w:b/>
        </w:rPr>
        <w:t>R</w:t>
      </w:r>
      <w:r w:rsidR="008B218C">
        <w:rPr>
          <w:b/>
        </w:rPr>
        <w:t>ide-</w:t>
      </w:r>
      <w:r w:rsidR="008778FE">
        <w:rPr>
          <w:b/>
        </w:rPr>
        <w:t>H</w:t>
      </w:r>
      <w:r w:rsidR="008B218C">
        <w:rPr>
          <w:b/>
        </w:rPr>
        <w:t>ailing</w:t>
      </w:r>
    </w:p>
    <w:p w14:paraId="7E1D3C60" w14:textId="75EBDCBD" w:rsidR="00DB224E" w:rsidRDefault="008B218C" w:rsidP="00AB6938">
      <w:r>
        <w:t xml:space="preserve">The results for this component of the trip-level model are presented in the last column of Table </w:t>
      </w:r>
      <w:r w:rsidR="00367D19">
        <w:t>7</w:t>
      </w:r>
      <w:r w:rsidR="008F6F0A">
        <w:t>b</w:t>
      </w:r>
      <w:r>
        <w:t xml:space="preserve">. </w:t>
      </w:r>
      <w:r w:rsidR="00DB224E">
        <w:t xml:space="preserve">The base category is </w:t>
      </w:r>
      <w:r w:rsidR="00593D45">
        <w:t xml:space="preserve">the </w:t>
      </w:r>
      <w:r w:rsidR="00DB224E">
        <w:t xml:space="preserve">“private car”. </w:t>
      </w:r>
      <w:r w:rsidR="005A23F9">
        <w:t>W</w:t>
      </w:r>
      <w:r>
        <w:t>omen</w:t>
      </w:r>
      <w:r w:rsidR="002A60C0">
        <w:t>, more than men,</w:t>
      </w:r>
      <w:r>
        <w:t xml:space="preserve"> </w:t>
      </w:r>
      <w:r w:rsidR="005A23F9">
        <w:t xml:space="preserve">appear to </w:t>
      </w:r>
      <w:r w:rsidR="007B2DBD">
        <w:t>substitute active travel or transit usage by ride-hailing</w:t>
      </w:r>
      <w:r w:rsidR="002A60C0">
        <w:t xml:space="preserve"> (at least based on the most recent ride</w:t>
      </w:r>
      <w:r w:rsidR="00AB6938">
        <w:t>-</w:t>
      </w:r>
      <w:r w:rsidR="002A60C0">
        <w:t>hailing trip).</w:t>
      </w:r>
      <w:r w:rsidR="007B2DBD">
        <w:t xml:space="preserve"> </w:t>
      </w:r>
      <w:r>
        <w:t xml:space="preserve">Non-Hispanic Whites, </w:t>
      </w:r>
      <w:r w:rsidR="00593D45">
        <w:t xml:space="preserve">those with graduate-level education, </w:t>
      </w:r>
      <w:r>
        <w:t>students</w:t>
      </w:r>
      <w:r w:rsidR="00E17C4B">
        <w:t>,</w:t>
      </w:r>
      <w:r>
        <w:t xml:space="preserve"> </w:t>
      </w:r>
      <w:r w:rsidR="00975DDB">
        <w:t xml:space="preserve">part-time employees, </w:t>
      </w:r>
      <w:r>
        <w:t>and individuals living in medium and high income households</w:t>
      </w:r>
      <w:r w:rsidR="005A23F9">
        <w:t xml:space="preserve"> have a higher tendency tha</w:t>
      </w:r>
      <w:r w:rsidR="00C801A7">
        <w:t>n</w:t>
      </w:r>
      <w:r w:rsidR="005A23F9">
        <w:t xml:space="preserve"> their peers to </w:t>
      </w:r>
      <w:r w:rsidR="00975DDB">
        <w:t>substitute</w:t>
      </w:r>
      <w:r>
        <w:t xml:space="preserve"> ride-hailing for taxi trips</w:t>
      </w:r>
      <w:r w:rsidR="00975DDB">
        <w:t>, while millen</w:t>
      </w:r>
      <w:r w:rsidR="008616BC">
        <w:t>n</w:t>
      </w:r>
      <w:r w:rsidR="00975DDB">
        <w:t>ials, self-employed individuals, individuals living in non-rural locations, individuals in households with one</w:t>
      </w:r>
      <w:r w:rsidR="00E17C4B">
        <w:t xml:space="preserve"> vehicle per worker, </w:t>
      </w:r>
      <w:r w:rsidR="00975DDB">
        <w:t>and individ</w:t>
      </w:r>
      <w:r w:rsidR="00DB224E">
        <w:t>uals</w:t>
      </w:r>
      <w:r w:rsidR="00E17C4B">
        <w:t xml:space="preserve"> making their trip in the eveni</w:t>
      </w:r>
      <w:r w:rsidR="00DB224E">
        <w:t>n</w:t>
      </w:r>
      <w:r w:rsidR="00E17C4B">
        <w:t>g</w:t>
      </w:r>
      <w:r w:rsidR="00DB224E">
        <w:t xml:space="preserve"> period</w:t>
      </w:r>
      <w:r w:rsidR="00975DDB">
        <w:t xml:space="preserve"> are the least likely to substitute ride-hailing for taxi trips. </w:t>
      </w:r>
      <w:r w:rsidR="00C801A7">
        <w:t xml:space="preserve">In the context of </w:t>
      </w:r>
      <w:r w:rsidR="005A23F9">
        <w:t>active/</w:t>
      </w:r>
      <w:r w:rsidR="00975DDB">
        <w:t>public transportation</w:t>
      </w:r>
      <w:r w:rsidR="005A23F9">
        <w:t xml:space="preserve"> </w:t>
      </w:r>
      <w:r w:rsidR="00E17C4B">
        <w:t xml:space="preserve">(APT) </w:t>
      </w:r>
      <w:r w:rsidR="005A23F9">
        <w:t>modes</w:t>
      </w:r>
      <w:r w:rsidR="00975DDB">
        <w:t xml:space="preserve">, individuals younger than 65 years of age, </w:t>
      </w:r>
      <w:r w:rsidR="008457F1">
        <w:t xml:space="preserve">those with a bachelor’s degree or higher, </w:t>
      </w:r>
      <w:r w:rsidR="00C801A7">
        <w:t xml:space="preserve">and </w:t>
      </w:r>
      <w:r w:rsidR="006A19B1">
        <w:t>individuals with experience with pooled ride-hailing</w:t>
      </w:r>
      <w:r w:rsidR="00E17C4B">
        <w:t xml:space="preserve"> tend to replace APT</w:t>
      </w:r>
      <w:r w:rsidR="00C801A7">
        <w:t xml:space="preserve"> modes with ride-hailing</w:t>
      </w:r>
      <w:r w:rsidR="004F08A7">
        <w:t xml:space="preserve"> (see also Alemi et al., 201</w:t>
      </w:r>
      <w:r w:rsidR="00F80571">
        <w:t>8b</w:t>
      </w:r>
      <w:r w:rsidR="004F08A7">
        <w:t>)</w:t>
      </w:r>
      <w:r w:rsidR="006A19B1">
        <w:t xml:space="preserve">, </w:t>
      </w:r>
      <w:r w:rsidR="00C801A7">
        <w:t xml:space="preserve">while high income individuals and frequent ride-hailing users are not very likely to replace their </w:t>
      </w:r>
      <w:r w:rsidR="002A60C0">
        <w:t>APT</w:t>
      </w:r>
      <w:r w:rsidR="00C801A7">
        <w:t xml:space="preserve"> travel with ride-hailing. Obviously, while one can explain these results in more ways than one, there is </w:t>
      </w:r>
      <w:r w:rsidR="00DB224E">
        <w:t xml:space="preserve">a </w:t>
      </w:r>
      <w:r w:rsidR="00C801A7">
        <w:t xml:space="preserve">clear need to investigate these effects in much more detail in future studies within the context of overall activity-travel patterns. </w:t>
      </w:r>
      <w:r w:rsidR="00BD5816">
        <w:t>However,</w:t>
      </w:r>
      <w:r w:rsidR="00C801A7">
        <w:t xml:space="preserve"> the result regarding age effects does suggest that one potential detrimental effect of ride-hailing is a reduction in public health benefits, due to the substitution of active forms of transportation by ride-hailing among the substantial fraction of the population that is below the age of 65 years. </w:t>
      </w:r>
    </w:p>
    <w:p w14:paraId="42A228F0" w14:textId="13BE2AD5" w:rsidR="00A77007" w:rsidRDefault="00DB224E" w:rsidP="00A464FA">
      <w:pPr>
        <w:ind w:firstLine="720"/>
      </w:pPr>
      <w:r>
        <w:t xml:space="preserve">The last sub-column of the “Mode substituted by ride-hailing” corresponds to “no trips”, which essentially implies that ride-hailing generated a new trip that would not have occurred otherwise. The demographic effects specific to this alternative indicate that young adults (18-44 years of age) are more likely than their older peers to have generated a new trip in their most recent ride-hailing experience, although it is more likely that </w:t>
      </w:r>
      <w:r w:rsidR="00872F6A">
        <w:t xml:space="preserve">these adults (relative to senior </w:t>
      </w:r>
      <w:r w:rsidR="00872F6A">
        <w:lastRenderedPageBreak/>
        <w:t xml:space="preserve">adults over the age of 65 years) switched to ride-hailing from active/public transportation. </w:t>
      </w:r>
      <w:r>
        <w:t xml:space="preserve"> </w:t>
      </w:r>
      <w:r w:rsidR="00872F6A">
        <w:t xml:space="preserve">Also, </w:t>
      </w:r>
      <w:r w:rsidR="0014230E">
        <w:t>part</w:t>
      </w:r>
      <w:r w:rsidR="008457F1">
        <w:t>-time employees</w:t>
      </w:r>
      <w:r w:rsidR="0014230E">
        <w:t>, self-employed individuals</w:t>
      </w:r>
      <w:r w:rsidR="008457F1">
        <w:t xml:space="preserve"> and </w:t>
      </w:r>
      <w:r w:rsidR="0014230E">
        <w:t>those that live</w:t>
      </w:r>
      <w:r w:rsidR="00872F6A">
        <w:t xml:space="preserve"> in multi-worker households appear to generate new ride</w:t>
      </w:r>
      <w:r w:rsidR="008616BC">
        <w:t>-</w:t>
      </w:r>
      <w:r w:rsidR="00872F6A">
        <w:t xml:space="preserve">hailing trips more so than individuals in other households, perhaps a reflection of the added convenience to pursue activities </w:t>
      </w:r>
      <w:r w:rsidR="008457F1">
        <w:t xml:space="preserve">due to </w:t>
      </w:r>
      <w:r w:rsidR="00872F6A">
        <w:t xml:space="preserve">ride-hailing. </w:t>
      </w:r>
      <w:r w:rsidR="00FC3C42">
        <w:t xml:space="preserve">New trips are also more likely to occur </w:t>
      </w:r>
      <w:r w:rsidR="00872F6A">
        <w:t xml:space="preserve">among </w:t>
      </w:r>
      <w:r w:rsidR="00BC5819">
        <w:t>those</w:t>
      </w:r>
      <w:r w:rsidR="00FC3C42">
        <w:t xml:space="preserve"> living in </w:t>
      </w:r>
      <w:r w:rsidR="008457F1">
        <w:t>non-rural</w:t>
      </w:r>
      <w:r w:rsidR="00FC3C42">
        <w:t xml:space="preserve"> areas</w:t>
      </w:r>
      <w:r w:rsidR="00F86CA8">
        <w:t xml:space="preserve">. </w:t>
      </w:r>
      <w:r w:rsidR="00BB51F4">
        <w:t xml:space="preserve">The </w:t>
      </w:r>
      <w:r w:rsidR="00872F6A">
        <w:t>generation</w:t>
      </w:r>
      <w:r w:rsidR="00BB51F4">
        <w:t xml:space="preserve"> of </w:t>
      </w:r>
      <w:r w:rsidR="00872F6A">
        <w:t xml:space="preserve">new </w:t>
      </w:r>
      <w:r w:rsidR="00BB51F4">
        <w:t xml:space="preserve">trips </w:t>
      </w:r>
      <w:r w:rsidR="00F86CA8">
        <w:t>in dense areas can</w:t>
      </w:r>
      <w:r w:rsidR="00BB51F4">
        <w:t>,</w:t>
      </w:r>
      <w:r w:rsidR="00F86CA8">
        <w:t xml:space="preserve"> </w:t>
      </w:r>
      <w:r w:rsidR="00BB51F4">
        <w:t>in</w:t>
      </w:r>
      <w:r w:rsidR="00F86CA8">
        <w:t xml:space="preserve"> </w:t>
      </w:r>
      <w:r w:rsidR="00872F6A">
        <w:t xml:space="preserve">the </w:t>
      </w:r>
      <w:r w:rsidR="00FC3C42">
        <w:t>long term</w:t>
      </w:r>
      <w:r w:rsidR="00BB51F4">
        <w:t xml:space="preserve">, </w:t>
      </w:r>
      <w:r w:rsidR="00872F6A">
        <w:t xml:space="preserve">intensify traffic </w:t>
      </w:r>
      <w:r w:rsidR="00BB51F4">
        <w:t xml:space="preserve">congestion </w:t>
      </w:r>
      <w:r w:rsidR="00872F6A">
        <w:t xml:space="preserve">problems </w:t>
      </w:r>
      <w:r w:rsidR="00BB51F4">
        <w:t xml:space="preserve">due </w:t>
      </w:r>
      <w:r w:rsidR="00872F6A">
        <w:t xml:space="preserve">to </w:t>
      </w:r>
      <w:r w:rsidR="00FC3C42">
        <w:t xml:space="preserve">increased automobile usage. </w:t>
      </w:r>
      <w:r w:rsidR="004B1DF2">
        <w:t xml:space="preserve">The new </w:t>
      </w:r>
      <w:r w:rsidR="00872F6A">
        <w:t xml:space="preserve">generated </w:t>
      </w:r>
      <w:r w:rsidR="004B1DF2">
        <w:t xml:space="preserve">trips seem to be </w:t>
      </w:r>
      <w:r w:rsidR="00872F6A">
        <w:t xml:space="preserve">for the purposes of </w:t>
      </w:r>
      <w:r w:rsidR="004B1DF2">
        <w:t xml:space="preserve">running errands and pursuing recreational activities, and </w:t>
      </w:r>
      <w:r w:rsidR="00872F6A">
        <w:t>are more likely to happen during the non-</w:t>
      </w:r>
      <w:r w:rsidR="00E17C4B">
        <w:t xml:space="preserve">evening periods. The implied newly generated ride-hailing trips during the </w:t>
      </w:r>
      <w:r w:rsidR="00872F6A">
        <w:t xml:space="preserve">morning commute needs to be investigated more carefully, because </w:t>
      </w:r>
      <w:r w:rsidR="00E17C4B">
        <w:t xml:space="preserve">the </w:t>
      </w:r>
      <w:r w:rsidR="00872F6A">
        <w:t>trips may add to traff</w:t>
      </w:r>
      <w:r w:rsidR="00E17C4B">
        <w:t xml:space="preserve">ic congestion </w:t>
      </w:r>
      <w:r w:rsidR="004F08A7">
        <w:t>as well as traffic crashes (the morning commute period is a traffic crash-pron</w:t>
      </w:r>
      <w:r w:rsidR="008616BC">
        <w:t xml:space="preserve">e period of the day due the </w:t>
      </w:r>
      <w:r w:rsidR="004F08A7">
        <w:t>combination of traffic congestion as well as the need to get to work on-time, which leads to aggressive driving during this period; see Paleti et al., 201</w:t>
      </w:r>
      <w:r w:rsidR="00D818AB">
        <w:t>0</w:t>
      </w:r>
      <w:r w:rsidR="004F08A7">
        <w:t xml:space="preserve">). </w:t>
      </w:r>
    </w:p>
    <w:p w14:paraId="6209458B" w14:textId="77777777" w:rsidR="00A77007" w:rsidRDefault="00A77007" w:rsidP="00A77007">
      <w:pPr>
        <w:pStyle w:val="ListParagraph"/>
      </w:pPr>
    </w:p>
    <w:p w14:paraId="18BDD4D8" w14:textId="0CA526B9" w:rsidR="00C42836" w:rsidRDefault="00365228" w:rsidP="00871C66">
      <w:pPr>
        <w:pStyle w:val="ListParagraph"/>
        <w:numPr>
          <w:ilvl w:val="1"/>
          <w:numId w:val="1"/>
        </w:numPr>
        <w:tabs>
          <w:tab w:val="left" w:pos="360"/>
        </w:tabs>
        <w:rPr>
          <w:b/>
        </w:rPr>
      </w:pPr>
      <w:r>
        <w:rPr>
          <w:b/>
        </w:rPr>
        <w:t xml:space="preserve">Dependence between </w:t>
      </w:r>
      <w:r w:rsidR="008778FE">
        <w:rPr>
          <w:b/>
        </w:rPr>
        <w:t>A</w:t>
      </w:r>
      <w:r>
        <w:rPr>
          <w:b/>
        </w:rPr>
        <w:t xml:space="preserve">lternatives and </w:t>
      </w:r>
      <w:r w:rsidR="008778FE">
        <w:rPr>
          <w:b/>
        </w:rPr>
        <w:t>C</w:t>
      </w:r>
      <w:r w:rsidR="00A63E3B">
        <w:rPr>
          <w:b/>
        </w:rPr>
        <w:t>hoice-</w:t>
      </w:r>
      <w:r w:rsidR="008778FE">
        <w:rPr>
          <w:b/>
        </w:rPr>
        <w:t>D</w:t>
      </w:r>
      <w:r>
        <w:rPr>
          <w:b/>
        </w:rPr>
        <w:t>imensions</w:t>
      </w:r>
    </w:p>
    <w:p w14:paraId="692CFC04" w14:textId="2DFDC744" w:rsidR="006C040B" w:rsidRDefault="00A26918" w:rsidP="008B2CE5">
      <w:r w:rsidRPr="00624800">
        <w:t xml:space="preserve">The </w:t>
      </w:r>
      <w:r w:rsidR="00206BE5" w:rsidRPr="00624800">
        <w:t xml:space="preserve">estimated </w:t>
      </w:r>
      <w:r w:rsidRPr="00624800">
        <w:t>covariance ma</w:t>
      </w:r>
      <w:r w:rsidR="00206BE5" w:rsidRPr="00624800">
        <w:t xml:space="preserve">trix </w:t>
      </w:r>
      <w:r w:rsidR="004D2DBF">
        <w:t xml:space="preserve">(presented </w:t>
      </w:r>
      <w:r w:rsidR="00E34A16">
        <w:t>as an addendum in Appendix B</w:t>
      </w:r>
      <w:r w:rsidR="00EB67A1">
        <w:t>, Table B2</w:t>
      </w:r>
      <w:r w:rsidR="00E34A16">
        <w:t xml:space="preserve">) </w:t>
      </w:r>
      <w:r w:rsidR="00206BE5" w:rsidRPr="00624800">
        <w:t xml:space="preserve">corresponds to </w:t>
      </w:r>
      <w:r w:rsidRPr="00624800">
        <w:t>the differenced error terms for each dimension (the error term of the utility of an alternative minus that of the utility of the base alternative for that dimension</w:t>
      </w:r>
      <w:r w:rsidR="00871C66">
        <w:t>; see Appendix A</w:t>
      </w:r>
      <w:r w:rsidRPr="00624800">
        <w:t xml:space="preserve">). In our analysis, we could not reject the hypothesis that the error terms for each of </w:t>
      </w:r>
      <w:r w:rsidR="000927D6" w:rsidRPr="00624800">
        <w:t xml:space="preserve">the trip-level </w:t>
      </w:r>
      <w:r w:rsidRPr="00624800">
        <w:t>dimension</w:t>
      </w:r>
      <w:r w:rsidR="000927D6" w:rsidRPr="00624800">
        <w:t>s</w:t>
      </w:r>
      <w:r w:rsidRPr="00624800">
        <w:t xml:space="preserve"> were independently </w:t>
      </w:r>
      <w:r w:rsidR="000927D6" w:rsidRPr="00624800">
        <w:t xml:space="preserve">and identically distributed (in differenced error terms, we could not reject the hypothesis that all the diagonal terms in the covariance matrix of the differenced error terms were 1.0 and all the off-diagonal elements were 0.5). However, there were </w:t>
      </w:r>
      <w:r w:rsidR="00727551" w:rsidRPr="0014230E">
        <w:t>two</w:t>
      </w:r>
      <w:r w:rsidR="000927D6" w:rsidRPr="00624800">
        <w:t xml:space="preserve"> covariances statistically different from zero across dimensions, </w:t>
      </w:r>
      <w:r w:rsidR="00E140DB">
        <w:t xml:space="preserve">both </w:t>
      </w:r>
      <w:r w:rsidR="000927D6" w:rsidRPr="00624800">
        <w:t>associated with the taxi alternative in the “mode substituted by ride-hailing” dimension, corresponding to (1) the morning alternative in the time-of-day dimension and the taxi alternative (=</w:t>
      </w:r>
      <w:r w:rsidR="00D804EA">
        <w:t xml:space="preserve"> –</w:t>
      </w:r>
      <w:r w:rsidR="000927D6" w:rsidRPr="00624800">
        <w:t>0.1</w:t>
      </w:r>
      <w:r w:rsidR="00727551" w:rsidRPr="00624800">
        <w:t>81</w:t>
      </w:r>
      <w:r w:rsidR="000927D6" w:rsidRPr="00624800">
        <w:t xml:space="preserve">, </w:t>
      </w:r>
      <w:r w:rsidR="00D804EA">
        <w:t>t-stat of</w:t>
      </w:r>
      <w:r w:rsidR="00E70FA7">
        <w:t xml:space="preserve"> </w:t>
      </w:r>
      <w:r w:rsidR="00870360">
        <w:t xml:space="preserve">       </w:t>
      </w:r>
      <w:r w:rsidR="00D804EA">
        <w:t>–</w:t>
      </w:r>
      <w:r w:rsidR="00727551" w:rsidRPr="00624800">
        <w:t>3.14</w:t>
      </w:r>
      <w:r w:rsidR="00941B2D" w:rsidRPr="00624800">
        <w:t xml:space="preserve">), </w:t>
      </w:r>
      <w:r w:rsidR="000927D6" w:rsidRPr="00624800">
        <w:t>and (</w:t>
      </w:r>
      <w:r w:rsidR="00727551" w:rsidRPr="00624800">
        <w:t>2</w:t>
      </w:r>
      <w:r w:rsidR="000927D6" w:rsidRPr="00624800">
        <w:t xml:space="preserve">) </w:t>
      </w:r>
      <w:r w:rsidR="00257430" w:rsidRPr="00624800">
        <w:t>the “with others” alternative in the companionship dimension and the taxi alternative (=</w:t>
      </w:r>
      <w:r w:rsidR="00D804EA">
        <w:t xml:space="preserve"> </w:t>
      </w:r>
      <w:r w:rsidR="00257430" w:rsidRPr="00624800">
        <w:t>0.1</w:t>
      </w:r>
      <w:r w:rsidR="00727551" w:rsidRPr="00624800">
        <w:t>47</w:t>
      </w:r>
      <w:r w:rsidR="00257430" w:rsidRPr="00624800">
        <w:t>, t-stat of 2.4</w:t>
      </w:r>
      <w:r w:rsidR="00727551" w:rsidRPr="00624800">
        <w:t>9</w:t>
      </w:r>
      <w:r w:rsidR="00257430" w:rsidRPr="00624800">
        <w:t xml:space="preserve">). </w:t>
      </w:r>
      <w:r w:rsidR="00941B2D" w:rsidRPr="00624800">
        <w:t>If we assume that the error term in the base alternative in each dimension is independent of the error terms of all other alternatives in other dimensions, t</w:t>
      </w:r>
      <w:r w:rsidR="00257430" w:rsidRPr="00624800">
        <w:t>he implication of the</w:t>
      </w:r>
      <w:r w:rsidR="00C55813" w:rsidRPr="00624800">
        <w:t xml:space="preserve"> first covariance</w:t>
      </w:r>
      <w:r w:rsidR="00257430" w:rsidRPr="00624800">
        <w:t xml:space="preserve"> </w:t>
      </w:r>
      <w:r w:rsidR="00795861" w:rsidRPr="00624800">
        <w:t xml:space="preserve">is that </w:t>
      </w:r>
      <w:r w:rsidR="00257430" w:rsidRPr="00624800">
        <w:t>u</w:t>
      </w:r>
      <w:r w:rsidR="00D228BF" w:rsidRPr="00624800">
        <w:t xml:space="preserve">nobserved factors that increase taxi substitution </w:t>
      </w:r>
      <w:r w:rsidR="004618FE" w:rsidRPr="00624800">
        <w:t xml:space="preserve">also </w:t>
      </w:r>
      <w:r w:rsidR="00D228BF" w:rsidRPr="00624800">
        <w:t xml:space="preserve">decrease the likelihood of the </w:t>
      </w:r>
      <w:r w:rsidR="00941B2D" w:rsidRPr="00624800">
        <w:t xml:space="preserve">ride-hailing </w:t>
      </w:r>
      <w:r w:rsidR="00D228BF" w:rsidRPr="00624800">
        <w:t xml:space="preserve">trip </w:t>
      </w:r>
      <w:r w:rsidR="00941B2D" w:rsidRPr="00624800">
        <w:t>occur</w:t>
      </w:r>
      <w:r w:rsidR="008616BC" w:rsidRPr="00624800">
        <w:t>r</w:t>
      </w:r>
      <w:r w:rsidR="00941B2D" w:rsidRPr="00624800">
        <w:t>ing</w:t>
      </w:r>
      <w:r w:rsidR="00D228BF" w:rsidRPr="00624800">
        <w:t xml:space="preserve"> during the morning</w:t>
      </w:r>
      <w:r w:rsidR="004618FE" w:rsidRPr="00624800">
        <w:t>, while the second covariance factor suggest</w:t>
      </w:r>
      <w:r w:rsidR="004B50D7" w:rsidRPr="00624800">
        <w:t>s</w:t>
      </w:r>
      <w:r w:rsidR="004618FE" w:rsidRPr="00624800">
        <w:t xml:space="preserve"> that unobserved factors that increase taxi substitution increase the propensity to trave</w:t>
      </w:r>
      <w:r w:rsidR="00624800" w:rsidRPr="00624800">
        <w:t>l</w:t>
      </w:r>
      <w:r w:rsidR="004618FE" w:rsidRPr="00624800">
        <w:t xml:space="preserve"> with others. </w:t>
      </w:r>
      <w:r w:rsidR="004618FE" w:rsidRPr="0014230E">
        <w:t xml:space="preserve">The </w:t>
      </w:r>
      <w:r w:rsidR="008457F1" w:rsidRPr="0014230E">
        <w:t>first</w:t>
      </w:r>
      <w:r w:rsidR="004618FE" w:rsidRPr="0014230E">
        <w:t xml:space="preserve"> effect may be related to</w:t>
      </w:r>
      <w:r w:rsidR="00AF5B39" w:rsidRPr="0014230E">
        <w:t xml:space="preserve"> the overall lower share of taxi trips in the morning compared to other modes (especially drive alone), while the second effect </w:t>
      </w:r>
      <w:r w:rsidR="00624800" w:rsidRPr="0014230E">
        <w:t>may</w:t>
      </w:r>
      <w:r w:rsidR="00AF5B39" w:rsidRPr="0014230E">
        <w:t xml:space="preserve"> be a consequence of the </w:t>
      </w:r>
      <w:r w:rsidR="00624800" w:rsidRPr="0014230E">
        <w:t xml:space="preserve">reduced costs in using ride-hailing relative to a taxi, especially in the pooled form of ride-hailing. </w:t>
      </w:r>
    </w:p>
    <w:p w14:paraId="7DCD1278" w14:textId="77777777" w:rsidR="00624800" w:rsidRDefault="00624800" w:rsidP="008B2CE5"/>
    <w:p w14:paraId="3F4A90D0" w14:textId="295DD499" w:rsidR="006C040B" w:rsidRPr="008073BA" w:rsidRDefault="006C040B" w:rsidP="00871C66">
      <w:pPr>
        <w:pStyle w:val="ListParagraph"/>
        <w:keepNext/>
        <w:numPr>
          <w:ilvl w:val="1"/>
          <w:numId w:val="1"/>
        </w:numPr>
        <w:tabs>
          <w:tab w:val="left" w:pos="360"/>
        </w:tabs>
        <w:rPr>
          <w:b/>
        </w:rPr>
      </w:pPr>
      <w:r w:rsidRPr="008073BA">
        <w:rPr>
          <w:b/>
        </w:rPr>
        <w:lastRenderedPageBreak/>
        <w:t xml:space="preserve">Model </w:t>
      </w:r>
      <w:r w:rsidR="008778FE">
        <w:rPr>
          <w:b/>
        </w:rPr>
        <w:t>F</w:t>
      </w:r>
      <w:r w:rsidRPr="008073BA">
        <w:rPr>
          <w:b/>
        </w:rPr>
        <w:t xml:space="preserve">it </w:t>
      </w:r>
      <w:r w:rsidR="008778FE">
        <w:rPr>
          <w:b/>
        </w:rPr>
        <w:t>C</w:t>
      </w:r>
      <w:r w:rsidRPr="008073BA">
        <w:rPr>
          <w:b/>
        </w:rPr>
        <w:t>omparison</w:t>
      </w:r>
    </w:p>
    <w:p w14:paraId="2AA241EC" w14:textId="4CB8C385" w:rsidR="00071DD4" w:rsidRPr="00C42836" w:rsidRDefault="0085608F" w:rsidP="00757E1B">
      <w:pPr>
        <w:keepNext/>
      </w:pPr>
      <w:r>
        <w:t>The s</w:t>
      </w:r>
      <w:r w:rsidR="006C040B">
        <w:t>tatistically sign</w:t>
      </w:r>
      <w:r w:rsidR="008616BC">
        <w:t>i</w:t>
      </w:r>
      <w:r w:rsidR="006C040B">
        <w:t>f</w:t>
      </w:r>
      <w:r w:rsidR="008616BC">
        <w:t xml:space="preserve">icant covariance effects, </w:t>
      </w:r>
      <w:r w:rsidR="00624800">
        <w:t xml:space="preserve">even </w:t>
      </w:r>
      <w:r w:rsidR="008616BC">
        <w:t xml:space="preserve">if </w:t>
      </w:r>
      <w:r w:rsidR="006C040B">
        <w:t xml:space="preserve">only </w:t>
      </w:r>
      <w:r w:rsidR="00624800">
        <w:t>two</w:t>
      </w:r>
      <w:r w:rsidR="006C040B">
        <w:t xml:space="preserve"> in number, </w:t>
      </w:r>
      <w:r>
        <w:t>point to the importance of developing a joint model</w:t>
      </w:r>
      <w:r w:rsidR="006C040B">
        <w:t xml:space="preserve"> at the trip-level</w:t>
      </w:r>
      <w:r>
        <w:t xml:space="preserve">. To further </w:t>
      </w:r>
      <w:r w:rsidR="00036EAF">
        <w:t xml:space="preserve">examine model fit, </w:t>
      </w:r>
      <w:r>
        <w:t xml:space="preserve">we compare </w:t>
      </w:r>
      <w:r w:rsidR="00365228">
        <w:t>t</w:t>
      </w:r>
      <w:r w:rsidR="00C42836" w:rsidRPr="00C42836">
        <w:t>he log-likelihood of the final mode</w:t>
      </w:r>
      <w:r w:rsidR="00036EAF">
        <w:t xml:space="preserve">l </w:t>
      </w:r>
      <w:r w:rsidR="00036EAF" w:rsidRPr="00A64F2B">
        <w:t>(=</w:t>
      </w:r>
      <w:r w:rsidR="008778FE">
        <w:t xml:space="preserve"> –</w:t>
      </w:r>
      <w:r w:rsidR="00A64F2B" w:rsidRPr="00A64F2B">
        <w:t>10,747.52</w:t>
      </w:r>
      <w:r w:rsidR="00036EAF" w:rsidRPr="00A64F2B">
        <w:t>)</w:t>
      </w:r>
      <w:r w:rsidRPr="00A64F2B">
        <w:t>,</w:t>
      </w:r>
      <w:r w:rsidR="00C42836" w:rsidRPr="00C42836">
        <w:t xml:space="preserve"> and that of the model which ignores </w:t>
      </w:r>
      <w:r w:rsidR="00036EAF">
        <w:t xml:space="preserve">the </w:t>
      </w:r>
      <w:r w:rsidR="00036EAF" w:rsidRPr="0014230E">
        <w:t>t</w:t>
      </w:r>
      <w:r w:rsidR="00342911" w:rsidRPr="0014230E">
        <w:t>wo</w:t>
      </w:r>
      <w:r w:rsidR="00342911">
        <w:t xml:space="preserve"> </w:t>
      </w:r>
      <w:r w:rsidR="00036EAF">
        <w:t>covariances</w:t>
      </w:r>
      <w:r w:rsidR="00C42836" w:rsidRPr="00C42836">
        <w:t xml:space="preserve"> </w:t>
      </w:r>
      <w:r w:rsidR="00036EAF">
        <w:t xml:space="preserve">discussed in the previous section </w:t>
      </w:r>
      <w:r w:rsidR="00036EAF" w:rsidRPr="00342911">
        <w:t>(=</w:t>
      </w:r>
      <w:r w:rsidR="00D804EA">
        <w:t xml:space="preserve"> </w:t>
      </w:r>
      <w:r w:rsidR="00342911" w:rsidRPr="00342911">
        <w:t>10,75</w:t>
      </w:r>
      <w:r w:rsidR="00342911" w:rsidRPr="005D5532">
        <w:t>1.23</w:t>
      </w:r>
      <w:r w:rsidR="00036EAF" w:rsidRPr="005D5532">
        <w:t>)</w:t>
      </w:r>
      <w:r w:rsidR="00C42836" w:rsidRPr="005D5532">
        <w:t xml:space="preserve">. The log-likelihood ratio test statistic of comparison between the two </w:t>
      </w:r>
      <w:r w:rsidR="00036EAF" w:rsidRPr="005D5532">
        <w:t xml:space="preserve">nested </w:t>
      </w:r>
      <w:r w:rsidR="00C42836" w:rsidRPr="005D5532">
        <w:t xml:space="preserve">models is </w:t>
      </w:r>
      <w:r w:rsidR="00342911" w:rsidRPr="005D5532">
        <w:t>7.42</w:t>
      </w:r>
      <w:r w:rsidR="00C42836" w:rsidRPr="005D5532">
        <w:t xml:space="preserve">. This value is greater than </w:t>
      </w:r>
      <w:r w:rsidR="00036EAF" w:rsidRPr="005D5532">
        <w:t>the table chi-squared value with t</w:t>
      </w:r>
      <w:r w:rsidR="00342911" w:rsidRPr="005D5532">
        <w:t>wo</w:t>
      </w:r>
      <w:r w:rsidR="00036EAF" w:rsidRPr="005D5532">
        <w:t xml:space="preserve"> degrees of freedom at </w:t>
      </w:r>
      <w:r w:rsidR="00F2058F">
        <w:t>even a 0.025 level of sign</w:t>
      </w:r>
      <w:r w:rsidR="00040365">
        <w:t>i</w:t>
      </w:r>
      <w:r w:rsidR="00F2058F">
        <w:t>ficance.</w:t>
      </w:r>
    </w:p>
    <w:p w14:paraId="2DC7C3B7" w14:textId="77777777" w:rsidR="00ED605B" w:rsidRDefault="00ED605B" w:rsidP="00ED605B">
      <w:pPr>
        <w:ind w:left="360"/>
        <w:rPr>
          <w:b/>
        </w:rPr>
      </w:pPr>
    </w:p>
    <w:p w14:paraId="3B073B2A" w14:textId="1162F2D2" w:rsidR="00946B16" w:rsidRDefault="000A22FA" w:rsidP="00871C66">
      <w:pPr>
        <w:pStyle w:val="ListParagraph"/>
        <w:keepNext/>
        <w:numPr>
          <w:ilvl w:val="0"/>
          <w:numId w:val="1"/>
        </w:numPr>
        <w:tabs>
          <w:tab w:val="left" w:pos="360"/>
        </w:tabs>
        <w:spacing w:line="276" w:lineRule="auto"/>
        <w:rPr>
          <w:b/>
        </w:rPr>
      </w:pPr>
      <w:r>
        <w:rPr>
          <w:b/>
        </w:rPr>
        <w:t xml:space="preserve">POLICY IMPLICATIONS AND </w:t>
      </w:r>
      <w:r w:rsidR="00112C91" w:rsidRPr="008778FE">
        <w:rPr>
          <w:b/>
        </w:rPr>
        <w:t xml:space="preserve">CONCLUSION </w:t>
      </w:r>
    </w:p>
    <w:p w14:paraId="0696A151" w14:textId="503651FC" w:rsidR="00E60591" w:rsidRDefault="0015039F" w:rsidP="005A0E9A">
      <w:pPr>
        <w:keepNext/>
        <w:tabs>
          <w:tab w:val="left" w:pos="720"/>
        </w:tabs>
        <w:rPr>
          <w:rFonts w:cs="Times New Roman"/>
          <w:szCs w:val="24"/>
        </w:rPr>
      </w:pPr>
      <w:r>
        <w:t xml:space="preserve">In the previous sections, </w:t>
      </w:r>
      <w:r w:rsidR="00275DE3">
        <w:t>we</w:t>
      </w:r>
      <w:r>
        <w:t xml:space="preserve"> described a comprehensive analysis of ride-hailing travel behavior</w:t>
      </w:r>
      <w:r w:rsidR="00394BEC">
        <w:t xml:space="preserve">. The analysis involved the </w:t>
      </w:r>
      <w:r w:rsidR="00CA5F9C">
        <w:t xml:space="preserve">specification of </w:t>
      </w:r>
      <w:r>
        <w:t xml:space="preserve">multivariate models of </w:t>
      </w:r>
      <w:r w:rsidR="00394BEC">
        <w:t xml:space="preserve">ride-hailing </w:t>
      </w:r>
      <w:r>
        <w:t>experience, frequency and trip characteristics as functions of lifecycle</w:t>
      </w:r>
      <w:r w:rsidR="00906FCC">
        <w:t xml:space="preserve"> and</w:t>
      </w:r>
      <w:r>
        <w:t xml:space="preserve"> lifestyle variables.</w:t>
      </w:r>
      <w:r w:rsidR="00C849E8">
        <w:t xml:space="preserve"> </w:t>
      </w:r>
      <w:r w:rsidR="001B4256">
        <w:t>The</w:t>
      </w:r>
      <w:r w:rsidR="00075944">
        <w:t xml:space="preserve"> results</w:t>
      </w:r>
      <w:r w:rsidR="001B4256">
        <w:t xml:space="preserve"> are now used as inputs </w:t>
      </w:r>
      <w:r w:rsidR="002F04D2">
        <w:t xml:space="preserve">to </w:t>
      </w:r>
      <w:r w:rsidR="003E5974">
        <w:t xml:space="preserve">four broader discussions </w:t>
      </w:r>
      <w:r w:rsidR="00300259">
        <w:t>with implications to tran</w:t>
      </w:r>
      <w:r w:rsidR="00442141">
        <w:t>sportation policy-making and planning</w:t>
      </w:r>
      <w:r w:rsidR="003E5974">
        <w:t xml:space="preserve">: </w:t>
      </w:r>
      <w:r w:rsidR="00E60591">
        <w:rPr>
          <w:rFonts w:cs="Times New Roman"/>
          <w:szCs w:val="24"/>
        </w:rPr>
        <w:t xml:space="preserve">(1) </w:t>
      </w:r>
      <w:r w:rsidR="00906FCC">
        <w:rPr>
          <w:rFonts w:cs="Times New Roman"/>
          <w:szCs w:val="24"/>
        </w:rPr>
        <w:t xml:space="preserve">guiding </w:t>
      </w:r>
      <w:r w:rsidR="00C77319">
        <w:rPr>
          <w:rFonts w:cs="Times New Roman"/>
          <w:szCs w:val="24"/>
        </w:rPr>
        <w:t>people’s a</w:t>
      </w:r>
      <w:r w:rsidR="00C77319" w:rsidRPr="00EA5038">
        <w:rPr>
          <w:rFonts w:cs="Times New Roman"/>
          <w:szCs w:val="24"/>
        </w:rPr>
        <w:t>cceptance and use of pooled rides</w:t>
      </w:r>
      <w:r w:rsidR="00E60591" w:rsidRPr="00EA5038">
        <w:rPr>
          <w:rFonts w:cs="Times New Roman"/>
          <w:szCs w:val="24"/>
        </w:rPr>
        <w:t xml:space="preserve">; </w:t>
      </w:r>
      <w:r w:rsidR="00E60591">
        <w:rPr>
          <w:rFonts w:cs="Times New Roman"/>
          <w:szCs w:val="24"/>
        </w:rPr>
        <w:t>(</w:t>
      </w:r>
      <w:r w:rsidR="00E60591" w:rsidRPr="00EA5038">
        <w:rPr>
          <w:rFonts w:cs="Times New Roman"/>
          <w:szCs w:val="24"/>
        </w:rPr>
        <w:t>2</w:t>
      </w:r>
      <w:r w:rsidR="00E60591">
        <w:rPr>
          <w:rFonts w:cs="Times New Roman"/>
          <w:szCs w:val="24"/>
        </w:rPr>
        <w:t>) the use of ride-hailing as an a</w:t>
      </w:r>
      <w:r w:rsidR="00E60591" w:rsidRPr="00EA5038">
        <w:rPr>
          <w:rFonts w:cs="Times New Roman"/>
          <w:szCs w:val="24"/>
        </w:rPr>
        <w:t xml:space="preserve">ccessibility </w:t>
      </w:r>
      <w:r w:rsidR="000651CC">
        <w:rPr>
          <w:rFonts w:cs="Times New Roman"/>
          <w:szCs w:val="24"/>
        </w:rPr>
        <w:t>or</w:t>
      </w:r>
      <w:r w:rsidR="00E60591" w:rsidRPr="00EA5038">
        <w:rPr>
          <w:rFonts w:cs="Times New Roman"/>
          <w:szCs w:val="24"/>
        </w:rPr>
        <w:t xml:space="preserve"> </w:t>
      </w:r>
      <w:r w:rsidR="00E60591">
        <w:rPr>
          <w:rFonts w:cs="Times New Roman"/>
          <w:szCs w:val="24"/>
        </w:rPr>
        <w:t xml:space="preserve">a </w:t>
      </w:r>
      <w:r w:rsidR="00E60591" w:rsidRPr="00EA5038">
        <w:rPr>
          <w:rFonts w:cs="Times New Roman"/>
          <w:szCs w:val="24"/>
        </w:rPr>
        <w:t xml:space="preserve">convenience mobility tool; </w:t>
      </w:r>
      <w:r w:rsidR="00E60591">
        <w:rPr>
          <w:rFonts w:cs="Times New Roman"/>
          <w:szCs w:val="24"/>
        </w:rPr>
        <w:t>(</w:t>
      </w:r>
      <w:r w:rsidR="00E60591" w:rsidRPr="00EA5038">
        <w:rPr>
          <w:rFonts w:cs="Times New Roman"/>
          <w:szCs w:val="24"/>
        </w:rPr>
        <w:t>3</w:t>
      </w:r>
      <w:r w:rsidR="00E60591">
        <w:rPr>
          <w:rFonts w:cs="Times New Roman"/>
          <w:szCs w:val="24"/>
        </w:rPr>
        <w:t>) the r</w:t>
      </w:r>
      <w:r w:rsidR="00E60591" w:rsidRPr="00EA5038">
        <w:rPr>
          <w:rFonts w:cs="Times New Roman"/>
          <w:szCs w:val="24"/>
        </w:rPr>
        <w:t xml:space="preserve">elationship </w:t>
      </w:r>
      <w:r w:rsidR="00E60591">
        <w:rPr>
          <w:rFonts w:cs="Times New Roman"/>
          <w:szCs w:val="24"/>
        </w:rPr>
        <w:t xml:space="preserve">of </w:t>
      </w:r>
      <w:r w:rsidR="00431B58">
        <w:rPr>
          <w:rFonts w:cs="Times New Roman"/>
          <w:szCs w:val="24"/>
        </w:rPr>
        <w:t>ride-hailing</w:t>
      </w:r>
      <w:r w:rsidR="00E60591">
        <w:rPr>
          <w:rFonts w:cs="Times New Roman"/>
          <w:szCs w:val="24"/>
        </w:rPr>
        <w:t xml:space="preserve"> </w:t>
      </w:r>
      <w:r w:rsidR="00E60591" w:rsidRPr="00EA5038">
        <w:rPr>
          <w:rFonts w:cs="Times New Roman"/>
          <w:szCs w:val="24"/>
        </w:rPr>
        <w:t>with transit and active travel;</w:t>
      </w:r>
      <w:r w:rsidR="00E60591">
        <w:rPr>
          <w:rFonts w:cs="Times New Roman"/>
          <w:szCs w:val="24"/>
        </w:rPr>
        <w:t xml:space="preserve"> (4) and the potential l</w:t>
      </w:r>
      <w:r w:rsidR="00E60591" w:rsidRPr="00EA5038">
        <w:rPr>
          <w:rFonts w:cs="Times New Roman"/>
          <w:szCs w:val="24"/>
        </w:rPr>
        <w:t>atent demand and trip induction</w:t>
      </w:r>
      <w:r w:rsidR="00E60591">
        <w:rPr>
          <w:rFonts w:cs="Times New Roman"/>
          <w:szCs w:val="24"/>
        </w:rPr>
        <w:t xml:space="preserve"> generated by this service. </w:t>
      </w:r>
    </w:p>
    <w:p w14:paraId="43F44C75" w14:textId="77777777" w:rsidR="000868E4" w:rsidRDefault="000868E4" w:rsidP="003E5974">
      <w:pPr>
        <w:tabs>
          <w:tab w:val="left" w:pos="720"/>
        </w:tabs>
        <w:rPr>
          <w:rFonts w:cs="Times New Roman"/>
          <w:szCs w:val="24"/>
        </w:rPr>
      </w:pPr>
    </w:p>
    <w:p w14:paraId="0D939AF7" w14:textId="665E78A9" w:rsidR="002D3F8C" w:rsidRDefault="00150429" w:rsidP="00871C66">
      <w:pPr>
        <w:pStyle w:val="Heading2"/>
        <w:numPr>
          <w:ilvl w:val="1"/>
          <w:numId w:val="1"/>
        </w:numPr>
        <w:spacing w:before="0"/>
      </w:pPr>
      <w:r>
        <w:t xml:space="preserve"> </w:t>
      </w:r>
      <w:r w:rsidR="002D3F8C">
        <w:t>Acceptance and U</w:t>
      </w:r>
      <w:r w:rsidR="00043706">
        <w:t>sage</w:t>
      </w:r>
      <w:r w:rsidR="002D3F8C">
        <w:t xml:space="preserve"> of Pooled Rides</w:t>
      </w:r>
    </w:p>
    <w:p w14:paraId="211C1AB2" w14:textId="537A2E20" w:rsidR="00394FAA" w:rsidRDefault="001F5765" w:rsidP="00F32C43">
      <w:r>
        <w:rPr>
          <w:rFonts w:cs="Times New Roman"/>
          <w:szCs w:val="24"/>
        </w:rPr>
        <w:t xml:space="preserve">In terms of </w:t>
      </w:r>
      <w:r w:rsidR="007B4A33">
        <w:rPr>
          <w:rFonts w:cs="Times New Roman"/>
          <w:szCs w:val="24"/>
        </w:rPr>
        <w:t xml:space="preserve">vehicle occupancy and </w:t>
      </w:r>
      <w:r w:rsidR="00374393">
        <w:rPr>
          <w:rFonts w:cs="Times New Roman"/>
          <w:szCs w:val="24"/>
        </w:rPr>
        <w:t>VMT,</w:t>
      </w:r>
      <w:r w:rsidR="00384281">
        <w:rPr>
          <w:rFonts w:cs="Times New Roman"/>
          <w:szCs w:val="24"/>
        </w:rPr>
        <w:t xml:space="preserve"> private ride-hailing trips may be considered analogous to the drive alone mode</w:t>
      </w:r>
      <w:r w:rsidR="00374393">
        <w:rPr>
          <w:rFonts w:cs="Times New Roman"/>
          <w:szCs w:val="24"/>
        </w:rPr>
        <w:t xml:space="preserve">, </w:t>
      </w:r>
      <w:r w:rsidR="00384281">
        <w:rPr>
          <w:rFonts w:cs="Times New Roman"/>
          <w:szCs w:val="24"/>
        </w:rPr>
        <w:t>or even</w:t>
      </w:r>
      <w:r w:rsidR="00374393">
        <w:rPr>
          <w:rFonts w:cs="Times New Roman"/>
          <w:szCs w:val="24"/>
        </w:rPr>
        <w:t xml:space="preserve"> more problematic, as empty travel is generated by </w:t>
      </w:r>
      <w:r w:rsidR="00F77F13">
        <w:rPr>
          <w:rFonts w:cs="Times New Roman"/>
          <w:szCs w:val="24"/>
        </w:rPr>
        <w:t xml:space="preserve">drivers relocating </w:t>
      </w:r>
      <w:r w:rsidR="00F50129">
        <w:rPr>
          <w:rFonts w:cs="Times New Roman"/>
          <w:szCs w:val="24"/>
        </w:rPr>
        <w:t>and</w:t>
      </w:r>
      <w:r w:rsidR="00F77F13">
        <w:rPr>
          <w:rFonts w:cs="Times New Roman"/>
          <w:szCs w:val="24"/>
        </w:rPr>
        <w:t xml:space="preserve"> waiting to pick up a next passenger. </w:t>
      </w:r>
      <w:r w:rsidR="005F041E">
        <w:rPr>
          <w:rFonts w:cs="Times New Roman"/>
          <w:szCs w:val="24"/>
        </w:rPr>
        <w:t xml:space="preserve">On the other hand, </w:t>
      </w:r>
      <w:r w:rsidR="00C026B7">
        <w:rPr>
          <w:rFonts w:cs="Times New Roman"/>
          <w:szCs w:val="24"/>
        </w:rPr>
        <w:t xml:space="preserve">by serving multiple travelers </w:t>
      </w:r>
      <w:r w:rsidR="00BA2510">
        <w:rPr>
          <w:rFonts w:cs="Times New Roman"/>
          <w:szCs w:val="24"/>
        </w:rPr>
        <w:t xml:space="preserve">that share similar routes, </w:t>
      </w:r>
      <w:r w:rsidR="005F041E">
        <w:rPr>
          <w:rFonts w:cs="Times New Roman"/>
          <w:szCs w:val="24"/>
        </w:rPr>
        <w:t xml:space="preserve">pooled ride-hailing </w:t>
      </w:r>
      <w:r w:rsidR="00D2709E">
        <w:rPr>
          <w:rFonts w:cs="Times New Roman"/>
          <w:szCs w:val="24"/>
        </w:rPr>
        <w:t>can</w:t>
      </w:r>
      <w:r w:rsidR="006C59AA">
        <w:rPr>
          <w:rFonts w:cs="Times New Roman"/>
          <w:szCs w:val="24"/>
        </w:rPr>
        <w:t xml:space="preserve"> </w:t>
      </w:r>
      <w:r w:rsidR="00E1228A">
        <w:rPr>
          <w:rFonts w:cs="Times New Roman"/>
          <w:szCs w:val="24"/>
        </w:rPr>
        <w:t xml:space="preserve">reduce </w:t>
      </w:r>
      <w:r w:rsidR="006C59AA">
        <w:rPr>
          <w:rFonts w:cs="Times New Roman"/>
          <w:szCs w:val="24"/>
        </w:rPr>
        <w:t xml:space="preserve">VMT in </w:t>
      </w:r>
      <w:r w:rsidR="00367D19">
        <w:rPr>
          <w:rFonts w:cs="Times New Roman"/>
          <w:szCs w:val="24"/>
        </w:rPr>
        <w:t xml:space="preserve">car-centric </w:t>
      </w:r>
      <w:r w:rsidR="006C59AA">
        <w:rPr>
          <w:rFonts w:cs="Times New Roman"/>
          <w:szCs w:val="24"/>
        </w:rPr>
        <w:t>environments</w:t>
      </w:r>
      <w:r w:rsidR="001B6E79">
        <w:rPr>
          <w:rFonts w:cs="Times New Roman"/>
          <w:szCs w:val="24"/>
        </w:rPr>
        <w:t xml:space="preserve">. </w:t>
      </w:r>
      <w:r w:rsidR="00554CA1">
        <w:rPr>
          <w:rFonts w:cs="Times New Roman"/>
          <w:szCs w:val="24"/>
        </w:rPr>
        <w:t xml:space="preserve">More generally, </w:t>
      </w:r>
      <w:r w:rsidR="00A50299">
        <w:rPr>
          <w:rFonts w:cs="Times New Roman"/>
          <w:szCs w:val="24"/>
        </w:rPr>
        <w:t xml:space="preserve">pooled ride-hailing </w:t>
      </w:r>
      <w:r w:rsidR="00D2709E">
        <w:rPr>
          <w:rFonts w:cs="Times New Roman"/>
          <w:szCs w:val="24"/>
        </w:rPr>
        <w:t>ha</w:t>
      </w:r>
      <w:r w:rsidR="00367D19">
        <w:rPr>
          <w:rFonts w:cs="Times New Roman"/>
          <w:szCs w:val="24"/>
        </w:rPr>
        <w:t>s</w:t>
      </w:r>
      <w:r w:rsidR="00D2709E">
        <w:rPr>
          <w:rFonts w:cs="Times New Roman"/>
          <w:szCs w:val="24"/>
        </w:rPr>
        <w:t xml:space="preserve"> the potential to</w:t>
      </w:r>
      <w:r w:rsidR="009D3E4A">
        <w:rPr>
          <w:rFonts w:cs="Times New Roman"/>
          <w:szCs w:val="24"/>
        </w:rPr>
        <w:t xml:space="preserve"> become </w:t>
      </w:r>
      <w:r w:rsidR="00367D19">
        <w:rPr>
          <w:rFonts w:cs="Times New Roman"/>
          <w:szCs w:val="24"/>
        </w:rPr>
        <w:t xml:space="preserve">a stepping stone toward </w:t>
      </w:r>
      <w:r w:rsidR="00A50299">
        <w:rPr>
          <w:rFonts w:cs="Times New Roman"/>
          <w:szCs w:val="24"/>
        </w:rPr>
        <w:t xml:space="preserve">multi-modal and </w:t>
      </w:r>
      <w:r w:rsidR="00F50129">
        <w:rPr>
          <w:rFonts w:cs="Times New Roman"/>
          <w:szCs w:val="24"/>
        </w:rPr>
        <w:t>service-based</w:t>
      </w:r>
      <w:r w:rsidR="00A50299">
        <w:rPr>
          <w:rFonts w:cs="Times New Roman"/>
          <w:szCs w:val="24"/>
        </w:rPr>
        <w:t xml:space="preserve"> </w:t>
      </w:r>
      <w:r w:rsidR="00A31068">
        <w:rPr>
          <w:rFonts w:cs="Times New Roman"/>
          <w:szCs w:val="24"/>
        </w:rPr>
        <w:t>transportation in cities</w:t>
      </w:r>
      <w:r w:rsidR="007C60D1">
        <w:rPr>
          <w:rFonts w:cs="Times New Roman"/>
          <w:szCs w:val="24"/>
        </w:rPr>
        <w:t xml:space="preserve"> </w:t>
      </w:r>
      <w:r w:rsidR="00367D19">
        <w:rPr>
          <w:rFonts w:cs="Times New Roman"/>
          <w:szCs w:val="24"/>
        </w:rPr>
        <w:t xml:space="preserve">with less-than-adequate </w:t>
      </w:r>
      <w:r w:rsidR="00585222">
        <w:rPr>
          <w:rFonts w:cs="Times New Roman"/>
          <w:szCs w:val="24"/>
        </w:rPr>
        <w:t>public trans</w:t>
      </w:r>
      <w:r w:rsidR="00367D19">
        <w:rPr>
          <w:rFonts w:cs="Times New Roman"/>
          <w:szCs w:val="24"/>
        </w:rPr>
        <w:t>portation</w:t>
      </w:r>
      <w:r w:rsidR="00585222">
        <w:rPr>
          <w:rFonts w:cs="Times New Roman"/>
          <w:szCs w:val="24"/>
        </w:rPr>
        <w:t xml:space="preserve"> systems</w:t>
      </w:r>
      <w:r w:rsidR="00367D19">
        <w:rPr>
          <w:rFonts w:cs="Times New Roman"/>
          <w:szCs w:val="24"/>
        </w:rPr>
        <w:t xml:space="preserve"> (such as in </w:t>
      </w:r>
      <w:r w:rsidR="00585222">
        <w:rPr>
          <w:rFonts w:cs="Times New Roman"/>
          <w:szCs w:val="24"/>
        </w:rPr>
        <w:t>DF</w:t>
      </w:r>
      <w:r w:rsidR="00B32A2D">
        <w:rPr>
          <w:rFonts w:cs="Times New Roman"/>
          <w:szCs w:val="24"/>
        </w:rPr>
        <w:t>W</w:t>
      </w:r>
      <w:r w:rsidR="00585222">
        <w:rPr>
          <w:rFonts w:cs="Times New Roman"/>
          <w:szCs w:val="24"/>
        </w:rPr>
        <w:t xml:space="preserve"> and </w:t>
      </w:r>
      <w:r w:rsidR="00585222">
        <w:t>many metropolitan areas in the U.S.</w:t>
      </w:r>
      <w:r w:rsidR="00367D19">
        <w:t>).</w:t>
      </w:r>
      <w:r w:rsidR="007330FF">
        <w:t xml:space="preserve"> However, our results show that</w:t>
      </w:r>
      <w:r w:rsidR="00374528">
        <w:t xml:space="preserve"> individual’s privacy sensitivity may </w:t>
      </w:r>
      <w:r w:rsidR="003A07FB">
        <w:t>be a significant ba</w:t>
      </w:r>
      <w:r w:rsidR="00F42F4E">
        <w:t xml:space="preserve">rrier </w:t>
      </w:r>
      <w:r w:rsidR="00FA58D5">
        <w:t xml:space="preserve">to </w:t>
      </w:r>
      <w:r w:rsidR="007E598D">
        <w:t>choosing</w:t>
      </w:r>
      <w:r w:rsidR="00FA58D5">
        <w:t xml:space="preserve"> pooled rather than private rides. </w:t>
      </w:r>
      <w:r w:rsidR="00E62602">
        <w:t xml:space="preserve">Privacy sensitivity seems to be a concern </w:t>
      </w:r>
      <w:r w:rsidR="00486DE9">
        <w:t>especially within the wealthiest population segment and non-Hispanic Whites</w:t>
      </w:r>
      <w:r w:rsidR="00D2000E">
        <w:t xml:space="preserve">. </w:t>
      </w:r>
      <w:r w:rsidR="00581A0C">
        <w:t>H</w:t>
      </w:r>
      <w:r w:rsidR="006B3ED8">
        <w:t>igh income is also</w:t>
      </w:r>
      <w:r w:rsidR="00303E21">
        <w:t xml:space="preserve"> among the </w:t>
      </w:r>
      <w:r w:rsidR="009D437C">
        <w:t>strongest determinant</w:t>
      </w:r>
      <w:r w:rsidR="00DE54D4">
        <w:t>s</w:t>
      </w:r>
      <w:r w:rsidR="009D437C">
        <w:t xml:space="preserve"> of frequent ride-hailing usage, </w:t>
      </w:r>
      <w:r w:rsidR="00581A0C">
        <w:t xml:space="preserve">which suggests the need for </w:t>
      </w:r>
      <w:r w:rsidR="00F32C43">
        <w:t xml:space="preserve">qualitative research (such as focus groups) to identify how individuals may be steered toward being less </w:t>
      </w:r>
      <w:r w:rsidR="0008115E">
        <w:t>sensitive to</w:t>
      </w:r>
      <w:r w:rsidR="00F32C43">
        <w:t xml:space="preserve"> the presence of strangers in a ride-hailing trip</w:t>
      </w:r>
      <w:r w:rsidR="0008115E">
        <w:t xml:space="preserve">. </w:t>
      </w:r>
      <w:r w:rsidR="00F32C43">
        <w:t xml:space="preserve">For instance, based on the prejudice literature within the social psychology field (see for example, Zebrowitz et al., 2008; Barlow et al., 2012), greater exposure may reduce people’s aversion to strangers as long as experiences are positive. Thus, breaking the inertia barrier and encouraging people to experiment with pooled services even if only temporarily (through substantial cost incentives or convenience incentives) </w:t>
      </w:r>
      <w:r w:rsidR="00F32C43">
        <w:lastRenderedPageBreak/>
        <w:t>may naturally reduce privacy concerns and have a snow-balling effect on the use of future pooled ride-sharing.</w:t>
      </w:r>
    </w:p>
    <w:p w14:paraId="06566D9B" w14:textId="0C6A1E45" w:rsidR="0019121C" w:rsidRDefault="00DC6318" w:rsidP="004962D1">
      <w:pPr>
        <w:ind w:firstLine="720"/>
      </w:pPr>
      <w:r>
        <w:t xml:space="preserve">While pooled ride-hailing shows </w:t>
      </w:r>
      <w:r w:rsidR="00C031F8">
        <w:t xml:space="preserve">immediate </w:t>
      </w:r>
      <w:r>
        <w:t xml:space="preserve">potential to serve </w:t>
      </w:r>
      <w:r w:rsidR="000E2EFD">
        <w:t xml:space="preserve">individuals in lower income segments, </w:t>
      </w:r>
      <w:r w:rsidR="00512035">
        <w:t>as</w:t>
      </w:r>
      <w:r w:rsidR="00A939F0">
        <w:t xml:space="preserve"> they </w:t>
      </w:r>
      <w:r w:rsidR="001373D5">
        <w:t>demonstrate</w:t>
      </w:r>
      <w:r w:rsidR="00A939F0">
        <w:t xml:space="preserve"> lower levels of privacy sensitivity, </w:t>
      </w:r>
      <w:r w:rsidR="00862C7F">
        <w:t xml:space="preserve">a decrease in service fares and an </w:t>
      </w:r>
      <w:r w:rsidR="00E47A7A">
        <w:t>increase in technology awareness</w:t>
      </w:r>
      <w:r w:rsidR="00792B09">
        <w:t xml:space="preserve"> among this group might </w:t>
      </w:r>
      <w:r w:rsidR="00A939F0">
        <w:t xml:space="preserve">still </w:t>
      </w:r>
      <w:r w:rsidR="00792B09">
        <w:t>be necessary</w:t>
      </w:r>
      <w:r w:rsidR="00DF00B5">
        <w:t xml:space="preserve"> (as the</w:t>
      </w:r>
      <w:r w:rsidR="00046BE5">
        <w:t>ir</w:t>
      </w:r>
      <w:r w:rsidR="008170DA">
        <w:t xml:space="preserve"> </w:t>
      </w:r>
      <w:r w:rsidR="002A666F">
        <w:t>low</w:t>
      </w:r>
      <w:r w:rsidR="00DF00B5">
        <w:t>er</w:t>
      </w:r>
      <w:r w:rsidR="002A666F">
        <w:t xml:space="preserve"> </w:t>
      </w:r>
      <w:r w:rsidR="008170DA">
        <w:t xml:space="preserve">levels of </w:t>
      </w:r>
      <w:r w:rsidR="002A666F">
        <w:t>tech-savviness</w:t>
      </w:r>
      <w:r w:rsidR="008170DA">
        <w:t xml:space="preserve"> </w:t>
      </w:r>
      <w:r w:rsidR="00046BE5">
        <w:t>appear as</w:t>
      </w:r>
      <w:r w:rsidR="008170DA">
        <w:t xml:space="preserve"> a</w:t>
      </w:r>
      <w:r w:rsidR="00557F03">
        <w:t>n important deterrent to overall ride-hailing adoption</w:t>
      </w:r>
      <w:r w:rsidR="00046BE5">
        <w:t>)</w:t>
      </w:r>
      <w:r w:rsidR="00792B09">
        <w:t>.</w:t>
      </w:r>
      <w:r w:rsidR="00107BE7">
        <w:t xml:space="preserve"> Similarly, </w:t>
      </w:r>
      <w:r w:rsidR="000B364E">
        <w:t xml:space="preserve">educational campaigns targeting the increase of tech-savviness among </w:t>
      </w:r>
      <w:r w:rsidR="00620913">
        <w:t xml:space="preserve">older population segments </w:t>
      </w:r>
      <w:r w:rsidR="000B364E">
        <w:t xml:space="preserve">would also make </w:t>
      </w:r>
      <w:r w:rsidR="00950099">
        <w:t>ride-hailing</w:t>
      </w:r>
      <w:r w:rsidR="00262E9B">
        <w:t xml:space="preserve"> and pooled ride-hailing more accessible</w:t>
      </w:r>
      <w:r w:rsidR="00557F03">
        <w:t xml:space="preserve"> to this segment</w:t>
      </w:r>
      <w:r w:rsidR="0087763C">
        <w:t xml:space="preserve"> and thus contribute to an improvement in transportation equity. </w:t>
      </w:r>
    </w:p>
    <w:p w14:paraId="22BC02DC" w14:textId="30F4974F" w:rsidR="00B90599" w:rsidRDefault="000F7B4C" w:rsidP="00290A05">
      <w:pPr>
        <w:ind w:firstLine="720"/>
      </w:pPr>
      <w:r>
        <w:t>P</w:t>
      </w:r>
      <w:r w:rsidR="005C72AB">
        <w:t xml:space="preserve">olicies that have the result of increasing the number of individuals who have experienced pooled ride-hailing </w:t>
      </w:r>
      <w:r w:rsidR="00BC37DA">
        <w:t>seem to also</w:t>
      </w:r>
      <w:r w:rsidR="005C72AB">
        <w:t xml:space="preserve"> have the effect of increasing ride-hailing frequency. According to the results in Table </w:t>
      </w:r>
      <w:r w:rsidR="00367D19">
        <w:t>6</w:t>
      </w:r>
      <w:r w:rsidR="005C72AB">
        <w:t>, a pooled ride-hailing user is likely to make about two more monthly ride-hailing trips than an individual who has had no experience with pooled ride-hailing. Thus, our results suggest that getting an individual to try pooled ride-hailing that one time can have a lasting impact on the frequency of pooled ride-hailing over the longer term.</w:t>
      </w:r>
      <w:r w:rsidR="00290A05">
        <w:t xml:space="preserve"> </w:t>
      </w:r>
      <w:r w:rsidR="00071DE4">
        <w:t>It is also important to note that p</w:t>
      </w:r>
      <w:r w:rsidR="00055806">
        <w:t>olicies targeting variety-seeking behavior</w:t>
      </w:r>
      <w:r w:rsidR="0064747B">
        <w:t xml:space="preserve"> (</w:t>
      </w:r>
      <w:r w:rsidR="002B5238">
        <w:t xml:space="preserve">such as personalized trip plans </w:t>
      </w:r>
      <w:r w:rsidR="002F144B">
        <w:t xml:space="preserve">in </w:t>
      </w:r>
      <w:r w:rsidR="00952A63">
        <w:t>mobility</w:t>
      </w:r>
      <w:r w:rsidR="002F144B">
        <w:t xml:space="preserve">-as-a-service apps </w:t>
      </w:r>
      <w:r w:rsidR="002B5238">
        <w:t>that offer multiple travel choices</w:t>
      </w:r>
      <w:r w:rsidR="00B161F8">
        <w:t xml:space="preserve"> and include pooled ride-hailing</w:t>
      </w:r>
      <w:r w:rsidR="0064747B">
        <w:t>)</w:t>
      </w:r>
      <w:r w:rsidR="00A461B5">
        <w:t xml:space="preserve"> may be specially welcomed by </w:t>
      </w:r>
      <w:r w:rsidR="00D14427">
        <w:t>young adults</w:t>
      </w:r>
      <w:r w:rsidR="00FC44EB">
        <w:t xml:space="preserve"> (18-</w:t>
      </w:r>
      <w:r w:rsidR="0064747B">
        <w:t>44 years of age) and resul</w:t>
      </w:r>
      <w:r w:rsidR="00B039B2">
        <w:t>t in a</w:t>
      </w:r>
      <w:r w:rsidR="00F1415E">
        <w:t>n</w:t>
      </w:r>
      <w:r w:rsidR="00B039B2">
        <w:t xml:space="preserve"> increase in</w:t>
      </w:r>
      <w:r w:rsidR="00B90599">
        <w:t xml:space="preserve"> both</w:t>
      </w:r>
      <w:r w:rsidR="00B039B2">
        <w:t xml:space="preserve"> pooled ride-hailing experience and overall ride-hailing frequency. </w:t>
      </w:r>
      <w:r w:rsidR="000D3425">
        <w:t xml:space="preserve">However, this age </w:t>
      </w:r>
      <w:r w:rsidR="00F1415E">
        <w:t xml:space="preserve">group is also the segment that is more likely to </w:t>
      </w:r>
      <w:r w:rsidR="001205CC">
        <w:t>substitute active or transit trips by ride-hailing and to generate new trips.</w:t>
      </w:r>
      <w:r w:rsidR="00952A63">
        <w:t xml:space="preserve"> Th</w:t>
      </w:r>
      <w:r w:rsidR="00CA74FB">
        <w:t>us</w:t>
      </w:r>
      <w:r w:rsidR="00952A63">
        <w:t xml:space="preserve">, the development </w:t>
      </w:r>
      <w:r w:rsidR="0046512B">
        <w:t xml:space="preserve">of </w:t>
      </w:r>
      <w:r w:rsidR="00343DF2">
        <w:t xml:space="preserve">multi-modal apps needs to be especially careful to </w:t>
      </w:r>
      <w:r w:rsidR="00B65F25">
        <w:t xml:space="preserve">avoid the proliferation of </w:t>
      </w:r>
      <w:r w:rsidR="00761A0E">
        <w:t>unintended behaviors (such as t</w:t>
      </w:r>
      <w:r w:rsidR="005F5B8A">
        <w:t xml:space="preserve">he reduction of active travel/transit ridership and the generation of new car-based trips). </w:t>
      </w:r>
    </w:p>
    <w:p w14:paraId="2CEED6B7" w14:textId="358FCA25" w:rsidR="00FC445E" w:rsidRDefault="00322C68" w:rsidP="00322C68">
      <w:pPr>
        <w:ind w:firstLine="720"/>
      </w:pPr>
      <w:r>
        <w:t>Another interesting result pertaining to ride-hailing as a</w:t>
      </w:r>
      <w:r w:rsidR="00860CD1">
        <w:t>n opportunity to increase vehicle occupancy</w:t>
      </w:r>
      <w:r>
        <w:t xml:space="preserve"> relates to commuting. Commuting encompasses a significant share of daily trips</w:t>
      </w:r>
      <w:r w:rsidR="0093233E">
        <w:t xml:space="preserve"> that,</w:t>
      </w:r>
      <w:r w:rsidR="00A14939">
        <w:t xml:space="preserve"> in areas such as DFW</w:t>
      </w:r>
      <w:r w:rsidR="0093233E">
        <w:t>,</w:t>
      </w:r>
      <w:r w:rsidR="00A14939">
        <w:t xml:space="preserve"> are predominantly made by the drive alone mode (see Section 1.2</w:t>
      </w:r>
      <w:r w:rsidR="008131BA">
        <w:t>) and</w:t>
      </w:r>
      <w:r w:rsidR="00621A27">
        <w:t xml:space="preserve"> could potentially be accommodated by pooled rides.</w:t>
      </w:r>
      <w:r w:rsidR="008131BA">
        <w:t xml:space="preserve"> </w:t>
      </w:r>
      <w:r>
        <w:t xml:space="preserve">Despite the lower numbers of work trips captured in our sample (compared to trips to the airport and trips to recreational activities), the model results show that frequent users are likely to use ride-hailing for work trips (from the trip purpose model), and work trips by ride-hailing are typically made alone (based on the trip companion model) during the morning and evening periods (as per the time-of-day model). The net result is that many ride-hailing trips for work during the morning and evening are undertaken in private ride-hailing mode as opposed to pooled ride-hailing mode. There is substantial opportunity for ride-hailing services as well as employers to work together to increase vehicle occupancy during the commute periods, through low cost pooled ride-hailing services (such as Uber’s most recently introduced “Express Pool” service) and subsidizing the use of such services. Also, appealing to the range of co-travelers one has the possibility to meet, alongside </w:t>
      </w:r>
      <w:r>
        <w:lastRenderedPageBreak/>
        <w:t xml:space="preserve">campaigns to reduce privacy-sensitivity among individuals of non-White Hispanic ethnicity and </w:t>
      </w:r>
      <w:r w:rsidR="00EF704E">
        <w:t>high-income</w:t>
      </w:r>
      <w:r>
        <w:t xml:space="preserve"> individuals, may be additional policy instruments available to promote pooled ride-hailing. Compared to traditional car-pooling arrangements that typically have scheduled times of arrival and departure, pooled ride-hailing would offer more time flexibility for workers and </w:t>
      </w:r>
      <w:r w:rsidR="00BC36EC">
        <w:t xml:space="preserve">allow for them to </w:t>
      </w:r>
      <w:r w:rsidR="00982D11">
        <w:t xml:space="preserve">use travel time </w:t>
      </w:r>
      <w:r w:rsidR="00A77DA2">
        <w:t>productively.</w:t>
      </w:r>
    </w:p>
    <w:p w14:paraId="462C4ECD" w14:textId="3E0057C3" w:rsidR="00A77DA2" w:rsidRDefault="00A77DA2" w:rsidP="00322C68">
      <w:pPr>
        <w:ind w:firstLine="720"/>
      </w:pPr>
    </w:p>
    <w:p w14:paraId="28D1A6C6" w14:textId="718355CA" w:rsidR="00072BA9" w:rsidRDefault="00072BA9" w:rsidP="00871C66">
      <w:pPr>
        <w:pStyle w:val="Heading2"/>
        <w:numPr>
          <w:ilvl w:val="1"/>
          <w:numId w:val="1"/>
        </w:numPr>
        <w:spacing w:before="0"/>
      </w:pPr>
      <w:r>
        <w:t>Accessibility versus Convenience Mobility Tool</w:t>
      </w:r>
    </w:p>
    <w:p w14:paraId="525DFC40" w14:textId="3B246715" w:rsidR="00092A77" w:rsidRDefault="002B796A" w:rsidP="00B324E4">
      <w:pPr>
        <w:autoSpaceDE w:val="0"/>
        <w:autoSpaceDN w:val="0"/>
        <w:adjustRightInd w:val="0"/>
      </w:pPr>
      <w:r>
        <w:t xml:space="preserve">Ride-hailing can provide more access to activity opportunities for individuals who do not own vehicles and/or those with limited driving capabilities. Our model results provide initial evidence for this, as we observe that </w:t>
      </w:r>
      <w:r w:rsidRPr="00C12647">
        <w:t>students</w:t>
      </w:r>
      <w:r>
        <w:t xml:space="preserve">, individuals </w:t>
      </w:r>
      <w:r w:rsidRPr="00C12647">
        <w:t>with low vehicle availability</w:t>
      </w:r>
      <w:r>
        <w:t>, and individuals</w:t>
      </w:r>
      <w:r w:rsidRPr="00C12647">
        <w:t xml:space="preserve"> </w:t>
      </w:r>
      <w:r>
        <w:t xml:space="preserve">from low-income households </w:t>
      </w:r>
      <w:r w:rsidRPr="00C12647">
        <w:t xml:space="preserve">are </w:t>
      </w:r>
      <w:r>
        <w:t xml:space="preserve">generally </w:t>
      </w:r>
      <w:r w:rsidRPr="00C12647">
        <w:t xml:space="preserve">more likely </w:t>
      </w:r>
      <w:r>
        <w:t xml:space="preserve">than their peers </w:t>
      </w:r>
      <w:r w:rsidRPr="00C12647">
        <w:t>to use ride-hailing to run errands.</w:t>
      </w:r>
      <w:r>
        <w:t xml:space="preserve"> Thus, ride-hailing can assume a welfare role, but fares would need to be revisited to fit the needs of these more financially challenged segments of our society.</w:t>
      </w:r>
      <w:r w:rsidR="00B324E4">
        <w:t xml:space="preserve"> </w:t>
      </w:r>
      <w:r w:rsidR="00C37465">
        <w:t>On the other hand, t</w:t>
      </w:r>
      <w:r w:rsidR="00092A77">
        <w:t>he result that a higher private vehicle availability leads to a higher experience with ride-hailing suggests that, in an area such as DFW where almost all households own at least one vehicle, ride-hailing serves as more of a convenience feature for those one-off trips rather than being an accessibility facilitator for routine trips</w:t>
      </w:r>
      <w:r w:rsidR="00561CD7">
        <w:t xml:space="preserve">. Indeed, we also observe </w:t>
      </w:r>
      <w:r w:rsidR="002907F4">
        <w:t xml:space="preserve">that </w:t>
      </w:r>
      <w:r w:rsidR="00092A77">
        <w:t>vehicle availability has a negative effect on ride-hailing frequency.</w:t>
      </w:r>
      <w:r w:rsidR="00887411">
        <w:t xml:space="preserve"> </w:t>
      </w:r>
    </w:p>
    <w:p w14:paraId="3F0FC2B3" w14:textId="64598E1F" w:rsidR="00322C68" w:rsidRDefault="00B324E4" w:rsidP="00343258">
      <w:pPr>
        <w:autoSpaceDE w:val="0"/>
        <w:autoSpaceDN w:val="0"/>
        <w:adjustRightInd w:val="0"/>
      </w:pPr>
      <w:r>
        <w:tab/>
      </w:r>
      <w:r w:rsidR="00322C68">
        <w:t xml:space="preserve">An observation from the trip purpose results is that women are rather unlikely to use ride-hailing for routine errand trips, even though the women in a household are primarily responsible for personal, family, and shopping errands. At the same time, the “mode substituted” model results reveal that many of the new trips generated by the availability of ride-hailing (and that would not have been made otherwise) are for running errands. The implication is that, while ride-hailing provides more access to activity opportunities, it is also not the most convenient for running errands. This is perhaps because running errands typically involves chaining of multiple activities in the same sojourn from home and/or involves carrying and storing food and other perishable goods during the trip, and ride-hailing is not the most convenient because it is more of a pure trip-based consumption service as opposed to a broader transportation option that allows a cost-effective time-based consumption service (in which the same vehicle is available to pursue multiple activities and over an extended period of time). Perhaps ride-hailing providers need to be thinking about providing a time-based option too, which effectively would combine today’s ride-hailing and car-sharing services into one service. As the mobility landscape moves more toward automated vehicles, this integration of trip-based and time-based consumption options may become even easier to implement. </w:t>
      </w:r>
    </w:p>
    <w:p w14:paraId="567F295B" w14:textId="77777777" w:rsidR="006262BE" w:rsidRPr="006262BE" w:rsidRDefault="006262BE" w:rsidP="006262BE"/>
    <w:p w14:paraId="6D5EBC71" w14:textId="67627560" w:rsidR="000B2B21" w:rsidRDefault="000B2B21" w:rsidP="00871C66">
      <w:pPr>
        <w:pStyle w:val="Heading2"/>
        <w:numPr>
          <w:ilvl w:val="1"/>
          <w:numId w:val="1"/>
        </w:numPr>
        <w:spacing w:before="0"/>
      </w:pPr>
      <w:r>
        <w:lastRenderedPageBreak/>
        <w:t>Relationship with Transit and Active Travel</w:t>
      </w:r>
    </w:p>
    <w:p w14:paraId="514AFC10" w14:textId="54F439E6" w:rsidR="00E75140" w:rsidRDefault="00E75140" w:rsidP="00E75140">
      <w:r>
        <w:t>The results</w:t>
      </w:r>
      <w:r w:rsidR="00682F3B">
        <w:t xml:space="preserve"> relative to substitution of </w:t>
      </w:r>
      <w:r w:rsidR="00DC1BB2">
        <w:t xml:space="preserve">transit and </w:t>
      </w:r>
      <w:r w:rsidR="00682F3B">
        <w:t>active</w:t>
      </w:r>
      <w:r w:rsidR="00DC1BB2">
        <w:t xml:space="preserve"> travel by ride-hailing trips </w:t>
      </w:r>
      <w:r>
        <w:t xml:space="preserve">provide </w:t>
      </w:r>
      <w:r w:rsidR="00DC1BB2">
        <w:t xml:space="preserve">relevant </w:t>
      </w:r>
      <w:r>
        <w:t>insights</w:t>
      </w:r>
      <w:r w:rsidR="007D5D82">
        <w:t xml:space="preserve"> for the planning of multi-modal urban transportation systems.</w:t>
      </w:r>
      <w:r>
        <w:t xml:space="preserve"> First, the results reveal that people of age younger than 65 years of age are more likely than those 65 years of age or older to substitute active travel/transit by ride-hailing. This can further reduce the physical activity levels of individuals, and pose additional public health problems given that regular physical activity levels have now been proven to be effective as preventive medicine for a number of obesity-related diseases (Ku et al., 2018; Stamat</w:t>
      </w:r>
      <w:r w:rsidR="00C12C70">
        <w:t>a</w:t>
      </w:r>
      <w:r>
        <w:t>k</w:t>
      </w:r>
      <w:r w:rsidR="00C12C70">
        <w:t>i</w:t>
      </w:r>
      <w:r>
        <w:t xml:space="preserve">s et al., 2018). This is particularly of concern, since about 85.5% of the US population is under the age of 65 years (U.S. Census Bureau, 2018e) and obesity-related problems earlier on in life do lead to poor health outcomes later on in life (Cheng et al., 2016; Zheng et al., 2017). Thus, from both a traffic congestion standpoint as well as a health standpoint, policies that discourage the substitution of short-distance </w:t>
      </w:r>
      <w:r w:rsidR="00AC3566">
        <w:t>“</w:t>
      </w:r>
      <w:r>
        <w:t xml:space="preserve">walkable” trips by ride-hailing (such as a pricing scheme that more heavily prices the first mile, except if the patron is mobility-challenged) would be particularly valuable. Second, pooled ride-hailing users are more likely to have been drawn away from transit and active travel. The door-to-door travel convenience and relatively low-cost differential (between pooled ride-hailing and transit) appears to lead to the substitution of transit by ride-hailing (see also Clewlow and Mishra, 2017). Of course, to increase the efficiency and sustainability of a </w:t>
      </w:r>
      <w:r w:rsidR="00E73AAE">
        <w:t>multi-modal transportation</w:t>
      </w:r>
      <w:r>
        <w:t xml:space="preserve"> system, the relationship between (pooled) ride-hailing and transit should be one of complementarity rather than substitution. Yet, it is reasonable to expect that a service that can be used for door-to-door trips will not be used for first- and last-mile connectivity to transit hubs, unless low cost and well-integrated systems are designed.</w:t>
      </w:r>
    </w:p>
    <w:p w14:paraId="473DE49A" w14:textId="77777777" w:rsidR="006262BE" w:rsidRPr="006262BE" w:rsidRDefault="006262BE" w:rsidP="006262BE"/>
    <w:p w14:paraId="76961C92" w14:textId="2C77C409" w:rsidR="001B762D" w:rsidRDefault="001B762D" w:rsidP="00871C66">
      <w:pPr>
        <w:pStyle w:val="Heading2"/>
        <w:numPr>
          <w:ilvl w:val="1"/>
          <w:numId w:val="1"/>
        </w:numPr>
        <w:spacing w:before="0"/>
      </w:pPr>
      <w:r>
        <w:t>Latent Demand and Trip Induction</w:t>
      </w:r>
    </w:p>
    <w:p w14:paraId="4972BB18" w14:textId="3DB21CE3" w:rsidR="00537220" w:rsidRDefault="006B08C1" w:rsidP="00E75140">
      <w:pPr>
        <w:autoSpaceDE w:val="0"/>
        <w:autoSpaceDN w:val="0"/>
        <w:adjustRightInd w:val="0"/>
        <w:rPr>
          <w:rFonts w:ascii="Georgia" w:hAnsi="Georgia" w:cs="Georgia"/>
          <w:sz w:val="22"/>
        </w:rPr>
      </w:pPr>
      <w:r>
        <w:t xml:space="preserve">Finally, </w:t>
      </w:r>
      <w:r w:rsidR="0092625D">
        <w:t>our results point that the ride-hailing induced trips (trips that would not have been p</w:t>
      </w:r>
      <w:r w:rsidR="000A7EC9">
        <w:t xml:space="preserve">ursue if ride-hailing were not available) </w:t>
      </w:r>
      <w:r w:rsidR="0092625D">
        <w:t>observed in our sample</w:t>
      </w:r>
      <w:r w:rsidR="007E5399">
        <w:t xml:space="preserve"> may be </w:t>
      </w:r>
      <w:r w:rsidR="00942573">
        <w:t xml:space="preserve">a significant point of concern for future planning. This is because they are being generated by household with already high </w:t>
      </w:r>
      <w:r w:rsidR="00A83E3B">
        <w:t>vehicle availability in suburban and urban areas</w:t>
      </w:r>
      <w:r w:rsidR="001864CB">
        <w:t xml:space="preserve">, </w:t>
      </w:r>
      <w:r w:rsidR="00537220">
        <w:t>serve a single passenger, and occur in the morning commute period as well as the mid-day and night periods (see the last column of Table 7</w:t>
      </w:r>
      <w:r w:rsidR="007347A8">
        <w:t>b</w:t>
      </w:r>
      <w:r w:rsidR="00537220">
        <w:t>). In other words, ride-hailing is generating more “drive alone” trips in the already-congested suburban and urban areas of the DFW area</w:t>
      </w:r>
      <w:r w:rsidR="00EC44BD">
        <w:t xml:space="preserve"> to serve individuals that already </w:t>
      </w:r>
      <w:r w:rsidR="00170FF0">
        <w:t>have the resources to</w:t>
      </w:r>
      <w:r w:rsidR="008932CB">
        <w:t xml:space="preserve"> undertake drive-alone trips</w:t>
      </w:r>
      <w:r w:rsidR="00537220">
        <w:t xml:space="preserve">, contrary to the main transportation and environmental goals of </w:t>
      </w:r>
      <w:r w:rsidR="000770AE">
        <w:t xml:space="preserve">sustainable </w:t>
      </w:r>
      <w:r w:rsidR="00EC44BD">
        <w:t xml:space="preserve">and equitable </w:t>
      </w:r>
      <w:r w:rsidR="000770AE">
        <w:t>urban</w:t>
      </w:r>
      <w:r w:rsidR="00537220">
        <w:t xml:space="preserve"> systems. This is a serious concern in an era of dwindling real estate and financial assets to build new roads, along with increasing urban populations. </w:t>
      </w:r>
      <w:r w:rsidR="00606DBA">
        <w:t>In this sense, t</w:t>
      </w:r>
      <w:r w:rsidR="00537220">
        <w:t xml:space="preserve">here is a need for more consideration of congestion pricing schemes that discourage private ride-hailing (especially in the morning commute period), as well as a need to re-visit the </w:t>
      </w:r>
      <w:r w:rsidR="00537220">
        <w:lastRenderedPageBreak/>
        <w:t>criteria and fee structure for the use of managed lanes (for example, a high-occupancy vehicle may have to be defined as 3+ individuals in the vehicle as opposed to 2+).</w:t>
      </w:r>
      <w:r w:rsidR="00537220" w:rsidRPr="00E75140">
        <w:rPr>
          <w:rFonts w:ascii="Georgia" w:hAnsi="Georgia" w:cs="Georgia"/>
          <w:sz w:val="22"/>
        </w:rPr>
        <w:t xml:space="preserve"> </w:t>
      </w:r>
    </w:p>
    <w:p w14:paraId="76B847FB" w14:textId="77777777" w:rsidR="008932CB" w:rsidRPr="00E75140" w:rsidRDefault="008932CB" w:rsidP="00E75140">
      <w:pPr>
        <w:autoSpaceDE w:val="0"/>
        <w:autoSpaceDN w:val="0"/>
        <w:adjustRightInd w:val="0"/>
        <w:rPr>
          <w:rFonts w:ascii="Georgia" w:hAnsi="Georgia" w:cs="Georgia"/>
          <w:sz w:val="22"/>
        </w:rPr>
      </w:pPr>
    </w:p>
    <w:p w14:paraId="463BAEEA" w14:textId="4DE97CBB" w:rsidR="001B762D" w:rsidRDefault="001B762D" w:rsidP="00871C66">
      <w:pPr>
        <w:pStyle w:val="Heading2"/>
        <w:numPr>
          <w:ilvl w:val="1"/>
          <w:numId w:val="1"/>
        </w:numPr>
        <w:spacing w:before="0"/>
      </w:pPr>
      <w:r>
        <w:t>Conclusion</w:t>
      </w:r>
    </w:p>
    <w:p w14:paraId="585D8813" w14:textId="0889BFC3" w:rsidR="00B449F0" w:rsidRDefault="00FD285D" w:rsidP="00FA52ED">
      <w:r>
        <w:t xml:space="preserve">This study provided </w:t>
      </w:r>
      <w:r w:rsidR="00575672">
        <w:t>relevant</w:t>
      </w:r>
      <w:r>
        <w:t xml:space="preserve"> </w:t>
      </w:r>
      <w:r w:rsidR="00D17B37">
        <w:t>insight</w:t>
      </w:r>
      <w:r w:rsidR="00B231B6">
        <w:t>s</w:t>
      </w:r>
      <w:r w:rsidR="00D17B37">
        <w:t xml:space="preserve"> on current ride-hailing adoption and usage as well as </w:t>
      </w:r>
      <w:r w:rsidR="008D66DE">
        <w:t xml:space="preserve">possible </w:t>
      </w:r>
      <w:r w:rsidR="00A9130E">
        <w:t xml:space="preserve">aspects that should be considered when </w:t>
      </w:r>
      <w:r w:rsidR="00E775E8">
        <w:t xml:space="preserve">planning </w:t>
      </w:r>
      <w:r w:rsidR="00985D9E">
        <w:t>to incorporate these s</w:t>
      </w:r>
      <w:r w:rsidR="00CF698F">
        <w:t xml:space="preserve">ervices within the bigger picture of urban transportation. </w:t>
      </w:r>
      <w:r w:rsidR="00575672">
        <w:t>Nevertheless, the current study</w:t>
      </w:r>
      <w:r w:rsidR="00FD217C">
        <w:t xml:space="preserve"> also contain</w:t>
      </w:r>
      <w:r w:rsidR="001D575E">
        <w:t>s</w:t>
      </w:r>
      <w:r w:rsidR="00FD217C">
        <w:t xml:space="preserve"> many limitations that need to be stressed and potentially addressed </w:t>
      </w:r>
      <w:r w:rsidR="00D1384A">
        <w:t xml:space="preserve">by future research. </w:t>
      </w:r>
      <w:r w:rsidR="001D575E" w:rsidRPr="0042126F">
        <w:rPr>
          <w:u w:val="single"/>
        </w:rPr>
        <w:t>First</w:t>
      </w:r>
      <w:r w:rsidR="001D575E">
        <w:t>, the sample investigate</w:t>
      </w:r>
      <w:r w:rsidR="00872988">
        <w:t>d</w:t>
      </w:r>
      <w:r w:rsidR="001D575E">
        <w:t xml:space="preserve"> is not representative of the DFW</w:t>
      </w:r>
      <w:r w:rsidR="0042126F">
        <w:t xml:space="preserve"> population</w:t>
      </w:r>
      <w:r w:rsidR="001D575E">
        <w:t xml:space="preserve"> and </w:t>
      </w:r>
      <w:r w:rsidR="000D078B">
        <w:t xml:space="preserve">excludes non-commuters. </w:t>
      </w:r>
      <w:r w:rsidR="005D42E9">
        <w:t xml:space="preserve">Understanding the </w:t>
      </w:r>
      <w:r w:rsidR="001822A2">
        <w:t xml:space="preserve">ride-hailing travel behavior of </w:t>
      </w:r>
      <w:r w:rsidR="005D42E9">
        <w:t xml:space="preserve">the population as a </w:t>
      </w:r>
      <w:r w:rsidR="0042126F">
        <w:t>wh</w:t>
      </w:r>
      <w:r w:rsidR="005D42E9">
        <w:t xml:space="preserve">ole, including all segments, </w:t>
      </w:r>
      <w:r w:rsidR="0031564A">
        <w:t xml:space="preserve">is extremely important from </w:t>
      </w:r>
      <w:r w:rsidR="001822A2">
        <w:t>a transportation policy standpoint</w:t>
      </w:r>
      <w:r w:rsidR="0031564A">
        <w:t xml:space="preserve"> and thus, more comprehensive </w:t>
      </w:r>
      <w:r w:rsidR="00182BB9">
        <w:t xml:space="preserve">samples should be considered by new studies. </w:t>
      </w:r>
      <w:r w:rsidR="00511C4F" w:rsidRPr="0042126F">
        <w:rPr>
          <w:u w:val="single"/>
        </w:rPr>
        <w:t>Second</w:t>
      </w:r>
      <w:r w:rsidR="009F4C66">
        <w:t xml:space="preserve">, </w:t>
      </w:r>
      <w:r w:rsidR="001B0B03">
        <w:t xml:space="preserve">with the </w:t>
      </w:r>
      <w:r w:rsidR="00511C4F">
        <w:t xml:space="preserve">still recent </w:t>
      </w:r>
      <w:r w:rsidR="001B0B03">
        <w:t xml:space="preserve">growth </w:t>
      </w:r>
      <w:r w:rsidR="00511C4F">
        <w:t>of ride-hailing</w:t>
      </w:r>
      <w:r w:rsidR="00B11342">
        <w:t xml:space="preserve">, it is plausible that many of the </w:t>
      </w:r>
      <w:r w:rsidR="00A05F61">
        <w:t xml:space="preserve">currently </w:t>
      </w:r>
      <w:r w:rsidR="00801C15">
        <w:t xml:space="preserve">ride-hailing users are </w:t>
      </w:r>
      <w:r w:rsidR="000D4890">
        <w:t xml:space="preserve">early adopters and the </w:t>
      </w:r>
      <w:r w:rsidR="00B11342">
        <w:t xml:space="preserve">observed </w:t>
      </w:r>
      <w:r w:rsidR="000D4890">
        <w:t xml:space="preserve">behaviors reflect an adaptation </w:t>
      </w:r>
      <w:r w:rsidR="00C825A5">
        <w:t xml:space="preserve">to the new service. </w:t>
      </w:r>
      <w:r w:rsidR="00FB2F91">
        <w:t>Therefore, a</w:t>
      </w:r>
      <w:r w:rsidR="00C825A5">
        <w:t xml:space="preserve">s ride-hailing becomes a reality to </w:t>
      </w:r>
      <w:r w:rsidR="008C3AEB">
        <w:t>most of</w:t>
      </w:r>
      <w:r w:rsidR="00C825A5">
        <w:t xml:space="preserve"> the population, </w:t>
      </w:r>
      <w:r w:rsidR="009C4643">
        <w:t xml:space="preserve">the overall </w:t>
      </w:r>
      <w:r w:rsidR="00AF4BAA">
        <w:t xml:space="preserve">characteristics of ride-hailing users and their trip characteristics may </w:t>
      </w:r>
      <w:r w:rsidR="008C3AEB">
        <w:t xml:space="preserve">significantly </w:t>
      </w:r>
      <w:r w:rsidR="00FB2F91">
        <w:t>differ from the current observations.</w:t>
      </w:r>
      <w:r w:rsidR="008C3AEB">
        <w:t xml:space="preserve"> </w:t>
      </w:r>
      <w:r w:rsidR="00FA52ED">
        <w:rPr>
          <w:u w:val="single"/>
        </w:rPr>
        <w:t>Third</w:t>
      </w:r>
      <w:r w:rsidR="00C86233">
        <w:t xml:space="preserve">, </w:t>
      </w:r>
      <w:r w:rsidR="008C3AEB">
        <w:t>t</w:t>
      </w:r>
      <w:r w:rsidR="00D2300C">
        <w:t>he trip-level model in this paper is more of an exploratory nature, and thus</w:t>
      </w:r>
      <w:r w:rsidR="00991514">
        <w:t>,</w:t>
      </w:r>
      <w:r w:rsidR="00D2300C">
        <w:t xml:space="preserve"> the variable effects on the many dimensions of ride-hailing should be viewed with much more caution than for the individual-level model. </w:t>
      </w:r>
      <w:r w:rsidR="001411DB">
        <w:t xml:space="preserve">As discussed earlier, </w:t>
      </w:r>
      <w:r w:rsidR="009C38C0">
        <w:t xml:space="preserve">the impact of socio-demographics on general activity-travel patterns may be confounded with </w:t>
      </w:r>
      <w:r w:rsidR="00784510">
        <w:t xml:space="preserve">ride-hailing trip characteristics in some </w:t>
      </w:r>
      <w:r w:rsidR="00991514">
        <w:t>of the observed effects</w:t>
      </w:r>
      <w:r w:rsidR="00784510">
        <w:t xml:space="preserve">. </w:t>
      </w:r>
      <w:r w:rsidR="00991514">
        <w:t>To</w:t>
      </w:r>
      <w:r w:rsidR="00C26CCC">
        <w:t xml:space="preserve"> generate predictive models, f</w:t>
      </w:r>
      <w:r w:rsidR="00784510">
        <w:t>uture studies should seek to me</w:t>
      </w:r>
      <w:r w:rsidR="002022C2">
        <w:t xml:space="preserve">asure ride-hailing behavior within the broader </w:t>
      </w:r>
      <w:r w:rsidR="00627119">
        <w:t>picture of activity scheduling and mode choice</w:t>
      </w:r>
      <w:r w:rsidR="00C26CCC">
        <w:t xml:space="preserve"> (including </w:t>
      </w:r>
      <w:r w:rsidR="007B05C9">
        <w:t>mode and trip attributes)</w:t>
      </w:r>
      <w:r w:rsidR="002F4DA3">
        <w:t xml:space="preserve">, while also measuring </w:t>
      </w:r>
      <w:r w:rsidR="00C26CCC">
        <w:t xml:space="preserve">built-environment </w:t>
      </w:r>
      <w:r w:rsidR="00B40083">
        <w:t xml:space="preserve">characteristics. Indeed, our result that the key ingredient to pooled ride-hailing use is still urban density, even after accounting for self-selection effects and considering that our area of analysis has a high share of suburban land (DFW), points to the importance of </w:t>
      </w:r>
      <w:r w:rsidR="00C0729E">
        <w:t>including more detailed built-environment variables in future models.</w:t>
      </w:r>
      <w:r w:rsidR="00D03ED2">
        <w:t xml:space="preserve"> </w:t>
      </w:r>
      <w:r w:rsidR="00F85638" w:rsidRPr="00F771A5">
        <w:rPr>
          <w:u w:val="single"/>
        </w:rPr>
        <w:t>Finally</w:t>
      </w:r>
      <w:r w:rsidR="00F85638">
        <w:t>, i</w:t>
      </w:r>
      <w:r w:rsidR="00B449F0">
        <w:t xml:space="preserve">t is important for planning agencies to collect data on ride-hailing and incorporate ride-hailing behavior within their activity-travel modeling systems. Doing so is not only important for forecasting activity-travel patterns, but also to design good </w:t>
      </w:r>
      <w:r w:rsidR="00D2300C">
        <w:t>multi-modal</w:t>
      </w:r>
      <w:r w:rsidR="00B449F0">
        <w:t xml:space="preserve"> systems through an understanding of how ride-hailing may be integrated with other travel modes. </w:t>
      </w:r>
    </w:p>
    <w:p w14:paraId="24CB4472" w14:textId="77777777" w:rsidR="007B5555" w:rsidRDefault="007B5555" w:rsidP="00C95BE5">
      <w:pPr>
        <w:ind w:firstLine="720"/>
      </w:pPr>
    </w:p>
    <w:p w14:paraId="4ACAD0DB" w14:textId="77777777" w:rsidR="00F62DC0" w:rsidRPr="00F62DC0" w:rsidRDefault="00F62DC0" w:rsidP="00F62DC0">
      <w:pPr>
        <w:rPr>
          <w:b/>
        </w:rPr>
      </w:pPr>
      <w:r w:rsidRPr="00F62DC0">
        <w:rPr>
          <w:b/>
        </w:rPr>
        <w:t xml:space="preserve">ACKNOWLEDGEMENTS </w:t>
      </w:r>
    </w:p>
    <w:p w14:paraId="4AAF8CEA" w14:textId="1B75B21D" w:rsidR="001573BA" w:rsidRDefault="00E30EC3" w:rsidP="00C95BE5">
      <w:pPr>
        <w:rPr>
          <w:b/>
        </w:rPr>
      </w:pPr>
      <w:r>
        <w:t>This research was partially supported by Cintra and the U.S. Department of Transportation through the Data-Supported Transportation Operations and Planning (D-STOP) Tier 1 University Transportation Center</w:t>
      </w:r>
      <w:r w:rsidR="00F62DC0">
        <w:t xml:space="preserve">. The first author acknowledges funding support from CAPES and the </w:t>
      </w:r>
      <w:r w:rsidR="00FC44EB">
        <w:t>Brazilian International Mobility Pr</w:t>
      </w:r>
      <w:r w:rsidR="00FC44EB">
        <w:t>ogram "Ciência sem Fronteiras"</w:t>
      </w:r>
      <w:r>
        <w:t xml:space="preserve">. </w:t>
      </w:r>
      <w:r w:rsidR="00F62DC0">
        <w:t xml:space="preserve">The authors are grateful to </w:t>
      </w:r>
      <w:r w:rsidR="00F62DC0">
        <w:lastRenderedPageBreak/>
        <w:t>Lisa Macias for her help in formatting this document.</w:t>
      </w:r>
      <w:r w:rsidR="001573BA">
        <w:t xml:space="preserve"> Two anonymous reviewers provided</w:t>
      </w:r>
      <w:r w:rsidR="001573BA" w:rsidRPr="001573BA">
        <w:rPr>
          <w:color w:val="000000"/>
        </w:rPr>
        <w:t xml:space="preserve"> </w:t>
      </w:r>
      <w:r w:rsidR="001573BA">
        <w:rPr>
          <w:color w:val="000000"/>
        </w:rPr>
        <w:t>useful comments on an earlier version of this paper.</w:t>
      </w:r>
      <w:r w:rsidR="001573BA">
        <w:rPr>
          <w:b/>
        </w:rPr>
        <w:t xml:space="preserve"> </w:t>
      </w:r>
    </w:p>
    <w:p w14:paraId="341200A3" w14:textId="77777777" w:rsidR="00081C92" w:rsidRDefault="00081C92" w:rsidP="00C95BE5">
      <w:pPr>
        <w:rPr>
          <w:b/>
        </w:rPr>
      </w:pPr>
    </w:p>
    <w:p w14:paraId="55C1815E" w14:textId="3CA8D577" w:rsidR="000C7444" w:rsidRPr="00081C92" w:rsidRDefault="000C7444" w:rsidP="00C95BE5">
      <w:pPr>
        <w:rPr>
          <w:b/>
        </w:rPr>
      </w:pPr>
      <w:r>
        <w:rPr>
          <w:b/>
        </w:rPr>
        <w:t>REFERENCES</w:t>
      </w:r>
    </w:p>
    <w:p w14:paraId="4EC1C522" w14:textId="15187E32" w:rsidR="00767990" w:rsidRPr="00F525B1" w:rsidRDefault="0042587B" w:rsidP="00767990">
      <w:pPr>
        <w:spacing w:line="240" w:lineRule="auto"/>
        <w:ind w:left="360" w:hanging="360"/>
        <w:rPr>
          <w:rFonts w:cs="Times New Roman"/>
          <w:szCs w:val="24"/>
          <w:shd w:val="clear" w:color="auto" w:fill="FFFFFF"/>
        </w:rPr>
      </w:pPr>
      <w:r w:rsidRPr="00F525B1">
        <w:rPr>
          <w:rFonts w:cs="Times New Roman"/>
          <w:szCs w:val="24"/>
          <w:shd w:val="clear" w:color="auto" w:fill="FFFFFF"/>
        </w:rPr>
        <w:t>Alemi, F</w:t>
      </w:r>
      <w:r w:rsidR="00767990" w:rsidRPr="00F525B1">
        <w:rPr>
          <w:rFonts w:cs="Times New Roman"/>
          <w:szCs w:val="24"/>
          <w:shd w:val="clear" w:color="auto" w:fill="FFFFFF"/>
        </w:rPr>
        <w:t xml:space="preserve">., Circella, G., Mokhtarian, P., </w:t>
      </w:r>
      <w:r w:rsidRPr="00F525B1">
        <w:rPr>
          <w:rFonts w:cs="Times New Roman"/>
          <w:szCs w:val="24"/>
          <w:shd w:val="clear" w:color="auto" w:fill="FFFFFF"/>
        </w:rPr>
        <w:t>Handy, S., 2018a. </w:t>
      </w:r>
      <w:r w:rsidRPr="00F525B1">
        <w:rPr>
          <w:rFonts w:cs="Times New Roman"/>
          <w:iCs/>
          <w:szCs w:val="24"/>
          <w:shd w:val="clear" w:color="auto" w:fill="FFFFFF"/>
        </w:rPr>
        <w:t xml:space="preserve">On-demand </w:t>
      </w:r>
      <w:r w:rsidR="00146C2F" w:rsidRPr="00F525B1">
        <w:rPr>
          <w:rFonts w:cs="Times New Roman"/>
          <w:iCs/>
          <w:szCs w:val="24"/>
          <w:shd w:val="clear" w:color="auto" w:fill="FFFFFF"/>
        </w:rPr>
        <w:t>r</w:t>
      </w:r>
      <w:r w:rsidRPr="00F525B1">
        <w:rPr>
          <w:rFonts w:cs="Times New Roman"/>
          <w:iCs/>
          <w:szCs w:val="24"/>
          <w:shd w:val="clear" w:color="auto" w:fill="FFFFFF"/>
        </w:rPr>
        <w:t xml:space="preserve">ide </w:t>
      </w:r>
      <w:r w:rsidR="00146C2F" w:rsidRPr="00F525B1">
        <w:rPr>
          <w:rFonts w:cs="Times New Roman"/>
          <w:iCs/>
          <w:szCs w:val="24"/>
          <w:shd w:val="clear" w:color="auto" w:fill="FFFFFF"/>
        </w:rPr>
        <w:t>s</w:t>
      </w:r>
      <w:r w:rsidRPr="00F525B1">
        <w:rPr>
          <w:rFonts w:cs="Times New Roman"/>
          <w:iCs/>
          <w:szCs w:val="24"/>
          <w:shd w:val="clear" w:color="auto" w:fill="FFFFFF"/>
        </w:rPr>
        <w:t xml:space="preserve">ervices in California: Investigating the </w:t>
      </w:r>
      <w:r w:rsidR="00146C2F" w:rsidRPr="00F525B1">
        <w:rPr>
          <w:rFonts w:cs="Times New Roman"/>
          <w:iCs/>
          <w:szCs w:val="24"/>
          <w:shd w:val="clear" w:color="auto" w:fill="FFFFFF"/>
        </w:rPr>
        <w:t>f</w:t>
      </w:r>
      <w:r w:rsidRPr="00F525B1">
        <w:rPr>
          <w:rFonts w:cs="Times New Roman"/>
          <w:iCs/>
          <w:szCs w:val="24"/>
          <w:shd w:val="clear" w:color="auto" w:fill="FFFFFF"/>
        </w:rPr>
        <w:t xml:space="preserve">actors </w:t>
      </w:r>
      <w:r w:rsidR="00146C2F" w:rsidRPr="00F525B1">
        <w:rPr>
          <w:rFonts w:cs="Times New Roman"/>
          <w:iCs/>
          <w:szCs w:val="24"/>
          <w:shd w:val="clear" w:color="auto" w:fill="FFFFFF"/>
        </w:rPr>
        <w:t>a</w:t>
      </w:r>
      <w:r w:rsidRPr="00F525B1">
        <w:rPr>
          <w:rFonts w:cs="Times New Roman"/>
          <w:iCs/>
          <w:szCs w:val="24"/>
          <w:shd w:val="clear" w:color="auto" w:fill="FFFFFF"/>
        </w:rPr>
        <w:t xml:space="preserve">ffecting the </w:t>
      </w:r>
      <w:r w:rsidR="00146C2F" w:rsidRPr="00F525B1">
        <w:rPr>
          <w:rFonts w:cs="Times New Roman"/>
          <w:iCs/>
          <w:szCs w:val="24"/>
          <w:shd w:val="clear" w:color="auto" w:fill="FFFFFF"/>
        </w:rPr>
        <w:t>f</w:t>
      </w:r>
      <w:r w:rsidRPr="00F525B1">
        <w:rPr>
          <w:rFonts w:cs="Times New Roman"/>
          <w:iCs/>
          <w:szCs w:val="24"/>
          <w:shd w:val="clear" w:color="auto" w:fill="FFFFFF"/>
        </w:rPr>
        <w:t xml:space="preserve">requency of </w:t>
      </w:r>
      <w:r w:rsidR="00146C2F" w:rsidRPr="00F525B1">
        <w:rPr>
          <w:rFonts w:cs="Times New Roman"/>
          <w:iCs/>
          <w:szCs w:val="24"/>
          <w:shd w:val="clear" w:color="auto" w:fill="FFFFFF"/>
        </w:rPr>
        <w:t>u</w:t>
      </w:r>
      <w:r w:rsidRPr="00F525B1">
        <w:rPr>
          <w:rFonts w:cs="Times New Roman"/>
          <w:iCs/>
          <w:szCs w:val="24"/>
          <w:shd w:val="clear" w:color="auto" w:fill="FFFFFF"/>
        </w:rPr>
        <w:t>se of Uber/Lyft</w:t>
      </w:r>
      <w:r w:rsidR="005223EE" w:rsidRPr="00F525B1">
        <w:rPr>
          <w:rFonts w:cs="Times New Roman"/>
          <w:iCs/>
          <w:szCs w:val="24"/>
          <w:shd w:val="clear" w:color="auto" w:fill="FFFFFF"/>
        </w:rPr>
        <w:t>.</w:t>
      </w:r>
      <w:r w:rsidR="005223EE" w:rsidRPr="00F525B1">
        <w:rPr>
          <w:rFonts w:cs="Times New Roman"/>
          <w:szCs w:val="24"/>
          <w:shd w:val="clear" w:color="auto" w:fill="FFFFFF"/>
        </w:rPr>
        <w:t xml:space="preserve"> </w:t>
      </w:r>
      <w:r w:rsidR="00767990" w:rsidRPr="00F525B1">
        <w:rPr>
          <w:rFonts w:cs="Times New Roman"/>
          <w:szCs w:val="24"/>
          <w:shd w:val="clear" w:color="auto" w:fill="FFFFFF"/>
        </w:rPr>
        <w:t>Presented at the 97th Annual Meeting of the Transportation Research Board, Washington, D.C., January, Paper No. 18-05563.</w:t>
      </w:r>
    </w:p>
    <w:p w14:paraId="00B6BCB0" w14:textId="13C01C41" w:rsidR="00664774" w:rsidRPr="00F525B1" w:rsidRDefault="00664774" w:rsidP="00664774">
      <w:pPr>
        <w:spacing w:line="240" w:lineRule="auto"/>
        <w:ind w:left="360" w:hanging="360"/>
        <w:rPr>
          <w:rFonts w:cs="Times New Roman"/>
          <w:szCs w:val="24"/>
          <w:shd w:val="clear" w:color="auto" w:fill="FFFFFF"/>
        </w:rPr>
      </w:pPr>
      <w:r w:rsidRPr="00F525B1">
        <w:rPr>
          <w:rFonts w:cs="Times New Roman"/>
          <w:szCs w:val="24"/>
          <w:shd w:val="clear" w:color="auto" w:fill="FFFFFF"/>
        </w:rPr>
        <w:t>Ale</w:t>
      </w:r>
      <w:r w:rsidR="00F525B1">
        <w:rPr>
          <w:rFonts w:cs="Times New Roman"/>
          <w:szCs w:val="24"/>
          <w:shd w:val="clear" w:color="auto" w:fill="FFFFFF"/>
        </w:rPr>
        <w:t xml:space="preserve">mi, F., Circella, G., Handy, S., </w:t>
      </w:r>
      <w:r w:rsidRPr="00F525B1">
        <w:rPr>
          <w:rFonts w:cs="Times New Roman"/>
          <w:szCs w:val="24"/>
          <w:shd w:val="clear" w:color="auto" w:fill="FFFFFF"/>
        </w:rPr>
        <w:t xml:space="preserve">Mokhtarian, P., 2018b. What influences travelers to use Uber? Exploring the factors affecting the adoption of on-demand ride services in California. </w:t>
      </w:r>
      <w:r w:rsidRPr="00F525B1">
        <w:rPr>
          <w:rFonts w:cs="Times New Roman"/>
          <w:i/>
          <w:szCs w:val="24"/>
          <w:shd w:val="clear" w:color="auto" w:fill="FFFFFF"/>
        </w:rPr>
        <w:t>Travel Behaviour and Society</w:t>
      </w:r>
      <w:r w:rsidR="00F525B1">
        <w:rPr>
          <w:rFonts w:cs="Times New Roman"/>
          <w:szCs w:val="24"/>
          <w:shd w:val="clear" w:color="auto" w:fill="FFFFFF"/>
        </w:rPr>
        <w:t xml:space="preserve"> </w:t>
      </w:r>
      <w:r w:rsidRPr="00F525B1">
        <w:rPr>
          <w:rFonts w:cs="Times New Roman"/>
          <w:szCs w:val="24"/>
          <w:shd w:val="clear" w:color="auto" w:fill="FFFFFF"/>
        </w:rPr>
        <w:t xml:space="preserve">13, 88-104. </w:t>
      </w:r>
    </w:p>
    <w:p w14:paraId="0227418E" w14:textId="7AB69E80" w:rsidR="001877C8" w:rsidRPr="00F525B1" w:rsidRDefault="001877C8"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Alemi, F</w:t>
      </w:r>
      <w:r w:rsidR="00F525B1">
        <w:rPr>
          <w:rFonts w:cs="Times New Roman"/>
          <w:szCs w:val="24"/>
          <w:shd w:val="clear" w:color="auto" w:fill="FFFFFF"/>
        </w:rPr>
        <w:t xml:space="preserve">., Circella, G., Mokhtarian, P., </w:t>
      </w:r>
      <w:r w:rsidRPr="00F525B1">
        <w:rPr>
          <w:rFonts w:cs="Times New Roman"/>
          <w:szCs w:val="24"/>
          <w:shd w:val="clear" w:color="auto" w:fill="FFFFFF"/>
        </w:rPr>
        <w:t>Handy, S., 2018</w:t>
      </w:r>
      <w:r w:rsidR="00664774" w:rsidRPr="00F525B1">
        <w:rPr>
          <w:rFonts w:cs="Times New Roman"/>
          <w:szCs w:val="24"/>
          <w:shd w:val="clear" w:color="auto" w:fill="FFFFFF"/>
        </w:rPr>
        <w:t>c</w:t>
      </w:r>
      <w:r w:rsidRPr="00F525B1">
        <w:rPr>
          <w:rFonts w:cs="Times New Roman"/>
          <w:szCs w:val="24"/>
          <w:shd w:val="clear" w:color="auto" w:fill="FFFFFF"/>
        </w:rPr>
        <w:t>. Exploring the latent constructs behind the use of ridehailing in Californi</w:t>
      </w:r>
      <w:r w:rsidR="00F525B1">
        <w:rPr>
          <w:rFonts w:cs="Times New Roman"/>
          <w:szCs w:val="24"/>
          <w:shd w:val="clear" w:color="auto" w:fill="FFFFFF"/>
        </w:rPr>
        <w:t xml:space="preserve">a. </w:t>
      </w:r>
      <w:r w:rsidR="00F525B1" w:rsidRPr="00F525B1">
        <w:rPr>
          <w:rFonts w:cs="Times New Roman"/>
          <w:i/>
          <w:szCs w:val="24"/>
          <w:shd w:val="clear" w:color="auto" w:fill="FFFFFF"/>
        </w:rPr>
        <w:t>Journal of Choice Modelling</w:t>
      </w:r>
      <w:r w:rsidR="00F525B1">
        <w:rPr>
          <w:rFonts w:cs="Times New Roman"/>
          <w:szCs w:val="24"/>
          <w:shd w:val="clear" w:color="auto" w:fill="FFFFFF"/>
        </w:rPr>
        <w:t xml:space="preserve"> </w:t>
      </w:r>
      <w:r w:rsidRPr="00F525B1">
        <w:rPr>
          <w:rFonts w:cs="Times New Roman"/>
          <w:szCs w:val="24"/>
          <w:shd w:val="clear" w:color="auto" w:fill="FFFFFF"/>
        </w:rPr>
        <w:t xml:space="preserve">29, 47-62. </w:t>
      </w:r>
    </w:p>
    <w:p w14:paraId="441E77F8" w14:textId="6B10E4D2" w:rsidR="008A363D" w:rsidRPr="00F525B1" w:rsidRDefault="00767990"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 xml:space="preserve">Amir, O., </w:t>
      </w:r>
      <w:r w:rsidR="008A363D" w:rsidRPr="00F525B1">
        <w:rPr>
          <w:rFonts w:cs="Times New Roman"/>
          <w:szCs w:val="24"/>
          <w:shd w:val="clear" w:color="auto" w:fill="FFFFFF"/>
        </w:rPr>
        <w:t>Levav, J., 2008. Choice construction versus preference construction: The instability of preferences learned in context. </w:t>
      </w:r>
      <w:r w:rsidR="008A363D" w:rsidRPr="00F525B1">
        <w:rPr>
          <w:rFonts w:cs="Times New Roman"/>
          <w:i/>
          <w:iCs/>
          <w:szCs w:val="24"/>
          <w:shd w:val="clear" w:color="auto" w:fill="FFFFFF"/>
        </w:rPr>
        <w:t>Journal of Marketing Research</w:t>
      </w:r>
      <w:r w:rsidR="008A363D" w:rsidRPr="00F525B1">
        <w:rPr>
          <w:rFonts w:cs="Times New Roman"/>
          <w:szCs w:val="24"/>
          <w:shd w:val="clear" w:color="auto" w:fill="FFFFFF"/>
        </w:rPr>
        <w:t> </w:t>
      </w:r>
      <w:r w:rsidR="008A363D" w:rsidRPr="00F525B1">
        <w:rPr>
          <w:rFonts w:cs="Times New Roman"/>
          <w:iCs/>
          <w:szCs w:val="24"/>
          <w:shd w:val="clear" w:color="auto" w:fill="FFFFFF"/>
        </w:rPr>
        <w:t>45</w:t>
      </w:r>
      <w:r w:rsidR="008A363D" w:rsidRPr="00F525B1">
        <w:rPr>
          <w:rFonts w:cs="Times New Roman"/>
          <w:szCs w:val="24"/>
          <w:shd w:val="clear" w:color="auto" w:fill="FFFFFF"/>
        </w:rPr>
        <w:t>(2), 145-158.</w:t>
      </w:r>
    </w:p>
    <w:p w14:paraId="5FED4B85" w14:textId="5B314368" w:rsidR="00BE7430" w:rsidRPr="00F525B1" w:rsidRDefault="00372271"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Astroza, S., Garikapati, V.M., Bhat, C.R.,</w:t>
      </w:r>
      <w:r w:rsidR="00767990" w:rsidRPr="00F525B1">
        <w:rPr>
          <w:rFonts w:cs="Times New Roman"/>
          <w:szCs w:val="24"/>
          <w:shd w:val="clear" w:color="auto" w:fill="FFFFFF"/>
        </w:rPr>
        <w:t xml:space="preserve"> Pendyala, R.M., Lavieri, P.S., </w:t>
      </w:r>
      <w:r w:rsidRPr="00F525B1">
        <w:rPr>
          <w:rFonts w:cs="Times New Roman"/>
          <w:szCs w:val="24"/>
          <w:shd w:val="clear" w:color="auto" w:fill="FFFFFF"/>
        </w:rPr>
        <w:t xml:space="preserve">Dias, F.F., 2017. Analysis of the </w:t>
      </w:r>
      <w:r w:rsidR="00146C2F" w:rsidRPr="00F525B1">
        <w:rPr>
          <w:rFonts w:cs="Times New Roman"/>
          <w:szCs w:val="24"/>
          <w:shd w:val="clear" w:color="auto" w:fill="FFFFFF"/>
        </w:rPr>
        <w:t>i</w:t>
      </w:r>
      <w:r w:rsidRPr="00F525B1">
        <w:rPr>
          <w:rFonts w:cs="Times New Roman"/>
          <w:szCs w:val="24"/>
          <w:shd w:val="clear" w:color="auto" w:fill="FFFFFF"/>
        </w:rPr>
        <w:t xml:space="preserve">mpact of </w:t>
      </w:r>
      <w:r w:rsidR="00146C2F" w:rsidRPr="00F525B1">
        <w:rPr>
          <w:rFonts w:cs="Times New Roman"/>
          <w:szCs w:val="24"/>
          <w:shd w:val="clear" w:color="auto" w:fill="FFFFFF"/>
        </w:rPr>
        <w:t>t</w:t>
      </w:r>
      <w:r w:rsidRPr="00F525B1">
        <w:rPr>
          <w:rFonts w:cs="Times New Roman"/>
          <w:szCs w:val="24"/>
          <w:shd w:val="clear" w:color="auto" w:fill="FFFFFF"/>
        </w:rPr>
        <w:t xml:space="preserve">echnology </w:t>
      </w:r>
      <w:r w:rsidR="00146C2F" w:rsidRPr="00F525B1">
        <w:rPr>
          <w:rFonts w:cs="Times New Roman"/>
          <w:szCs w:val="24"/>
          <w:shd w:val="clear" w:color="auto" w:fill="FFFFFF"/>
        </w:rPr>
        <w:t>u</w:t>
      </w:r>
      <w:r w:rsidRPr="00F525B1">
        <w:rPr>
          <w:rFonts w:cs="Times New Roman"/>
          <w:szCs w:val="24"/>
          <w:shd w:val="clear" w:color="auto" w:fill="FFFFFF"/>
        </w:rPr>
        <w:t xml:space="preserve">se on </w:t>
      </w:r>
      <w:r w:rsidR="00146C2F" w:rsidRPr="00F525B1">
        <w:rPr>
          <w:rFonts w:cs="Times New Roman"/>
          <w:szCs w:val="24"/>
          <w:shd w:val="clear" w:color="auto" w:fill="FFFFFF"/>
        </w:rPr>
        <w:t>m</w:t>
      </w:r>
      <w:r w:rsidRPr="00F525B1">
        <w:rPr>
          <w:rFonts w:cs="Times New Roman"/>
          <w:szCs w:val="24"/>
          <w:shd w:val="clear" w:color="auto" w:fill="FFFFFF"/>
        </w:rPr>
        <w:t xml:space="preserve">ultimodality and </w:t>
      </w:r>
      <w:r w:rsidR="00146C2F" w:rsidRPr="00F525B1">
        <w:rPr>
          <w:rFonts w:cs="Times New Roman"/>
          <w:szCs w:val="24"/>
          <w:shd w:val="clear" w:color="auto" w:fill="FFFFFF"/>
        </w:rPr>
        <w:t>a</w:t>
      </w:r>
      <w:r w:rsidRPr="00F525B1">
        <w:rPr>
          <w:rFonts w:cs="Times New Roman"/>
          <w:szCs w:val="24"/>
          <w:shd w:val="clear" w:color="auto" w:fill="FFFFFF"/>
        </w:rPr>
        <w:t xml:space="preserve">ctivity </w:t>
      </w:r>
      <w:r w:rsidR="00146C2F" w:rsidRPr="00F525B1">
        <w:rPr>
          <w:rFonts w:cs="Times New Roman"/>
          <w:szCs w:val="24"/>
          <w:shd w:val="clear" w:color="auto" w:fill="FFFFFF"/>
        </w:rPr>
        <w:t>t</w:t>
      </w:r>
      <w:r w:rsidRPr="00F525B1">
        <w:rPr>
          <w:rFonts w:cs="Times New Roman"/>
          <w:szCs w:val="24"/>
          <w:shd w:val="clear" w:color="auto" w:fill="FFFFFF"/>
        </w:rPr>
        <w:t xml:space="preserve">ravel </w:t>
      </w:r>
      <w:r w:rsidR="00146C2F" w:rsidRPr="00F525B1">
        <w:rPr>
          <w:rFonts w:cs="Times New Roman"/>
          <w:szCs w:val="24"/>
          <w:shd w:val="clear" w:color="auto" w:fill="FFFFFF"/>
        </w:rPr>
        <w:t>c</w:t>
      </w:r>
      <w:r w:rsidRPr="00F525B1">
        <w:rPr>
          <w:rFonts w:cs="Times New Roman"/>
          <w:szCs w:val="24"/>
          <w:shd w:val="clear" w:color="auto" w:fill="FFFFFF"/>
        </w:rPr>
        <w:t>haracteristics. </w:t>
      </w:r>
      <w:r w:rsidRPr="00F525B1">
        <w:rPr>
          <w:rFonts w:cs="Times New Roman"/>
          <w:i/>
          <w:iCs/>
          <w:szCs w:val="24"/>
          <w:shd w:val="clear" w:color="auto" w:fill="FFFFFF"/>
        </w:rPr>
        <w:t>Transportation Research Record: Journal of the Transportation Research Board</w:t>
      </w:r>
      <w:r w:rsidR="00A85419" w:rsidRPr="00F525B1">
        <w:rPr>
          <w:rFonts w:cs="Times New Roman"/>
          <w:szCs w:val="24"/>
          <w:shd w:val="clear" w:color="auto" w:fill="FFFFFF"/>
        </w:rPr>
        <w:t xml:space="preserve"> 2666</w:t>
      </w:r>
      <w:r w:rsidRPr="00F525B1">
        <w:rPr>
          <w:rFonts w:cs="Times New Roman"/>
          <w:szCs w:val="24"/>
          <w:shd w:val="clear" w:color="auto" w:fill="FFFFFF"/>
        </w:rPr>
        <w:t>, 19-28.</w:t>
      </w:r>
    </w:p>
    <w:p w14:paraId="55C996D0" w14:textId="750936F2" w:rsidR="00FF0E12" w:rsidRPr="00F525B1" w:rsidRDefault="00FF0E12"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Astroza, S., Bhat, P</w:t>
      </w:r>
      <w:r w:rsidR="00B27251">
        <w:rPr>
          <w:rFonts w:cs="Times New Roman"/>
          <w:szCs w:val="24"/>
          <w:shd w:val="clear" w:color="auto" w:fill="FFFFFF"/>
        </w:rPr>
        <w:t xml:space="preserve">.C., Bhat, C.R., Pendyala, R.M., </w:t>
      </w:r>
      <w:r w:rsidRPr="00F525B1">
        <w:rPr>
          <w:rFonts w:cs="Times New Roman"/>
          <w:szCs w:val="24"/>
          <w:shd w:val="clear" w:color="auto" w:fill="FFFFFF"/>
        </w:rPr>
        <w:t>Garikapati, V.M., 2018. Understanding activity engagement across weekdays and weekend days: A multivariate multiple discrete-continuous modeling approach. </w:t>
      </w:r>
      <w:r w:rsidRPr="00F525B1">
        <w:rPr>
          <w:rFonts w:cs="Times New Roman"/>
          <w:i/>
          <w:iCs/>
          <w:szCs w:val="24"/>
          <w:shd w:val="clear" w:color="auto" w:fill="FFFFFF"/>
        </w:rPr>
        <w:t xml:space="preserve">Journal of </w:t>
      </w:r>
      <w:r w:rsidR="00B27251">
        <w:rPr>
          <w:rFonts w:cs="Times New Roman"/>
          <w:i/>
          <w:iCs/>
          <w:szCs w:val="24"/>
          <w:shd w:val="clear" w:color="auto" w:fill="FFFFFF"/>
        </w:rPr>
        <w:t>C</w:t>
      </w:r>
      <w:r w:rsidRPr="00F525B1">
        <w:rPr>
          <w:rFonts w:cs="Times New Roman"/>
          <w:i/>
          <w:iCs/>
          <w:szCs w:val="24"/>
          <w:shd w:val="clear" w:color="auto" w:fill="FFFFFF"/>
        </w:rPr>
        <w:t xml:space="preserve">hoice </w:t>
      </w:r>
      <w:r w:rsidR="00B27251">
        <w:rPr>
          <w:rFonts w:cs="Times New Roman"/>
          <w:i/>
          <w:iCs/>
          <w:szCs w:val="24"/>
          <w:shd w:val="clear" w:color="auto" w:fill="FFFFFF"/>
        </w:rPr>
        <w:t>M</w:t>
      </w:r>
      <w:r w:rsidRPr="00F525B1">
        <w:rPr>
          <w:rFonts w:cs="Times New Roman"/>
          <w:i/>
          <w:iCs/>
          <w:szCs w:val="24"/>
          <w:shd w:val="clear" w:color="auto" w:fill="FFFFFF"/>
        </w:rPr>
        <w:t>odelling</w:t>
      </w:r>
      <w:r w:rsidRPr="00F525B1">
        <w:rPr>
          <w:rFonts w:cs="Times New Roman"/>
          <w:szCs w:val="24"/>
          <w:shd w:val="clear" w:color="auto" w:fill="FFFFFF"/>
        </w:rPr>
        <w:t> </w:t>
      </w:r>
      <w:r w:rsidRPr="00B27251">
        <w:rPr>
          <w:rFonts w:cs="Times New Roman"/>
          <w:iCs/>
          <w:szCs w:val="24"/>
          <w:shd w:val="clear" w:color="auto" w:fill="FFFFFF"/>
        </w:rPr>
        <w:t>28</w:t>
      </w:r>
      <w:r w:rsidRPr="00F525B1">
        <w:rPr>
          <w:rFonts w:cs="Times New Roman"/>
          <w:szCs w:val="24"/>
          <w:shd w:val="clear" w:color="auto" w:fill="FFFFFF"/>
        </w:rPr>
        <w:t xml:space="preserve">, 56-70. </w:t>
      </w:r>
    </w:p>
    <w:p w14:paraId="4C17E728" w14:textId="6810563F" w:rsidR="00442D05" w:rsidRPr="00F525B1" w:rsidRDefault="00442D05"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Barlow, F.K., Paolini, S., Pedersen, A., Hornsey, M.J., Radk</w:t>
      </w:r>
      <w:r w:rsidR="00146C2F" w:rsidRPr="00F525B1">
        <w:rPr>
          <w:rFonts w:cs="Times New Roman"/>
          <w:szCs w:val="24"/>
          <w:shd w:val="clear" w:color="auto" w:fill="FFFFFF"/>
        </w:rPr>
        <w:t xml:space="preserve">e, H.R., Harwood, J., Rubin, M., </w:t>
      </w:r>
      <w:r w:rsidRPr="00F525B1">
        <w:rPr>
          <w:rFonts w:cs="Times New Roman"/>
          <w:szCs w:val="24"/>
          <w:shd w:val="clear" w:color="auto" w:fill="FFFFFF"/>
        </w:rPr>
        <w:t>Sibley, C.G., 2012. The contact caveat: Negative contact predicts increased prejudice more than positive contact predicts reduced prejudice. </w:t>
      </w:r>
      <w:r w:rsidRPr="00F525B1">
        <w:rPr>
          <w:rFonts w:cs="Times New Roman"/>
          <w:i/>
          <w:iCs/>
          <w:szCs w:val="24"/>
          <w:shd w:val="clear" w:color="auto" w:fill="FFFFFF"/>
        </w:rPr>
        <w:t>Personality and Social Psychology Bulletin</w:t>
      </w:r>
      <w:r w:rsidRPr="00F525B1">
        <w:rPr>
          <w:rFonts w:cs="Times New Roman"/>
          <w:szCs w:val="24"/>
          <w:shd w:val="clear" w:color="auto" w:fill="FFFFFF"/>
        </w:rPr>
        <w:t> </w:t>
      </w:r>
      <w:r w:rsidRPr="00F525B1">
        <w:rPr>
          <w:rFonts w:cs="Times New Roman"/>
          <w:iCs/>
          <w:szCs w:val="24"/>
          <w:shd w:val="clear" w:color="auto" w:fill="FFFFFF"/>
        </w:rPr>
        <w:t>38</w:t>
      </w:r>
      <w:r w:rsidRPr="00F525B1">
        <w:rPr>
          <w:rFonts w:cs="Times New Roman"/>
          <w:szCs w:val="24"/>
          <w:shd w:val="clear" w:color="auto" w:fill="FFFFFF"/>
        </w:rPr>
        <w:t>(12), 1629-1643.</w:t>
      </w:r>
    </w:p>
    <w:p w14:paraId="4C0BD055" w14:textId="4474A815" w:rsidR="00235A84" w:rsidRPr="00F525B1" w:rsidRDefault="00235A84" w:rsidP="008778FE">
      <w:pPr>
        <w:spacing w:line="240" w:lineRule="auto"/>
        <w:ind w:left="360" w:hanging="360"/>
        <w:rPr>
          <w:rFonts w:cs="Times New Roman"/>
          <w:szCs w:val="24"/>
        </w:rPr>
      </w:pPr>
      <w:r w:rsidRPr="00F525B1">
        <w:rPr>
          <w:rFonts w:cs="Times New Roman"/>
          <w:szCs w:val="24"/>
        </w:rPr>
        <w:t xml:space="preserve">Bhat, C.R., 2011. The maximum approximate composite marginal likelihood (MACML) estimation of multinomial probit-based unordered response choice models. </w:t>
      </w:r>
      <w:r w:rsidR="00A85419" w:rsidRPr="00F525B1">
        <w:rPr>
          <w:rFonts w:cs="Times New Roman"/>
          <w:i/>
          <w:szCs w:val="24"/>
        </w:rPr>
        <w:t>Transportation Research Part B</w:t>
      </w:r>
      <w:r w:rsidRPr="00F525B1">
        <w:rPr>
          <w:rFonts w:cs="Times New Roman"/>
          <w:szCs w:val="24"/>
        </w:rPr>
        <w:t xml:space="preserve"> 45(7), 923-939.</w:t>
      </w:r>
    </w:p>
    <w:p w14:paraId="7C442ECF" w14:textId="53C625E5" w:rsidR="00A94E0C" w:rsidRPr="00F31C9F" w:rsidRDefault="00A94E0C"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Bhat, C.R., 2015</w:t>
      </w:r>
      <w:r w:rsidR="00084AE7" w:rsidRPr="00F525B1">
        <w:rPr>
          <w:rFonts w:cs="Times New Roman"/>
          <w:szCs w:val="24"/>
          <w:shd w:val="clear" w:color="auto" w:fill="FFFFFF"/>
        </w:rPr>
        <w:t>a</w:t>
      </w:r>
      <w:r w:rsidRPr="00F525B1">
        <w:rPr>
          <w:rFonts w:cs="Times New Roman"/>
          <w:szCs w:val="24"/>
          <w:shd w:val="clear" w:color="auto" w:fill="FFFFFF"/>
        </w:rPr>
        <w:t>. A new generalized heterogeneous data model (GHDM) to jointly model mixed types of dependent variables</w:t>
      </w:r>
      <w:r w:rsidRPr="00F31C9F">
        <w:rPr>
          <w:rFonts w:cs="Times New Roman"/>
          <w:szCs w:val="24"/>
          <w:shd w:val="clear" w:color="auto" w:fill="FFFFFF"/>
        </w:rPr>
        <w:t>. </w:t>
      </w:r>
      <w:r w:rsidR="00A85419" w:rsidRPr="00F31C9F">
        <w:rPr>
          <w:rFonts w:cs="Times New Roman"/>
          <w:i/>
          <w:iCs/>
          <w:szCs w:val="24"/>
          <w:shd w:val="clear" w:color="auto" w:fill="FFFFFF"/>
        </w:rPr>
        <w:t>Transportation Research Part B</w:t>
      </w:r>
      <w:r w:rsidRPr="00F31C9F">
        <w:rPr>
          <w:rFonts w:cs="Times New Roman"/>
          <w:szCs w:val="24"/>
          <w:shd w:val="clear" w:color="auto" w:fill="FFFFFF"/>
        </w:rPr>
        <w:t> </w:t>
      </w:r>
      <w:r w:rsidRPr="00F31C9F">
        <w:rPr>
          <w:rFonts w:cs="Times New Roman"/>
          <w:iCs/>
          <w:szCs w:val="24"/>
          <w:shd w:val="clear" w:color="auto" w:fill="FFFFFF"/>
        </w:rPr>
        <w:t>79</w:t>
      </w:r>
      <w:r w:rsidRPr="00F31C9F">
        <w:rPr>
          <w:rFonts w:cs="Times New Roman"/>
          <w:szCs w:val="24"/>
          <w:shd w:val="clear" w:color="auto" w:fill="FFFFFF"/>
        </w:rPr>
        <w:t>, 50-77.</w:t>
      </w:r>
    </w:p>
    <w:p w14:paraId="5EC4A48C" w14:textId="26E3EBAA" w:rsidR="00084AE7" w:rsidRPr="00F31C9F" w:rsidRDefault="00084AE7" w:rsidP="008778FE">
      <w:pPr>
        <w:spacing w:line="240" w:lineRule="auto"/>
        <w:ind w:left="360" w:hanging="360"/>
        <w:rPr>
          <w:rFonts w:cs="Times New Roman"/>
          <w:szCs w:val="24"/>
        </w:rPr>
      </w:pPr>
      <w:r w:rsidRPr="00F31C9F">
        <w:rPr>
          <w:rFonts w:cs="Times New Roman"/>
          <w:szCs w:val="24"/>
        </w:rPr>
        <w:t xml:space="preserve">Bhat, C.R., 2015b. A comprehensive dwelling unit choice model accommodating psychological constructs within a search strategy for consideration set formation. </w:t>
      </w:r>
      <w:r w:rsidR="00A85419" w:rsidRPr="00F31C9F">
        <w:rPr>
          <w:rFonts w:cs="Times New Roman"/>
          <w:i/>
          <w:szCs w:val="24"/>
        </w:rPr>
        <w:t>Transportation Research Part B</w:t>
      </w:r>
      <w:r w:rsidRPr="00F31C9F">
        <w:rPr>
          <w:rFonts w:cs="Times New Roman"/>
          <w:szCs w:val="24"/>
        </w:rPr>
        <w:t xml:space="preserve"> 79, 161-188.</w:t>
      </w:r>
    </w:p>
    <w:p w14:paraId="38E977AF" w14:textId="24A2E141" w:rsidR="000C7444" w:rsidRPr="00F31C9F" w:rsidRDefault="00883FE1" w:rsidP="008778FE">
      <w:pPr>
        <w:spacing w:line="240" w:lineRule="auto"/>
        <w:ind w:left="360" w:hanging="360"/>
        <w:rPr>
          <w:rFonts w:cs="Times New Roman"/>
          <w:szCs w:val="24"/>
        </w:rPr>
      </w:pPr>
      <w:r w:rsidRPr="00F31C9F">
        <w:rPr>
          <w:rFonts w:cs="Times New Roman"/>
          <w:szCs w:val="24"/>
        </w:rPr>
        <w:t xml:space="preserve">Bhat, C., Paleti, </w:t>
      </w:r>
      <w:r w:rsidR="00146C2F" w:rsidRPr="00F31C9F">
        <w:rPr>
          <w:rFonts w:cs="Times New Roman"/>
          <w:szCs w:val="24"/>
        </w:rPr>
        <w:t xml:space="preserve">R., Pendyala, R., Lorenzini, K., </w:t>
      </w:r>
      <w:r w:rsidRPr="00F31C9F">
        <w:rPr>
          <w:rFonts w:cs="Times New Roman"/>
          <w:szCs w:val="24"/>
        </w:rPr>
        <w:t xml:space="preserve">Konduri, K., 2013. Accommodating immigration status and self-selection effects in a joint model of household auto ownership and residential location choice. </w:t>
      </w:r>
      <w:r w:rsidRPr="00F31C9F">
        <w:rPr>
          <w:rFonts w:cs="Times New Roman"/>
          <w:i/>
          <w:szCs w:val="24"/>
        </w:rPr>
        <w:t>Transportation Research Record: Journal of the Transportation Research Board</w:t>
      </w:r>
      <w:r w:rsidR="004905CF" w:rsidRPr="00F31C9F">
        <w:rPr>
          <w:rFonts w:cs="Times New Roman"/>
          <w:szCs w:val="24"/>
        </w:rPr>
        <w:t xml:space="preserve"> </w:t>
      </w:r>
      <w:r w:rsidR="00A85419" w:rsidRPr="00F31C9F">
        <w:rPr>
          <w:rFonts w:cs="Times New Roman"/>
          <w:szCs w:val="24"/>
        </w:rPr>
        <w:t>2382</w:t>
      </w:r>
      <w:r w:rsidRPr="00F31C9F">
        <w:rPr>
          <w:rFonts w:cs="Times New Roman"/>
          <w:szCs w:val="24"/>
        </w:rPr>
        <w:t>, 142-150.</w:t>
      </w:r>
    </w:p>
    <w:p w14:paraId="6FA152D5" w14:textId="434DC1C6" w:rsidR="00AA0C91" w:rsidRPr="00F31C9F" w:rsidRDefault="00AA0C91" w:rsidP="008778FE">
      <w:pPr>
        <w:spacing w:line="240" w:lineRule="auto"/>
        <w:ind w:left="360" w:hanging="360"/>
        <w:rPr>
          <w:rFonts w:cs="Times New Roman"/>
          <w:szCs w:val="24"/>
        </w:rPr>
      </w:pPr>
      <w:r w:rsidRPr="00F31C9F">
        <w:rPr>
          <w:rFonts w:cs="Times New Roman"/>
          <w:szCs w:val="24"/>
          <w:shd w:val="clear" w:color="auto" w:fill="FFFFFF"/>
        </w:rPr>
        <w:t>Bhat</w:t>
      </w:r>
      <w:r w:rsidR="00146C2F" w:rsidRPr="00F31C9F">
        <w:rPr>
          <w:rFonts w:cs="Times New Roman"/>
          <w:szCs w:val="24"/>
          <w:shd w:val="clear" w:color="auto" w:fill="FFFFFF"/>
        </w:rPr>
        <w:t xml:space="preserve">, C.R., Astroza, S., Bhat, A.C., </w:t>
      </w:r>
      <w:r w:rsidRPr="00F31C9F">
        <w:rPr>
          <w:rFonts w:cs="Times New Roman"/>
          <w:szCs w:val="24"/>
          <w:shd w:val="clear" w:color="auto" w:fill="FFFFFF"/>
        </w:rPr>
        <w:t>Nagel, K., 2016. Incorporating a multiple discrete-continuous outcome in the generalized heterogeneous data model: Application to residential self-selection effects analysis in an activity time-use behavior model. </w:t>
      </w:r>
      <w:r w:rsidR="00A85419" w:rsidRPr="00F31C9F">
        <w:rPr>
          <w:rFonts w:cs="Times New Roman"/>
          <w:i/>
          <w:iCs/>
          <w:szCs w:val="24"/>
          <w:shd w:val="clear" w:color="auto" w:fill="FFFFFF"/>
        </w:rPr>
        <w:t>Transportation Research Part B</w:t>
      </w:r>
      <w:r w:rsidRPr="00F31C9F">
        <w:rPr>
          <w:rFonts w:cs="Times New Roman"/>
          <w:szCs w:val="24"/>
          <w:shd w:val="clear" w:color="auto" w:fill="FFFFFF"/>
        </w:rPr>
        <w:t> </w:t>
      </w:r>
      <w:r w:rsidRPr="00F31C9F">
        <w:rPr>
          <w:rFonts w:cs="Times New Roman"/>
          <w:iCs/>
          <w:szCs w:val="24"/>
          <w:shd w:val="clear" w:color="auto" w:fill="FFFFFF"/>
        </w:rPr>
        <w:t>91</w:t>
      </w:r>
      <w:r w:rsidRPr="00F31C9F">
        <w:rPr>
          <w:rFonts w:cs="Times New Roman"/>
          <w:szCs w:val="24"/>
          <w:shd w:val="clear" w:color="auto" w:fill="FFFFFF"/>
        </w:rPr>
        <w:t>, 52-76.</w:t>
      </w:r>
    </w:p>
    <w:p w14:paraId="4018D9BC" w14:textId="0746185B" w:rsidR="002805C7" w:rsidRPr="00F31C9F"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Cheng, H.L., Medlow, S., </w:t>
      </w:r>
      <w:r w:rsidR="002805C7" w:rsidRPr="00F31C9F">
        <w:rPr>
          <w:rFonts w:cs="Times New Roman"/>
          <w:szCs w:val="24"/>
          <w:shd w:val="clear" w:color="auto" w:fill="FFFFFF"/>
        </w:rPr>
        <w:t>Steinbeck, K., 2016. The health consequences of obesity in young adulthood. </w:t>
      </w:r>
      <w:r w:rsidR="002805C7" w:rsidRPr="00F31C9F">
        <w:rPr>
          <w:rFonts w:cs="Times New Roman"/>
          <w:i/>
          <w:iCs/>
          <w:szCs w:val="24"/>
          <w:shd w:val="clear" w:color="auto" w:fill="FFFFFF"/>
        </w:rPr>
        <w:t xml:space="preserve">Current </w:t>
      </w:r>
      <w:r w:rsidR="00A85419" w:rsidRPr="00F31C9F">
        <w:rPr>
          <w:rFonts w:cs="Times New Roman"/>
          <w:i/>
          <w:iCs/>
          <w:szCs w:val="24"/>
          <w:shd w:val="clear" w:color="auto" w:fill="FFFFFF"/>
        </w:rPr>
        <w:t>O</w:t>
      </w:r>
      <w:r w:rsidR="002805C7" w:rsidRPr="00F31C9F">
        <w:rPr>
          <w:rFonts w:cs="Times New Roman"/>
          <w:i/>
          <w:iCs/>
          <w:szCs w:val="24"/>
          <w:shd w:val="clear" w:color="auto" w:fill="FFFFFF"/>
        </w:rPr>
        <w:t xml:space="preserve">besity </w:t>
      </w:r>
      <w:r w:rsidR="00A85419" w:rsidRPr="00F31C9F">
        <w:rPr>
          <w:rFonts w:cs="Times New Roman"/>
          <w:i/>
          <w:iCs/>
          <w:szCs w:val="24"/>
          <w:shd w:val="clear" w:color="auto" w:fill="FFFFFF"/>
        </w:rPr>
        <w:t>R</w:t>
      </w:r>
      <w:r w:rsidR="002805C7" w:rsidRPr="00F31C9F">
        <w:rPr>
          <w:rFonts w:cs="Times New Roman"/>
          <w:i/>
          <w:iCs/>
          <w:szCs w:val="24"/>
          <w:shd w:val="clear" w:color="auto" w:fill="FFFFFF"/>
        </w:rPr>
        <w:t>eports</w:t>
      </w:r>
      <w:r w:rsidR="002805C7" w:rsidRPr="00F31C9F">
        <w:rPr>
          <w:rFonts w:cs="Times New Roman"/>
          <w:szCs w:val="24"/>
          <w:shd w:val="clear" w:color="auto" w:fill="FFFFFF"/>
        </w:rPr>
        <w:t> </w:t>
      </w:r>
      <w:r w:rsidR="002805C7" w:rsidRPr="00F31C9F">
        <w:rPr>
          <w:rFonts w:cs="Times New Roman"/>
          <w:iCs/>
          <w:szCs w:val="24"/>
          <w:shd w:val="clear" w:color="auto" w:fill="FFFFFF"/>
        </w:rPr>
        <w:t>5</w:t>
      </w:r>
      <w:r w:rsidR="002805C7" w:rsidRPr="00F31C9F">
        <w:rPr>
          <w:rFonts w:cs="Times New Roman"/>
          <w:szCs w:val="24"/>
          <w:shd w:val="clear" w:color="auto" w:fill="FFFFFF"/>
        </w:rPr>
        <w:t>(1), 30-37.</w:t>
      </w:r>
    </w:p>
    <w:p w14:paraId="1AF3A28D" w14:textId="4BE60AC3" w:rsidR="00915B91" w:rsidRPr="00F31C9F" w:rsidRDefault="00146C2F" w:rsidP="008778FE">
      <w:pPr>
        <w:spacing w:line="240" w:lineRule="auto"/>
        <w:ind w:left="360" w:hanging="360"/>
        <w:rPr>
          <w:rFonts w:cs="Times New Roman"/>
          <w:szCs w:val="24"/>
        </w:rPr>
      </w:pPr>
      <w:r w:rsidRPr="00F31C9F">
        <w:rPr>
          <w:rFonts w:cs="Times New Roman"/>
          <w:szCs w:val="24"/>
          <w:shd w:val="clear" w:color="auto" w:fill="FFFFFF"/>
        </w:rPr>
        <w:lastRenderedPageBreak/>
        <w:t xml:space="preserve">Chevalier, M., </w:t>
      </w:r>
      <w:r w:rsidR="00915B91" w:rsidRPr="00F31C9F">
        <w:rPr>
          <w:rFonts w:cs="Times New Roman"/>
          <w:szCs w:val="24"/>
          <w:shd w:val="clear" w:color="auto" w:fill="FFFFFF"/>
        </w:rPr>
        <w:t>Gutsatz, M., 2012. </w:t>
      </w:r>
      <w:r w:rsidR="00915B91" w:rsidRPr="00F31C9F">
        <w:rPr>
          <w:rFonts w:cs="Times New Roman"/>
          <w:i/>
          <w:iCs/>
          <w:szCs w:val="24"/>
          <w:shd w:val="clear" w:color="auto" w:fill="FFFFFF"/>
        </w:rPr>
        <w:t xml:space="preserve">Luxury </w:t>
      </w:r>
      <w:r w:rsidRPr="00F31C9F">
        <w:rPr>
          <w:rFonts w:cs="Times New Roman"/>
          <w:i/>
          <w:iCs/>
          <w:szCs w:val="24"/>
          <w:shd w:val="clear" w:color="auto" w:fill="FFFFFF"/>
        </w:rPr>
        <w:t>R</w:t>
      </w:r>
      <w:r w:rsidR="00915B91" w:rsidRPr="00F31C9F">
        <w:rPr>
          <w:rFonts w:cs="Times New Roman"/>
          <w:i/>
          <w:iCs/>
          <w:szCs w:val="24"/>
          <w:shd w:val="clear" w:color="auto" w:fill="FFFFFF"/>
        </w:rPr>
        <w:t xml:space="preserve">etail </w:t>
      </w:r>
      <w:r w:rsidRPr="00F31C9F">
        <w:rPr>
          <w:rFonts w:cs="Times New Roman"/>
          <w:i/>
          <w:iCs/>
          <w:szCs w:val="24"/>
          <w:shd w:val="clear" w:color="auto" w:fill="FFFFFF"/>
        </w:rPr>
        <w:t>M</w:t>
      </w:r>
      <w:r w:rsidR="00915B91" w:rsidRPr="00F31C9F">
        <w:rPr>
          <w:rFonts w:cs="Times New Roman"/>
          <w:i/>
          <w:iCs/>
          <w:szCs w:val="24"/>
          <w:shd w:val="clear" w:color="auto" w:fill="FFFFFF"/>
        </w:rPr>
        <w:t xml:space="preserve">anagement: How the </w:t>
      </w:r>
      <w:r w:rsidR="004905CF" w:rsidRPr="00F31C9F">
        <w:rPr>
          <w:rFonts w:cs="Times New Roman"/>
          <w:i/>
          <w:iCs/>
          <w:szCs w:val="24"/>
          <w:shd w:val="clear" w:color="auto" w:fill="FFFFFF"/>
        </w:rPr>
        <w:t>W</w:t>
      </w:r>
      <w:r w:rsidR="00915B91" w:rsidRPr="00F31C9F">
        <w:rPr>
          <w:rFonts w:cs="Times New Roman"/>
          <w:i/>
          <w:iCs/>
          <w:szCs w:val="24"/>
          <w:shd w:val="clear" w:color="auto" w:fill="FFFFFF"/>
        </w:rPr>
        <w:t xml:space="preserve">orld's </w:t>
      </w:r>
      <w:r w:rsidR="004905CF" w:rsidRPr="00F31C9F">
        <w:rPr>
          <w:rFonts w:cs="Times New Roman"/>
          <w:i/>
          <w:iCs/>
          <w:szCs w:val="24"/>
          <w:shd w:val="clear" w:color="auto" w:fill="FFFFFF"/>
        </w:rPr>
        <w:t>T</w:t>
      </w:r>
      <w:r w:rsidR="00915B91" w:rsidRPr="00F31C9F">
        <w:rPr>
          <w:rFonts w:cs="Times New Roman"/>
          <w:i/>
          <w:iCs/>
          <w:szCs w:val="24"/>
          <w:shd w:val="clear" w:color="auto" w:fill="FFFFFF"/>
        </w:rPr>
        <w:t xml:space="preserve">op </w:t>
      </w:r>
      <w:r w:rsidR="004905CF" w:rsidRPr="00F31C9F">
        <w:rPr>
          <w:rFonts w:cs="Times New Roman"/>
          <w:i/>
          <w:iCs/>
          <w:szCs w:val="24"/>
          <w:shd w:val="clear" w:color="auto" w:fill="FFFFFF"/>
        </w:rPr>
        <w:t>B</w:t>
      </w:r>
      <w:r w:rsidR="00915B91" w:rsidRPr="00F31C9F">
        <w:rPr>
          <w:rFonts w:cs="Times New Roman"/>
          <w:i/>
          <w:iCs/>
          <w:szCs w:val="24"/>
          <w:shd w:val="clear" w:color="auto" w:fill="FFFFFF"/>
        </w:rPr>
        <w:t xml:space="preserve">rands </w:t>
      </w:r>
      <w:r w:rsidR="004905CF" w:rsidRPr="00F31C9F">
        <w:rPr>
          <w:rFonts w:cs="Times New Roman"/>
          <w:i/>
          <w:iCs/>
          <w:szCs w:val="24"/>
          <w:shd w:val="clear" w:color="auto" w:fill="FFFFFF"/>
        </w:rPr>
        <w:t>P</w:t>
      </w:r>
      <w:r w:rsidR="00915B91" w:rsidRPr="00F31C9F">
        <w:rPr>
          <w:rFonts w:cs="Times New Roman"/>
          <w:i/>
          <w:iCs/>
          <w:szCs w:val="24"/>
          <w:shd w:val="clear" w:color="auto" w:fill="FFFFFF"/>
        </w:rPr>
        <w:t xml:space="preserve">rovide </w:t>
      </w:r>
      <w:r w:rsidR="004905CF" w:rsidRPr="00F31C9F">
        <w:rPr>
          <w:rFonts w:cs="Times New Roman"/>
          <w:i/>
          <w:iCs/>
          <w:szCs w:val="24"/>
          <w:shd w:val="clear" w:color="auto" w:fill="FFFFFF"/>
        </w:rPr>
        <w:t>Q</w:t>
      </w:r>
      <w:r w:rsidR="00915B91" w:rsidRPr="00F31C9F">
        <w:rPr>
          <w:rFonts w:cs="Times New Roman"/>
          <w:i/>
          <w:iCs/>
          <w:szCs w:val="24"/>
          <w:shd w:val="clear" w:color="auto" w:fill="FFFFFF"/>
        </w:rPr>
        <w:t xml:space="preserve">uality </w:t>
      </w:r>
      <w:r w:rsidR="004905CF" w:rsidRPr="00F31C9F">
        <w:rPr>
          <w:rFonts w:cs="Times New Roman"/>
          <w:i/>
          <w:iCs/>
          <w:szCs w:val="24"/>
          <w:shd w:val="clear" w:color="auto" w:fill="FFFFFF"/>
        </w:rPr>
        <w:t>P</w:t>
      </w:r>
      <w:r w:rsidR="00915B91" w:rsidRPr="00F31C9F">
        <w:rPr>
          <w:rFonts w:cs="Times New Roman"/>
          <w:i/>
          <w:iCs/>
          <w:szCs w:val="24"/>
          <w:shd w:val="clear" w:color="auto" w:fill="FFFFFF"/>
        </w:rPr>
        <w:t xml:space="preserve">roduct and </w:t>
      </w:r>
      <w:r w:rsidR="004905CF" w:rsidRPr="00F31C9F">
        <w:rPr>
          <w:rFonts w:cs="Times New Roman"/>
          <w:i/>
          <w:iCs/>
          <w:szCs w:val="24"/>
          <w:shd w:val="clear" w:color="auto" w:fill="FFFFFF"/>
        </w:rPr>
        <w:t>S</w:t>
      </w:r>
      <w:r w:rsidR="00915B91" w:rsidRPr="00F31C9F">
        <w:rPr>
          <w:rFonts w:cs="Times New Roman"/>
          <w:i/>
          <w:iCs/>
          <w:szCs w:val="24"/>
          <w:shd w:val="clear" w:color="auto" w:fill="FFFFFF"/>
        </w:rPr>
        <w:t xml:space="preserve">ervice </w:t>
      </w:r>
      <w:r w:rsidR="004905CF" w:rsidRPr="00F31C9F">
        <w:rPr>
          <w:rFonts w:cs="Times New Roman"/>
          <w:i/>
          <w:iCs/>
          <w:szCs w:val="24"/>
          <w:shd w:val="clear" w:color="auto" w:fill="FFFFFF"/>
        </w:rPr>
        <w:t>S</w:t>
      </w:r>
      <w:r w:rsidR="00915B91" w:rsidRPr="00F31C9F">
        <w:rPr>
          <w:rFonts w:cs="Times New Roman"/>
          <w:i/>
          <w:iCs/>
          <w:szCs w:val="24"/>
          <w:shd w:val="clear" w:color="auto" w:fill="FFFFFF"/>
        </w:rPr>
        <w:t>upport</w:t>
      </w:r>
      <w:r w:rsidR="00915B91" w:rsidRPr="00F31C9F">
        <w:rPr>
          <w:rFonts w:cs="Times New Roman"/>
          <w:szCs w:val="24"/>
          <w:shd w:val="clear" w:color="auto" w:fill="FFFFFF"/>
        </w:rPr>
        <w:t>. John Wiley &amp; Sons</w:t>
      </w:r>
      <w:r w:rsidR="004905CF" w:rsidRPr="00F31C9F">
        <w:rPr>
          <w:rFonts w:cs="Times New Roman"/>
          <w:szCs w:val="24"/>
          <w:shd w:val="clear" w:color="auto" w:fill="FFFFFF"/>
        </w:rPr>
        <w:t>, Singapore</w:t>
      </w:r>
      <w:r w:rsidR="00915B91" w:rsidRPr="00F31C9F">
        <w:rPr>
          <w:rFonts w:cs="Times New Roman"/>
          <w:szCs w:val="24"/>
          <w:shd w:val="clear" w:color="auto" w:fill="FFFFFF"/>
        </w:rPr>
        <w:t>.</w:t>
      </w:r>
    </w:p>
    <w:p w14:paraId="489F5BE3" w14:textId="3EDE8B89" w:rsidR="00CD5E56" w:rsidRPr="00F31C9F" w:rsidRDefault="00146C2F" w:rsidP="00CD5E56">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Clewlow, R., Mishra, G.S., </w:t>
      </w:r>
      <w:r w:rsidR="005B2012" w:rsidRPr="00F31C9F">
        <w:rPr>
          <w:rFonts w:cs="Times New Roman"/>
          <w:szCs w:val="24"/>
          <w:shd w:val="clear" w:color="auto" w:fill="FFFFFF"/>
        </w:rPr>
        <w:t>2017</w:t>
      </w:r>
      <w:r w:rsidRPr="00F31C9F">
        <w:rPr>
          <w:rFonts w:cs="Times New Roman"/>
          <w:szCs w:val="24"/>
          <w:shd w:val="clear" w:color="auto" w:fill="FFFFFF"/>
        </w:rPr>
        <w:t>.</w:t>
      </w:r>
      <w:r w:rsidR="005B2012" w:rsidRPr="00F31C9F">
        <w:rPr>
          <w:rFonts w:cs="Times New Roman"/>
          <w:szCs w:val="24"/>
          <w:shd w:val="clear" w:color="auto" w:fill="FFFFFF"/>
        </w:rPr>
        <w:t xml:space="preserve"> Shared mobility: Current adoption, use, and potential impacts on travel behavior. </w:t>
      </w:r>
      <w:r w:rsidR="00CD5E56" w:rsidRPr="00F31C9F">
        <w:rPr>
          <w:rFonts w:cs="Times New Roman"/>
          <w:szCs w:val="24"/>
          <w:shd w:val="clear" w:color="auto" w:fill="FFFFFF"/>
        </w:rPr>
        <w:t xml:space="preserve">Presented at the 96th Annual Meeting of the Transportation Research Board, Washington, D.C., January, Paper No. </w:t>
      </w:r>
      <w:r w:rsidR="00CD5E56" w:rsidRPr="00F31C9F">
        <w:t>17-05729</w:t>
      </w:r>
      <w:r w:rsidR="00CD5E56" w:rsidRPr="00F31C9F">
        <w:rPr>
          <w:rFonts w:cs="Times New Roman"/>
          <w:szCs w:val="24"/>
          <w:shd w:val="clear" w:color="auto" w:fill="FFFFFF"/>
        </w:rPr>
        <w:t>.</w:t>
      </w:r>
    </w:p>
    <w:p w14:paraId="658DEF81" w14:textId="175B35AF" w:rsidR="00A94E0C" w:rsidRPr="00F31C9F" w:rsidRDefault="00A94E0C" w:rsidP="008778FE">
      <w:pPr>
        <w:spacing w:line="240" w:lineRule="auto"/>
        <w:ind w:left="360" w:hanging="360"/>
        <w:rPr>
          <w:rFonts w:cs="Times New Roman"/>
          <w:szCs w:val="24"/>
        </w:rPr>
      </w:pPr>
      <w:r w:rsidRPr="00F31C9F">
        <w:rPr>
          <w:rFonts w:cs="Times New Roman"/>
          <w:szCs w:val="24"/>
          <w:shd w:val="clear" w:color="auto" w:fill="FFFFFF"/>
        </w:rPr>
        <w:t>Dias, F.F., Lavieri, P.S., Garikapati, V.M</w:t>
      </w:r>
      <w:r w:rsidR="00146C2F" w:rsidRPr="00F31C9F">
        <w:rPr>
          <w:rFonts w:cs="Times New Roman"/>
          <w:szCs w:val="24"/>
          <w:shd w:val="clear" w:color="auto" w:fill="FFFFFF"/>
        </w:rPr>
        <w:t xml:space="preserve">., Astroza, S., Pendyala, R.M., </w:t>
      </w:r>
      <w:r w:rsidRPr="00F31C9F">
        <w:rPr>
          <w:rFonts w:cs="Times New Roman"/>
          <w:szCs w:val="24"/>
          <w:shd w:val="clear" w:color="auto" w:fill="FFFFFF"/>
        </w:rPr>
        <w:t>Bhat, C.R., 2017. A behavioral choice model of the use o</w:t>
      </w:r>
      <w:r w:rsidR="00372271" w:rsidRPr="00F31C9F">
        <w:rPr>
          <w:rFonts w:cs="Times New Roman"/>
          <w:szCs w:val="24"/>
          <w:shd w:val="clear" w:color="auto" w:fill="FFFFFF"/>
        </w:rPr>
        <w:t xml:space="preserve">f car-sharing and ride-sourcing </w:t>
      </w:r>
      <w:r w:rsidRPr="00F31C9F">
        <w:rPr>
          <w:rFonts w:cs="Times New Roman"/>
          <w:szCs w:val="24"/>
          <w:shd w:val="clear" w:color="auto" w:fill="FFFFFF"/>
        </w:rPr>
        <w:t>services. </w:t>
      </w:r>
      <w:r w:rsidRPr="00F31C9F">
        <w:rPr>
          <w:rFonts w:cs="Times New Roman"/>
          <w:i/>
          <w:iCs/>
          <w:szCs w:val="24"/>
          <w:shd w:val="clear" w:color="auto" w:fill="FFFFFF"/>
        </w:rPr>
        <w:t>Transportation</w:t>
      </w:r>
      <w:r w:rsidRPr="00F31C9F">
        <w:rPr>
          <w:rFonts w:cs="Times New Roman"/>
          <w:szCs w:val="24"/>
          <w:shd w:val="clear" w:color="auto" w:fill="FFFFFF"/>
        </w:rPr>
        <w:t> </w:t>
      </w:r>
      <w:r w:rsidRPr="00F31C9F">
        <w:rPr>
          <w:rFonts w:cs="Times New Roman"/>
          <w:iCs/>
          <w:szCs w:val="24"/>
          <w:shd w:val="clear" w:color="auto" w:fill="FFFFFF"/>
        </w:rPr>
        <w:t>44</w:t>
      </w:r>
      <w:r w:rsidRPr="00F31C9F">
        <w:rPr>
          <w:rFonts w:cs="Times New Roman"/>
          <w:szCs w:val="24"/>
          <w:shd w:val="clear" w:color="auto" w:fill="FFFFFF"/>
        </w:rPr>
        <w:t>(6), 1307-1323.</w:t>
      </w:r>
    </w:p>
    <w:p w14:paraId="112A05E7" w14:textId="7AD30FB7" w:rsidR="00462432" w:rsidRPr="00F31C9F"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English, T., </w:t>
      </w:r>
      <w:r w:rsidR="00462432" w:rsidRPr="00F31C9F">
        <w:rPr>
          <w:rFonts w:cs="Times New Roman"/>
          <w:szCs w:val="24"/>
          <w:shd w:val="clear" w:color="auto" w:fill="FFFFFF"/>
        </w:rPr>
        <w:t>Carstensen, L.L., 2014. Selective narrowing of social networks across adulthood is associated with improved emotional experience in daily life. </w:t>
      </w:r>
      <w:r w:rsidR="00462432" w:rsidRPr="00F31C9F">
        <w:rPr>
          <w:rFonts w:cs="Times New Roman"/>
          <w:i/>
          <w:iCs/>
          <w:szCs w:val="24"/>
          <w:shd w:val="clear" w:color="auto" w:fill="FFFFFF"/>
        </w:rPr>
        <w:t xml:space="preserve">International </w:t>
      </w:r>
      <w:r w:rsidR="00A85419" w:rsidRPr="00F31C9F">
        <w:rPr>
          <w:rFonts w:cs="Times New Roman"/>
          <w:i/>
          <w:iCs/>
          <w:szCs w:val="24"/>
          <w:shd w:val="clear" w:color="auto" w:fill="FFFFFF"/>
        </w:rPr>
        <w:t>J</w:t>
      </w:r>
      <w:r w:rsidR="00462432" w:rsidRPr="00F31C9F">
        <w:rPr>
          <w:rFonts w:cs="Times New Roman"/>
          <w:i/>
          <w:iCs/>
          <w:szCs w:val="24"/>
          <w:shd w:val="clear" w:color="auto" w:fill="FFFFFF"/>
        </w:rPr>
        <w:t xml:space="preserve">ournal of </w:t>
      </w:r>
      <w:r w:rsidR="00A85419" w:rsidRPr="00F31C9F">
        <w:rPr>
          <w:rFonts w:cs="Times New Roman"/>
          <w:i/>
          <w:iCs/>
          <w:szCs w:val="24"/>
          <w:shd w:val="clear" w:color="auto" w:fill="FFFFFF"/>
        </w:rPr>
        <w:t>B</w:t>
      </w:r>
      <w:r w:rsidR="00462432" w:rsidRPr="00F31C9F">
        <w:rPr>
          <w:rFonts w:cs="Times New Roman"/>
          <w:i/>
          <w:iCs/>
          <w:szCs w:val="24"/>
          <w:shd w:val="clear" w:color="auto" w:fill="FFFFFF"/>
        </w:rPr>
        <w:t xml:space="preserve">ehavioral </w:t>
      </w:r>
      <w:r w:rsidR="00A85419" w:rsidRPr="00F31C9F">
        <w:rPr>
          <w:rFonts w:cs="Times New Roman"/>
          <w:i/>
          <w:iCs/>
          <w:szCs w:val="24"/>
          <w:shd w:val="clear" w:color="auto" w:fill="FFFFFF"/>
        </w:rPr>
        <w:t>D</w:t>
      </w:r>
      <w:r w:rsidR="00462432" w:rsidRPr="00F31C9F">
        <w:rPr>
          <w:rFonts w:cs="Times New Roman"/>
          <w:i/>
          <w:iCs/>
          <w:szCs w:val="24"/>
          <w:shd w:val="clear" w:color="auto" w:fill="FFFFFF"/>
        </w:rPr>
        <w:t>evelopment</w:t>
      </w:r>
      <w:r w:rsidR="00462432" w:rsidRPr="00F31C9F">
        <w:rPr>
          <w:rFonts w:cs="Times New Roman"/>
          <w:szCs w:val="24"/>
          <w:shd w:val="clear" w:color="auto" w:fill="FFFFFF"/>
        </w:rPr>
        <w:t> </w:t>
      </w:r>
      <w:r w:rsidR="00462432" w:rsidRPr="00F31C9F">
        <w:rPr>
          <w:rFonts w:cs="Times New Roman"/>
          <w:iCs/>
          <w:szCs w:val="24"/>
          <w:shd w:val="clear" w:color="auto" w:fill="FFFFFF"/>
        </w:rPr>
        <w:t>38</w:t>
      </w:r>
      <w:r w:rsidR="00462432" w:rsidRPr="00F31C9F">
        <w:rPr>
          <w:rFonts w:cs="Times New Roman"/>
          <w:szCs w:val="24"/>
          <w:shd w:val="clear" w:color="auto" w:fill="FFFFFF"/>
        </w:rPr>
        <w:t>(2), 195-202.</w:t>
      </w:r>
    </w:p>
    <w:p w14:paraId="3BC4F114" w14:textId="32DE1AB1" w:rsidR="00554D54" w:rsidRPr="00F31C9F" w:rsidRDefault="00554D54" w:rsidP="008778FE">
      <w:pPr>
        <w:spacing w:line="240" w:lineRule="auto"/>
        <w:ind w:left="360" w:hanging="360"/>
        <w:rPr>
          <w:rFonts w:cs="Times New Roman"/>
          <w:szCs w:val="24"/>
        </w:rPr>
      </w:pPr>
      <w:r w:rsidRPr="00F31C9F">
        <w:rPr>
          <w:rFonts w:cs="Times New Roman"/>
          <w:szCs w:val="24"/>
          <w:shd w:val="clear" w:color="auto" w:fill="FFFFFF"/>
        </w:rPr>
        <w:t>Fan, Y., 2017. Household structure and gender differences in travel time: spouse/partner presence, parenthood, and breadwinner status. </w:t>
      </w:r>
      <w:r w:rsidRPr="00F31C9F">
        <w:rPr>
          <w:rFonts w:cs="Times New Roman"/>
          <w:i/>
          <w:iCs/>
          <w:szCs w:val="24"/>
          <w:shd w:val="clear" w:color="auto" w:fill="FFFFFF"/>
        </w:rPr>
        <w:t>Transportation</w:t>
      </w:r>
      <w:r w:rsidR="00CD5E56" w:rsidRPr="00F31C9F">
        <w:rPr>
          <w:rFonts w:cs="Times New Roman"/>
          <w:szCs w:val="24"/>
          <w:shd w:val="clear" w:color="auto" w:fill="FFFFFF"/>
        </w:rPr>
        <w:t xml:space="preserve"> </w:t>
      </w:r>
      <w:r w:rsidRPr="00F31C9F">
        <w:rPr>
          <w:rFonts w:cs="Times New Roman"/>
          <w:iCs/>
          <w:szCs w:val="24"/>
          <w:shd w:val="clear" w:color="auto" w:fill="FFFFFF"/>
        </w:rPr>
        <w:t>44</w:t>
      </w:r>
      <w:r w:rsidRPr="00F31C9F">
        <w:rPr>
          <w:rFonts w:cs="Times New Roman"/>
          <w:szCs w:val="24"/>
          <w:shd w:val="clear" w:color="auto" w:fill="FFFFFF"/>
        </w:rPr>
        <w:t>(2), 271-291.</w:t>
      </w:r>
    </w:p>
    <w:p w14:paraId="0D616F79" w14:textId="0DB2C5DB" w:rsidR="00816EAC" w:rsidRPr="00F31C9F" w:rsidRDefault="00816EAC" w:rsidP="008778FE">
      <w:pPr>
        <w:spacing w:line="240" w:lineRule="auto"/>
        <w:ind w:left="360" w:hanging="360"/>
        <w:rPr>
          <w:rFonts w:cs="Times New Roman"/>
          <w:szCs w:val="24"/>
        </w:rPr>
      </w:pPr>
      <w:r w:rsidRPr="00F31C9F">
        <w:t>Franzen, A., Vogl, D., 2013. Two decades of measuring environmental attitudes: A comparative analysis of 33 countries</w:t>
      </w:r>
      <w:r w:rsidRPr="00F31C9F">
        <w:rPr>
          <w:i/>
        </w:rPr>
        <w:t>. Global Environmental Change</w:t>
      </w:r>
      <w:r w:rsidRPr="00F31C9F">
        <w:t xml:space="preserve"> 23(5), 1001-1008.</w:t>
      </w:r>
    </w:p>
    <w:p w14:paraId="4D365B68" w14:textId="61F96C32" w:rsidR="00EC637F" w:rsidRPr="00F31C9F" w:rsidRDefault="00EC637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Garikapati, V.M., Pendyala, R.M.,</w:t>
      </w:r>
      <w:r w:rsidR="00146C2F" w:rsidRPr="00F31C9F">
        <w:rPr>
          <w:rFonts w:cs="Times New Roman"/>
          <w:szCs w:val="24"/>
          <w:shd w:val="clear" w:color="auto" w:fill="FFFFFF"/>
        </w:rPr>
        <w:t xml:space="preserve"> Morris, E.A., Mokhtarian, P.L., </w:t>
      </w:r>
      <w:r w:rsidRPr="00F31C9F">
        <w:rPr>
          <w:rFonts w:cs="Times New Roman"/>
          <w:szCs w:val="24"/>
          <w:shd w:val="clear" w:color="auto" w:fill="FFFFFF"/>
        </w:rPr>
        <w:t xml:space="preserve">McDonald, N., 2016. Activity patterns, time use, and travel of millennials: </w:t>
      </w:r>
      <w:r w:rsidR="00146C2F" w:rsidRPr="00F31C9F">
        <w:rPr>
          <w:rFonts w:cs="Times New Roman"/>
          <w:szCs w:val="24"/>
          <w:shd w:val="clear" w:color="auto" w:fill="FFFFFF"/>
        </w:rPr>
        <w:t>A generation in transition?</w:t>
      </w:r>
      <w:r w:rsidRPr="00F31C9F">
        <w:rPr>
          <w:rFonts w:cs="Times New Roman"/>
          <w:szCs w:val="24"/>
          <w:shd w:val="clear" w:color="auto" w:fill="FFFFFF"/>
        </w:rPr>
        <w:t> </w:t>
      </w:r>
      <w:r w:rsidRPr="00F31C9F">
        <w:rPr>
          <w:rFonts w:cs="Times New Roman"/>
          <w:i/>
          <w:iCs/>
          <w:szCs w:val="24"/>
          <w:shd w:val="clear" w:color="auto" w:fill="FFFFFF"/>
        </w:rPr>
        <w:t>Transport Reviews</w:t>
      </w:r>
      <w:r w:rsidRPr="00F31C9F">
        <w:rPr>
          <w:rFonts w:cs="Times New Roman"/>
          <w:szCs w:val="24"/>
          <w:shd w:val="clear" w:color="auto" w:fill="FFFFFF"/>
        </w:rPr>
        <w:t> </w:t>
      </w:r>
      <w:r w:rsidRPr="00F31C9F">
        <w:rPr>
          <w:rFonts w:cs="Times New Roman"/>
          <w:iCs/>
          <w:szCs w:val="24"/>
          <w:shd w:val="clear" w:color="auto" w:fill="FFFFFF"/>
        </w:rPr>
        <w:t>36</w:t>
      </w:r>
      <w:r w:rsidRPr="00F31C9F">
        <w:rPr>
          <w:rFonts w:cs="Times New Roman"/>
          <w:szCs w:val="24"/>
          <w:shd w:val="clear" w:color="auto" w:fill="FFFFFF"/>
        </w:rPr>
        <w:t>(5), 558-584.</w:t>
      </w:r>
    </w:p>
    <w:p w14:paraId="5ED00F27" w14:textId="4A8E7D06" w:rsidR="00CD5E56" w:rsidRPr="00F31C9F" w:rsidRDefault="00146C2F" w:rsidP="00CD5E56">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Gerte, R., Konduri, K.C., </w:t>
      </w:r>
      <w:r w:rsidR="00AA601C" w:rsidRPr="00F31C9F">
        <w:rPr>
          <w:rFonts w:cs="Times New Roman"/>
          <w:szCs w:val="24"/>
          <w:shd w:val="clear" w:color="auto" w:fill="FFFFFF"/>
        </w:rPr>
        <w:t>Eluru, N., 2018. </w:t>
      </w:r>
      <w:r w:rsidR="00AA601C" w:rsidRPr="00F31C9F">
        <w:rPr>
          <w:rFonts w:cs="Times New Roman"/>
          <w:iCs/>
          <w:szCs w:val="24"/>
          <w:shd w:val="clear" w:color="auto" w:fill="FFFFFF"/>
        </w:rPr>
        <w:t xml:space="preserve">Is </w:t>
      </w:r>
      <w:r w:rsidRPr="00F31C9F">
        <w:rPr>
          <w:rFonts w:cs="Times New Roman"/>
          <w:iCs/>
          <w:szCs w:val="24"/>
          <w:shd w:val="clear" w:color="auto" w:fill="FFFFFF"/>
        </w:rPr>
        <w:t>t</w:t>
      </w:r>
      <w:r w:rsidR="00AA601C" w:rsidRPr="00F31C9F">
        <w:rPr>
          <w:rFonts w:cs="Times New Roman"/>
          <w:iCs/>
          <w:szCs w:val="24"/>
          <w:shd w:val="clear" w:color="auto" w:fill="FFFFFF"/>
        </w:rPr>
        <w:t xml:space="preserve">here a </w:t>
      </w:r>
      <w:r w:rsidRPr="00F31C9F">
        <w:rPr>
          <w:rFonts w:cs="Times New Roman"/>
          <w:iCs/>
          <w:szCs w:val="24"/>
          <w:shd w:val="clear" w:color="auto" w:fill="FFFFFF"/>
        </w:rPr>
        <w:t>l</w:t>
      </w:r>
      <w:r w:rsidR="00AA601C" w:rsidRPr="00F31C9F">
        <w:rPr>
          <w:rFonts w:cs="Times New Roman"/>
          <w:iCs/>
          <w:szCs w:val="24"/>
          <w:shd w:val="clear" w:color="auto" w:fill="FFFFFF"/>
        </w:rPr>
        <w:t xml:space="preserve">imit to </w:t>
      </w:r>
      <w:r w:rsidRPr="00F31C9F">
        <w:rPr>
          <w:rFonts w:cs="Times New Roman"/>
          <w:iCs/>
          <w:szCs w:val="24"/>
          <w:shd w:val="clear" w:color="auto" w:fill="FFFFFF"/>
        </w:rPr>
        <w:t>a</w:t>
      </w:r>
      <w:r w:rsidR="00AA601C" w:rsidRPr="00F31C9F">
        <w:rPr>
          <w:rFonts w:cs="Times New Roman"/>
          <w:iCs/>
          <w:szCs w:val="24"/>
          <w:shd w:val="clear" w:color="auto" w:fill="FFFFFF"/>
        </w:rPr>
        <w:t xml:space="preserve">doption of </w:t>
      </w:r>
      <w:r w:rsidRPr="00F31C9F">
        <w:rPr>
          <w:rFonts w:cs="Times New Roman"/>
          <w:iCs/>
          <w:szCs w:val="24"/>
          <w:shd w:val="clear" w:color="auto" w:fill="FFFFFF"/>
        </w:rPr>
        <w:t>d</w:t>
      </w:r>
      <w:r w:rsidR="00AA601C" w:rsidRPr="00F31C9F">
        <w:rPr>
          <w:rFonts w:cs="Times New Roman"/>
          <w:iCs/>
          <w:szCs w:val="24"/>
          <w:shd w:val="clear" w:color="auto" w:fill="FFFFFF"/>
        </w:rPr>
        <w:t xml:space="preserve">ynamic </w:t>
      </w:r>
      <w:r w:rsidRPr="00F31C9F">
        <w:rPr>
          <w:rFonts w:cs="Times New Roman"/>
          <w:iCs/>
          <w:szCs w:val="24"/>
          <w:shd w:val="clear" w:color="auto" w:fill="FFFFFF"/>
        </w:rPr>
        <w:t>r</w:t>
      </w:r>
      <w:r w:rsidR="00AA601C" w:rsidRPr="00F31C9F">
        <w:rPr>
          <w:rFonts w:cs="Times New Roman"/>
          <w:iCs/>
          <w:szCs w:val="24"/>
          <w:shd w:val="clear" w:color="auto" w:fill="FFFFFF"/>
        </w:rPr>
        <w:t xml:space="preserve">idesharing </w:t>
      </w:r>
      <w:r w:rsidRPr="00F31C9F">
        <w:rPr>
          <w:rFonts w:cs="Times New Roman"/>
          <w:iCs/>
          <w:szCs w:val="24"/>
          <w:shd w:val="clear" w:color="auto" w:fill="FFFFFF"/>
        </w:rPr>
        <w:t>s</w:t>
      </w:r>
      <w:r w:rsidR="00AA601C" w:rsidRPr="00F31C9F">
        <w:rPr>
          <w:rFonts w:cs="Times New Roman"/>
          <w:iCs/>
          <w:szCs w:val="24"/>
          <w:shd w:val="clear" w:color="auto" w:fill="FFFFFF"/>
        </w:rPr>
        <w:t xml:space="preserve">ystems? Evidence from </w:t>
      </w:r>
      <w:r w:rsidRPr="00F31C9F">
        <w:rPr>
          <w:rFonts w:cs="Times New Roman"/>
          <w:iCs/>
          <w:szCs w:val="24"/>
          <w:shd w:val="clear" w:color="auto" w:fill="FFFFFF"/>
        </w:rPr>
        <w:t>a</w:t>
      </w:r>
      <w:r w:rsidR="00AA601C" w:rsidRPr="00F31C9F">
        <w:rPr>
          <w:rFonts w:cs="Times New Roman"/>
          <w:iCs/>
          <w:szCs w:val="24"/>
          <w:shd w:val="clear" w:color="auto" w:fill="FFFFFF"/>
        </w:rPr>
        <w:t xml:space="preserve">nalysis of Uber </w:t>
      </w:r>
      <w:r w:rsidRPr="00F31C9F">
        <w:rPr>
          <w:rFonts w:cs="Times New Roman"/>
          <w:iCs/>
          <w:szCs w:val="24"/>
          <w:shd w:val="clear" w:color="auto" w:fill="FFFFFF"/>
        </w:rPr>
        <w:t>d</w:t>
      </w:r>
      <w:r w:rsidR="00AA601C" w:rsidRPr="00F31C9F">
        <w:rPr>
          <w:rFonts w:cs="Times New Roman"/>
          <w:iCs/>
          <w:szCs w:val="24"/>
          <w:shd w:val="clear" w:color="auto" w:fill="FFFFFF"/>
        </w:rPr>
        <w:t xml:space="preserve">emand </w:t>
      </w:r>
      <w:r w:rsidRPr="00F31C9F">
        <w:rPr>
          <w:rFonts w:cs="Times New Roman"/>
          <w:iCs/>
          <w:szCs w:val="24"/>
          <w:shd w:val="clear" w:color="auto" w:fill="FFFFFF"/>
        </w:rPr>
        <w:t>d</w:t>
      </w:r>
      <w:r w:rsidR="00AA601C" w:rsidRPr="00F31C9F">
        <w:rPr>
          <w:rFonts w:cs="Times New Roman"/>
          <w:iCs/>
          <w:szCs w:val="24"/>
          <w:shd w:val="clear" w:color="auto" w:fill="FFFFFF"/>
        </w:rPr>
        <w:t xml:space="preserve">ata from New York. </w:t>
      </w:r>
      <w:r w:rsidR="00CD5E56" w:rsidRPr="00F31C9F">
        <w:rPr>
          <w:rFonts w:cs="Times New Roman"/>
          <w:szCs w:val="24"/>
          <w:shd w:val="clear" w:color="auto" w:fill="FFFFFF"/>
        </w:rPr>
        <w:t>Presented at the 97th Annual Meeting of the Transportation Research Board, Washington, D.C., January, Paper No. 18-03265.</w:t>
      </w:r>
    </w:p>
    <w:p w14:paraId="525C709B" w14:textId="17C9E925" w:rsidR="005D4DFD" w:rsidRPr="00F31C9F" w:rsidRDefault="005D4DFD" w:rsidP="008778FE">
      <w:pPr>
        <w:spacing w:line="240" w:lineRule="auto"/>
        <w:ind w:left="360" w:hanging="360"/>
        <w:rPr>
          <w:rFonts w:cs="Times New Roman"/>
          <w:szCs w:val="24"/>
        </w:rPr>
      </w:pPr>
      <w:r w:rsidRPr="00F31C9F">
        <w:t>Gifford, R., Nilsson, A., 2014. Personal and social factors that influence</w:t>
      </w:r>
      <w:r w:rsidR="00FC44EB">
        <w:t xml:space="preserve"> pro-</w:t>
      </w:r>
      <w:r w:rsidRPr="00F31C9F">
        <w:t xml:space="preserve">environmental concern and behaviour: A review. </w:t>
      </w:r>
      <w:r w:rsidRPr="00F31C9F">
        <w:rPr>
          <w:i/>
        </w:rPr>
        <w:t>International Journal of Psychology</w:t>
      </w:r>
      <w:r w:rsidRPr="00F31C9F">
        <w:t xml:space="preserve"> 49(3), 141-157.</w:t>
      </w:r>
    </w:p>
    <w:p w14:paraId="3F58CF16" w14:textId="584C4EAB" w:rsidR="00AE6FD4" w:rsidRPr="00F31C9F" w:rsidRDefault="00146C2F" w:rsidP="008778FE">
      <w:pPr>
        <w:spacing w:line="240" w:lineRule="auto"/>
        <w:ind w:left="360" w:hanging="360"/>
        <w:rPr>
          <w:rFonts w:cs="Times New Roman"/>
          <w:szCs w:val="24"/>
        </w:rPr>
      </w:pPr>
      <w:r w:rsidRPr="00F31C9F">
        <w:rPr>
          <w:rFonts w:cs="Times New Roman"/>
          <w:szCs w:val="24"/>
        </w:rPr>
        <w:t xml:space="preserve">Gilg, A., Barr, S., </w:t>
      </w:r>
      <w:r w:rsidR="00AE6FD4" w:rsidRPr="00F31C9F">
        <w:rPr>
          <w:rFonts w:cs="Times New Roman"/>
          <w:szCs w:val="24"/>
        </w:rPr>
        <w:t xml:space="preserve">Ford, N., 2005. Green consumption or sustainable lifestyles? Identifying the sustainable consumer. </w:t>
      </w:r>
      <w:r w:rsidR="00AE6FD4" w:rsidRPr="00F31C9F">
        <w:rPr>
          <w:rFonts w:cs="Times New Roman"/>
          <w:i/>
          <w:szCs w:val="24"/>
        </w:rPr>
        <w:t>Futures</w:t>
      </w:r>
      <w:r w:rsidR="00AE6FD4" w:rsidRPr="00F31C9F">
        <w:rPr>
          <w:rFonts w:cs="Times New Roman"/>
          <w:szCs w:val="24"/>
        </w:rPr>
        <w:t xml:space="preserve"> 37(6), 481-504.</w:t>
      </w:r>
    </w:p>
    <w:p w14:paraId="4D0D6498" w14:textId="67545BDB" w:rsidR="003B34FB" w:rsidRDefault="00575260"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Giuliano, G., 2003. Travel, location and race/ethnicity. </w:t>
      </w:r>
      <w:r w:rsidR="00146C2F" w:rsidRPr="00F31C9F">
        <w:rPr>
          <w:rFonts w:cs="Times New Roman"/>
          <w:i/>
          <w:iCs/>
          <w:szCs w:val="24"/>
          <w:shd w:val="clear" w:color="auto" w:fill="FFFFFF"/>
        </w:rPr>
        <w:t>Transportation Research Part A</w:t>
      </w:r>
      <w:r w:rsidRPr="00F31C9F">
        <w:rPr>
          <w:rFonts w:cs="Times New Roman"/>
          <w:szCs w:val="24"/>
          <w:shd w:val="clear" w:color="auto" w:fill="FFFFFF"/>
        </w:rPr>
        <w:t> </w:t>
      </w:r>
      <w:r w:rsidRPr="00F31C9F">
        <w:rPr>
          <w:rFonts w:cs="Times New Roman"/>
          <w:iCs/>
          <w:szCs w:val="24"/>
          <w:shd w:val="clear" w:color="auto" w:fill="FFFFFF"/>
        </w:rPr>
        <w:t>37</w:t>
      </w:r>
      <w:r w:rsidRPr="00F31C9F">
        <w:rPr>
          <w:rFonts w:cs="Times New Roman"/>
          <w:szCs w:val="24"/>
          <w:shd w:val="clear" w:color="auto" w:fill="FFFFFF"/>
        </w:rPr>
        <w:t>(4), 351-372.</w:t>
      </w:r>
    </w:p>
    <w:p w14:paraId="2660E243" w14:textId="10887C6E" w:rsidR="009C332F" w:rsidRPr="00F31C9F" w:rsidRDefault="009C33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Gutiérrez, J.L.G.,</w:t>
      </w:r>
      <w:r w:rsidR="00146C2F" w:rsidRPr="00F31C9F">
        <w:rPr>
          <w:rFonts w:cs="Times New Roman"/>
          <w:szCs w:val="24"/>
          <w:shd w:val="clear" w:color="auto" w:fill="FFFFFF"/>
        </w:rPr>
        <w:t xml:space="preserve"> Jiménez, B.M., Hernández, E.G., </w:t>
      </w:r>
      <w:r w:rsidRPr="00F31C9F">
        <w:rPr>
          <w:rFonts w:cs="Times New Roman"/>
          <w:szCs w:val="24"/>
          <w:shd w:val="clear" w:color="auto" w:fill="FFFFFF"/>
        </w:rPr>
        <w:t>Pcn, C., 2005. Personality and subjective well-being: Big five correlates and demographic variables. </w:t>
      </w:r>
      <w:r w:rsidRPr="00F31C9F">
        <w:rPr>
          <w:rFonts w:cs="Times New Roman"/>
          <w:i/>
          <w:iCs/>
          <w:szCs w:val="24"/>
          <w:shd w:val="clear" w:color="auto" w:fill="FFFFFF"/>
        </w:rPr>
        <w:t>Personality and Individual Differences</w:t>
      </w:r>
      <w:r w:rsidRPr="00F31C9F">
        <w:rPr>
          <w:rFonts w:cs="Times New Roman"/>
          <w:szCs w:val="24"/>
          <w:shd w:val="clear" w:color="auto" w:fill="FFFFFF"/>
        </w:rPr>
        <w:t> </w:t>
      </w:r>
      <w:r w:rsidRPr="00F31C9F">
        <w:rPr>
          <w:rFonts w:cs="Times New Roman"/>
          <w:iCs/>
          <w:szCs w:val="24"/>
          <w:shd w:val="clear" w:color="auto" w:fill="FFFFFF"/>
        </w:rPr>
        <w:t>38</w:t>
      </w:r>
      <w:r w:rsidRPr="00F31C9F">
        <w:rPr>
          <w:rFonts w:cs="Times New Roman"/>
          <w:szCs w:val="24"/>
          <w:shd w:val="clear" w:color="auto" w:fill="FFFFFF"/>
        </w:rPr>
        <w:t>(7), 1561-1569.</w:t>
      </w:r>
    </w:p>
    <w:p w14:paraId="15D900C0" w14:textId="06992F92" w:rsidR="00A639A3" w:rsidRPr="00F31C9F" w:rsidRDefault="00A639A3" w:rsidP="008778FE">
      <w:pPr>
        <w:spacing w:line="240" w:lineRule="auto"/>
        <w:ind w:left="360" w:hanging="360"/>
        <w:rPr>
          <w:rFonts w:cs="Times New Roman"/>
          <w:szCs w:val="24"/>
          <w:shd w:val="clear" w:color="auto" w:fill="FFFFFF"/>
        </w:rPr>
      </w:pPr>
      <w:r w:rsidRPr="00F31C9F">
        <w:rPr>
          <w:szCs w:val="24"/>
        </w:rPr>
        <w:t xml:space="preserve">Hampshire, R.C., </w:t>
      </w:r>
      <w:r w:rsidR="00146C2F" w:rsidRPr="00F31C9F">
        <w:rPr>
          <w:szCs w:val="24"/>
        </w:rPr>
        <w:t xml:space="preserve">Simek, C., Fabusuyi, T., Di, X., </w:t>
      </w:r>
      <w:r w:rsidRPr="00F31C9F">
        <w:rPr>
          <w:szCs w:val="24"/>
        </w:rPr>
        <w:t xml:space="preserve">Chen, X., 2018. Measuring the </w:t>
      </w:r>
      <w:r w:rsidR="00146C2F" w:rsidRPr="00F31C9F">
        <w:rPr>
          <w:szCs w:val="24"/>
        </w:rPr>
        <w:t>i</w:t>
      </w:r>
      <w:r w:rsidRPr="00F31C9F">
        <w:rPr>
          <w:szCs w:val="24"/>
        </w:rPr>
        <w:t xml:space="preserve">mpact of an </w:t>
      </w:r>
      <w:r w:rsidR="00146C2F" w:rsidRPr="00F31C9F">
        <w:rPr>
          <w:szCs w:val="24"/>
        </w:rPr>
        <w:t>u</w:t>
      </w:r>
      <w:r w:rsidRPr="00F31C9F">
        <w:rPr>
          <w:szCs w:val="24"/>
        </w:rPr>
        <w:t xml:space="preserve">nanticipated </w:t>
      </w:r>
      <w:r w:rsidR="00146C2F" w:rsidRPr="00F31C9F">
        <w:rPr>
          <w:szCs w:val="24"/>
        </w:rPr>
        <w:t>s</w:t>
      </w:r>
      <w:r w:rsidRPr="00F31C9F">
        <w:rPr>
          <w:szCs w:val="24"/>
        </w:rPr>
        <w:t xml:space="preserve">uspension of </w:t>
      </w:r>
      <w:r w:rsidR="00146C2F" w:rsidRPr="00F31C9F">
        <w:rPr>
          <w:szCs w:val="24"/>
        </w:rPr>
        <w:t>r</w:t>
      </w:r>
      <w:r w:rsidRPr="00F31C9F">
        <w:rPr>
          <w:szCs w:val="24"/>
        </w:rPr>
        <w:t>ide-</w:t>
      </w:r>
      <w:r w:rsidR="00146C2F" w:rsidRPr="00F31C9F">
        <w:rPr>
          <w:szCs w:val="24"/>
        </w:rPr>
        <w:t>s</w:t>
      </w:r>
      <w:r w:rsidRPr="00F31C9F">
        <w:rPr>
          <w:szCs w:val="24"/>
        </w:rPr>
        <w:t xml:space="preserve">ourcing in Austin, Texas. </w:t>
      </w:r>
      <w:r w:rsidR="00395150" w:rsidRPr="00F31C9F">
        <w:rPr>
          <w:rFonts w:cs="Times New Roman"/>
          <w:szCs w:val="24"/>
          <w:shd w:val="clear" w:color="auto" w:fill="FFFFFF"/>
        </w:rPr>
        <w:t>Presented at the 97th Annual Meeting of the Transportation Research Board, Washington, D.C., January, Paper No. 18-03105</w:t>
      </w:r>
      <w:r w:rsidRPr="00F31C9F">
        <w:rPr>
          <w:rFonts w:cs="Times New Roman"/>
          <w:szCs w:val="24"/>
          <w:shd w:val="clear" w:color="auto" w:fill="FFFFFF"/>
        </w:rPr>
        <w:t>.</w:t>
      </w:r>
    </w:p>
    <w:p w14:paraId="40FE7DF2" w14:textId="6E1D3615" w:rsidR="00AA0C91" w:rsidRPr="00F31C9F" w:rsidRDefault="00AA0C91" w:rsidP="008778FE">
      <w:pPr>
        <w:spacing w:line="240" w:lineRule="auto"/>
        <w:ind w:left="360" w:hanging="360"/>
        <w:rPr>
          <w:rFonts w:cs="Times New Roman"/>
          <w:szCs w:val="24"/>
        </w:rPr>
      </w:pPr>
      <w:r w:rsidRPr="00F31C9F">
        <w:rPr>
          <w:rFonts w:cs="Times New Roman"/>
          <w:szCs w:val="24"/>
        </w:rPr>
        <w:t xml:space="preserve">Haustein, S., 2012. Mobility behavior of the elderly: an attitude-based segmentation approach for a heterogeneous target group. </w:t>
      </w:r>
      <w:r w:rsidRPr="00F31C9F">
        <w:rPr>
          <w:rFonts w:cs="Times New Roman"/>
          <w:i/>
          <w:szCs w:val="24"/>
        </w:rPr>
        <w:t>Transportation</w:t>
      </w:r>
      <w:r w:rsidRPr="00F31C9F">
        <w:rPr>
          <w:rFonts w:cs="Times New Roman"/>
          <w:szCs w:val="24"/>
        </w:rPr>
        <w:t xml:space="preserve"> 39(6), 1079-1103.</w:t>
      </w:r>
    </w:p>
    <w:p w14:paraId="7E328F97" w14:textId="7F8C0F91" w:rsidR="00915B91" w:rsidRPr="00F31C9F" w:rsidRDefault="00915B91"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Hels</w:t>
      </w:r>
      <w:r w:rsidR="00146C2F" w:rsidRPr="00F31C9F">
        <w:rPr>
          <w:rFonts w:cs="Times New Roman"/>
          <w:szCs w:val="24"/>
          <w:shd w:val="clear" w:color="auto" w:fill="FFFFFF"/>
        </w:rPr>
        <w:t xml:space="preserve">per, E.J., </w:t>
      </w:r>
      <w:r w:rsidRPr="00F31C9F">
        <w:rPr>
          <w:rFonts w:cs="Times New Roman"/>
          <w:szCs w:val="24"/>
          <w:shd w:val="clear" w:color="auto" w:fill="FFFFFF"/>
        </w:rPr>
        <w:t xml:space="preserve">Eynon, R., 2010. Digital natives: </w:t>
      </w:r>
      <w:r w:rsidR="00146C2F" w:rsidRPr="00F31C9F">
        <w:rPr>
          <w:rFonts w:cs="Times New Roman"/>
          <w:szCs w:val="24"/>
          <w:shd w:val="clear" w:color="auto" w:fill="FFFFFF"/>
        </w:rPr>
        <w:t>Where is the evidence?</w:t>
      </w:r>
      <w:r w:rsidRPr="00F31C9F">
        <w:rPr>
          <w:rFonts w:cs="Times New Roman"/>
          <w:szCs w:val="24"/>
          <w:shd w:val="clear" w:color="auto" w:fill="FFFFFF"/>
        </w:rPr>
        <w:t> </w:t>
      </w:r>
      <w:r w:rsidRPr="00F31C9F">
        <w:rPr>
          <w:rFonts w:cs="Times New Roman"/>
          <w:i/>
          <w:iCs/>
          <w:szCs w:val="24"/>
          <w:shd w:val="clear" w:color="auto" w:fill="FFFFFF"/>
        </w:rPr>
        <w:t xml:space="preserve">British </w:t>
      </w:r>
      <w:r w:rsidR="00395150" w:rsidRPr="00F31C9F">
        <w:rPr>
          <w:rFonts w:cs="Times New Roman"/>
          <w:i/>
          <w:iCs/>
          <w:szCs w:val="24"/>
          <w:shd w:val="clear" w:color="auto" w:fill="FFFFFF"/>
        </w:rPr>
        <w:t>E</w:t>
      </w:r>
      <w:r w:rsidRPr="00F31C9F">
        <w:rPr>
          <w:rFonts w:cs="Times New Roman"/>
          <w:i/>
          <w:iCs/>
          <w:szCs w:val="24"/>
          <w:shd w:val="clear" w:color="auto" w:fill="FFFFFF"/>
        </w:rPr>
        <w:t xml:space="preserve">ducational </w:t>
      </w:r>
      <w:r w:rsidR="00395150" w:rsidRPr="00F31C9F">
        <w:rPr>
          <w:rFonts w:cs="Times New Roman"/>
          <w:i/>
          <w:iCs/>
          <w:szCs w:val="24"/>
          <w:shd w:val="clear" w:color="auto" w:fill="FFFFFF"/>
        </w:rPr>
        <w:t>R</w:t>
      </w:r>
      <w:r w:rsidRPr="00F31C9F">
        <w:rPr>
          <w:rFonts w:cs="Times New Roman"/>
          <w:i/>
          <w:iCs/>
          <w:szCs w:val="24"/>
          <w:shd w:val="clear" w:color="auto" w:fill="FFFFFF"/>
        </w:rPr>
        <w:t xml:space="preserve">esearch </w:t>
      </w:r>
      <w:r w:rsidR="00395150" w:rsidRPr="00F31C9F">
        <w:rPr>
          <w:rFonts w:cs="Times New Roman"/>
          <w:i/>
          <w:iCs/>
          <w:szCs w:val="24"/>
          <w:shd w:val="clear" w:color="auto" w:fill="FFFFFF"/>
        </w:rPr>
        <w:t>J</w:t>
      </w:r>
      <w:r w:rsidRPr="00F31C9F">
        <w:rPr>
          <w:rFonts w:cs="Times New Roman"/>
          <w:i/>
          <w:iCs/>
          <w:szCs w:val="24"/>
          <w:shd w:val="clear" w:color="auto" w:fill="FFFFFF"/>
        </w:rPr>
        <w:t>ournal</w:t>
      </w:r>
      <w:r w:rsidRPr="00F31C9F">
        <w:rPr>
          <w:rFonts w:cs="Times New Roman"/>
          <w:szCs w:val="24"/>
          <w:shd w:val="clear" w:color="auto" w:fill="FFFFFF"/>
        </w:rPr>
        <w:t> </w:t>
      </w:r>
      <w:r w:rsidRPr="00F31C9F">
        <w:rPr>
          <w:rFonts w:cs="Times New Roman"/>
          <w:iCs/>
          <w:szCs w:val="24"/>
          <w:shd w:val="clear" w:color="auto" w:fill="FFFFFF"/>
        </w:rPr>
        <w:t>36</w:t>
      </w:r>
      <w:r w:rsidRPr="00F31C9F">
        <w:rPr>
          <w:rFonts w:cs="Times New Roman"/>
          <w:szCs w:val="24"/>
          <w:shd w:val="clear" w:color="auto" w:fill="FFFFFF"/>
        </w:rPr>
        <w:t>(3), 503-520.</w:t>
      </w:r>
    </w:p>
    <w:p w14:paraId="74BB9C86" w14:textId="5A19F201" w:rsidR="000177AE" w:rsidRPr="00F31C9F"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Hoeffler, S., </w:t>
      </w:r>
      <w:r w:rsidR="000177AE" w:rsidRPr="00F31C9F">
        <w:rPr>
          <w:rFonts w:cs="Times New Roman"/>
          <w:szCs w:val="24"/>
          <w:shd w:val="clear" w:color="auto" w:fill="FFFFFF"/>
        </w:rPr>
        <w:t>Ariely, D., 1999. Constructing stable preferences: A look into dimensions of experience and their impact on preference stability. </w:t>
      </w:r>
      <w:r w:rsidR="000177AE" w:rsidRPr="00F31C9F">
        <w:rPr>
          <w:rFonts w:cs="Times New Roman"/>
          <w:i/>
          <w:iCs/>
          <w:szCs w:val="24"/>
          <w:shd w:val="clear" w:color="auto" w:fill="FFFFFF"/>
        </w:rPr>
        <w:t>Journal of Consumer Psychology</w:t>
      </w:r>
      <w:r w:rsidR="000177AE" w:rsidRPr="00F31C9F">
        <w:rPr>
          <w:rFonts w:cs="Times New Roman"/>
          <w:szCs w:val="24"/>
          <w:shd w:val="clear" w:color="auto" w:fill="FFFFFF"/>
        </w:rPr>
        <w:t> </w:t>
      </w:r>
      <w:r w:rsidR="000177AE" w:rsidRPr="00F31C9F">
        <w:rPr>
          <w:rFonts w:cs="Times New Roman"/>
          <w:iCs/>
          <w:szCs w:val="24"/>
          <w:shd w:val="clear" w:color="auto" w:fill="FFFFFF"/>
        </w:rPr>
        <w:t>8</w:t>
      </w:r>
      <w:r w:rsidR="000177AE" w:rsidRPr="00F31C9F">
        <w:rPr>
          <w:rFonts w:cs="Times New Roman"/>
          <w:szCs w:val="24"/>
          <w:shd w:val="clear" w:color="auto" w:fill="FFFFFF"/>
        </w:rPr>
        <w:t>(2), 113-139.</w:t>
      </w:r>
    </w:p>
    <w:p w14:paraId="5C70A681" w14:textId="463D24E7" w:rsidR="00BF19E0" w:rsidRPr="00F31C9F" w:rsidRDefault="00BF19E0" w:rsidP="008778FE">
      <w:pPr>
        <w:spacing w:line="240" w:lineRule="auto"/>
        <w:ind w:left="360" w:hanging="360"/>
        <w:rPr>
          <w:rFonts w:cs="Times New Roman"/>
          <w:szCs w:val="24"/>
        </w:rPr>
      </w:pPr>
      <w:r w:rsidRPr="00F31C9F">
        <w:rPr>
          <w:rFonts w:cs="Times New Roman"/>
          <w:szCs w:val="24"/>
        </w:rPr>
        <w:t>Huneck</w:t>
      </w:r>
      <w:r w:rsidR="00146C2F" w:rsidRPr="00F31C9F">
        <w:rPr>
          <w:rFonts w:cs="Times New Roman"/>
          <w:szCs w:val="24"/>
        </w:rPr>
        <w:t xml:space="preserve">e, M., Haustein, S., Böhler, S., </w:t>
      </w:r>
      <w:r w:rsidRPr="00F31C9F">
        <w:rPr>
          <w:rFonts w:cs="Times New Roman"/>
          <w:szCs w:val="24"/>
        </w:rPr>
        <w:t xml:space="preserve">Grischkat, S., 2010. Attitude-based target groups to reduce the ecological impact of daily mobility behavior. </w:t>
      </w:r>
      <w:r w:rsidRPr="00F31C9F">
        <w:rPr>
          <w:rFonts w:cs="Times New Roman"/>
          <w:i/>
          <w:szCs w:val="24"/>
        </w:rPr>
        <w:t xml:space="preserve">Environment and </w:t>
      </w:r>
      <w:r w:rsidR="00395150" w:rsidRPr="00F31C9F">
        <w:rPr>
          <w:rFonts w:cs="Times New Roman"/>
          <w:i/>
          <w:szCs w:val="24"/>
        </w:rPr>
        <w:t>B</w:t>
      </w:r>
      <w:r w:rsidRPr="00F31C9F">
        <w:rPr>
          <w:rFonts w:cs="Times New Roman"/>
          <w:i/>
          <w:szCs w:val="24"/>
        </w:rPr>
        <w:t>ehavior</w:t>
      </w:r>
      <w:r w:rsidRPr="00F31C9F">
        <w:rPr>
          <w:rFonts w:cs="Times New Roman"/>
          <w:szCs w:val="24"/>
        </w:rPr>
        <w:t xml:space="preserve"> 42(1), 3-43.</w:t>
      </w:r>
    </w:p>
    <w:p w14:paraId="5A921EAD" w14:textId="6DD77D5A" w:rsidR="003479DA" w:rsidRPr="00F31C9F" w:rsidRDefault="003479DA"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lastRenderedPageBreak/>
        <w:t>Klein, N.J.</w:t>
      </w:r>
      <w:r w:rsidR="00146C2F" w:rsidRPr="00F31C9F">
        <w:rPr>
          <w:rFonts w:cs="Times New Roman"/>
          <w:szCs w:val="24"/>
          <w:shd w:val="clear" w:color="auto" w:fill="FFFFFF"/>
        </w:rPr>
        <w:t xml:space="preserve">, Guerra, E., </w:t>
      </w:r>
      <w:r w:rsidRPr="00F31C9F">
        <w:rPr>
          <w:rFonts w:cs="Times New Roman"/>
          <w:szCs w:val="24"/>
          <w:shd w:val="clear" w:color="auto" w:fill="FFFFFF"/>
        </w:rPr>
        <w:t>Smart, M.J., 2018. The Philadelphia story: Age, race, gender and changing travel trends. </w:t>
      </w:r>
      <w:r w:rsidRPr="00F31C9F">
        <w:rPr>
          <w:rFonts w:cs="Times New Roman"/>
          <w:i/>
          <w:iCs/>
          <w:szCs w:val="24"/>
          <w:shd w:val="clear" w:color="auto" w:fill="FFFFFF"/>
        </w:rPr>
        <w:t>Journal of Transport Geography</w:t>
      </w:r>
      <w:r w:rsidRPr="00F31C9F">
        <w:rPr>
          <w:rFonts w:cs="Times New Roman"/>
          <w:szCs w:val="24"/>
          <w:shd w:val="clear" w:color="auto" w:fill="FFFFFF"/>
        </w:rPr>
        <w:t> </w:t>
      </w:r>
      <w:r w:rsidRPr="00F31C9F">
        <w:rPr>
          <w:rFonts w:cs="Times New Roman"/>
          <w:iCs/>
          <w:szCs w:val="24"/>
          <w:shd w:val="clear" w:color="auto" w:fill="FFFFFF"/>
        </w:rPr>
        <w:t>69</w:t>
      </w:r>
      <w:r w:rsidRPr="00F31C9F">
        <w:rPr>
          <w:rFonts w:cs="Times New Roman"/>
          <w:szCs w:val="24"/>
          <w:shd w:val="clear" w:color="auto" w:fill="FFFFFF"/>
        </w:rPr>
        <w:t>, 19-25.</w:t>
      </w:r>
    </w:p>
    <w:p w14:paraId="7EA72792" w14:textId="6715CA87" w:rsidR="00395150" w:rsidRPr="00F31C9F" w:rsidRDefault="00146C2F" w:rsidP="00395150">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Komanduri, A., Wafa, Z., </w:t>
      </w:r>
      <w:r w:rsidR="005B2012" w:rsidRPr="00F31C9F">
        <w:rPr>
          <w:rFonts w:cs="Times New Roman"/>
          <w:szCs w:val="24"/>
          <w:shd w:val="clear" w:color="auto" w:fill="FFFFFF"/>
        </w:rPr>
        <w:t>Proussaloglou, K., 2018. </w:t>
      </w:r>
      <w:r w:rsidR="005B2012" w:rsidRPr="00F31C9F">
        <w:rPr>
          <w:rFonts w:cs="Times New Roman"/>
          <w:iCs/>
          <w:szCs w:val="24"/>
          <w:shd w:val="clear" w:color="auto" w:fill="FFFFFF"/>
        </w:rPr>
        <w:t xml:space="preserve">Assessing the </w:t>
      </w:r>
      <w:r w:rsidRPr="00F31C9F">
        <w:rPr>
          <w:rFonts w:cs="Times New Roman"/>
          <w:iCs/>
          <w:szCs w:val="24"/>
          <w:shd w:val="clear" w:color="auto" w:fill="FFFFFF"/>
        </w:rPr>
        <w:t>i</w:t>
      </w:r>
      <w:r w:rsidR="005B2012" w:rsidRPr="00F31C9F">
        <w:rPr>
          <w:rFonts w:cs="Times New Roman"/>
          <w:iCs/>
          <w:szCs w:val="24"/>
          <w:shd w:val="clear" w:color="auto" w:fill="FFFFFF"/>
        </w:rPr>
        <w:t xml:space="preserve">mpact of </w:t>
      </w:r>
      <w:r w:rsidRPr="00F31C9F">
        <w:rPr>
          <w:rFonts w:cs="Times New Roman"/>
          <w:iCs/>
          <w:szCs w:val="24"/>
          <w:shd w:val="clear" w:color="auto" w:fill="FFFFFF"/>
        </w:rPr>
        <w:t>a</w:t>
      </w:r>
      <w:r w:rsidR="005B2012" w:rsidRPr="00F31C9F">
        <w:rPr>
          <w:rFonts w:cs="Times New Roman"/>
          <w:iCs/>
          <w:szCs w:val="24"/>
          <w:shd w:val="clear" w:color="auto" w:fill="FFFFFF"/>
        </w:rPr>
        <w:t>pp-</w:t>
      </w:r>
      <w:r w:rsidRPr="00F31C9F">
        <w:rPr>
          <w:rFonts w:cs="Times New Roman"/>
          <w:iCs/>
          <w:szCs w:val="24"/>
          <w:shd w:val="clear" w:color="auto" w:fill="FFFFFF"/>
        </w:rPr>
        <w:t>b</w:t>
      </w:r>
      <w:r w:rsidR="005B2012" w:rsidRPr="00F31C9F">
        <w:rPr>
          <w:rFonts w:cs="Times New Roman"/>
          <w:iCs/>
          <w:szCs w:val="24"/>
          <w:shd w:val="clear" w:color="auto" w:fill="FFFFFF"/>
        </w:rPr>
        <w:t xml:space="preserve">ased </w:t>
      </w:r>
      <w:r w:rsidRPr="00F31C9F">
        <w:rPr>
          <w:rFonts w:cs="Times New Roman"/>
          <w:iCs/>
          <w:szCs w:val="24"/>
          <w:shd w:val="clear" w:color="auto" w:fill="FFFFFF"/>
        </w:rPr>
        <w:t>r</w:t>
      </w:r>
      <w:r w:rsidR="005B2012" w:rsidRPr="00F31C9F">
        <w:rPr>
          <w:rFonts w:cs="Times New Roman"/>
          <w:iCs/>
          <w:szCs w:val="24"/>
          <w:shd w:val="clear" w:color="auto" w:fill="FFFFFF"/>
        </w:rPr>
        <w:t xml:space="preserve">ide </w:t>
      </w:r>
      <w:r w:rsidRPr="00F31C9F">
        <w:rPr>
          <w:rFonts w:cs="Times New Roman"/>
          <w:iCs/>
          <w:szCs w:val="24"/>
          <w:shd w:val="clear" w:color="auto" w:fill="FFFFFF"/>
        </w:rPr>
        <w:t>s</w:t>
      </w:r>
      <w:r w:rsidR="005B2012" w:rsidRPr="00F31C9F">
        <w:rPr>
          <w:rFonts w:cs="Times New Roman"/>
          <w:iCs/>
          <w:szCs w:val="24"/>
          <w:shd w:val="clear" w:color="auto" w:fill="FFFFFF"/>
        </w:rPr>
        <w:t xml:space="preserve">hare </w:t>
      </w:r>
      <w:r w:rsidRPr="00F31C9F">
        <w:rPr>
          <w:rFonts w:cs="Times New Roman"/>
          <w:iCs/>
          <w:szCs w:val="24"/>
          <w:shd w:val="clear" w:color="auto" w:fill="FFFFFF"/>
        </w:rPr>
        <w:t>s</w:t>
      </w:r>
      <w:r w:rsidR="005B2012" w:rsidRPr="00F31C9F">
        <w:rPr>
          <w:rFonts w:cs="Times New Roman"/>
          <w:iCs/>
          <w:szCs w:val="24"/>
          <w:shd w:val="clear" w:color="auto" w:fill="FFFFFF"/>
        </w:rPr>
        <w:t xml:space="preserve">ystems in an </w:t>
      </w:r>
      <w:r w:rsidRPr="00F31C9F">
        <w:rPr>
          <w:rFonts w:cs="Times New Roman"/>
          <w:iCs/>
          <w:szCs w:val="24"/>
          <w:shd w:val="clear" w:color="auto" w:fill="FFFFFF"/>
        </w:rPr>
        <w:t>u</w:t>
      </w:r>
      <w:r w:rsidR="005B2012" w:rsidRPr="00F31C9F">
        <w:rPr>
          <w:rFonts w:cs="Times New Roman"/>
          <w:iCs/>
          <w:szCs w:val="24"/>
          <w:shd w:val="clear" w:color="auto" w:fill="FFFFFF"/>
        </w:rPr>
        <w:t xml:space="preserve">rban </w:t>
      </w:r>
      <w:r w:rsidRPr="00F31C9F">
        <w:rPr>
          <w:rFonts w:cs="Times New Roman"/>
          <w:iCs/>
          <w:szCs w:val="24"/>
          <w:shd w:val="clear" w:color="auto" w:fill="FFFFFF"/>
        </w:rPr>
        <w:t>c</w:t>
      </w:r>
      <w:r w:rsidR="005B2012" w:rsidRPr="00F31C9F">
        <w:rPr>
          <w:rFonts w:cs="Times New Roman"/>
          <w:iCs/>
          <w:szCs w:val="24"/>
          <w:shd w:val="clear" w:color="auto" w:fill="FFFFFF"/>
        </w:rPr>
        <w:t>ontext: Findings from Austin</w:t>
      </w:r>
      <w:r w:rsidR="00395150" w:rsidRPr="00F31C9F">
        <w:rPr>
          <w:rFonts w:cs="Times New Roman"/>
          <w:iCs/>
          <w:szCs w:val="24"/>
          <w:shd w:val="clear" w:color="auto" w:fill="FFFFFF"/>
        </w:rPr>
        <w:t>.</w:t>
      </w:r>
      <w:r w:rsidR="005B2012" w:rsidRPr="00F31C9F">
        <w:rPr>
          <w:rFonts w:cs="Times New Roman"/>
          <w:szCs w:val="24"/>
          <w:shd w:val="clear" w:color="auto" w:fill="FFFFFF"/>
        </w:rPr>
        <w:t> </w:t>
      </w:r>
      <w:r w:rsidR="00395150" w:rsidRPr="00F31C9F">
        <w:rPr>
          <w:rFonts w:cs="Times New Roman"/>
          <w:szCs w:val="24"/>
          <w:shd w:val="clear" w:color="auto" w:fill="FFFFFF"/>
        </w:rPr>
        <w:t>Presented at the 97th Annual Meeting of the Transportation Research Board, Washington, D.C., January, Paper No. 18-01356.</w:t>
      </w:r>
    </w:p>
    <w:p w14:paraId="1960E386" w14:textId="7841EAB9" w:rsidR="005B2012" w:rsidRPr="00F31C9F" w:rsidRDefault="005B2012"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Kooti, F., Grbovic, M., Aiello, L.M.</w:t>
      </w:r>
      <w:r w:rsidR="00146C2F" w:rsidRPr="00F31C9F">
        <w:rPr>
          <w:rFonts w:cs="Times New Roman"/>
          <w:szCs w:val="24"/>
          <w:shd w:val="clear" w:color="auto" w:fill="FFFFFF"/>
        </w:rPr>
        <w:t xml:space="preserve">, Djuric, N., Radosavljevic, V., </w:t>
      </w:r>
      <w:r w:rsidRPr="00F31C9F">
        <w:rPr>
          <w:rFonts w:cs="Times New Roman"/>
          <w:szCs w:val="24"/>
          <w:shd w:val="clear" w:color="auto" w:fill="FFFFFF"/>
        </w:rPr>
        <w:t>Lerman, K., 2017</w:t>
      </w:r>
      <w:r w:rsidR="00146C2F" w:rsidRPr="00F31C9F">
        <w:rPr>
          <w:rFonts w:cs="Times New Roman"/>
          <w:szCs w:val="24"/>
          <w:shd w:val="clear" w:color="auto" w:fill="FFFFFF"/>
        </w:rPr>
        <w:t>.</w:t>
      </w:r>
      <w:r w:rsidRPr="00F31C9F">
        <w:rPr>
          <w:rFonts w:cs="Times New Roman"/>
          <w:szCs w:val="24"/>
          <w:shd w:val="clear" w:color="auto" w:fill="FFFFFF"/>
        </w:rPr>
        <w:t xml:space="preserve"> Analyzing Uber's </w:t>
      </w:r>
      <w:r w:rsidR="00146C2F" w:rsidRPr="00F31C9F">
        <w:rPr>
          <w:rFonts w:cs="Times New Roman"/>
          <w:szCs w:val="24"/>
          <w:shd w:val="clear" w:color="auto" w:fill="FFFFFF"/>
        </w:rPr>
        <w:t>r</w:t>
      </w:r>
      <w:r w:rsidRPr="00F31C9F">
        <w:rPr>
          <w:rFonts w:cs="Times New Roman"/>
          <w:szCs w:val="24"/>
          <w:shd w:val="clear" w:color="auto" w:fill="FFFFFF"/>
        </w:rPr>
        <w:t xml:space="preserve">ide-sharing </w:t>
      </w:r>
      <w:r w:rsidR="00146C2F" w:rsidRPr="00F31C9F">
        <w:rPr>
          <w:rFonts w:cs="Times New Roman"/>
          <w:szCs w:val="24"/>
          <w:shd w:val="clear" w:color="auto" w:fill="FFFFFF"/>
        </w:rPr>
        <w:t>e</w:t>
      </w:r>
      <w:r w:rsidRPr="00F31C9F">
        <w:rPr>
          <w:rFonts w:cs="Times New Roman"/>
          <w:szCs w:val="24"/>
          <w:shd w:val="clear" w:color="auto" w:fill="FFFFFF"/>
        </w:rPr>
        <w:t>conomy. </w:t>
      </w:r>
      <w:r w:rsidRPr="00F31C9F">
        <w:rPr>
          <w:rFonts w:cs="Times New Roman"/>
          <w:i/>
          <w:iCs/>
          <w:szCs w:val="24"/>
          <w:shd w:val="clear" w:color="auto" w:fill="FFFFFF"/>
        </w:rPr>
        <w:t>Proceedings of the 26th International Conference on World Wide Web Companion</w:t>
      </w:r>
      <w:r w:rsidR="00395150" w:rsidRPr="00F31C9F">
        <w:rPr>
          <w:rFonts w:cs="Times New Roman"/>
          <w:szCs w:val="24"/>
          <w:shd w:val="clear" w:color="auto" w:fill="FFFFFF"/>
        </w:rPr>
        <w:t>, pp. 574-582</w:t>
      </w:r>
      <w:r w:rsidRPr="00F31C9F">
        <w:rPr>
          <w:rFonts w:cs="Times New Roman"/>
          <w:szCs w:val="24"/>
          <w:shd w:val="clear" w:color="auto" w:fill="FFFFFF"/>
        </w:rPr>
        <w:t>. International World Wide Web Conferences Steering Committee.</w:t>
      </w:r>
    </w:p>
    <w:p w14:paraId="794442D1" w14:textId="3133ADA2" w:rsidR="005C1AAF" w:rsidRPr="00F31C9F" w:rsidRDefault="005C1AA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Ku, P.W., Chen, L.J., </w:t>
      </w:r>
      <w:r w:rsidR="00146C2F" w:rsidRPr="00F31C9F">
        <w:rPr>
          <w:rFonts w:cs="Times New Roman"/>
          <w:szCs w:val="24"/>
          <w:shd w:val="clear" w:color="auto" w:fill="FFFFFF"/>
        </w:rPr>
        <w:t xml:space="preserve">Fox, K.R., Chen, Y.H., Liao, Y., </w:t>
      </w:r>
      <w:r w:rsidRPr="00F31C9F">
        <w:rPr>
          <w:rFonts w:cs="Times New Roman"/>
          <w:szCs w:val="24"/>
          <w:shd w:val="clear" w:color="auto" w:fill="FFFFFF"/>
        </w:rPr>
        <w:t>Lin, C.H., 2018. Leisure-</w:t>
      </w:r>
      <w:r w:rsidR="00146C2F" w:rsidRPr="00F31C9F">
        <w:rPr>
          <w:rFonts w:cs="Times New Roman"/>
          <w:szCs w:val="24"/>
          <w:shd w:val="clear" w:color="auto" w:fill="FFFFFF"/>
        </w:rPr>
        <w:t>t</w:t>
      </w:r>
      <w:r w:rsidRPr="00F31C9F">
        <w:rPr>
          <w:rFonts w:cs="Times New Roman"/>
          <w:szCs w:val="24"/>
          <w:shd w:val="clear" w:color="auto" w:fill="FFFFFF"/>
        </w:rPr>
        <w:t xml:space="preserve">ime, </w:t>
      </w:r>
      <w:r w:rsidR="00146C2F" w:rsidRPr="00F31C9F">
        <w:rPr>
          <w:rFonts w:cs="Times New Roman"/>
          <w:szCs w:val="24"/>
          <w:shd w:val="clear" w:color="auto" w:fill="FFFFFF"/>
        </w:rPr>
        <w:t>d</w:t>
      </w:r>
      <w:r w:rsidRPr="00F31C9F">
        <w:rPr>
          <w:rFonts w:cs="Times New Roman"/>
          <w:szCs w:val="24"/>
          <w:shd w:val="clear" w:color="auto" w:fill="FFFFFF"/>
        </w:rPr>
        <w:t xml:space="preserve">omestic, and </w:t>
      </w:r>
      <w:r w:rsidR="00146C2F" w:rsidRPr="00F31C9F">
        <w:rPr>
          <w:rFonts w:cs="Times New Roman"/>
          <w:szCs w:val="24"/>
          <w:shd w:val="clear" w:color="auto" w:fill="FFFFFF"/>
        </w:rPr>
        <w:t>w</w:t>
      </w:r>
      <w:r w:rsidRPr="00F31C9F">
        <w:rPr>
          <w:rFonts w:cs="Times New Roman"/>
          <w:szCs w:val="24"/>
          <w:shd w:val="clear" w:color="auto" w:fill="FFFFFF"/>
        </w:rPr>
        <w:t>ork-</w:t>
      </w:r>
      <w:r w:rsidR="00146C2F" w:rsidRPr="00F31C9F">
        <w:rPr>
          <w:rFonts w:cs="Times New Roman"/>
          <w:szCs w:val="24"/>
          <w:shd w:val="clear" w:color="auto" w:fill="FFFFFF"/>
        </w:rPr>
        <w:t>r</w:t>
      </w:r>
      <w:r w:rsidRPr="00F31C9F">
        <w:rPr>
          <w:rFonts w:cs="Times New Roman"/>
          <w:szCs w:val="24"/>
          <w:shd w:val="clear" w:color="auto" w:fill="FFFFFF"/>
        </w:rPr>
        <w:t xml:space="preserve">elated </w:t>
      </w:r>
      <w:r w:rsidR="00146C2F" w:rsidRPr="00F31C9F">
        <w:rPr>
          <w:rFonts w:cs="Times New Roman"/>
          <w:szCs w:val="24"/>
          <w:shd w:val="clear" w:color="auto" w:fill="FFFFFF"/>
        </w:rPr>
        <w:t>p</w:t>
      </w:r>
      <w:r w:rsidRPr="00F31C9F">
        <w:rPr>
          <w:rFonts w:cs="Times New Roman"/>
          <w:szCs w:val="24"/>
          <w:shd w:val="clear" w:color="auto" w:fill="FFFFFF"/>
        </w:rPr>
        <w:t xml:space="preserve">hysical </w:t>
      </w:r>
      <w:r w:rsidR="00146C2F" w:rsidRPr="00F31C9F">
        <w:rPr>
          <w:rFonts w:cs="Times New Roman"/>
          <w:szCs w:val="24"/>
          <w:shd w:val="clear" w:color="auto" w:fill="FFFFFF"/>
        </w:rPr>
        <w:t>a</w:t>
      </w:r>
      <w:r w:rsidRPr="00F31C9F">
        <w:rPr>
          <w:rFonts w:cs="Times New Roman"/>
          <w:szCs w:val="24"/>
          <w:shd w:val="clear" w:color="auto" w:fill="FFFFFF"/>
        </w:rPr>
        <w:t xml:space="preserve">ctivity and </w:t>
      </w:r>
      <w:r w:rsidR="00146C2F" w:rsidRPr="00F31C9F">
        <w:rPr>
          <w:rFonts w:cs="Times New Roman"/>
          <w:szCs w:val="24"/>
          <w:shd w:val="clear" w:color="auto" w:fill="FFFFFF"/>
        </w:rPr>
        <w:t>t</w:t>
      </w:r>
      <w:r w:rsidRPr="00F31C9F">
        <w:rPr>
          <w:rFonts w:cs="Times New Roman"/>
          <w:szCs w:val="24"/>
          <w:shd w:val="clear" w:color="auto" w:fill="FFFFFF"/>
        </w:rPr>
        <w:t xml:space="preserve">heir </w:t>
      </w:r>
      <w:r w:rsidR="00146C2F" w:rsidRPr="00F31C9F">
        <w:rPr>
          <w:rFonts w:cs="Times New Roman"/>
          <w:szCs w:val="24"/>
          <w:shd w:val="clear" w:color="auto" w:fill="FFFFFF"/>
        </w:rPr>
        <w:t>p</w:t>
      </w:r>
      <w:r w:rsidRPr="00F31C9F">
        <w:rPr>
          <w:rFonts w:cs="Times New Roman"/>
          <w:szCs w:val="24"/>
          <w:shd w:val="clear" w:color="auto" w:fill="FFFFFF"/>
        </w:rPr>
        <w:t xml:space="preserve">rospective </w:t>
      </w:r>
      <w:r w:rsidR="00146C2F" w:rsidRPr="00F31C9F">
        <w:rPr>
          <w:rFonts w:cs="Times New Roman"/>
          <w:szCs w:val="24"/>
          <w:shd w:val="clear" w:color="auto" w:fill="FFFFFF"/>
        </w:rPr>
        <w:t>a</w:t>
      </w:r>
      <w:r w:rsidRPr="00F31C9F">
        <w:rPr>
          <w:rFonts w:cs="Times New Roman"/>
          <w:szCs w:val="24"/>
          <w:shd w:val="clear" w:color="auto" w:fill="FFFFFF"/>
        </w:rPr>
        <w:t xml:space="preserve">ssociations </w:t>
      </w:r>
      <w:r w:rsidR="00146C2F" w:rsidRPr="00F31C9F">
        <w:rPr>
          <w:rFonts w:cs="Times New Roman"/>
          <w:szCs w:val="24"/>
          <w:shd w:val="clear" w:color="auto" w:fill="FFFFFF"/>
        </w:rPr>
        <w:t>w</w:t>
      </w:r>
      <w:r w:rsidRPr="00F31C9F">
        <w:rPr>
          <w:rFonts w:cs="Times New Roman"/>
          <w:szCs w:val="24"/>
          <w:shd w:val="clear" w:color="auto" w:fill="FFFFFF"/>
        </w:rPr>
        <w:t xml:space="preserve">ith </w:t>
      </w:r>
      <w:r w:rsidR="00146C2F" w:rsidRPr="00F31C9F">
        <w:rPr>
          <w:rFonts w:cs="Times New Roman"/>
          <w:szCs w:val="24"/>
          <w:shd w:val="clear" w:color="auto" w:fill="FFFFFF"/>
        </w:rPr>
        <w:t>a</w:t>
      </w:r>
      <w:r w:rsidRPr="00F31C9F">
        <w:rPr>
          <w:rFonts w:cs="Times New Roman"/>
          <w:szCs w:val="24"/>
          <w:shd w:val="clear" w:color="auto" w:fill="FFFFFF"/>
        </w:rPr>
        <w:t>ll-</w:t>
      </w:r>
      <w:r w:rsidR="00146C2F" w:rsidRPr="00F31C9F">
        <w:rPr>
          <w:rFonts w:cs="Times New Roman"/>
          <w:szCs w:val="24"/>
          <w:shd w:val="clear" w:color="auto" w:fill="FFFFFF"/>
        </w:rPr>
        <w:t>c</w:t>
      </w:r>
      <w:r w:rsidRPr="00F31C9F">
        <w:rPr>
          <w:rFonts w:cs="Times New Roman"/>
          <w:szCs w:val="24"/>
          <w:shd w:val="clear" w:color="auto" w:fill="FFFFFF"/>
        </w:rPr>
        <w:t xml:space="preserve">ause </w:t>
      </w:r>
      <w:r w:rsidR="00146C2F" w:rsidRPr="00F31C9F">
        <w:rPr>
          <w:rFonts w:cs="Times New Roman"/>
          <w:szCs w:val="24"/>
          <w:shd w:val="clear" w:color="auto" w:fill="FFFFFF"/>
        </w:rPr>
        <w:t>m</w:t>
      </w:r>
      <w:r w:rsidRPr="00F31C9F">
        <w:rPr>
          <w:rFonts w:cs="Times New Roman"/>
          <w:szCs w:val="24"/>
          <w:shd w:val="clear" w:color="auto" w:fill="FFFFFF"/>
        </w:rPr>
        <w:t xml:space="preserve">ortality in </w:t>
      </w:r>
      <w:r w:rsidR="00146C2F" w:rsidRPr="00F31C9F">
        <w:rPr>
          <w:rFonts w:cs="Times New Roman"/>
          <w:szCs w:val="24"/>
          <w:shd w:val="clear" w:color="auto" w:fill="FFFFFF"/>
        </w:rPr>
        <w:t>p</w:t>
      </w:r>
      <w:r w:rsidRPr="00F31C9F">
        <w:rPr>
          <w:rFonts w:cs="Times New Roman"/>
          <w:szCs w:val="24"/>
          <w:shd w:val="clear" w:color="auto" w:fill="FFFFFF"/>
        </w:rPr>
        <w:t xml:space="preserve">atients </w:t>
      </w:r>
      <w:r w:rsidR="00146C2F" w:rsidRPr="00F31C9F">
        <w:rPr>
          <w:rFonts w:cs="Times New Roman"/>
          <w:szCs w:val="24"/>
          <w:shd w:val="clear" w:color="auto" w:fill="FFFFFF"/>
        </w:rPr>
        <w:t>w</w:t>
      </w:r>
      <w:r w:rsidRPr="00F31C9F">
        <w:rPr>
          <w:rFonts w:cs="Times New Roman"/>
          <w:szCs w:val="24"/>
          <w:shd w:val="clear" w:color="auto" w:fill="FFFFFF"/>
        </w:rPr>
        <w:t xml:space="preserve">ith </w:t>
      </w:r>
      <w:r w:rsidR="00146C2F" w:rsidRPr="00F31C9F">
        <w:rPr>
          <w:rFonts w:cs="Times New Roman"/>
          <w:szCs w:val="24"/>
          <w:shd w:val="clear" w:color="auto" w:fill="FFFFFF"/>
        </w:rPr>
        <w:t>c</w:t>
      </w:r>
      <w:r w:rsidRPr="00F31C9F">
        <w:rPr>
          <w:rFonts w:cs="Times New Roman"/>
          <w:szCs w:val="24"/>
          <w:shd w:val="clear" w:color="auto" w:fill="FFFFFF"/>
        </w:rPr>
        <w:t xml:space="preserve">ardiovascular </w:t>
      </w:r>
      <w:r w:rsidR="00146C2F" w:rsidRPr="00F31C9F">
        <w:rPr>
          <w:rFonts w:cs="Times New Roman"/>
          <w:szCs w:val="24"/>
          <w:shd w:val="clear" w:color="auto" w:fill="FFFFFF"/>
        </w:rPr>
        <w:t>d</w:t>
      </w:r>
      <w:r w:rsidRPr="00F31C9F">
        <w:rPr>
          <w:rFonts w:cs="Times New Roman"/>
          <w:szCs w:val="24"/>
          <w:shd w:val="clear" w:color="auto" w:fill="FFFFFF"/>
        </w:rPr>
        <w:t>isease. </w:t>
      </w:r>
      <w:r w:rsidRPr="00F31C9F">
        <w:rPr>
          <w:rFonts w:cs="Times New Roman"/>
          <w:i/>
          <w:iCs/>
          <w:szCs w:val="24"/>
          <w:shd w:val="clear" w:color="auto" w:fill="FFFFFF"/>
        </w:rPr>
        <w:t>American Journal of Cardiology</w:t>
      </w:r>
      <w:r w:rsidRPr="00F31C9F">
        <w:rPr>
          <w:rFonts w:cs="Times New Roman"/>
          <w:szCs w:val="24"/>
          <w:shd w:val="clear" w:color="auto" w:fill="FFFFFF"/>
        </w:rPr>
        <w:t> </w:t>
      </w:r>
      <w:r w:rsidRPr="00F31C9F">
        <w:rPr>
          <w:rFonts w:cs="Times New Roman"/>
          <w:iCs/>
          <w:szCs w:val="24"/>
          <w:shd w:val="clear" w:color="auto" w:fill="FFFFFF"/>
        </w:rPr>
        <w:t>121</w:t>
      </w:r>
      <w:r w:rsidRPr="00F31C9F">
        <w:rPr>
          <w:rFonts w:cs="Times New Roman"/>
          <w:szCs w:val="24"/>
          <w:shd w:val="clear" w:color="auto" w:fill="FFFFFF"/>
        </w:rPr>
        <w:t>(2), 177-181.</w:t>
      </w:r>
    </w:p>
    <w:p w14:paraId="312833CD" w14:textId="13FAD31E" w:rsidR="00CC1F76" w:rsidRDefault="00CC1F76" w:rsidP="00F74FAF">
      <w:pPr>
        <w:keepLines/>
        <w:spacing w:line="240" w:lineRule="auto"/>
        <w:ind w:left="360" w:hanging="360"/>
        <w:rPr>
          <w:rFonts w:cs="Times New Roman"/>
          <w:szCs w:val="24"/>
          <w:shd w:val="clear" w:color="auto" w:fill="FFFFFF"/>
        </w:rPr>
      </w:pPr>
      <w:r w:rsidRPr="00F31C9F">
        <w:rPr>
          <w:rFonts w:cs="Times New Roman"/>
          <w:szCs w:val="24"/>
          <w:shd w:val="clear" w:color="auto" w:fill="FFFFFF"/>
        </w:rPr>
        <w:t>Lavieri, P.S., Garikapati, V.M., Bhat, C.R., Pendyala, R.M., Astroza, S., Dias, F.F., 2017. Modeling individual preferences for ownership and sharing of autonomous vehicle technologies. </w:t>
      </w:r>
      <w:r w:rsidRPr="00F31C9F">
        <w:rPr>
          <w:rFonts w:cs="Times New Roman"/>
          <w:i/>
          <w:iCs/>
          <w:szCs w:val="24"/>
          <w:shd w:val="clear" w:color="auto" w:fill="FFFFFF"/>
        </w:rPr>
        <w:t>Transportation Research Record: Journal of the Transportation Research Board</w:t>
      </w:r>
      <w:r w:rsidRPr="00F31C9F">
        <w:rPr>
          <w:rFonts w:cs="Times New Roman"/>
          <w:szCs w:val="24"/>
          <w:shd w:val="clear" w:color="auto" w:fill="FFFFFF"/>
        </w:rPr>
        <w:t xml:space="preserve"> 2665, 1-10.</w:t>
      </w:r>
    </w:p>
    <w:p w14:paraId="233CB92B" w14:textId="2FE6434F" w:rsidR="005B2012" w:rsidRPr="00F31C9F" w:rsidRDefault="00B11F54" w:rsidP="00CC1F76">
      <w:pPr>
        <w:spacing w:line="240" w:lineRule="auto"/>
        <w:ind w:left="360" w:hanging="360"/>
        <w:rPr>
          <w:rFonts w:cs="Times New Roman"/>
          <w:szCs w:val="24"/>
          <w:shd w:val="clear" w:color="auto" w:fill="FFFFFF"/>
        </w:rPr>
      </w:pPr>
      <w:r w:rsidRPr="00F31C9F">
        <w:rPr>
          <w:rFonts w:cs="Times New Roman"/>
          <w:szCs w:val="24"/>
          <w:shd w:val="clear" w:color="auto" w:fill="FFFFFF"/>
        </w:rPr>
        <w:t>Lavieri, P.S., D</w:t>
      </w:r>
      <w:r w:rsidR="00146C2F" w:rsidRPr="00F31C9F">
        <w:rPr>
          <w:rFonts w:cs="Times New Roman"/>
          <w:szCs w:val="24"/>
          <w:shd w:val="clear" w:color="auto" w:fill="FFFFFF"/>
        </w:rPr>
        <w:t xml:space="preserve">ias, F.F., Juri, N.R., Kuhr, J., </w:t>
      </w:r>
      <w:r w:rsidRPr="00F31C9F">
        <w:rPr>
          <w:rFonts w:cs="Times New Roman"/>
          <w:szCs w:val="24"/>
          <w:shd w:val="clear" w:color="auto" w:fill="FFFFFF"/>
        </w:rPr>
        <w:t>Bhat, C.R., 2018</w:t>
      </w:r>
      <w:r w:rsidR="00AC3566">
        <w:rPr>
          <w:rFonts w:cs="Times New Roman"/>
          <w:szCs w:val="24"/>
          <w:shd w:val="clear" w:color="auto" w:fill="FFFFFF"/>
        </w:rPr>
        <w:t>a</w:t>
      </w:r>
      <w:r w:rsidRPr="00F31C9F">
        <w:rPr>
          <w:rFonts w:cs="Times New Roman"/>
          <w:szCs w:val="24"/>
          <w:shd w:val="clear" w:color="auto" w:fill="FFFFFF"/>
        </w:rPr>
        <w:t>. A model of ridesourcing demand generation and distribution. </w:t>
      </w:r>
      <w:r w:rsidRPr="00F31C9F">
        <w:rPr>
          <w:rFonts w:cs="Times New Roman"/>
          <w:i/>
          <w:iCs/>
          <w:szCs w:val="24"/>
          <w:shd w:val="clear" w:color="auto" w:fill="FFFFFF"/>
        </w:rPr>
        <w:t>Transportation Research Record: Journal of the Transportation Research Board</w:t>
      </w:r>
      <w:r w:rsidR="00FC44EB">
        <w:rPr>
          <w:rFonts w:cs="Times New Roman"/>
          <w:iCs/>
          <w:szCs w:val="24"/>
          <w:shd w:val="clear" w:color="auto" w:fill="FFFFFF"/>
        </w:rPr>
        <w:t xml:space="preserve"> </w:t>
      </w:r>
      <w:r w:rsidR="00FC44EB" w:rsidRPr="00FC44EB">
        <w:rPr>
          <w:rFonts w:cs="Times New Roman"/>
        </w:rPr>
        <w:t>2672(46), 31-40</w:t>
      </w:r>
      <w:r w:rsidR="009536EB" w:rsidRPr="00FC44EB">
        <w:rPr>
          <w:rFonts w:cs="Times New Roman"/>
          <w:szCs w:val="24"/>
          <w:shd w:val="clear" w:color="auto" w:fill="FFFFFF"/>
        </w:rPr>
        <w:t>.</w:t>
      </w:r>
      <w:bookmarkStart w:id="4" w:name="_GoBack"/>
      <w:bookmarkEnd w:id="4"/>
    </w:p>
    <w:p w14:paraId="2F2C6CB3" w14:textId="5973E450" w:rsidR="003329B4" w:rsidRPr="00F525B1" w:rsidRDefault="00B27251" w:rsidP="003329B4">
      <w:pPr>
        <w:spacing w:line="240" w:lineRule="auto"/>
        <w:ind w:left="360" w:hanging="360"/>
        <w:rPr>
          <w:rFonts w:cs="Times New Roman"/>
          <w:szCs w:val="24"/>
          <w:shd w:val="clear" w:color="auto" w:fill="FFFFFF"/>
        </w:rPr>
      </w:pPr>
      <w:r>
        <w:rPr>
          <w:rFonts w:cs="Times New Roman"/>
          <w:szCs w:val="24"/>
          <w:shd w:val="clear" w:color="auto" w:fill="FFFFFF"/>
        </w:rPr>
        <w:t xml:space="preserve">Lavieri, P.S., Dai, Q., </w:t>
      </w:r>
      <w:r w:rsidR="003329B4" w:rsidRPr="00F525B1">
        <w:rPr>
          <w:rFonts w:cs="Times New Roman"/>
          <w:szCs w:val="24"/>
          <w:shd w:val="clear" w:color="auto" w:fill="FFFFFF"/>
        </w:rPr>
        <w:t>Bhat, C.R., 2018b. Using virtual accessibility and physical accessibility as joint predictors of activity-travel behavior. </w:t>
      </w:r>
      <w:r w:rsidR="00F74FAF" w:rsidRPr="00F525B1">
        <w:rPr>
          <w:rFonts w:cs="Times New Roman"/>
          <w:i/>
          <w:iCs/>
          <w:szCs w:val="24"/>
          <w:shd w:val="clear" w:color="auto" w:fill="FFFFFF"/>
        </w:rPr>
        <w:t xml:space="preserve">Transportation Research Part A </w:t>
      </w:r>
      <w:r w:rsidR="003329B4" w:rsidRPr="00F525B1">
        <w:rPr>
          <w:rFonts w:cs="Times New Roman"/>
          <w:iCs/>
          <w:szCs w:val="24"/>
          <w:shd w:val="clear" w:color="auto" w:fill="FFFFFF"/>
        </w:rPr>
        <w:t>118</w:t>
      </w:r>
      <w:r w:rsidR="003329B4" w:rsidRPr="00F525B1">
        <w:rPr>
          <w:rFonts w:cs="Times New Roman"/>
          <w:szCs w:val="24"/>
          <w:shd w:val="clear" w:color="auto" w:fill="FFFFFF"/>
        </w:rPr>
        <w:t>,</w:t>
      </w:r>
      <w:r w:rsidR="00F74FAF" w:rsidRPr="00F525B1">
        <w:rPr>
          <w:rFonts w:cs="Times New Roman"/>
          <w:szCs w:val="24"/>
          <w:shd w:val="clear" w:color="auto" w:fill="FFFFFF"/>
        </w:rPr>
        <w:t xml:space="preserve"> </w:t>
      </w:r>
      <w:r w:rsidR="003329B4" w:rsidRPr="00F525B1">
        <w:rPr>
          <w:rFonts w:cs="Times New Roman"/>
          <w:szCs w:val="24"/>
          <w:shd w:val="clear" w:color="auto" w:fill="FFFFFF"/>
        </w:rPr>
        <w:t>527-544.</w:t>
      </w:r>
    </w:p>
    <w:p w14:paraId="3D8D43BD" w14:textId="2179C07C" w:rsidR="001052A7" w:rsidRPr="00F525B1" w:rsidRDefault="001052A7" w:rsidP="008778FE">
      <w:pPr>
        <w:spacing w:line="240" w:lineRule="auto"/>
        <w:ind w:left="360" w:hanging="360"/>
        <w:rPr>
          <w:rFonts w:cs="Times New Roman"/>
          <w:szCs w:val="24"/>
          <w:shd w:val="clear" w:color="auto" w:fill="FFFFFF"/>
        </w:rPr>
      </w:pPr>
      <w:r w:rsidRPr="00F525B1">
        <w:rPr>
          <w:shd w:val="clear" w:color="auto" w:fill="FFFFFF"/>
        </w:rPr>
        <w:t xml:space="preserve">Leistner, D.L., Steiner, R.L., 2017. Uber for seniors? Exploring transportation options for the future. </w:t>
      </w:r>
      <w:r w:rsidRPr="00F525B1">
        <w:rPr>
          <w:i/>
          <w:iCs/>
          <w:shd w:val="clear" w:color="auto" w:fill="FFFFFF"/>
        </w:rPr>
        <w:t>Transportation Research Record: Journal of the Transportation Research Board</w:t>
      </w:r>
      <w:r w:rsidRPr="00F525B1">
        <w:rPr>
          <w:shd w:val="clear" w:color="auto" w:fill="FFFFFF"/>
        </w:rPr>
        <w:t xml:space="preserve"> 2660, 22-29.</w:t>
      </w:r>
    </w:p>
    <w:p w14:paraId="530C717B" w14:textId="7D6C3AAA" w:rsidR="00AA601C" w:rsidRPr="00F525B1" w:rsidRDefault="00146C2F" w:rsidP="008778FE">
      <w:pPr>
        <w:spacing w:line="240" w:lineRule="auto"/>
        <w:ind w:left="360" w:hanging="360"/>
        <w:rPr>
          <w:rFonts w:cs="Times New Roman"/>
          <w:szCs w:val="24"/>
          <w:shd w:val="clear" w:color="auto" w:fill="FFFFFF"/>
        </w:rPr>
      </w:pPr>
      <w:r w:rsidRPr="00F525B1">
        <w:rPr>
          <w:rFonts w:cs="Times New Roman"/>
          <w:szCs w:val="24"/>
          <w:shd w:val="clear" w:color="auto" w:fill="FFFFFF"/>
        </w:rPr>
        <w:t xml:space="preserve">Li, Z., Hong, Y., </w:t>
      </w:r>
      <w:r w:rsidR="00AA601C" w:rsidRPr="00F525B1">
        <w:rPr>
          <w:rFonts w:cs="Times New Roman"/>
          <w:szCs w:val="24"/>
          <w:shd w:val="clear" w:color="auto" w:fill="FFFFFF"/>
        </w:rPr>
        <w:t xml:space="preserve">Zhang, Z., 2017. An empirical analysis of on-demand ride sharing and traffic congestion. </w:t>
      </w:r>
      <w:r w:rsidR="009536EB" w:rsidRPr="00F525B1">
        <w:rPr>
          <w:rFonts w:cs="Times New Roman"/>
          <w:szCs w:val="24"/>
          <w:shd w:val="clear" w:color="auto" w:fill="FFFFFF"/>
        </w:rPr>
        <w:t>Presented at the 2016</w:t>
      </w:r>
      <w:r w:rsidR="00AA601C" w:rsidRPr="00F525B1">
        <w:rPr>
          <w:rFonts w:cs="Times New Roman"/>
          <w:szCs w:val="24"/>
          <w:shd w:val="clear" w:color="auto" w:fill="FFFFFF"/>
        </w:rPr>
        <w:t xml:space="preserve"> International Conference on Information Systems</w:t>
      </w:r>
      <w:r w:rsidR="009536EB" w:rsidRPr="00F525B1">
        <w:rPr>
          <w:rFonts w:cs="Times New Roman"/>
          <w:szCs w:val="24"/>
          <w:shd w:val="clear" w:color="auto" w:fill="FFFFFF"/>
        </w:rPr>
        <w:t xml:space="preserve"> (</w:t>
      </w:r>
      <w:r w:rsidR="009536EB" w:rsidRPr="00F525B1">
        <w:rPr>
          <w:rStyle w:val="prefix"/>
        </w:rPr>
        <w:t>ICIS 2016</w:t>
      </w:r>
      <w:r w:rsidR="009536EB" w:rsidRPr="00F525B1">
        <w:t>)</w:t>
      </w:r>
      <w:r w:rsidR="00AA601C" w:rsidRPr="00F525B1">
        <w:rPr>
          <w:rFonts w:cs="Times New Roman"/>
          <w:szCs w:val="24"/>
          <w:shd w:val="clear" w:color="auto" w:fill="FFFFFF"/>
        </w:rPr>
        <w:t>,</w:t>
      </w:r>
      <w:r w:rsidR="009536EB" w:rsidRPr="00F525B1">
        <w:rPr>
          <w:rFonts w:cs="Times New Roman"/>
          <w:szCs w:val="24"/>
          <w:shd w:val="clear" w:color="auto" w:fill="FFFFFF"/>
        </w:rPr>
        <w:t xml:space="preserve"> Dublin, September</w:t>
      </w:r>
      <w:r w:rsidR="00AA601C" w:rsidRPr="00F525B1">
        <w:rPr>
          <w:rFonts w:cs="Times New Roman"/>
          <w:szCs w:val="24"/>
          <w:shd w:val="clear" w:color="auto" w:fill="FFFFFF"/>
        </w:rPr>
        <w:t>.</w:t>
      </w:r>
    </w:p>
    <w:p w14:paraId="1F5C8671" w14:textId="77777777" w:rsidR="00CC1F76" w:rsidRPr="00F31C9F" w:rsidRDefault="00CC1F76" w:rsidP="00CC1F76">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Liu, N., Yu, R., 2017. Identifying design feature factors critical to acceptance and usage behavior of smartphones. </w:t>
      </w:r>
      <w:r w:rsidRPr="00F31C9F">
        <w:rPr>
          <w:rFonts w:cs="Times New Roman"/>
          <w:i/>
          <w:szCs w:val="24"/>
          <w:shd w:val="clear" w:color="auto" w:fill="FFFFFF"/>
        </w:rPr>
        <w:t>Computers in Human Behavior</w:t>
      </w:r>
      <w:r w:rsidRPr="00F31C9F">
        <w:rPr>
          <w:rFonts w:cs="Times New Roman"/>
          <w:szCs w:val="24"/>
          <w:shd w:val="clear" w:color="auto" w:fill="FFFFFF"/>
        </w:rPr>
        <w:t xml:space="preserve"> 70, 131-142.</w:t>
      </w:r>
    </w:p>
    <w:p w14:paraId="1F6A57EC" w14:textId="3C13764E" w:rsidR="005D4DFD" w:rsidRPr="00F31C9F" w:rsidRDefault="005D4DFD" w:rsidP="008778FE">
      <w:pPr>
        <w:spacing w:line="240" w:lineRule="auto"/>
        <w:ind w:left="360" w:hanging="360"/>
      </w:pPr>
      <w:r w:rsidRPr="00F31C9F">
        <w:t xml:space="preserve">Liu, X., Vedlitz, A., Shi, L., 2014. Examining the determinants of public environmental concern: Evidence from national public surveys. </w:t>
      </w:r>
      <w:r w:rsidRPr="00F31C9F">
        <w:rPr>
          <w:i/>
        </w:rPr>
        <w:t>Environmental Science &amp; Policy</w:t>
      </w:r>
      <w:r w:rsidRPr="00F31C9F">
        <w:t xml:space="preserve"> 39, 77-94.</w:t>
      </w:r>
    </w:p>
    <w:p w14:paraId="373CDD96" w14:textId="7AAD7CD9" w:rsidR="00C30EC0" w:rsidRPr="00F31C9F" w:rsidRDefault="00C30EC0"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Maddala, G.S., 1983. </w:t>
      </w:r>
      <w:r w:rsidRPr="00F31C9F">
        <w:rPr>
          <w:rFonts w:cs="Times New Roman"/>
          <w:i/>
          <w:iCs/>
          <w:szCs w:val="24"/>
          <w:shd w:val="clear" w:color="auto" w:fill="FFFFFF"/>
        </w:rPr>
        <w:t>Limited-</w:t>
      </w:r>
      <w:r w:rsidR="004905CF" w:rsidRPr="00F31C9F">
        <w:rPr>
          <w:rFonts w:cs="Times New Roman"/>
          <w:i/>
          <w:iCs/>
          <w:szCs w:val="24"/>
          <w:shd w:val="clear" w:color="auto" w:fill="FFFFFF"/>
        </w:rPr>
        <w:t>D</w:t>
      </w:r>
      <w:r w:rsidRPr="00F31C9F">
        <w:rPr>
          <w:rFonts w:cs="Times New Roman"/>
          <w:i/>
          <w:iCs/>
          <w:szCs w:val="24"/>
          <w:shd w:val="clear" w:color="auto" w:fill="FFFFFF"/>
        </w:rPr>
        <w:t xml:space="preserve">ependent and </w:t>
      </w:r>
      <w:r w:rsidR="004905CF" w:rsidRPr="00F31C9F">
        <w:rPr>
          <w:rFonts w:cs="Times New Roman"/>
          <w:i/>
          <w:iCs/>
          <w:szCs w:val="24"/>
          <w:shd w:val="clear" w:color="auto" w:fill="FFFFFF"/>
        </w:rPr>
        <w:t>Q</w:t>
      </w:r>
      <w:r w:rsidRPr="00F31C9F">
        <w:rPr>
          <w:rFonts w:cs="Times New Roman"/>
          <w:i/>
          <w:iCs/>
          <w:szCs w:val="24"/>
          <w:shd w:val="clear" w:color="auto" w:fill="FFFFFF"/>
        </w:rPr>
        <w:t xml:space="preserve">ualitative </w:t>
      </w:r>
      <w:r w:rsidR="004905CF" w:rsidRPr="00F31C9F">
        <w:rPr>
          <w:rFonts w:cs="Times New Roman"/>
          <w:i/>
          <w:iCs/>
          <w:szCs w:val="24"/>
          <w:shd w:val="clear" w:color="auto" w:fill="FFFFFF"/>
        </w:rPr>
        <w:t>V</w:t>
      </w:r>
      <w:r w:rsidRPr="00F31C9F">
        <w:rPr>
          <w:rFonts w:cs="Times New Roman"/>
          <w:i/>
          <w:iCs/>
          <w:szCs w:val="24"/>
          <w:shd w:val="clear" w:color="auto" w:fill="FFFFFF"/>
        </w:rPr>
        <w:t xml:space="preserve">ariables in </w:t>
      </w:r>
      <w:r w:rsidR="004905CF" w:rsidRPr="00F31C9F">
        <w:rPr>
          <w:rFonts w:cs="Times New Roman"/>
          <w:i/>
          <w:iCs/>
          <w:szCs w:val="24"/>
          <w:shd w:val="clear" w:color="auto" w:fill="FFFFFF"/>
        </w:rPr>
        <w:t>E</w:t>
      </w:r>
      <w:r w:rsidRPr="00F31C9F">
        <w:rPr>
          <w:rFonts w:cs="Times New Roman"/>
          <w:i/>
          <w:iCs/>
          <w:szCs w:val="24"/>
          <w:shd w:val="clear" w:color="auto" w:fill="FFFFFF"/>
        </w:rPr>
        <w:t>conometrics</w:t>
      </w:r>
      <w:r w:rsidRPr="00F31C9F">
        <w:rPr>
          <w:rFonts w:cs="Times New Roman"/>
          <w:szCs w:val="24"/>
          <w:shd w:val="clear" w:color="auto" w:fill="FFFFFF"/>
        </w:rPr>
        <w:t xml:space="preserve"> (No. 3). </w:t>
      </w:r>
      <w:r w:rsidR="009536EB" w:rsidRPr="00F31C9F">
        <w:rPr>
          <w:rFonts w:cs="Times New Roman"/>
          <w:szCs w:val="24"/>
          <w:shd w:val="clear" w:color="auto" w:fill="FFFFFF"/>
        </w:rPr>
        <w:t>Cambridge University Press, Cambridge, MA</w:t>
      </w:r>
      <w:r w:rsidRPr="00F31C9F">
        <w:rPr>
          <w:rFonts w:cs="Times New Roman"/>
          <w:szCs w:val="24"/>
          <w:shd w:val="clear" w:color="auto" w:fill="FFFFFF"/>
        </w:rPr>
        <w:t>.</w:t>
      </w:r>
    </w:p>
    <w:p w14:paraId="6667F6E7" w14:textId="6EC347FC" w:rsidR="00C324DB" w:rsidRPr="00F31C9F"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Milojev, P., </w:t>
      </w:r>
      <w:r w:rsidR="00C324DB" w:rsidRPr="00F31C9F">
        <w:rPr>
          <w:rFonts w:cs="Times New Roman"/>
          <w:szCs w:val="24"/>
          <w:shd w:val="clear" w:color="auto" w:fill="FFFFFF"/>
        </w:rPr>
        <w:t xml:space="preserve">Sibley, C.G., 2017. Normative personality trait development in adulthood: A 6-year cohort-sequential growth model. </w:t>
      </w:r>
      <w:r w:rsidR="00C324DB" w:rsidRPr="00F31C9F">
        <w:rPr>
          <w:rFonts w:cs="Times New Roman"/>
          <w:i/>
          <w:szCs w:val="24"/>
          <w:shd w:val="clear" w:color="auto" w:fill="FFFFFF"/>
        </w:rPr>
        <w:t xml:space="preserve">Journal of </w:t>
      </w:r>
      <w:r w:rsidR="004905CF" w:rsidRPr="00F31C9F">
        <w:rPr>
          <w:rFonts w:cs="Times New Roman"/>
          <w:i/>
          <w:szCs w:val="24"/>
          <w:shd w:val="clear" w:color="auto" w:fill="FFFFFF"/>
        </w:rPr>
        <w:t>P</w:t>
      </w:r>
      <w:r w:rsidR="00C324DB" w:rsidRPr="00F31C9F">
        <w:rPr>
          <w:rFonts w:cs="Times New Roman"/>
          <w:i/>
          <w:szCs w:val="24"/>
          <w:shd w:val="clear" w:color="auto" w:fill="FFFFFF"/>
        </w:rPr>
        <w:t xml:space="preserve">ersonality and </w:t>
      </w:r>
      <w:r w:rsidR="004905CF" w:rsidRPr="00F31C9F">
        <w:rPr>
          <w:rFonts w:cs="Times New Roman"/>
          <w:i/>
          <w:szCs w:val="24"/>
          <w:shd w:val="clear" w:color="auto" w:fill="FFFFFF"/>
        </w:rPr>
        <w:t>S</w:t>
      </w:r>
      <w:r w:rsidR="00C324DB" w:rsidRPr="00F31C9F">
        <w:rPr>
          <w:rFonts w:cs="Times New Roman"/>
          <w:i/>
          <w:szCs w:val="24"/>
          <w:shd w:val="clear" w:color="auto" w:fill="FFFFFF"/>
        </w:rPr>
        <w:t xml:space="preserve">ocial </w:t>
      </w:r>
      <w:r w:rsidR="004905CF" w:rsidRPr="00F31C9F">
        <w:rPr>
          <w:rFonts w:cs="Times New Roman"/>
          <w:i/>
          <w:szCs w:val="24"/>
          <w:shd w:val="clear" w:color="auto" w:fill="FFFFFF"/>
        </w:rPr>
        <w:t>P</w:t>
      </w:r>
      <w:r w:rsidR="00C324DB" w:rsidRPr="00F31C9F">
        <w:rPr>
          <w:rFonts w:cs="Times New Roman"/>
          <w:i/>
          <w:szCs w:val="24"/>
          <w:shd w:val="clear" w:color="auto" w:fill="FFFFFF"/>
        </w:rPr>
        <w:t>sychology</w:t>
      </w:r>
      <w:r w:rsidR="009536EB" w:rsidRPr="00F31C9F">
        <w:rPr>
          <w:rFonts w:cs="Times New Roman"/>
          <w:szCs w:val="24"/>
          <w:shd w:val="clear" w:color="auto" w:fill="FFFFFF"/>
        </w:rPr>
        <w:t xml:space="preserve"> </w:t>
      </w:r>
      <w:r w:rsidR="00C324DB" w:rsidRPr="00F31C9F">
        <w:rPr>
          <w:rFonts w:cs="Times New Roman"/>
          <w:szCs w:val="24"/>
          <w:shd w:val="clear" w:color="auto" w:fill="FFFFFF"/>
        </w:rPr>
        <w:t>112(3), 510.</w:t>
      </w:r>
    </w:p>
    <w:p w14:paraId="3D77E711" w14:textId="1E02D343" w:rsidR="00D818AB" w:rsidRPr="00F31C9F"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Paleti, R., Eluru, N., </w:t>
      </w:r>
      <w:r w:rsidR="00D818AB" w:rsidRPr="00F31C9F">
        <w:rPr>
          <w:rFonts w:cs="Times New Roman"/>
          <w:szCs w:val="24"/>
          <w:shd w:val="clear" w:color="auto" w:fill="FFFFFF"/>
        </w:rPr>
        <w:t>Bhat, C.R., 2010. Examining the influence of aggressive driving behavior on driver injury severity in traffic crashes. </w:t>
      </w:r>
      <w:r w:rsidR="00D818AB" w:rsidRPr="00F31C9F">
        <w:rPr>
          <w:rFonts w:cs="Times New Roman"/>
          <w:i/>
          <w:iCs/>
          <w:szCs w:val="24"/>
          <w:shd w:val="clear" w:color="auto" w:fill="FFFFFF"/>
        </w:rPr>
        <w:t>Accident Analysis &amp; Prevention</w:t>
      </w:r>
      <w:r w:rsidR="00D818AB" w:rsidRPr="00F31C9F">
        <w:rPr>
          <w:rFonts w:cs="Times New Roman"/>
          <w:szCs w:val="24"/>
          <w:shd w:val="clear" w:color="auto" w:fill="FFFFFF"/>
        </w:rPr>
        <w:t> </w:t>
      </w:r>
      <w:r w:rsidR="00D818AB" w:rsidRPr="00F31C9F">
        <w:rPr>
          <w:rFonts w:cs="Times New Roman"/>
          <w:iCs/>
          <w:szCs w:val="24"/>
          <w:shd w:val="clear" w:color="auto" w:fill="FFFFFF"/>
        </w:rPr>
        <w:t>42</w:t>
      </w:r>
      <w:r w:rsidR="00D818AB" w:rsidRPr="00F31C9F">
        <w:rPr>
          <w:rFonts w:cs="Times New Roman"/>
          <w:szCs w:val="24"/>
          <w:shd w:val="clear" w:color="auto" w:fill="FFFFFF"/>
        </w:rPr>
        <w:t>(6), 1839-1854.</w:t>
      </w:r>
    </w:p>
    <w:p w14:paraId="3BE84746" w14:textId="6891F408" w:rsidR="005B2012" w:rsidRPr="00F31C9F" w:rsidRDefault="005B2012"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Rayle, L., Dai, D., Chan, N., Cervero, </w:t>
      </w:r>
      <w:r w:rsidR="00146C2F" w:rsidRPr="00F31C9F">
        <w:rPr>
          <w:rFonts w:cs="Times New Roman"/>
          <w:szCs w:val="24"/>
          <w:shd w:val="clear" w:color="auto" w:fill="FFFFFF"/>
        </w:rPr>
        <w:t xml:space="preserve">R., </w:t>
      </w:r>
      <w:r w:rsidRPr="00F31C9F">
        <w:rPr>
          <w:rFonts w:cs="Times New Roman"/>
          <w:szCs w:val="24"/>
          <w:shd w:val="clear" w:color="auto" w:fill="FFFFFF"/>
        </w:rPr>
        <w:t>Shaheen, S., 2016. Just a better taxi? A survey-based comparison of taxis, transit, and ridesourcing services in San Francisco. </w:t>
      </w:r>
      <w:r w:rsidRPr="00F31C9F">
        <w:rPr>
          <w:rFonts w:cs="Times New Roman"/>
          <w:i/>
          <w:iCs/>
          <w:szCs w:val="24"/>
          <w:shd w:val="clear" w:color="auto" w:fill="FFFFFF"/>
        </w:rPr>
        <w:t>Transport Policy</w:t>
      </w:r>
      <w:r w:rsidRPr="00F31C9F">
        <w:rPr>
          <w:rFonts w:cs="Times New Roman"/>
          <w:szCs w:val="24"/>
          <w:shd w:val="clear" w:color="auto" w:fill="FFFFFF"/>
        </w:rPr>
        <w:t> </w:t>
      </w:r>
      <w:r w:rsidRPr="00F31C9F">
        <w:rPr>
          <w:rFonts w:cs="Times New Roman"/>
          <w:iCs/>
          <w:szCs w:val="24"/>
          <w:shd w:val="clear" w:color="auto" w:fill="FFFFFF"/>
        </w:rPr>
        <w:t>45</w:t>
      </w:r>
      <w:r w:rsidRPr="00F31C9F">
        <w:rPr>
          <w:rFonts w:cs="Times New Roman"/>
          <w:szCs w:val="24"/>
          <w:shd w:val="clear" w:color="auto" w:fill="FFFFFF"/>
        </w:rPr>
        <w:t>, 168-178.</w:t>
      </w:r>
    </w:p>
    <w:p w14:paraId="590328F0" w14:textId="4905ABDD" w:rsidR="006211FD" w:rsidRDefault="00146C2F" w:rsidP="008778FE">
      <w:pPr>
        <w:spacing w:line="240" w:lineRule="auto"/>
        <w:ind w:left="360" w:hanging="360"/>
        <w:rPr>
          <w:rFonts w:cs="Times New Roman"/>
          <w:szCs w:val="24"/>
          <w:shd w:val="clear" w:color="auto" w:fill="FFFFFF"/>
        </w:rPr>
      </w:pPr>
      <w:r w:rsidRPr="00F31C9F">
        <w:rPr>
          <w:rFonts w:cs="Times New Roman"/>
          <w:szCs w:val="24"/>
          <w:shd w:val="clear" w:color="auto" w:fill="FFFFFF"/>
        </w:rPr>
        <w:t xml:space="preserve">Rieser-Schüssler, N., </w:t>
      </w:r>
      <w:r w:rsidR="006211FD" w:rsidRPr="00F31C9F">
        <w:rPr>
          <w:rFonts w:cs="Times New Roman"/>
          <w:szCs w:val="24"/>
          <w:shd w:val="clear" w:color="auto" w:fill="FFFFFF"/>
        </w:rPr>
        <w:t xml:space="preserve">Axhausen, K., 2012. Investigating the influence of environmentalism and variety seeking on mode choice. </w:t>
      </w:r>
      <w:r w:rsidR="006211FD" w:rsidRPr="00F31C9F">
        <w:rPr>
          <w:rFonts w:cs="Times New Roman"/>
          <w:i/>
          <w:szCs w:val="24"/>
          <w:shd w:val="clear" w:color="auto" w:fill="FFFFFF"/>
        </w:rPr>
        <w:t>Transportation Research Record: Journal of the Transportation Research Board</w:t>
      </w:r>
      <w:r w:rsidR="009536EB" w:rsidRPr="00F31C9F">
        <w:rPr>
          <w:rFonts w:cs="Times New Roman"/>
          <w:szCs w:val="24"/>
          <w:shd w:val="clear" w:color="auto" w:fill="FFFFFF"/>
        </w:rPr>
        <w:t xml:space="preserve"> </w:t>
      </w:r>
      <w:r w:rsidRPr="00F31C9F">
        <w:rPr>
          <w:rFonts w:cs="Times New Roman"/>
          <w:szCs w:val="24"/>
          <w:shd w:val="clear" w:color="auto" w:fill="FFFFFF"/>
        </w:rPr>
        <w:t>2322</w:t>
      </w:r>
      <w:r w:rsidR="006211FD" w:rsidRPr="00F31C9F">
        <w:rPr>
          <w:rFonts w:cs="Times New Roman"/>
          <w:szCs w:val="24"/>
          <w:shd w:val="clear" w:color="auto" w:fill="FFFFFF"/>
        </w:rPr>
        <w:t>, 31-41.</w:t>
      </w:r>
    </w:p>
    <w:p w14:paraId="799F1D6A" w14:textId="76FD3A17" w:rsidR="006B5854" w:rsidRPr="00AC3566" w:rsidRDefault="006B5854" w:rsidP="008778FE">
      <w:pPr>
        <w:spacing w:line="240" w:lineRule="auto"/>
        <w:ind w:left="360" w:hanging="360"/>
        <w:rPr>
          <w:rFonts w:cs="Times New Roman"/>
          <w:szCs w:val="24"/>
          <w:shd w:val="clear" w:color="auto" w:fill="FFFFFF"/>
        </w:rPr>
      </w:pPr>
      <w:r w:rsidRPr="00AC3566">
        <w:rPr>
          <w:rFonts w:cs="Times New Roman"/>
          <w:szCs w:val="24"/>
          <w:shd w:val="clear" w:color="auto" w:fill="FFFFFF"/>
        </w:rPr>
        <w:t xml:space="preserve">Schaller, B., 2017. Empty seats, full streets: Fixing </w:t>
      </w:r>
      <w:r w:rsidR="0067382B" w:rsidRPr="00AC3566">
        <w:rPr>
          <w:rFonts w:cs="Times New Roman"/>
          <w:szCs w:val="24"/>
          <w:shd w:val="clear" w:color="auto" w:fill="FFFFFF"/>
        </w:rPr>
        <w:t>M</w:t>
      </w:r>
      <w:r w:rsidRPr="00AC3566">
        <w:rPr>
          <w:rFonts w:cs="Times New Roman"/>
          <w:szCs w:val="24"/>
          <w:shd w:val="clear" w:color="auto" w:fill="FFFFFF"/>
        </w:rPr>
        <w:t>anhattan’s traffic problem. </w:t>
      </w:r>
      <w:r w:rsidRPr="00B27251">
        <w:rPr>
          <w:rFonts w:cs="Times New Roman"/>
          <w:iCs/>
          <w:szCs w:val="24"/>
          <w:shd w:val="clear" w:color="auto" w:fill="FFFFFF"/>
        </w:rPr>
        <w:t>Schaller Consulting</w:t>
      </w:r>
      <w:r w:rsidRPr="00B27251">
        <w:rPr>
          <w:rFonts w:cs="Times New Roman"/>
          <w:szCs w:val="24"/>
          <w:shd w:val="clear" w:color="auto" w:fill="FFFFFF"/>
        </w:rPr>
        <w:t>, </w:t>
      </w:r>
      <w:r w:rsidRPr="00B27251">
        <w:rPr>
          <w:rFonts w:cs="Times New Roman"/>
          <w:iCs/>
          <w:szCs w:val="24"/>
          <w:shd w:val="clear" w:color="auto" w:fill="FFFFFF"/>
        </w:rPr>
        <w:t>1</w:t>
      </w:r>
      <w:r w:rsidRPr="00AC3566">
        <w:rPr>
          <w:rFonts w:cs="Times New Roman"/>
          <w:szCs w:val="24"/>
          <w:shd w:val="clear" w:color="auto" w:fill="FFFFFF"/>
        </w:rPr>
        <w:t>(3).</w:t>
      </w:r>
      <w:r w:rsidR="00775A86" w:rsidRPr="00AC3566">
        <w:rPr>
          <w:rFonts w:cs="Times New Roman"/>
          <w:szCs w:val="24"/>
          <w:shd w:val="clear" w:color="auto" w:fill="FFFFFF"/>
        </w:rPr>
        <w:t xml:space="preserve"> Available at:</w:t>
      </w:r>
      <w:r w:rsidR="0094608A" w:rsidRPr="00AC3566">
        <w:rPr>
          <w:rFonts w:cs="Times New Roman"/>
          <w:szCs w:val="24"/>
          <w:shd w:val="clear" w:color="auto" w:fill="FFFFFF"/>
        </w:rPr>
        <w:t xml:space="preserve"> </w:t>
      </w:r>
      <w:hyperlink r:id="rId66" w:history="1">
        <w:r w:rsidR="00B27251" w:rsidRPr="00DA616B">
          <w:rPr>
            <w:rStyle w:val="Hyperlink"/>
            <w:rFonts w:cs="Times New Roman"/>
            <w:szCs w:val="24"/>
            <w:shd w:val="clear" w:color="auto" w:fill="FFFFFF"/>
          </w:rPr>
          <w:t>http://www.schallerconsult.com/rideservices/emptyseats.htm</w:t>
        </w:r>
      </w:hyperlink>
      <w:r w:rsidR="00B27251">
        <w:rPr>
          <w:rFonts w:cs="Times New Roman"/>
          <w:szCs w:val="24"/>
          <w:shd w:val="clear" w:color="auto" w:fill="FFFFFF"/>
        </w:rPr>
        <w:t xml:space="preserve"> </w:t>
      </w:r>
      <w:r w:rsidR="00775A86" w:rsidRPr="00AC3566">
        <w:rPr>
          <w:rStyle w:val="Hyperlink"/>
          <w:rFonts w:cs="Times New Roman"/>
          <w:color w:val="auto"/>
          <w:szCs w:val="24"/>
          <w:u w:val="none"/>
        </w:rPr>
        <w:t>[Accessed: 02/22/2019]</w:t>
      </w:r>
    </w:p>
    <w:p w14:paraId="6591555C" w14:textId="644CE40C" w:rsidR="009E5421" w:rsidRPr="000751E4" w:rsidRDefault="001E7691" w:rsidP="009E5421">
      <w:pPr>
        <w:spacing w:line="240" w:lineRule="auto"/>
        <w:ind w:left="360" w:hanging="360"/>
        <w:rPr>
          <w:rFonts w:cs="Times New Roman"/>
          <w:szCs w:val="24"/>
        </w:rPr>
      </w:pPr>
      <w:r>
        <w:lastRenderedPageBreak/>
        <w:t>Schlobach, M.,</w:t>
      </w:r>
      <w:r w:rsidR="006526EB">
        <w:t xml:space="preserve"> </w:t>
      </w:r>
      <w:r>
        <w:t>Retzer</w:t>
      </w:r>
      <w:r w:rsidR="006526EB">
        <w:t>, S., 2018.</w:t>
      </w:r>
      <w:r w:rsidR="009E5421" w:rsidRPr="009E5421">
        <w:t xml:space="preserve"> Didi Chuxing – How China’s ride-hailing leader aims to transform the future of mobility</w:t>
      </w:r>
      <w:r w:rsidR="009E5421">
        <w:t>.</w:t>
      </w:r>
      <w:r w:rsidR="009E5421" w:rsidRPr="009E5421">
        <w:rPr>
          <w:rStyle w:val="Hyperlink"/>
          <w:rFonts w:cs="Times New Roman"/>
          <w:color w:val="auto"/>
          <w:szCs w:val="24"/>
          <w:u w:val="none"/>
        </w:rPr>
        <w:t xml:space="preserve"> </w:t>
      </w:r>
      <w:r w:rsidR="00187189">
        <w:rPr>
          <w:rStyle w:val="Hyperlink"/>
          <w:rFonts w:cs="Times New Roman"/>
          <w:color w:val="auto"/>
          <w:szCs w:val="24"/>
          <w:u w:val="none"/>
        </w:rPr>
        <w:t>Sustainable Transport China</w:t>
      </w:r>
      <w:r w:rsidR="00E65DCE">
        <w:rPr>
          <w:rStyle w:val="Hyperlink"/>
          <w:rFonts w:cs="Times New Roman"/>
          <w:color w:val="auto"/>
          <w:szCs w:val="24"/>
          <w:u w:val="none"/>
        </w:rPr>
        <w:t xml:space="preserve"> [o</w:t>
      </w:r>
      <w:r w:rsidR="009E5421">
        <w:rPr>
          <w:rStyle w:val="Hyperlink"/>
          <w:rFonts w:cs="Times New Roman"/>
          <w:color w:val="auto"/>
          <w:szCs w:val="24"/>
          <w:u w:val="none"/>
        </w:rPr>
        <w:t>nli</w:t>
      </w:r>
      <w:r w:rsidR="00057F66">
        <w:rPr>
          <w:rStyle w:val="Hyperlink"/>
          <w:rFonts w:cs="Times New Roman"/>
          <w:color w:val="auto"/>
          <w:szCs w:val="24"/>
          <w:u w:val="none"/>
        </w:rPr>
        <w:t>ne</w:t>
      </w:r>
      <w:r w:rsidR="00E65DCE">
        <w:rPr>
          <w:rStyle w:val="Hyperlink"/>
          <w:rFonts w:cs="Times New Roman"/>
          <w:color w:val="auto"/>
          <w:szCs w:val="24"/>
          <w:u w:val="none"/>
        </w:rPr>
        <w:t>]</w:t>
      </w:r>
      <w:r w:rsidR="00057F66">
        <w:rPr>
          <w:rStyle w:val="Hyperlink"/>
          <w:rFonts w:cs="Times New Roman"/>
          <w:color w:val="auto"/>
          <w:szCs w:val="24"/>
          <w:u w:val="none"/>
        </w:rPr>
        <w:t>.</w:t>
      </w:r>
      <w:r w:rsidR="00CC5AA3">
        <w:rPr>
          <w:rStyle w:val="Hyperlink"/>
          <w:rFonts w:cs="Times New Roman"/>
          <w:color w:val="auto"/>
          <w:szCs w:val="24"/>
          <w:u w:val="none"/>
        </w:rPr>
        <w:t xml:space="preserve">  </w:t>
      </w:r>
      <w:hyperlink r:id="rId67" w:history="1">
        <w:r w:rsidR="00CC5AA3" w:rsidRPr="00CD04E9">
          <w:rPr>
            <w:rStyle w:val="Hyperlink"/>
            <w:rFonts w:cs="Times New Roman"/>
            <w:szCs w:val="24"/>
          </w:rPr>
          <w:t>https://www.sustainabletransport.org/archives/6317</w:t>
        </w:r>
      </w:hyperlink>
      <w:r w:rsidR="00CC5AA3">
        <w:rPr>
          <w:rStyle w:val="Hyperlink"/>
          <w:rFonts w:cs="Times New Roman"/>
          <w:color w:val="auto"/>
          <w:szCs w:val="24"/>
          <w:u w:val="none"/>
        </w:rPr>
        <w:t xml:space="preserve"> </w:t>
      </w:r>
      <w:r w:rsidR="00057F66">
        <w:rPr>
          <w:rStyle w:val="Hyperlink"/>
          <w:rFonts w:cs="Times New Roman"/>
          <w:color w:val="auto"/>
          <w:szCs w:val="24"/>
          <w:u w:val="none"/>
        </w:rPr>
        <w:t xml:space="preserve"> </w:t>
      </w:r>
      <w:r w:rsidR="009E5421" w:rsidRPr="005258D5">
        <w:rPr>
          <w:rStyle w:val="Hyperlink"/>
          <w:rFonts w:cs="Times New Roman"/>
          <w:color w:val="auto"/>
          <w:szCs w:val="24"/>
          <w:u w:val="none"/>
        </w:rPr>
        <w:t>[Accessed: 02/</w:t>
      </w:r>
      <w:r w:rsidR="009E5421">
        <w:rPr>
          <w:rStyle w:val="Hyperlink"/>
          <w:rFonts w:cs="Times New Roman"/>
          <w:color w:val="auto"/>
          <w:szCs w:val="24"/>
          <w:u w:val="none"/>
        </w:rPr>
        <w:t>22</w:t>
      </w:r>
      <w:r w:rsidR="009E5421" w:rsidRPr="005258D5">
        <w:rPr>
          <w:rStyle w:val="Hyperlink"/>
          <w:rFonts w:cs="Times New Roman"/>
          <w:color w:val="auto"/>
          <w:szCs w:val="24"/>
          <w:u w:val="none"/>
        </w:rPr>
        <w:t>/201</w:t>
      </w:r>
      <w:r w:rsidR="009E5421">
        <w:rPr>
          <w:rStyle w:val="Hyperlink"/>
          <w:rFonts w:cs="Times New Roman"/>
          <w:color w:val="auto"/>
          <w:szCs w:val="24"/>
          <w:u w:val="none"/>
        </w:rPr>
        <w:t>9</w:t>
      </w:r>
      <w:r w:rsidR="009E5421" w:rsidRPr="005258D5">
        <w:rPr>
          <w:rStyle w:val="Hyperlink"/>
          <w:rFonts w:cs="Times New Roman"/>
          <w:color w:val="auto"/>
          <w:szCs w:val="24"/>
          <w:u w:val="none"/>
        </w:rPr>
        <w:t>]</w:t>
      </w:r>
    </w:p>
    <w:p w14:paraId="6946573A" w14:textId="066F02DB" w:rsidR="00915B91" w:rsidRPr="00F31C9F" w:rsidRDefault="00915B91" w:rsidP="008778FE">
      <w:pPr>
        <w:spacing w:line="240" w:lineRule="auto"/>
        <w:ind w:left="360" w:hanging="360"/>
        <w:rPr>
          <w:rFonts w:cs="Times New Roman"/>
          <w:szCs w:val="24"/>
        </w:rPr>
      </w:pPr>
      <w:r w:rsidRPr="00F31C9F">
        <w:rPr>
          <w:rFonts w:cs="Times New Roman"/>
          <w:szCs w:val="24"/>
          <w:shd w:val="clear" w:color="auto" w:fill="FFFFFF"/>
        </w:rPr>
        <w:t>Schwartz, S.H., 1992. Universals in the content and structure of values: Theoretical advances and empirical tests in 2</w:t>
      </w:r>
      <w:r w:rsidR="009536EB" w:rsidRPr="00F31C9F">
        <w:rPr>
          <w:rFonts w:cs="Times New Roman"/>
          <w:szCs w:val="24"/>
          <w:shd w:val="clear" w:color="auto" w:fill="FFFFFF"/>
        </w:rPr>
        <w:t>0 countries.</w:t>
      </w:r>
      <w:r w:rsidRPr="00F31C9F">
        <w:rPr>
          <w:rFonts w:cs="Times New Roman"/>
          <w:szCs w:val="24"/>
          <w:shd w:val="clear" w:color="auto" w:fill="FFFFFF"/>
        </w:rPr>
        <w:t> </w:t>
      </w:r>
      <w:r w:rsidRPr="00F31C9F">
        <w:rPr>
          <w:rFonts w:cs="Times New Roman"/>
          <w:i/>
          <w:iCs/>
          <w:szCs w:val="24"/>
          <w:shd w:val="clear" w:color="auto" w:fill="FFFFFF"/>
        </w:rPr>
        <w:t xml:space="preserve">Advances in </w:t>
      </w:r>
      <w:r w:rsidR="004905CF" w:rsidRPr="00F31C9F">
        <w:rPr>
          <w:rFonts w:cs="Times New Roman"/>
          <w:i/>
          <w:iCs/>
          <w:szCs w:val="24"/>
          <w:shd w:val="clear" w:color="auto" w:fill="FFFFFF"/>
        </w:rPr>
        <w:t>E</w:t>
      </w:r>
      <w:r w:rsidRPr="00F31C9F">
        <w:rPr>
          <w:rFonts w:cs="Times New Roman"/>
          <w:i/>
          <w:iCs/>
          <w:szCs w:val="24"/>
          <w:shd w:val="clear" w:color="auto" w:fill="FFFFFF"/>
        </w:rPr>
        <w:t xml:space="preserve">xperimental </w:t>
      </w:r>
      <w:r w:rsidR="004905CF" w:rsidRPr="00F31C9F">
        <w:rPr>
          <w:rFonts w:cs="Times New Roman"/>
          <w:i/>
          <w:iCs/>
          <w:szCs w:val="24"/>
          <w:shd w:val="clear" w:color="auto" w:fill="FFFFFF"/>
        </w:rPr>
        <w:t>S</w:t>
      </w:r>
      <w:r w:rsidRPr="00F31C9F">
        <w:rPr>
          <w:rFonts w:cs="Times New Roman"/>
          <w:i/>
          <w:iCs/>
          <w:szCs w:val="24"/>
          <w:shd w:val="clear" w:color="auto" w:fill="FFFFFF"/>
        </w:rPr>
        <w:t xml:space="preserve">ocial </w:t>
      </w:r>
      <w:r w:rsidR="004905CF" w:rsidRPr="00F31C9F">
        <w:rPr>
          <w:rFonts w:cs="Times New Roman"/>
          <w:i/>
          <w:iCs/>
          <w:szCs w:val="24"/>
          <w:shd w:val="clear" w:color="auto" w:fill="FFFFFF"/>
        </w:rPr>
        <w:t>P</w:t>
      </w:r>
      <w:r w:rsidRPr="00F31C9F">
        <w:rPr>
          <w:rFonts w:cs="Times New Roman"/>
          <w:i/>
          <w:iCs/>
          <w:szCs w:val="24"/>
          <w:shd w:val="clear" w:color="auto" w:fill="FFFFFF"/>
        </w:rPr>
        <w:t>sychology</w:t>
      </w:r>
      <w:r w:rsidRPr="00F31C9F">
        <w:rPr>
          <w:rFonts w:cs="Times New Roman"/>
          <w:szCs w:val="24"/>
          <w:shd w:val="clear" w:color="auto" w:fill="FFFFFF"/>
        </w:rPr>
        <w:t xml:space="preserve"> 25, </w:t>
      </w:r>
      <w:r w:rsidR="009536EB" w:rsidRPr="00F31C9F">
        <w:rPr>
          <w:rFonts w:cs="Times New Roman"/>
          <w:szCs w:val="24"/>
          <w:shd w:val="clear" w:color="auto" w:fill="FFFFFF"/>
        </w:rPr>
        <w:t>1-65.</w:t>
      </w:r>
    </w:p>
    <w:p w14:paraId="47978DC5" w14:textId="1DAE26B9" w:rsidR="00CC1F76" w:rsidRPr="00F31C9F" w:rsidRDefault="00CC1F76" w:rsidP="00CC1F76">
      <w:pPr>
        <w:spacing w:line="240" w:lineRule="auto"/>
        <w:ind w:left="360" w:hanging="360"/>
        <w:rPr>
          <w:rFonts w:cs="Times New Roman"/>
          <w:szCs w:val="24"/>
          <w:shd w:val="clear" w:color="auto" w:fill="FFFFFF"/>
        </w:rPr>
      </w:pPr>
      <w:r w:rsidRPr="00F31C9F">
        <w:rPr>
          <w:rFonts w:cs="Times New Roman"/>
          <w:szCs w:val="24"/>
          <w:shd w:val="clear" w:color="auto" w:fill="FFFFFF"/>
        </w:rPr>
        <w:t>Schwartz, S.H., Rubel, T., 2005. Sex differences in value priorities: Cross-cultural and multimethod studies. </w:t>
      </w:r>
      <w:r w:rsidRPr="00F31C9F">
        <w:rPr>
          <w:rFonts w:cs="Times New Roman"/>
          <w:i/>
          <w:iCs/>
          <w:szCs w:val="24"/>
          <w:shd w:val="clear" w:color="auto" w:fill="FFFFFF"/>
        </w:rPr>
        <w:t>Journal of Personality and Social Psychology</w:t>
      </w:r>
      <w:r w:rsidRPr="00F31C9F">
        <w:rPr>
          <w:rFonts w:cs="Times New Roman"/>
          <w:szCs w:val="24"/>
          <w:shd w:val="clear" w:color="auto" w:fill="FFFFFF"/>
        </w:rPr>
        <w:t> </w:t>
      </w:r>
      <w:r w:rsidRPr="00F31C9F">
        <w:rPr>
          <w:rFonts w:cs="Times New Roman"/>
          <w:iCs/>
          <w:szCs w:val="24"/>
          <w:shd w:val="clear" w:color="auto" w:fill="FFFFFF"/>
        </w:rPr>
        <w:t>89</w:t>
      </w:r>
      <w:r w:rsidRPr="00F31C9F">
        <w:rPr>
          <w:rFonts w:cs="Times New Roman"/>
          <w:szCs w:val="24"/>
          <w:shd w:val="clear" w:color="auto" w:fill="FFFFFF"/>
        </w:rPr>
        <w:t>(6), 1010-1028.</w:t>
      </w:r>
    </w:p>
    <w:p w14:paraId="4A8D3651" w14:textId="6FE22D84" w:rsidR="005B2012" w:rsidRPr="00F31C9F" w:rsidRDefault="005B2012" w:rsidP="008778FE">
      <w:pPr>
        <w:spacing w:line="240" w:lineRule="auto"/>
        <w:ind w:left="360" w:hanging="360"/>
        <w:rPr>
          <w:rFonts w:cs="Times New Roman"/>
          <w:szCs w:val="24"/>
        </w:rPr>
      </w:pPr>
      <w:r w:rsidRPr="00F31C9F">
        <w:rPr>
          <w:rFonts w:cs="Times New Roman"/>
          <w:szCs w:val="24"/>
        </w:rPr>
        <w:t>Schwartz, S.H., Melech, G., Lehma</w:t>
      </w:r>
      <w:r w:rsidR="00146C2F" w:rsidRPr="00F31C9F">
        <w:rPr>
          <w:rFonts w:cs="Times New Roman"/>
          <w:szCs w:val="24"/>
        </w:rPr>
        <w:t xml:space="preserve">nn, A., Burgess, S., Harris, M., </w:t>
      </w:r>
      <w:r w:rsidRPr="00F31C9F">
        <w:rPr>
          <w:rFonts w:cs="Times New Roman"/>
          <w:szCs w:val="24"/>
        </w:rPr>
        <w:t xml:space="preserve">Owens, V., 2001. Extending the cross-cultural validity of the theory of basic human values with a different method of measurement. </w:t>
      </w:r>
      <w:r w:rsidRPr="00F31C9F">
        <w:rPr>
          <w:rFonts w:cs="Times New Roman"/>
          <w:i/>
          <w:szCs w:val="24"/>
        </w:rPr>
        <w:t xml:space="preserve">Journal of </w:t>
      </w:r>
      <w:r w:rsidR="009536EB" w:rsidRPr="00F31C9F">
        <w:rPr>
          <w:rFonts w:cs="Times New Roman"/>
          <w:i/>
          <w:szCs w:val="24"/>
        </w:rPr>
        <w:t>C</w:t>
      </w:r>
      <w:r w:rsidRPr="00F31C9F">
        <w:rPr>
          <w:rFonts w:cs="Times New Roman"/>
          <w:i/>
          <w:szCs w:val="24"/>
        </w:rPr>
        <w:t>ross-</w:t>
      </w:r>
      <w:r w:rsidR="009536EB" w:rsidRPr="00F31C9F">
        <w:rPr>
          <w:rFonts w:cs="Times New Roman"/>
          <w:i/>
          <w:szCs w:val="24"/>
        </w:rPr>
        <w:t>C</w:t>
      </w:r>
      <w:r w:rsidRPr="00F31C9F">
        <w:rPr>
          <w:rFonts w:cs="Times New Roman"/>
          <w:i/>
          <w:szCs w:val="24"/>
        </w:rPr>
        <w:t xml:space="preserve">ultural </w:t>
      </w:r>
      <w:r w:rsidR="009536EB" w:rsidRPr="00F31C9F">
        <w:rPr>
          <w:rFonts w:cs="Times New Roman"/>
          <w:i/>
          <w:szCs w:val="24"/>
        </w:rPr>
        <w:t>P</w:t>
      </w:r>
      <w:r w:rsidRPr="00F31C9F">
        <w:rPr>
          <w:rFonts w:cs="Times New Roman"/>
          <w:i/>
          <w:szCs w:val="24"/>
        </w:rPr>
        <w:t>sychology</w:t>
      </w:r>
      <w:r w:rsidRPr="00F31C9F">
        <w:rPr>
          <w:rFonts w:cs="Times New Roman"/>
          <w:szCs w:val="24"/>
        </w:rPr>
        <w:t xml:space="preserve"> 32(5), 519-542.</w:t>
      </w:r>
    </w:p>
    <w:p w14:paraId="0DE09D8F" w14:textId="2E6E80CF" w:rsidR="00A639A3" w:rsidRPr="00A639A3" w:rsidRDefault="00A639A3" w:rsidP="008778FE">
      <w:pPr>
        <w:spacing w:line="240" w:lineRule="auto"/>
        <w:ind w:left="360" w:hanging="360"/>
        <w:rPr>
          <w:rFonts w:cs="Times New Roman"/>
          <w:szCs w:val="24"/>
        </w:rPr>
      </w:pPr>
      <w:r w:rsidRPr="00F31C9F">
        <w:rPr>
          <w:rFonts w:cs="Times New Roman"/>
          <w:szCs w:val="24"/>
          <w:shd w:val="clear" w:color="auto" w:fill="FFFFFF"/>
        </w:rPr>
        <w:t>Smith, A., 2016. Shared, collaborative and on demand: The new digital economy. </w:t>
      </w:r>
      <w:r w:rsidRPr="00F31C9F">
        <w:rPr>
          <w:rFonts w:cs="Times New Roman"/>
          <w:i/>
          <w:iCs/>
          <w:szCs w:val="24"/>
          <w:shd w:val="clear" w:color="auto" w:fill="FFFFFF"/>
        </w:rPr>
        <w:t xml:space="preserve"> </w:t>
      </w:r>
      <w:r w:rsidRPr="00F31C9F">
        <w:rPr>
          <w:rFonts w:cs="Times New Roman"/>
          <w:iCs/>
          <w:szCs w:val="24"/>
          <w:shd w:val="clear" w:color="auto" w:fill="FFFFFF"/>
        </w:rPr>
        <w:t xml:space="preserve">Pew </w:t>
      </w:r>
      <w:r w:rsidR="00F13ABD" w:rsidRPr="00F31C9F">
        <w:rPr>
          <w:rFonts w:cs="Times New Roman"/>
          <w:iCs/>
          <w:szCs w:val="24"/>
          <w:shd w:val="clear" w:color="auto" w:fill="FFFFFF"/>
        </w:rPr>
        <w:t xml:space="preserve">Research </w:t>
      </w:r>
      <w:r w:rsidR="00F13ABD" w:rsidRPr="00F13ABD">
        <w:rPr>
          <w:rFonts w:cs="Times New Roman"/>
          <w:iCs/>
          <w:color w:val="222222"/>
          <w:szCs w:val="24"/>
          <w:shd w:val="clear" w:color="auto" w:fill="FFFFFF"/>
        </w:rPr>
        <w:t>Center, Washington, D</w:t>
      </w:r>
      <w:r w:rsidR="00F13ABD">
        <w:rPr>
          <w:rFonts w:cs="Times New Roman"/>
          <w:iCs/>
          <w:color w:val="222222"/>
          <w:szCs w:val="24"/>
          <w:shd w:val="clear" w:color="auto" w:fill="FFFFFF"/>
        </w:rPr>
        <w:t>.</w:t>
      </w:r>
      <w:r w:rsidR="00F13ABD" w:rsidRPr="00F13ABD">
        <w:rPr>
          <w:rFonts w:cs="Times New Roman"/>
          <w:iCs/>
          <w:color w:val="222222"/>
          <w:szCs w:val="24"/>
          <w:shd w:val="clear" w:color="auto" w:fill="FFFFFF"/>
        </w:rPr>
        <w:t>C</w:t>
      </w:r>
      <w:r w:rsidRPr="00F13ABD">
        <w:rPr>
          <w:rFonts w:cs="Times New Roman"/>
          <w:iCs/>
          <w:color w:val="222222"/>
          <w:szCs w:val="24"/>
          <w:shd w:val="clear" w:color="auto" w:fill="FFFFFF"/>
        </w:rPr>
        <w:t>.</w:t>
      </w:r>
      <w:r w:rsidR="005258D5" w:rsidRPr="00F13ABD">
        <w:rPr>
          <w:rFonts w:cs="Times New Roman"/>
          <w:iCs/>
          <w:color w:val="222222"/>
          <w:szCs w:val="24"/>
          <w:shd w:val="clear" w:color="auto" w:fill="FFFFFF"/>
        </w:rPr>
        <w:t xml:space="preserve"> </w:t>
      </w:r>
      <w:r w:rsidR="005258D5" w:rsidRPr="005258D5">
        <w:rPr>
          <w:rFonts w:cs="Times New Roman"/>
          <w:iCs/>
          <w:color w:val="222222"/>
          <w:szCs w:val="24"/>
          <w:shd w:val="clear" w:color="auto" w:fill="FFFFFF"/>
        </w:rPr>
        <w:t>Available at:</w:t>
      </w:r>
      <w:r w:rsidR="005258D5">
        <w:rPr>
          <w:rFonts w:cs="Times New Roman"/>
          <w:i/>
          <w:iCs/>
          <w:color w:val="222222"/>
          <w:szCs w:val="24"/>
          <w:shd w:val="clear" w:color="auto" w:fill="FFFFFF"/>
        </w:rPr>
        <w:t xml:space="preserve"> </w:t>
      </w:r>
      <w:r w:rsidRPr="00A639A3">
        <w:rPr>
          <w:rFonts w:cs="Times New Roman"/>
          <w:i/>
          <w:iCs/>
          <w:color w:val="222222"/>
          <w:szCs w:val="24"/>
          <w:shd w:val="clear" w:color="auto" w:fill="FFFFFF"/>
        </w:rPr>
        <w:t xml:space="preserve"> </w:t>
      </w:r>
      <w:hyperlink r:id="rId68" w:history="1">
        <w:r w:rsidRPr="00EC04BB">
          <w:rPr>
            <w:rStyle w:val="Hyperlink"/>
            <w:rFonts w:cs="Times New Roman"/>
            <w:szCs w:val="24"/>
            <w:shd w:val="clear" w:color="auto" w:fill="FFFFFF"/>
          </w:rPr>
          <w:t>http://www.pewinternet.org/2016/05/19/the-new-digital-economy/</w:t>
        </w:r>
      </w:hyperlink>
      <w:r>
        <w:rPr>
          <w:rFonts w:cs="Times New Roman"/>
          <w:color w:val="222222"/>
          <w:szCs w:val="24"/>
          <w:shd w:val="clear" w:color="auto" w:fill="FFFFFF"/>
        </w:rPr>
        <w:t xml:space="preserve"> </w:t>
      </w:r>
      <w:r w:rsidR="005258D5" w:rsidRPr="005258D5">
        <w:rPr>
          <w:rFonts w:cs="Times New Roman"/>
          <w:iCs/>
          <w:color w:val="222222"/>
          <w:szCs w:val="24"/>
          <w:shd w:val="clear" w:color="auto" w:fill="FFFFFF"/>
        </w:rPr>
        <w:t xml:space="preserve"> </w:t>
      </w:r>
      <w:r w:rsidR="005258D5">
        <w:rPr>
          <w:rFonts w:cs="Times New Roman"/>
          <w:iCs/>
          <w:color w:val="222222"/>
          <w:szCs w:val="24"/>
          <w:shd w:val="clear" w:color="auto" w:fill="FFFFFF"/>
        </w:rPr>
        <w:t>[</w:t>
      </w:r>
      <w:r w:rsidR="005258D5" w:rsidRPr="005258D5">
        <w:rPr>
          <w:rFonts w:cs="Times New Roman"/>
          <w:iCs/>
          <w:color w:val="222222"/>
          <w:szCs w:val="24"/>
          <w:shd w:val="clear" w:color="auto" w:fill="FFFFFF"/>
        </w:rPr>
        <w:t>Accessed</w:t>
      </w:r>
      <w:r w:rsidR="009F0CE2">
        <w:rPr>
          <w:rFonts w:cs="Times New Roman"/>
          <w:iCs/>
          <w:color w:val="222222"/>
          <w:szCs w:val="24"/>
          <w:shd w:val="clear" w:color="auto" w:fill="FFFFFF"/>
        </w:rPr>
        <w:t>:</w:t>
      </w:r>
      <w:r w:rsidR="005258D5" w:rsidRPr="005258D5">
        <w:rPr>
          <w:rFonts w:cs="Times New Roman"/>
          <w:iCs/>
          <w:color w:val="222222"/>
          <w:szCs w:val="24"/>
          <w:shd w:val="clear" w:color="auto" w:fill="FFFFFF"/>
        </w:rPr>
        <w:t xml:space="preserve"> 02/06/2018</w:t>
      </w:r>
      <w:r w:rsidR="005258D5">
        <w:rPr>
          <w:rFonts w:cs="Times New Roman"/>
          <w:iCs/>
          <w:color w:val="222222"/>
          <w:szCs w:val="24"/>
          <w:shd w:val="clear" w:color="auto" w:fill="FFFFFF"/>
        </w:rPr>
        <w:t>]</w:t>
      </w:r>
      <w:r w:rsidR="005258D5" w:rsidRPr="005258D5">
        <w:rPr>
          <w:rFonts w:cs="Times New Roman"/>
          <w:color w:val="222222"/>
          <w:szCs w:val="24"/>
          <w:shd w:val="clear" w:color="auto" w:fill="FFFFFF"/>
        </w:rPr>
        <w:t>.</w:t>
      </w:r>
    </w:p>
    <w:p w14:paraId="7D093EBA" w14:textId="4891544F" w:rsidR="00BF19E0" w:rsidRPr="00F31C9F" w:rsidRDefault="00146C2F" w:rsidP="008778FE">
      <w:pPr>
        <w:spacing w:line="240" w:lineRule="auto"/>
        <w:ind w:left="360" w:hanging="360"/>
        <w:rPr>
          <w:rFonts w:cs="Times New Roman"/>
          <w:szCs w:val="24"/>
        </w:rPr>
      </w:pPr>
      <w:r w:rsidRPr="00F31C9F">
        <w:rPr>
          <w:rFonts w:cs="Times New Roman"/>
          <w:szCs w:val="24"/>
        </w:rPr>
        <w:t xml:space="preserve">Spears, S., Houston, D., </w:t>
      </w:r>
      <w:r w:rsidR="00BF19E0" w:rsidRPr="00F31C9F">
        <w:rPr>
          <w:rFonts w:cs="Times New Roman"/>
          <w:szCs w:val="24"/>
        </w:rPr>
        <w:t xml:space="preserve">Boarnet, M.G., 2013. Illuminating the unseen in transit use: A framework for examining the effect of attitudes and perceptions on travel behavior. </w:t>
      </w:r>
      <w:r w:rsidR="009536EB" w:rsidRPr="00F31C9F">
        <w:rPr>
          <w:rFonts w:cs="Times New Roman"/>
          <w:i/>
          <w:szCs w:val="24"/>
        </w:rPr>
        <w:t>Transportation Research Part A</w:t>
      </w:r>
      <w:r w:rsidR="00BF19E0" w:rsidRPr="00F31C9F">
        <w:rPr>
          <w:rFonts w:cs="Times New Roman"/>
          <w:szCs w:val="24"/>
        </w:rPr>
        <w:t xml:space="preserve"> 58, 40-53.</w:t>
      </w:r>
    </w:p>
    <w:p w14:paraId="377E01CA" w14:textId="4F1BE0E5" w:rsidR="005C1AAF" w:rsidRPr="00F31C9F" w:rsidRDefault="005C1AAF" w:rsidP="008778FE">
      <w:pPr>
        <w:spacing w:line="240" w:lineRule="auto"/>
        <w:ind w:left="360" w:hanging="360"/>
        <w:rPr>
          <w:rFonts w:cs="Times New Roman"/>
          <w:szCs w:val="24"/>
        </w:rPr>
      </w:pPr>
      <w:r w:rsidRPr="008773D3">
        <w:rPr>
          <w:rFonts w:cs="Times New Roman"/>
          <w:szCs w:val="24"/>
          <w:shd w:val="clear" w:color="auto" w:fill="FFFFFF"/>
        </w:rPr>
        <w:t>S</w:t>
      </w:r>
      <w:r w:rsidR="00146C2F" w:rsidRPr="008773D3">
        <w:rPr>
          <w:rFonts w:cs="Times New Roman"/>
          <w:szCs w:val="24"/>
          <w:shd w:val="clear" w:color="auto" w:fill="FFFFFF"/>
        </w:rPr>
        <w:t xml:space="preserve">tamatakis, E., de Rezende, L.F., </w:t>
      </w:r>
      <w:r w:rsidRPr="008773D3">
        <w:rPr>
          <w:rFonts w:cs="Times New Roman"/>
          <w:szCs w:val="24"/>
          <w:shd w:val="clear" w:color="auto" w:fill="FFFFFF"/>
        </w:rPr>
        <w:t xml:space="preserve">Rey-López, J.P., 2018. Sedentary </w:t>
      </w:r>
      <w:r w:rsidR="004905CF" w:rsidRPr="008773D3">
        <w:rPr>
          <w:rFonts w:cs="Times New Roman"/>
          <w:szCs w:val="24"/>
          <w:shd w:val="clear" w:color="auto" w:fill="FFFFFF"/>
        </w:rPr>
        <w:t>b</w:t>
      </w:r>
      <w:r w:rsidRPr="008773D3">
        <w:rPr>
          <w:rFonts w:cs="Times New Roman"/>
          <w:szCs w:val="24"/>
          <w:shd w:val="clear" w:color="auto" w:fill="FFFFFF"/>
        </w:rPr>
        <w:t xml:space="preserve">ehaviour and </w:t>
      </w:r>
      <w:r w:rsidR="004905CF" w:rsidRPr="008773D3">
        <w:rPr>
          <w:rFonts w:cs="Times New Roman"/>
          <w:szCs w:val="24"/>
          <w:shd w:val="clear" w:color="auto" w:fill="FFFFFF"/>
        </w:rPr>
        <w:t>c</w:t>
      </w:r>
      <w:r w:rsidRPr="008773D3">
        <w:rPr>
          <w:rFonts w:cs="Times New Roman"/>
          <w:szCs w:val="24"/>
          <w:shd w:val="clear" w:color="auto" w:fill="FFFFFF"/>
        </w:rPr>
        <w:t xml:space="preserve">ardiovascular </w:t>
      </w:r>
      <w:r w:rsidR="004905CF" w:rsidRPr="008773D3">
        <w:rPr>
          <w:rFonts w:cs="Times New Roman"/>
          <w:szCs w:val="24"/>
          <w:shd w:val="clear" w:color="auto" w:fill="FFFFFF"/>
        </w:rPr>
        <w:t>d</w:t>
      </w:r>
      <w:r w:rsidRPr="008773D3">
        <w:rPr>
          <w:rFonts w:cs="Times New Roman"/>
          <w:szCs w:val="24"/>
          <w:shd w:val="clear" w:color="auto" w:fill="FFFFFF"/>
        </w:rPr>
        <w:t>isease. In </w:t>
      </w:r>
      <w:r w:rsidR="00B27251" w:rsidRPr="00B27251">
        <w:rPr>
          <w:rStyle w:val="Strong"/>
          <w:b w:val="0"/>
        </w:rPr>
        <w:t>Leitzmann</w:t>
      </w:r>
      <w:r w:rsidR="00B27251" w:rsidRPr="00B27251">
        <w:t xml:space="preserve">, M.F., </w:t>
      </w:r>
      <w:r w:rsidR="00B27251" w:rsidRPr="00B27251">
        <w:rPr>
          <w:rStyle w:val="Strong"/>
          <w:b w:val="0"/>
        </w:rPr>
        <w:t>Jochem</w:t>
      </w:r>
      <w:r w:rsidR="00B27251" w:rsidRPr="00B27251">
        <w:t xml:space="preserve">, C., </w:t>
      </w:r>
      <w:r w:rsidR="00B27251" w:rsidRPr="00B27251">
        <w:rPr>
          <w:rStyle w:val="Strong"/>
          <w:b w:val="0"/>
        </w:rPr>
        <w:t>Schmid</w:t>
      </w:r>
      <w:r w:rsidR="00B27251" w:rsidRPr="00B27251">
        <w:t>,</w:t>
      </w:r>
      <w:r w:rsidR="00B27251">
        <w:t xml:space="preserve"> D. (Eds.) </w:t>
      </w:r>
      <w:r w:rsidRPr="008773D3">
        <w:rPr>
          <w:rFonts w:cs="Times New Roman"/>
          <w:i/>
          <w:iCs/>
          <w:szCs w:val="24"/>
          <w:shd w:val="clear" w:color="auto" w:fill="FFFFFF"/>
        </w:rPr>
        <w:t>Sedentary Behaviour Epidemiology</w:t>
      </w:r>
      <w:r w:rsidR="004F01DF" w:rsidRPr="008773D3">
        <w:rPr>
          <w:rFonts w:cs="Times New Roman"/>
          <w:szCs w:val="24"/>
          <w:shd w:val="clear" w:color="auto" w:fill="FFFFFF"/>
        </w:rPr>
        <w:t>, pp. 215-243, Springer</w:t>
      </w:r>
      <w:r w:rsidRPr="008773D3">
        <w:rPr>
          <w:rFonts w:cs="Times New Roman"/>
          <w:szCs w:val="24"/>
          <w:shd w:val="clear" w:color="auto" w:fill="FFFFFF"/>
        </w:rPr>
        <w:t>.</w:t>
      </w:r>
    </w:p>
    <w:p w14:paraId="4B366DE6" w14:textId="58FC305D" w:rsidR="006211FD" w:rsidRPr="000751E4" w:rsidRDefault="006211FD" w:rsidP="008778FE">
      <w:pPr>
        <w:spacing w:line="240" w:lineRule="auto"/>
        <w:ind w:left="360" w:hanging="360"/>
        <w:rPr>
          <w:rFonts w:cs="Times New Roman"/>
          <w:szCs w:val="24"/>
        </w:rPr>
      </w:pPr>
      <w:r w:rsidRPr="00F31C9F">
        <w:rPr>
          <w:rFonts w:cs="Times New Roman"/>
          <w:szCs w:val="24"/>
        </w:rPr>
        <w:t>Statista, 201</w:t>
      </w:r>
      <w:r w:rsidR="00E82BA4">
        <w:rPr>
          <w:rFonts w:cs="Times New Roman"/>
          <w:szCs w:val="24"/>
        </w:rPr>
        <w:t>9</w:t>
      </w:r>
      <w:r w:rsidRPr="00F31C9F">
        <w:rPr>
          <w:rFonts w:cs="Times New Roman"/>
          <w:szCs w:val="24"/>
        </w:rPr>
        <w:t xml:space="preserve">. </w:t>
      </w:r>
      <w:r w:rsidR="00CC4583">
        <w:rPr>
          <w:rFonts w:cs="Times New Roman"/>
          <w:szCs w:val="24"/>
        </w:rPr>
        <w:t xml:space="preserve">Ride-hailing worldwide: </w:t>
      </w:r>
      <w:r w:rsidR="00503899">
        <w:rPr>
          <w:rFonts w:cs="Times New Roman"/>
          <w:szCs w:val="24"/>
        </w:rPr>
        <w:t>Penetration rate</w:t>
      </w:r>
      <w:r w:rsidR="00CC4583">
        <w:rPr>
          <w:rFonts w:cs="Times New Roman"/>
          <w:szCs w:val="24"/>
        </w:rPr>
        <w:t xml:space="preserve"> chart </w:t>
      </w:r>
      <w:r w:rsidRPr="00F31C9F">
        <w:rPr>
          <w:rFonts w:cs="Times New Roman"/>
          <w:szCs w:val="24"/>
        </w:rPr>
        <w:t>[online].</w:t>
      </w:r>
      <w:r w:rsidRPr="000751E4">
        <w:rPr>
          <w:rFonts w:cs="Times New Roman"/>
          <w:szCs w:val="24"/>
        </w:rPr>
        <w:t xml:space="preserve"> Available at: </w:t>
      </w:r>
      <w:hyperlink r:id="rId69" w:anchor="market-revenue" w:history="1">
        <w:r w:rsidR="003F09C6" w:rsidRPr="00CD04E9">
          <w:rPr>
            <w:rStyle w:val="Hyperlink"/>
            <w:rFonts w:cs="Times New Roman"/>
            <w:szCs w:val="24"/>
          </w:rPr>
          <w:t>https://www.statista.com/outlook/368/100/ride-hailing/worldwide#market-revenue</w:t>
        </w:r>
      </w:hyperlink>
      <w:r w:rsidR="003F09C6">
        <w:rPr>
          <w:rStyle w:val="Hyperlink"/>
          <w:rFonts w:cs="Times New Roman"/>
          <w:szCs w:val="24"/>
        </w:rPr>
        <w:t xml:space="preserve"> </w:t>
      </w:r>
      <w:r w:rsidRPr="005258D5">
        <w:rPr>
          <w:rStyle w:val="Hyperlink"/>
          <w:rFonts w:cs="Times New Roman"/>
          <w:color w:val="auto"/>
          <w:szCs w:val="24"/>
          <w:u w:val="none"/>
        </w:rPr>
        <w:t>[Accessed</w:t>
      </w:r>
      <w:r w:rsidR="005258D5" w:rsidRPr="005258D5">
        <w:rPr>
          <w:rStyle w:val="Hyperlink"/>
          <w:rFonts w:cs="Times New Roman"/>
          <w:color w:val="auto"/>
          <w:szCs w:val="24"/>
          <w:u w:val="none"/>
        </w:rPr>
        <w:t>:</w:t>
      </w:r>
      <w:r w:rsidRPr="005258D5">
        <w:rPr>
          <w:rStyle w:val="Hyperlink"/>
          <w:rFonts w:cs="Times New Roman"/>
          <w:color w:val="auto"/>
          <w:szCs w:val="24"/>
          <w:u w:val="none"/>
        </w:rPr>
        <w:t xml:space="preserve"> 02/</w:t>
      </w:r>
      <w:r w:rsidR="003F09C6">
        <w:rPr>
          <w:rStyle w:val="Hyperlink"/>
          <w:rFonts w:cs="Times New Roman"/>
          <w:color w:val="auto"/>
          <w:szCs w:val="24"/>
          <w:u w:val="none"/>
        </w:rPr>
        <w:t>22</w:t>
      </w:r>
      <w:r w:rsidRPr="005258D5">
        <w:rPr>
          <w:rStyle w:val="Hyperlink"/>
          <w:rFonts w:cs="Times New Roman"/>
          <w:color w:val="auto"/>
          <w:szCs w:val="24"/>
          <w:u w:val="none"/>
        </w:rPr>
        <w:t>/201</w:t>
      </w:r>
      <w:r w:rsidR="003F09C6">
        <w:rPr>
          <w:rStyle w:val="Hyperlink"/>
          <w:rFonts w:cs="Times New Roman"/>
          <w:color w:val="auto"/>
          <w:szCs w:val="24"/>
          <w:u w:val="none"/>
        </w:rPr>
        <w:t>9</w:t>
      </w:r>
      <w:r w:rsidRPr="005258D5">
        <w:rPr>
          <w:rStyle w:val="Hyperlink"/>
          <w:rFonts w:cs="Times New Roman"/>
          <w:color w:val="auto"/>
          <w:szCs w:val="24"/>
          <w:u w:val="none"/>
        </w:rPr>
        <w:t>]</w:t>
      </w:r>
    </w:p>
    <w:p w14:paraId="138C3394" w14:textId="0ED73E4D" w:rsidR="00721DD4" w:rsidRPr="00AC4878" w:rsidRDefault="00721DD4" w:rsidP="004F01DF">
      <w:pPr>
        <w:spacing w:line="240" w:lineRule="auto"/>
        <w:ind w:left="360" w:hanging="360"/>
        <w:rPr>
          <w:rFonts w:cs="Times New Roman"/>
          <w:szCs w:val="24"/>
          <w:shd w:val="clear" w:color="auto" w:fill="FFFFFF"/>
        </w:rPr>
      </w:pPr>
      <w:r w:rsidRPr="00AC4878">
        <w:rPr>
          <w:rFonts w:cs="Times New Roman"/>
          <w:szCs w:val="24"/>
          <w:shd w:val="clear" w:color="auto" w:fill="FFFFFF"/>
        </w:rPr>
        <w:t>Tudela, A.</w:t>
      </w:r>
      <w:r w:rsidR="00146C2F" w:rsidRPr="00AC4878">
        <w:rPr>
          <w:rFonts w:cs="Times New Roman"/>
          <w:szCs w:val="24"/>
          <w:shd w:val="clear" w:color="auto" w:fill="FFFFFF"/>
        </w:rPr>
        <w:t>, Habib, K.M.N., Carrasco, J.A., Osman, A.O., 2011</w:t>
      </w:r>
      <w:r w:rsidRPr="00AC4878">
        <w:rPr>
          <w:rFonts w:cs="Times New Roman"/>
          <w:szCs w:val="24"/>
          <w:shd w:val="clear" w:color="auto" w:fill="FFFFFF"/>
        </w:rPr>
        <w:t xml:space="preserve">. Incorporating the explicit role of psychological factors on mode choice: A hybrid mode choice model by using data from an innovative psychometric survey. </w:t>
      </w:r>
      <w:r w:rsidR="00B27251">
        <w:rPr>
          <w:rFonts w:cs="Times New Roman"/>
          <w:szCs w:val="24"/>
          <w:shd w:val="clear" w:color="auto" w:fill="FFFFFF"/>
        </w:rPr>
        <w:t xml:space="preserve">Presented </w:t>
      </w:r>
      <w:r w:rsidR="004F01DF" w:rsidRPr="00AC4878">
        <w:rPr>
          <w:rFonts w:cs="Times New Roman"/>
          <w:szCs w:val="24"/>
          <w:shd w:val="clear" w:color="auto" w:fill="FFFFFF"/>
        </w:rPr>
        <w:t>at</w:t>
      </w:r>
      <w:r w:rsidR="000572F9">
        <w:rPr>
          <w:rFonts w:cs="Times New Roman"/>
          <w:szCs w:val="24"/>
          <w:shd w:val="clear" w:color="auto" w:fill="FFFFFF"/>
        </w:rPr>
        <w:t xml:space="preserve"> the</w:t>
      </w:r>
      <w:r w:rsidRPr="00AC4878">
        <w:rPr>
          <w:rFonts w:cs="Times New Roman"/>
          <w:szCs w:val="24"/>
          <w:shd w:val="clear" w:color="auto" w:fill="FFFFFF"/>
        </w:rPr>
        <w:t> </w:t>
      </w:r>
      <w:r w:rsidRPr="00AC4878">
        <w:rPr>
          <w:rFonts w:cs="Times New Roman"/>
          <w:iCs/>
          <w:szCs w:val="24"/>
          <w:shd w:val="clear" w:color="auto" w:fill="FFFFFF"/>
        </w:rPr>
        <w:t>2nd International Choice Modelling Conference, Leeds</w:t>
      </w:r>
      <w:r w:rsidRPr="00AC4878">
        <w:rPr>
          <w:rFonts w:cs="Times New Roman"/>
          <w:szCs w:val="24"/>
          <w:shd w:val="clear" w:color="auto" w:fill="FFFFFF"/>
        </w:rPr>
        <w:t>.</w:t>
      </w:r>
    </w:p>
    <w:p w14:paraId="04A36BC5" w14:textId="6A9388BF" w:rsidR="00F777FC" w:rsidRPr="00AC4878" w:rsidRDefault="00F777FC" w:rsidP="008778FE">
      <w:pPr>
        <w:spacing w:line="240" w:lineRule="auto"/>
        <w:ind w:left="360" w:hanging="360"/>
        <w:rPr>
          <w:rFonts w:cs="Times New Roman"/>
          <w:szCs w:val="24"/>
          <w:shd w:val="clear" w:color="auto" w:fill="FFFFFF"/>
        </w:rPr>
      </w:pPr>
      <w:r w:rsidRPr="00AC4878">
        <w:rPr>
          <w:rFonts w:cs="Times New Roman"/>
          <w:szCs w:val="24"/>
          <w:shd w:val="clear" w:color="auto" w:fill="FFFFFF"/>
        </w:rPr>
        <w:t>Twenge, J.M., 2013. Does online social media lead to social conn</w:t>
      </w:r>
      <w:r w:rsidR="00146C2F" w:rsidRPr="00AC4878">
        <w:rPr>
          <w:rFonts w:cs="Times New Roman"/>
          <w:szCs w:val="24"/>
          <w:shd w:val="clear" w:color="auto" w:fill="FFFFFF"/>
        </w:rPr>
        <w:t>ection or social disconnection?</w:t>
      </w:r>
      <w:r w:rsidRPr="00AC4878">
        <w:rPr>
          <w:rFonts w:cs="Times New Roman"/>
          <w:szCs w:val="24"/>
          <w:shd w:val="clear" w:color="auto" w:fill="FFFFFF"/>
        </w:rPr>
        <w:t> </w:t>
      </w:r>
      <w:r w:rsidRPr="00AC4878">
        <w:rPr>
          <w:rFonts w:cs="Times New Roman"/>
          <w:i/>
          <w:iCs/>
          <w:szCs w:val="24"/>
          <w:shd w:val="clear" w:color="auto" w:fill="FFFFFF"/>
        </w:rPr>
        <w:t>Journal of College and Character</w:t>
      </w:r>
      <w:r w:rsidRPr="00AC4878">
        <w:rPr>
          <w:rFonts w:cs="Times New Roman"/>
          <w:szCs w:val="24"/>
          <w:shd w:val="clear" w:color="auto" w:fill="FFFFFF"/>
        </w:rPr>
        <w:t> </w:t>
      </w:r>
      <w:r w:rsidRPr="00AC4878">
        <w:rPr>
          <w:rFonts w:cs="Times New Roman"/>
          <w:iCs/>
          <w:szCs w:val="24"/>
          <w:shd w:val="clear" w:color="auto" w:fill="FFFFFF"/>
        </w:rPr>
        <w:t>14</w:t>
      </w:r>
      <w:r w:rsidRPr="00AC4878">
        <w:rPr>
          <w:rFonts w:cs="Times New Roman"/>
          <w:szCs w:val="24"/>
          <w:shd w:val="clear" w:color="auto" w:fill="FFFFFF"/>
        </w:rPr>
        <w:t>(1), 11-20.</w:t>
      </w:r>
    </w:p>
    <w:p w14:paraId="435C6AC6" w14:textId="169CA694" w:rsidR="00D251A6" w:rsidRDefault="00D251A6" w:rsidP="008778FE">
      <w:pPr>
        <w:widowControl w:val="0"/>
        <w:autoSpaceDE w:val="0"/>
        <w:autoSpaceDN w:val="0"/>
        <w:adjustRightInd w:val="0"/>
        <w:spacing w:line="240" w:lineRule="auto"/>
        <w:ind w:left="360" w:hanging="360"/>
        <w:jc w:val="left"/>
        <w:rPr>
          <w:rFonts w:cs="Times New Roman"/>
          <w:szCs w:val="24"/>
        </w:rPr>
      </w:pPr>
      <w:r w:rsidRPr="00D251A6">
        <w:t>U.S. Census Bureau</w:t>
      </w:r>
      <w:r w:rsidR="00CF2F2B">
        <w:t>, 201</w:t>
      </w:r>
      <w:r w:rsidR="002665E4">
        <w:t>8</w:t>
      </w:r>
      <w:r w:rsidR="00641D5E">
        <w:t>a</w:t>
      </w:r>
      <w:r w:rsidR="00CF2F2B">
        <w:t xml:space="preserve">. </w:t>
      </w:r>
      <w:r w:rsidR="002665E4" w:rsidRPr="002665E4">
        <w:t>New Census Bureau Population Estimates Show Dallas-Fort Worth-Arlington Has Largest Growth in the United States</w:t>
      </w:r>
      <w:r w:rsidR="00CF2F2B">
        <w:t xml:space="preserve">. </w:t>
      </w:r>
      <w:r w:rsidR="009053B0" w:rsidRPr="009053B0">
        <w:rPr>
          <w:rFonts w:cs="Times New Roman"/>
        </w:rPr>
        <w:t>Release Number: CB18-50.</w:t>
      </w:r>
      <w:r w:rsidR="009053B0" w:rsidRPr="009053B0">
        <w:rPr>
          <w:rFonts w:ascii="Arial" w:hAnsi="Arial" w:cs="Arial"/>
        </w:rPr>
        <w:t xml:space="preserve"> </w:t>
      </w:r>
      <w:r w:rsidR="002665E4">
        <w:t>Available at</w:t>
      </w:r>
      <w:r w:rsidR="005258D5">
        <w:t>:</w:t>
      </w:r>
      <w:r w:rsidR="002665E4">
        <w:t xml:space="preserve"> </w:t>
      </w:r>
      <w:r w:rsidR="00CF2F2B">
        <w:t xml:space="preserve"> </w:t>
      </w:r>
      <w:hyperlink r:id="rId70" w:history="1">
        <w:r w:rsidR="004905CF" w:rsidRPr="00DC7CAC">
          <w:rPr>
            <w:rStyle w:val="Hyperlink"/>
            <w:rFonts w:cs="Times New Roman"/>
            <w:szCs w:val="24"/>
          </w:rPr>
          <w:t>https://www.census.gov/newsroom/press-releases/2018/popest-metro-county.html</w:t>
        </w:r>
      </w:hyperlink>
      <w:r w:rsidR="004905CF">
        <w:rPr>
          <w:rFonts w:cs="Times New Roman"/>
          <w:szCs w:val="24"/>
        </w:rPr>
        <w:t xml:space="preserve"> </w:t>
      </w:r>
      <w:r w:rsidR="002665E4" w:rsidRPr="002665E4">
        <w:rPr>
          <w:rFonts w:cs="Times New Roman"/>
          <w:szCs w:val="24"/>
        </w:rPr>
        <w:t xml:space="preserve"> </w:t>
      </w:r>
      <w:r w:rsidR="002665E4">
        <w:rPr>
          <w:rFonts w:cs="Times New Roman"/>
          <w:szCs w:val="24"/>
        </w:rPr>
        <w:t xml:space="preserve"> </w:t>
      </w:r>
      <w:r w:rsidR="00CF2F2B">
        <w:rPr>
          <w:rFonts w:cs="Times New Roman"/>
          <w:szCs w:val="24"/>
        </w:rPr>
        <w:t>[Accessed: 03/</w:t>
      </w:r>
      <w:r w:rsidR="002665E4">
        <w:rPr>
          <w:rFonts w:cs="Times New Roman"/>
          <w:szCs w:val="24"/>
        </w:rPr>
        <w:t>23</w:t>
      </w:r>
      <w:r w:rsidR="00CF2F2B">
        <w:rPr>
          <w:rFonts w:cs="Times New Roman"/>
          <w:szCs w:val="24"/>
        </w:rPr>
        <w:t>/2018]</w:t>
      </w:r>
      <w:r w:rsidR="009053B0">
        <w:rPr>
          <w:rFonts w:cs="Times New Roman"/>
          <w:szCs w:val="24"/>
        </w:rPr>
        <w:t>.</w:t>
      </w:r>
    </w:p>
    <w:p w14:paraId="4B7913E8" w14:textId="5937475F" w:rsidR="00D123E8" w:rsidRDefault="00D123E8" w:rsidP="0098241C">
      <w:pPr>
        <w:widowControl w:val="0"/>
        <w:autoSpaceDE w:val="0"/>
        <w:autoSpaceDN w:val="0"/>
        <w:adjustRightInd w:val="0"/>
        <w:spacing w:line="240" w:lineRule="auto"/>
        <w:ind w:left="360" w:hanging="360"/>
        <w:jc w:val="left"/>
      </w:pPr>
      <w:r w:rsidRPr="002665E4">
        <w:t>U.S. Census Bureau, 201</w:t>
      </w:r>
      <w:r>
        <w:t>8</w:t>
      </w:r>
      <w:r w:rsidR="00641D5E">
        <w:t>b</w:t>
      </w:r>
      <w:r w:rsidRPr="002665E4">
        <w:t>.</w:t>
      </w:r>
      <w:r>
        <w:t xml:space="preserve"> </w:t>
      </w:r>
      <w:r w:rsidR="0098241C">
        <w:t>Means of Transportation to Work by Selected Characteristics</w:t>
      </w:r>
      <w:r w:rsidR="0087211D">
        <w:t>, Table S0802.</w:t>
      </w:r>
      <w:r w:rsidR="0098241C">
        <w:t xml:space="preserve"> </w:t>
      </w:r>
      <w:r>
        <w:t xml:space="preserve">2012-2016 American Community Survey 5-Year Estimates. Available at: </w:t>
      </w:r>
      <w:hyperlink r:id="rId71" w:history="1">
        <w:r w:rsidR="004905CF" w:rsidRPr="00DC7CAC">
          <w:rPr>
            <w:rStyle w:val="Hyperlink"/>
          </w:rPr>
          <w:t>https://factfinder.census.gov/faces/tableservices/jsf/pages/productview.xhtml?pid=ACS_16_5YR_S0802&amp;prodType=table</w:t>
        </w:r>
      </w:hyperlink>
      <w:r w:rsidR="004905CF">
        <w:t xml:space="preserve"> </w:t>
      </w:r>
      <w:r>
        <w:t xml:space="preserve">[Accessed: </w:t>
      </w:r>
      <w:r>
        <w:rPr>
          <w:rFonts w:cs="Times New Roman"/>
          <w:szCs w:val="24"/>
        </w:rPr>
        <w:t>03/23/2018</w:t>
      </w:r>
      <w:r>
        <w:t>].</w:t>
      </w:r>
    </w:p>
    <w:p w14:paraId="7EFD8D49" w14:textId="36A7BCFE" w:rsidR="00641D5E" w:rsidRDefault="00641D5E" w:rsidP="00081C92">
      <w:pPr>
        <w:widowControl w:val="0"/>
        <w:autoSpaceDE w:val="0"/>
        <w:autoSpaceDN w:val="0"/>
        <w:adjustRightInd w:val="0"/>
        <w:spacing w:line="240" w:lineRule="auto"/>
        <w:ind w:left="360" w:hanging="360"/>
        <w:jc w:val="left"/>
      </w:pPr>
      <w:r w:rsidRPr="003B470D">
        <w:t>U.S. Census Bureau, 2018</w:t>
      </w:r>
      <w:r w:rsidR="007A1C4C" w:rsidRPr="003B470D">
        <w:t>c</w:t>
      </w:r>
      <w:r w:rsidRPr="003B470D">
        <w:t xml:space="preserve">. </w:t>
      </w:r>
      <w:r w:rsidR="003B470D">
        <w:t xml:space="preserve">Household Size by Vehicles Available, Table B08201. </w:t>
      </w:r>
      <w:r w:rsidRPr="003B470D">
        <w:t xml:space="preserve">2012-2016 American Community Survey 5-Year Estimates. Available at: </w:t>
      </w:r>
      <w:hyperlink r:id="rId72" w:history="1">
        <w:r w:rsidR="003B470D" w:rsidRPr="00DC7CAC">
          <w:rPr>
            <w:rStyle w:val="Hyperlink"/>
          </w:rPr>
          <w:t>https://factfinder.census.gov/faces/tableservices/jsf/pages/productview.xhtml?pid=ACS_16_5YR_B08201&amp;prodType=table</w:t>
        </w:r>
      </w:hyperlink>
      <w:r w:rsidR="003B470D">
        <w:t xml:space="preserve"> </w:t>
      </w:r>
      <w:r w:rsidRPr="003B470D">
        <w:t xml:space="preserve">[Accessed: </w:t>
      </w:r>
      <w:r w:rsidRPr="003B470D">
        <w:rPr>
          <w:rFonts w:cs="Times New Roman"/>
          <w:szCs w:val="24"/>
        </w:rPr>
        <w:t>04/18/2018</w:t>
      </w:r>
      <w:r w:rsidRPr="003B470D">
        <w:t>].</w:t>
      </w:r>
    </w:p>
    <w:p w14:paraId="602219D6" w14:textId="7016589A" w:rsidR="00D123E8" w:rsidRDefault="00D123E8" w:rsidP="00081C92">
      <w:pPr>
        <w:widowControl w:val="0"/>
        <w:autoSpaceDE w:val="0"/>
        <w:autoSpaceDN w:val="0"/>
        <w:adjustRightInd w:val="0"/>
        <w:spacing w:line="240" w:lineRule="auto"/>
        <w:ind w:left="360" w:hanging="360"/>
        <w:jc w:val="left"/>
      </w:pPr>
      <w:r w:rsidRPr="002665E4">
        <w:t>U.S. Census Bureau, 201</w:t>
      </w:r>
      <w:r w:rsidR="00641D5E">
        <w:t>8d</w:t>
      </w:r>
      <w:r w:rsidRPr="002665E4">
        <w:t>.</w:t>
      </w:r>
      <w:r>
        <w:t xml:space="preserve"> </w:t>
      </w:r>
      <w:r w:rsidR="0098241C">
        <w:t>Employment Status</w:t>
      </w:r>
      <w:r w:rsidR="0087211D">
        <w:t>, Table S2301.</w:t>
      </w:r>
      <w:r w:rsidR="0098241C">
        <w:t xml:space="preserve"> </w:t>
      </w:r>
      <w:r>
        <w:t xml:space="preserve">2012-2016 American Community Survey 5-Year Estimates. Available at: </w:t>
      </w:r>
      <w:hyperlink r:id="rId73" w:history="1">
        <w:r w:rsidRPr="00EC04BB">
          <w:rPr>
            <w:rStyle w:val="Hyperlink"/>
          </w:rPr>
          <w:t>https://factfinder.census.gov/faces/tableservices/jsf/pages/productview.xhtml?pid=ACS_16_5YR_S2301&amp;prodType=table</w:t>
        </w:r>
      </w:hyperlink>
      <w:r>
        <w:t xml:space="preserve">  [Accessed: </w:t>
      </w:r>
      <w:r>
        <w:rPr>
          <w:rFonts w:cs="Times New Roman"/>
          <w:szCs w:val="24"/>
        </w:rPr>
        <w:t>03/23/2018</w:t>
      </w:r>
      <w:r>
        <w:t>].</w:t>
      </w:r>
    </w:p>
    <w:p w14:paraId="31E2B6FC" w14:textId="39341773" w:rsidR="00A90536" w:rsidRDefault="00A90536" w:rsidP="00081C92">
      <w:pPr>
        <w:keepNext/>
        <w:keepLines/>
        <w:autoSpaceDE w:val="0"/>
        <w:autoSpaceDN w:val="0"/>
        <w:adjustRightInd w:val="0"/>
        <w:spacing w:line="240" w:lineRule="auto"/>
        <w:ind w:left="360" w:hanging="360"/>
        <w:jc w:val="left"/>
      </w:pPr>
      <w:r w:rsidRPr="002665E4">
        <w:lastRenderedPageBreak/>
        <w:t>U.S. Census Bureau, 201</w:t>
      </w:r>
      <w:r>
        <w:t>8</w:t>
      </w:r>
      <w:r w:rsidR="001052A7">
        <w:t>e</w:t>
      </w:r>
      <w:r w:rsidRPr="002665E4">
        <w:t>.</w:t>
      </w:r>
      <w:r>
        <w:t xml:space="preserve"> </w:t>
      </w:r>
      <w:r w:rsidR="0087211D">
        <w:t xml:space="preserve">Age and Sex, Table S0101. </w:t>
      </w:r>
      <w:r>
        <w:t xml:space="preserve">2012-2016 American Community Survey 5-Year Estimates. Available at:  </w:t>
      </w:r>
      <w:hyperlink r:id="rId74" w:history="1">
        <w:r w:rsidR="004905CF" w:rsidRPr="00DC7CAC">
          <w:rPr>
            <w:rStyle w:val="Hyperlink"/>
          </w:rPr>
          <w:t>https://factfinder.census.gov/faces/tableservices/jsf/pages/productview.xhtml?pid=ACS_16_5YR_S0101&amp;prodType=table</w:t>
        </w:r>
      </w:hyperlink>
      <w:r w:rsidR="004905CF">
        <w:t xml:space="preserve"> </w:t>
      </w:r>
      <w:r>
        <w:t xml:space="preserve">[Accessed: </w:t>
      </w:r>
      <w:r>
        <w:rPr>
          <w:rFonts w:cs="Times New Roman"/>
          <w:szCs w:val="24"/>
        </w:rPr>
        <w:t>05/16/2018</w:t>
      </w:r>
      <w:r w:rsidR="008778FE">
        <w:t>].</w:t>
      </w:r>
    </w:p>
    <w:p w14:paraId="4CBBC3C8" w14:textId="330997DB" w:rsidR="009510A7" w:rsidRPr="00AC4878" w:rsidRDefault="00146C2F" w:rsidP="008778FE">
      <w:pPr>
        <w:spacing w:line="240" w:lineRule="auto"/>
        <w:ind w:left="360" w:hanging="360"/>
        <w:rPr>
          <w:rFonts w:cs="Times New Roman"/>
          <w:szCs w:val="24"/>
          <w:shd w:val="clear" w:color="auto" w:fill="FFFFFF"/>
        </w:rPr>
      </w:pPr>
      <w:r w:rsidRPr="00AC4878">
        <w:rPr>
          <w:rFonts w:cs="Times New Roman"/>
          <w:szCs w:val="24"/>
          <w:shd w:val="clear" w:color="auto" w:fill="FFFFFF"/>
        </w:rPr>
        <w:t xml:space="preserve">Van Acker, V., Mokhtarian, P.L., </w:t>
      </w:r>
      <w:r w:rsidR="009510A7" w:rsidRPr="00AC4878">
        <w:rPr>
          <w:rFonts w:cs="Times New Roman"/>
          <w:szCs w:val="24"/>
          <w:shd w:val="clear" w:color="auto" w:fill="FFFFFF"/>
        </w:rPr>
        <w:t>Witlox, F., 2014. Car availability explained by the structural relationships between lifestyles, residential location, and underlying residential and travel attitudes. </w:t>
      </w:r>
      <w:r w:rsidR="009510A7" w:rsidRPr="00AC4878">
        <w:rPr>
          <w:rFonts w:cs="Times New Roman"/>
          <w:i/>
          <w:iCs/>
          <w:szCs w:val="24"/>
          <w:shd w:val="clear" w:color="auto" w:fill="FFFFFF"/>
        </w:rPr>
        <w:t>Transport Policy</w:t>
      </w:r>
      <w:r w:rsidR="009510A7" w:rsidRPr="00AC4878">
        <w:rPr>
          <w:rFonts w:cs="Times New Roman"/>
          <w:szCs w:val="24"/>
          <w:shd w:val="clear" w:color="auto" w:fill="FFFFFF"/>
        </w:rPr>
        <w:t> </w:t>
      </w:r>
      <w:r w:rsidR="009510A7" w:rsidRPr="00AC4878">
        <w:rPr>
          <w:rFonts w:cs="Times New Roman"/>
          <w:iCs/>
          <w:szCs w:val="24"/>
          <w:shd w:val="clear" w:color="auto" w:fill="FFFFFF"/>
        </w:rPr>
        <w:t>35</w:t>
      </w:r>
      <w:r w:rsidR="009510A7" w:rsidRPr="00AC4878">
        <w:rPr>
          <w:rFonts w:cs="Times New Roman"/>
          <w:szCs w:val="24"/>
          <w:shd w:val="clear" w:color="auto" w:fill="FFFFFF"/>
        </w:rPr>
        <w:t>, 88-99.</w:t>
      </w:r>
    </w:p>
    <w:p w14:paraId="33A9F75E" w14:textId="757F1B91" w:rsidR="00CA17F8" w:rsidRPr="00AC4878" w:rsidRDefault="00802F6A" w:rsidP="008778FE">
      <w:pPr>
        <w:spacing w:line="240" w:lineRule="auto"/>
        <w:ind w:left="360" w:hanging="360"/>
      </w:pPr>
      <w:r w:rsidRPr="00AC4878">
        <w:t xml:space="preserve">Varin, C., Vidoni, P., </w:t>
      </w:r>
      <w:r w:rsidR="00CA17F8" w:rsidRPr="00AC4878">
        <w:t xml:space="preserve">2005. A note on composite likelihood inference and model selection. </w:t>
      </w:r>
      <w:r w:rsidR="00CA17F8" w:rsidRPr="00AC4878">
        <w:rPr>
          <w:i/>
        </w:rPr>
        <w:t>Biometrika</w:t>
      </w:r>
      <w:r w:rsidR="00CA17F8" w:rsidRPr="00AC4878">
        <w:t xml:space="preserve"> 92(3), 519-528.</w:t>
      </w:r>
    </w:p>
    <w:p w14:paraId="2E5EC088" w14:textId="584EEF13" w:rsidR="00405E12" w:rsidRPr="00AC4878" w:rsidRDefault="00405E12" w:rsidP="008778FE">
      <w:pPr>
        <w:spacing w:line="240" w:lineRule="auto"/>
        <w:ind w:left="360" w:hanging="360"/>
        <w:rPr>
          <w:rFonts w:cs="Times New Roman"/>
          <w:szCs w:val="24"/>
          <w:shd w:val="clear" w:color="auto" w:fill="FFFFFF"/>
        </w:rPr>
      </w:pPr>
      <w:r w:rsidRPr="00AC4878">
        <w:rPr>
          <w:rFonts w:cs="Times New Roman"/>
          <w:szCs w:val="24"/>
          <w:shd w:val="clear" w:color="auto" w:fill="FFFFFF"/>
        </w:rPr>
        <w:t>Vianell</w:t>
      </w:r>
      <w:r w:rsidR="00146C2F" w:rsidRPr="00AC4878">
        <w:rPr>
          <w:rFonts w:cs="Times New Roman"/>
          <w:szCs w:val="24"/>
          <w:shd w:val="clear" w:color="auto" w:fill="FFFFFF"/>
        </w:rPr>
        <w:t xml:space="preserve">o, M., Schnabel, K., Sriram, N., </w:t>
      </w:r>
      <w:r w:rsidRPr="00AC4878">
        <w:rPr>
          <w:rFonts w:cs="Times New Roman"/>
          <w:szCs w:val="24"/>
          <w:shd w:val="clear" w:color="auto" w:fill="FFFFFF"/>
        </w:rPr>
        <w:t>Nosek, B., 2013. Gender differences in implicit and explicit personality traits. </w:t>
      </w:r>
      <w:r w:rsidRPr="00AC4878">
        <w:rPr>
          <w:rFonts w:cs="Times New Roman"/>
          <w:i/>
          <w:iCs/>
          <w:szCs w:val="24"/>
          <w:shd w:val="clear" w:color="auto" w:fill="FFFFFF"/>
        </w:rPr>
        <w:t>Personality and Individual Differences</w:t>
      </w:r>
      <w:r w:rsidRPr="00AC4878">
        <w:rPr>
          <w:rFonts w:cs="Times New Roman"/>
          <w:szCs w:val="24"/>
          <w:shd w:val="clear" w:color="auto" w:fill="FFFFFF"/>
        </w:rPr>
        <w:t> </w:t>
      </w:r>
      <w:r w:rsidRPr="00AC4878">
        <w:rPr>
          <w:rFonts w:cs="Times New Roman"/>
          <w:iCs/>
          <w:szCs w:val="24"/>
          <w:shd w:val="clear" w:color="auto" w:fill="FFFFFF"/>
        </w:rPr>
        <w:t>55</w:t>
      </w:r>
      <w:r w:rsidRPr="00AC4878">
        <w:rPr>
          <w:rFonts w:cs="Times New Roman"/>
          <w:szCs w:val="24"/>
          <w:shd w:val="clear" w:color="auto" w:fill="FFFFFF"/>
        </w:rPr>
        <w:t>(8), 994-999.</w:t>
      </w:r>
    </w:p>
    <w:p w14:paraId="5DC9E262" w14:textId="0DCCB222" w:rsidR="00800DCF" w:rsidRPr="00AC4878" w:rsidRDefault="00AA601C" w:rsidP="001573BA">
      <w:pPr>
        <w:keepLines/>
        <w:spacing w:line="240" w:lineRule="auto"/>
        <w:ind w:left="360" w:hanging="360"/>
        <w:rPr>
          <w:rFonts w:cs="Times New Roman"/>
          <w:szCs w:val="24"/>
        </w:rPr>
      </w:pPr>
      <w:r w:rsidRPr="00AC4878">
        <w:rPr>
          <w:rFonts w:cs="Times New Roman"/>
          <w:szCs w:val="24"/>
        </w:rPr>
        <w:t>Ward, J.W., Michalek, J</w:t>
      </w:r>
      <w:r w:rsidR="00146C2F" w:rsidRPr="00AC4878">
        <w:rPr>
          <w:rFonts w:cs="Times New Roman"/>
          <w:szCs w:val="24"/>
        </w:rPr>
        <w:t xml:space="preserve">.J., Azevedo, I.L., Samaras, C., </w:t>
      </w:r>
      <w:r w:rsidRPr="00AC4878">
        <w:rPr>
          <w:rFonts w:cs="Times New Roman"/>
          <w:szCs w:val="24"/>
        </w:rPr>
        <w:t>Ferreira, P., 2018. On-</w:t>
      </w:r>
      <w:r w:rsidR="004905CF" w:rsidRPr="00AC4878">
        <w:rPr>
          <w:rFonts w:cs="Times New Roman"/>
          <w:szCs w:val="24"/>
        </w:rPr>
        <w:t>d</w:t>
      </w:r>
      <w:r w:rsidRPr="00AC4878">
        <w:rPr>
          <w:rFonts w:cs="Times New Roman"/>
          <w:szCs w:val="24"/>
        </w:rPr>
        <w:t xml:space="preserve">emand </w:t>
      </w:r>
      <w:r w:rsidR="004905CF" w:rsidRPr="00AC4878">
        <w:rPr>
          <w:rFonts w:cs="Times New Roman"/>
          <w:szCs w:val="24"/>
        </w:rPr>
        <w:t>r</w:t>
      </w:r>
      <w:r w:rsidRPr="00AC4878">
        <w:rPr>
          <w:rFonts w:cs="Times New Roman"/>
          <w:szCs w:val="24"/>
        </w:rPr>
        <w:t xml:space="preserve">idesourcing </w:t>
      </w:r>
      <w:r w:rsidR="004905CF" w:rsidRPr="00AC4878">
        <w:rPr>
          <w:rFonts w:cs="Times New Roman"/>
          <w:szCs w:val="24"/>
        </w:rPr>
        <w:t>h</w:t>
      </w:r>
      <w:r w:rsidRPr="00AC4878">
        <w:rPr>
          <w:rFonts w:cs="Times New Roman"/>
          <w:szCs w:val="24"/>
        </w:rPr>
        <w:t xml:space="preserve">as </w:t>
      </w:r>
      <w:r w:rsidR="004905CF" w:rsidRPr="00AC4878">
        <w:rPr>
          <w:rFonts w:cs="Times New Roman"/>
          <w:szCs w:val="24"/>
        </w:rPr>
        <w:t>r</w:t>
      </w:r>
      <w:r w:rsidRPr="00AC4878">
        <w:rPr>
          <w:rFonts w:cs="Times New Roman"/>
          <w:szCs w:val="24"/>
        </w:rPr>
        <w:t xml:space="preserve">educed </w:t>
      </w:r>
      <w:r w:rsidR="004905CF" w:rsidRPr="00AC4878">
        <w:rPr>
          <w:rFonts w:cs="Times New Roman"/>
          <w:szCs w:val="24"/>
        </w:rPr>
        <w:t>p</w:t>
      </w:r>
      <w:r w:rsidRPr="00AC4878">
        <w:rPr>
          <w:rFonts w:cs="Times New Roman"/>
          <w:szCs w:val="24"/>
        </w:rPr>
        <w:t>er-</w:t>
      </w:r>
      <w:r w:rsidR="004905CF" w:rsidRPr="00AC4878">
        <w:rPr>
          <w:rFonts w:cs="Times New Roman"/>
          <w:szCs w:val="24"/>
        </w:rPr>
        <w:t>c</w:t>
      </w:r>
      <w:r w:rsidRPr="00AC4878">
        <w:rPr>
          <w:rFonts w:cs="Times New Roman"/>
          <w:szCs w:val="24"/>
        </w:rPr>
        <w:t xml:space="preserve">apita </w:t>
      </w:r>
      <w:r w:rsidR="004905CF" w:rsidRPr="00AC4878">
        <w:rPr>
          <w:rFonts w:cs="Times New Roman"/>
          <w:szCs w:val="24"/>
        </w:rPr>
        <w:t>v</w:t>
      </w:r>
      <w:r w:rsidRPr="00AC4878">
        <w:rPr>
          <w:rFonts w:cs="Times New Roman"/>
          <w:szCs w:val="24"/>
        </w:rPr>
        <w:t xml:space="preserve">ehicle </w:t>
      </w:r>
      <w:r w:rsidR="004905CF" w:rsidRPr="00AC4878">
        <w:rPr>
          <w:rFonts w:cs="Times New Roman"/>
          <w:szCs w:val="24"/>
        </w:rPr>
        <w:t>r</w:t>
      </w:r>
      <w:r w:rsidRPr="00AC4878">
        <w:rPr>
          <w:rFonts w:cs="Times New Roman"/>
          <w:szCs w:val="24"/>
        </w:rPr>
        <w:t xml:space="preserve">egistrations and </w:t>
      </w:r>
      <w:r w:rsidR="004905CF" w:rsidRPr="00AC4878">
        <w:rPr>
          <w:rFonts w:cs="Times New Roman"/>
          <w:szCs w:val="24"/>
        </w:rPr>
        <w:t>g</w:t>
      </w:r>
      <w:r w:rsidRPr="00AC4878">
        <w:rPr>
          <w:rFonts w:cs="Times New Roman"/>
          <w:szCs w:val="24"/>
        </w:rPr>
        <w:t xml:space="preserve">asoline </w:t>
      </w:r>
      <w:r w:rsidR="004905CF" w:rsidRPr="00AC4878">
        <w:rPr>
          <w:rFonts w:cs="Times New Roman"/>
          <w:szCs w:val="24"/>
        </w:rPr>
        <w:t>u</w:t>
      </w:r>
      <w:r w:rsidRPr="00AC4878">
        <w:rPr>
          <w:rFonts w:cs="Times New Roman"/>
          <w:szCs w:val="24"/>
        </w:rPr>
        <w:t xml:space="preserve">se in US States. </w:t>
      </w:r>
      <w:r w:rsidR="00800DCF" w:rsidRPr="00AC4878">
        <w:rPr>
          <w:rFonts w:cs="Times New Roman"/>
          <w:szCs w:val="24"/>
          <w:shd w:val="clear" w:color="auto" w:fill="FFFFFF"/>
        </w:rPr>
        <w:t xml:space="preserve">Presented at the 97th Annual Meeting of the Transportation Research Board, Washington, D.C., January, Paper No. </w:t>
      </w:r>
      <w:r w:rsidR="00800DCF" w:rsidRPr="00AC4878">
        <w:rPr>
          <w:rFonts w:cs="Times New Roman"/>
          <w:szCs w:val="24"/>
        </w:rPr>
        <w:t>18-05185</w:t>
      </w:r>
      <w:r w:rsidRPr="00AC4878">
        <w:rPr>
          <w:rFonts w:cs="Times New Roman"/>
          <w:szCs w:val="24"/>
        </w:rPr>
        <w:t>.</w:t>
      </w:r>
    </w:p>
    <w:p w14:paraId="43CE50ED" w14:textId="33172BCA" w:rsidR="00C17B6E" w:rsidRPr="00AC4878" w:rsidRDefault="00146C2F" w:rsidP="008778FE">
      <w:pPr>
        <w:spacing w:line="240" w:lineRule="auto"/>
        <w:ind w:left="360" w:hanging="360"/>
        <w:rPr>
          <w:rFonts w:cs="Times New Roman"/>
          <w:szCs w:val="24"/>
        </w:rPr>
      </w:pPr>
      <w:r w:rsidRPr="00AC4878">
        <w:rPr>
          <w:rFonts w:cs="Times New Roman"/>
          <w:szCs w:val="24"/>
        </w:rPr>
        <w:t xml:space="preserve">Ye, R., </w:t>
      </w:r>
      <w:r w:rsidR="00C17B6E" w:rsidRPr="00AC4878">
        <w:rPr>
          <w:rFonts w:cs="Times New Roman"/>
          <w:szCs w:val="24"/>
        </w:rPr>
        <w:t>Titheridge, H., 2017. Satisfaction with the commute: The role of travel mode choice, built environment and attitudes.</w:t>
      </w:r>
      <w:r w:rsidR="004905CF" w:rsidRPr="00AC4878">
        <w:rPr>
          <w:rFonts w:cs="Times New Roman"/>
          <w:szCs w:val="24"/>
        </w:rPr>
        <w:t xml:space="preserve"> </w:t>
      </w:r>
      <w:r w:rsidR="004905CF" w:rsidRPr="00AC4878">
        <w:rPr>
          <w:rFonts w:cs="Times New Roman"/>
          <w:i/>
          <w:szCs w:val="24"/>
        </w:rPr>
        <w:t>Transportation Research Part D</w:t>
      </w:r>
      <w:r w:rsidR="00C17B6E" w:rsidRPr="00AC4878">
        <w:rPr>
          <w:rFonts w:cs="Times New Roman"/>
          <w:szCs w:val="24"/>
        </w:rPr>
        <w:t xml:space="preserve"> 52, 535-547.</w:t>
      </w:r>
    </w:p>
    <w:p w14:paraId="5D035FEC" w14:textId="63537365" w:rsidR="00A523F9" w:rsidRPr="00AC4878" w:rsidRDefault="00146C2F" w:rsidP="008778FE">
      <w:pPr>
        <w:spacing w:line="240" w:lineRule="auto"/>
        <w:ind w:left="360" w:hanging="360"/>
        <w:rPr>
          <w:rFonts w:cs="Times New Roman"/>
          <w:szCs w:val="24"/>
        </w:rPr>
      </w:pPr>
      <w:r w:rsidRPr="00AC4878">
        <w:rPr>
          <w:rFonts w:cs="Times New Roman"/>
          <w:szCs w:val="24"/>
          <w:shd w:val="clear" w:color="auto" w:fill="FFFFFF"/>
        </w:rPr>
        <w:t xml:space="preserve">Zebrowitz, L.A., White, B., </w:t>
      </w:r>
      <w:r w:rsidR="00A523F9" w:rsidRPr="00AC4878">
        <w:rPr>
          <w:rFonts w:cs="Times New Roman"/>
          <w:szCs w:val="24"/>
          <w:shd w:val="clear" w:color="auto" w:fill="FFFFFF"/>
        </w:rPr>
        <w:t>Wieneke, K., 2008. Mere exposure and racial prejudice: Exposure to other-race faces increases liking for strangers of that race. </w:t>
      </w:r>
      <w:r w:rsidR="00A523F9" w:rsidRPr="00AC4878">
        <w:rPr>
          <w:rFonts w:cs="Times New Roman"/>
          <w:i/>
          <w:iCs/>
          <w:szCs w:val="24"/>
          <w:shd w:val="clear" w:color="auto" w:fill="FFFFFF"/>
        </w:rPr>
        <w:t xml:space="preserve">Social </w:t>
      </w:r>
      <w:r w:rsidR="004905CF" w:rsidRPr="00AC4878">
        <w:rPr>
          <w:rFonts w:cs="Times New Roman"/>
          <w:i/>
          <w:iCs/>
          <w:szCs w:val="24"/>
          <w:shd w:val="clear" w:color="auto" w:fill="FFFFFF"/>
        </w:rPr>
        <w:t>C</w:t>
      </w:r>
      <w:r w:rsidR="00A523F9" w:rsidRPr="00AC4878">
        <w:rPr>
          <w:rFonts w:cs="Times New Roman"/>
          <w:i/>
          <w:iCs/>
          <w:szCs w:val="24"/>
          <w:shd w:val="clear" w:color="auto" w:fill="FFFFFF"/>
        </w:rPr>
        <w:t>ognition</w:t>
      </w:r>
      <w:r w:rsidR="00A523F9" w:rsidRPr="00AC4878">
        <w:rPr>
          <w:rFonts w:cs="Times New Roman"/>
          <w:szCs w:val="24"/>
          <w:shd w:val="clear" w:color="auto" w:fill="FFFFFF"/>
        </w:rPr>
        <w:t> </w:t>
      </w:r>
      <w:r w:rsidR="00A523F9" w:rsidRPr="00AC4878">
        <w:rPr>
          <w:rFonts w:cs="Times New Roman"/>
          <w:iCs/>
          <w:szCs w:val="24"/>
          <w:shd w:val="clear" w:color="auto" w:fill="FFFFFF"/>
        </w:rPr>
        <w:t>26</w:t>
      </w:r>
      <w:r w:rsidR="00A523F9" w:rsidRPr="00AC4878">
        <w:rPr>
          <w:rFonts w:cs="Times New Roman"/>
          <w:szCs w:val="24"/>
          <w:shd w:val="clear" w:color="auto" w:fill="FFFFFF"/>
        </w:rPr>
        <w:t>(3),</w:t>
      </w:r>
      <w:r w:rsidR="004F01DF" w:rsidRPr="00AC4878">
        <w:rPr>
          <w:rFonts w:cs="Times New Roman"/>
          <w:szCs w:val="24"/>
          <w:shd w:val="clear" w:color="auto" w:fill="FFFFFF"/>
        </w:rPr>
        <w:t xml:space="preserve"> </w:t>
      </w:r>
      <w:r w:rsidR="00A523F9" w:rsidRPr="00AC4878">
        <w:rPr>
          <w:rFonts w:cs="Times New Roman"/>
          <w:szCs w:val="24"/>
          <w:shd w:val="clear" w:color="auto" w:fill="FFFFFF"/>
        </w:rPr>
        <w:t>259-275.</w:t>
      </w:r>
    </w:p>
    <w:p w14:paraId="54D73A32" w14:textId="7C7A959D" w:rsidR="002805C7" w:rsidRPr="00AC4878" w:rsidRDefault="002805C7" w:rsidP="008778FE">
      <w:pPr>
        <w:spacing w:line="240" w:lineRule="auto"/>
        <w:ind w:left="360" w:hanging="360"/>
        <w:rPr>
          <w:rFonts w:cs="Times New Roman"/>
          <w:szCs w:val="24"/>
        </w:rPr>
      </w:pPr>
      <w:r w:rsidRPr="00AC4878">
        <w:rPr>
          <w:rFonts w:cs="Times New Roman"/>
          <w:szCs w:val="24"/>
          <w:shd w:val="clear" w:color="auto" w:fill="FFFFFF"/>
        </w:rPr>
        <w:t>Zheng, Y., Manson, J.E., Yuan, C., Liang, M.H., Grodstein, F.</w:t>
      </w:r>
      <w:r w:rsidR="00146C2F" w:rsidRPr="00AC4878">
        <w:rPr>
          <w:rFonts w:cs="Times New Roman"/>
          <w:szCs w:val="24"/>
          <w:shd w:val="clear" w:color="auto" w:fill="FFFFFF"/>
        </w:rPr>
        <w:t xml:space="preserve">, Stampfer, M.J., Willett, W.C., </w:t>
      </w:r>
      <w:r w:rsidRPr="00AC4878">
        <w:rPr>
          <w:rFonts w:cs="Times New Roman"/>
          <w:szCs w:val="24"/>
          <w:shd w:val="clear" w:color="auto" w:fill="FFFFFF"/>
        </w:rPr>
        <w:t>Hu, F.B., 2017. Associations of weight gain from early to middle adulthood with major health outcomes later in life. </w:t>
      </w:r>
      <w:r w:rsidRPr="00AC4878">
        <w:rPr>
          <w:rFonts w:cs="Times New Roman"/>
          <w:i/>
          <w:iCs/>
          <w:szCs w:val="24"/>
          <w:shd w:val="clear" w:color="auto" w:fill="FFFFFF"/>
        </w:rPr>
        <w:t>J</w:t>
      </w:r>
      <w:r w:rsidR="004F01DF" w:rsidRPr="00AC4878">
        <w:rPr>
          <w:rFonts w:cs="Times New Roman"/>
          <w:i/>
          <w:iCs/>
          <w:szCs w:val="24"/>
          <w:shd w:val="clear" w:color="auto" w:fill="FFFFFF"/>
        </w:rPr>
        <w:t>AMA</w:t>
      </w:r>
      <w:r w:rsidRPr="00AC4878">
        <w:rPr>
          <w:rFonts w:cs="Times New Roman"/>
          <w:szCs w:val="24"/>
          <w:shd w:val="clear" w:color="auto" w:fill="FFFFFF"/>
        </w:rPr>
        <w:t> </w:t>
      </w:r>
      <w:r w:rsidRPr="00AC4878">
        <w:rPr>
          <w:rFonts w:cs="Times New Roman"/>
          <w:iCs/>
          <w:szCs w:val="24"/>
          <w:shd w:val="clear" w:color="auto" w:fill="FFFFFF"/>
        </w:rPr>
        <w:t>318</w:t>
      </w:r>
      <w:r w:rsidRPr="00AC4878">
        <w:rPr>
          <w:rFonts w:cs="Times New Roman"/>
          <w:szCs w:val="24"/>
          <w:shd w:val="clear" w:color="auto" w:fill="FFFFFF"/>
        </w:rPr>
        <w:t>(3), 255-269.</w:t>
      </w:r>
    </w:p>
    <w:p w14:paraId="0E50B4C3" w14:textId="55DF5A9E" w:rsidR="002665E4" w:rsidRPr="00AC4878" w:rsidRDefault="00146C2F" w:rsidP="008778FE">
      <w:pPr>
        <w:spacing w:line="240" w:lineRule="auto"/>
        <w:ind w:left="360" w:hanging="360"/>
        <w:rPr>
          <w:rFonts w:cs="Times New Roman"/>
          <w:szCs w:val="24"/>
          <w:shd w:val="clear" w:color="auto" w:fill="FFFFFF"/>
        </w:rPr>
      </w:pPr>
      <w:r w:rsidRPr="00AC4878">
        <w:rPr>
          <w:rFonts w:cs="Times New Roman"/>
          <w:szCs w:val="24"/>
          <w:shd w:val="clear" w:color="auto" w:fill="FFFFFF"/>
        </w:rPr>
        <w:t xml:space="preserve">Zheng, H., Chen, X., </w:t>
      </w:r>
      <w:r w:rsidR="00AA601C" w:rsidRPr="00AC4878">
        <w:rPr>
          <w:rFonts w:cs="Times New Roman"/>
          <w:szCs w:val="24"/>
          <w:shd w:val="clear" w:color="auto" w:fill="FFFFFF"/>
        </w:rPr>
        <w:t>Chen, X.M., 2018. </w:t>
      </w:r>
      <w:r w:rsidR="00AA601C" w:rsidRPr="00AC4878">
        <w:rPr>
          <w:rFonts w:cs="Times New Roman"/>
          <w:iCs/>
          <w:szCs w:val="24"/>
          <w:shd w:val="clear" w:color="auto" w:fill="FFFFFF"/>
        </w:rPr>
        <w:t xml:space="preserve">How </w:t>
      </w:r>
      <w:r w:rsidR="004905CF" w:rsidRPr="00AC4878">
        <w:rPr>
          <w:rFonts w:cs="Times New Roman"/>
          <w:iCs/>
          <w:szCs w:val="24"/>
          <w:shd w:val="clear" w:color="auto" w:fill="FFFFFF"/>
        </w:rPr>
        <w:t>d</w:t>
      </w:r>
      <w:r w:rsidR="00AA601C" w:rsidRPr="00AC4878">
        <w:rPr>
          <w:rFonts w:cs="Times New Roman"/>
          <w:iCs/>
          <w:szCs w:val="24"/>
          <w:shd w:val="clear" w:color="auto" w:fill="FFFFFF"/>
        </w:rPr>
        <w:t xml:space="preserve">oes </w:t>
      </w:r>
      <w:r w:rsidR="004905CF" w:rsidRPr="00AC4878">
        <w:rPr>
          <w:rFonts w:cs="Times New Roman"/>
          <w:iCs/>
          <w:szCs w:val="24"/>
          <w:shd w:val="clear" w:color="auto" w:fill="FFFFFF"/>
        </w:rPr>
        <w:t>o</w:t>
      </w:r>
      <w:r w:rsidR="00AA601C" w:rsidRPr="00AC4878">
        <w:rPr>
          <w:rFonts w:cs="Times New Roman"/>
          <w:iCs/>
          <w:szCs w:val="24"/>
          <w:shd w:val="clear" w:color="auto" w:fill="FFFFFF"/>
        </w:rPr>
        <w:t>n-</w:t>
      </w:r>
      <w:r w:rsidR="004905CF" w:rsidRPr="00AC4878">
        <w:rPr>
          <w:rFonts w:cs="Times New Roman"/>
          <w:iCs/>
          <w:szCs w:val="24"/>
          <w:shd w:val="clear" w:color="auto" w:fill="FFFFFF"/>
        </w:rPr>
        <w:t>d</w:t>
      </w:r>
      <w:r w:rsidR="00AA601C" w:rsidRPr="00AC4878">
        <w:rPr>
          <w:rFonts w:cs="Times New Roman"/>
          <w:iCs/>
          <w:szCs w:val="24"/>
          <w:shd w:val="clear" w:color="auto" w:fill="FFFFFF"/>
        </w:rPr>
        <w:t xml:space="preserve">emand </w:t>
      </w:r>
      <w:r w:rsidR="004905CF" w:rsidRPr="00AC4878">
        <w:rPr>
          <w:rFonts w:cs="Times New Roman"/>
          <w:iCs/>
          <w:szCs w:val="24"/>
          <w:shd w:val="clear" w:color="auto" w:fill="FFFFFF"/>
        </w:rPr>
        <w:t>r</w:t>
      </w:r>
      <w:r w:rsidR="00AA601C" w:rsidRPr="00AC4878">
        <w:rPr>
          <w:rFonts w:cs="Times New Roman"/>
          <w:iCs/>
          <w:szCs w:val="24"/>
          <w:shd w:val="clear" w:color="auto" w:fill="FFFFFF"/>
        </w:rPr>
        <w:t xml:space="preserve">idesplitting </w:t>
      </w:r>
      <w:r w:rsidR="004905CF" w:rsidRPr="00AC4878">
        <w:rPr>
          <w:rFonts w:cs="Times New Roman"/>
          <w:iCs/>
          <w:szCs w:val="24"/>
          <w:shd w:val="clear" w:color="auto" w:fill="FFFFFF"/>
        </w:rPr>
        <w:t>i</w:t>
      </w:r>
      <w:r w:rsidR="00AA601C" w:rsidRPr="00AC4878">
        <w:rPr>
          <w:rFonts w:cs="Times New Roman"/>
          <w:iCs/>
          <w:szCs w:val="24"/>
          <w:shd w:val="clear" w:color="auto" w:fill="FFFFFF"/>
        </w:rPr>
        <w:t xml:space="preserve">nfluence </w:t>
      </w:r>
      <w:r w:rsidR="004905CF" w:rsidRPr="00AC4878">
        <w:rPr>
          <w:rFonts w:cs="Times New Roman"/>
          <w:iCs/>
          <w:szCs w:val="24"/>
          <w:shd w:val="clear" w:color="auto" w:fill="FFFFFF"/>
        </w:rPr>
        <w:t>v</w:t>
      </w:r>
      <w:r w:rsidR="00AA601C" w:rsidRPr="00AC4878">
        <w:rPr>
          <w:rFonts w:cs="Times New Roman"/>
          <w:iCs/>
          <w:szCs w:val="24"/>
          <w:shd w:val="clear" w:color="auto" w:fill="FFFFFF"/>
        </w:rPr>
        <w:t xml:space="preserve">ehicle </w:t>
      </w:r>
      <w:r w:rsidR="004905CF" w:rsidRPr="00AC4878">
        <w:rPr>
          <w:rFonts w:cs="Times New Roman"/>
          <w:iCs/>
          <w:szCs w:val="24"/>
          <w:shd w:val="clear" w:color="auto" w:fill="FFFFFF"/>
        </w:rPr>
        <w:t>u</w:t>
      </w:r>
      <w:r w:rsidR="00AA601C" w:rsidRPr="00AC4878">
        <w:rPr>
          <w:rFonts w:cs="Times New Roman"/>
          <w:iCs/>
          <w:szCs w:val="24"/>
          <w:shd w:val="clear" w:color="auto" w:fill="FFFFFF"/>
        </w:rPr>
        <w:t xml:space="preserve">se and </w:t>
      </w:r>
      <w:r w:rsidR="004905CF" w:rsidRPr="00AC4878">
        <w:rPr>
          <w:rFonts w:cs="Times New Roman"/>
          <w:iCs/>
          <w:szCs w:val="24"/>
          <w:shd w:val="clear" w:color="auto" w:fill="FFFFFF"/>
        </w:rPr>
        <w:t>o</w:t>
      </w:r>
      <w:r w:rsidR="00AA601C" w:rsidRPr="00AC4878">
        <w:rPr>
          <w:rFonts w:cs="Times New Roman"/>
          <w:iCs/>
          <w:szCs w:val="24"/>
          <w:shd w:val="clear" w:color="auto" w:fill="FFFFFF"/>
        </w:rPr>
        <w:t xml:space="preserve">wnership? A </w:t>
      </w:r>
      <w:r w:rsidR="004905CF" w:rsidRPr="00AC4878">
        <w:rPr>
          <w:rFonts w:cs="Times New Roman"/>
          <w:iCs/>
          <w:szCs w:val="24"/>
          <w:shd w:val="clear" w:color="auto" w:fill="FFFFFF"/>
        </w:rPr>
        <w:t>c</w:t>
      </w:r>
      <w:r w:rsidR="00AA601C" w:rsidRPr="00AC4878">
        <w:rPr>
          <w:rFonts w:cs="Times New Roman"/>
          <w:iCs/>
          <w:szCs w:val="24"/>
          <w:shd w:val="clear" w:color="auto" w:fill="FFFFFF"/>
        </w:rPr>
        <w:t xml:space="preserve">ase </w:t>
      </w:r>
      <w:r w:rsidR="004905CF" w:rsidRPr="00AC4878">
        <w:rPr>
          <w:rFonts w:cs="Times New Roman"/>
          <w:iCs/>
          <w:szCs w:val="24"/>
          <w:shd w:val="clear" w:color="auto" w:fill="FFFFFF"/>
        </w:rPr>
        <w:t>s</w:t>
      </w:r>
      <w:r w:rsidR="00AA601C" w:rsidRPr="00AC4878">
        <w:rPr>
          <w:rFonts w:cs="Times New Roman"/>
          <w:iCs/>
          <w:szCs w:val="24"/>
          <w:shd w:val="clear" w:color="auto" w:fill="FFFFFF"/>
        </w:rPr>
        <w:t xml:space="preserve">tudy in Hangzhou, China. </w:t>
      </w:r>
      <w:r w:rsidR="00800DCF" w:rsidRPr="00AC4878">
        <w:rPr>
          <w:rFonts w:cs="Times New Roman"/>
          <w:szCs w:val="24"/>
          <w:shd w:val="clear" w:color="auto" w:fill="FFFFFF"/>
        </w:rPr>
        <w:t>Presented at the 97th Annual Meeting of the Transportation Research Board, Washington, D.C., January, Paper No. 18-04327</w:t>
      </w:r>
      <w:r w:rsidR="00AA601C" w:rsidRPr="00AC4878">
        <w:rPr>
          <w:rFonts w:cs="Times New Roman"/>
          <w:szCs w:val="24"/>
          <w:shd w:val="clear" w:color="auto" w:fill="FFFFFF"/>
        </w:rPr>
        <w:t>.</w:t>
      </w:r>
    </w:p>
    <w:p w14:paraId="0ED09A58" w14:textId="77777777" w:rsidR="00387A6F" w:rsidRDefault="002665E4" w:rsidP="00C505F5">
      <w:pPr>
        <w:spacing w:line="276" w:lineRule="auto"/>
        <w:jc w:val="left"/>
        <w:rPr>
          <w:rFonts w:cs="Times New Roman"/>
          <w:color w:val="222222"/>
          <w:szCs w:val="24"/>
          <w:shd w:val="clear" w:color="auto" w:fill="FFFFFF"/>
        </w:rPr>
        <w:sectPr w:rsidR="00387A6F" w:rsidSect="00AC3566">
          <w:footerReference w:type="default" r:id="rId75"/>
          <w:pgSz w:w="12240" w:h="15840"/>
          <w:pgMar w:top="1440" w:right="1440" w:bottom="1440" w:left="1440" w:header="720" w:footer="720" w:gutter="0"/>
          <w:pgNumType w:start="1"/>
          <w:cols w:space="720"/>
          <w:docGrid w:linePitch="360"/>
        </w:sectPr>
      </w:pPr>
      <w:r>
        <w:rPr>
          <w:rFonts w:cs="Times New Roman"/>
          <w:color w:val="222222"/>
          <w:szCs w:val="24"/>
          <w:shd w:val="clear" w:color="auto" w:fill="FFFFFF"/>
        </w:rPr>
        <w:br w:type="page"/>
      </w:r>
    </w:p>
    <w:p w14:paraId="5D0E1F1F" w14:textId="35FBF0E9" w:rsidR="009A7F74" w:rsidRDefault="00E36BBA" w:rsidP="009A7F74">
      <w:pPr>
        <w:spacing w:line="240" w:lineRule="auto"/>
        <w:ind w:left="-720" w:right="-720"/>
        <w:jc w:val="center"/>
        <w:rPr>
          <w:rFonts w:cs="Times New Roman"/>
          <w:noProof/>
          <w:szCs w:val="24"/>
        </w:rPr>
      </w:pPr>
      <w:r>
        <w:rPr>
          <w:rFonts w:cs="Times New Roman"/>
          <w:noProof/>
          <w:szCs w:val="24"/>
        </w:rPr>
        <w:lastRenderedPageBreak/>
        <w:drawing>
          <wp:inline distT="0" distB="0" distL="0" distR="0" wp14:anchorId="1D55F6E2" wp14:editId="16E0AD4D">
            <wp:extent cx="9125712" cy="50474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_updated.jpg"/>
                    <pic:cNvPicPr/>
                  </pic:nvPicPr>
                  <pic:blipFill>
                    <a:blip r:embed="rId76">
                      <a:extLst>
                        <a:ext uri="{28A0092B-C50C-407E-A947-70E740481C1C}">
                          <a14:useLocalDpi xmlns:a14="http://schemas.microsoft.com/office/drawing/2010/main" val="0"/>
                        </a:ext>
                      </a:extLst>
                    </a:blip>
                    <a:stretch>
                      <a:fillRect/>
                    </a:stretch>
                  </pic:blipFill>
                  <pic:spPr>
                    <a:xfrm>
                      <a:off x="0" y="0"/>
                      <a:ext cx="9125712" cy="5047488"/>
                    </a:xfrm>
                    <a:prstGeom prst="rect">
                      <a:avLst/>
                    </a:prstGeom>
                  </pic:spPr>
                </pic:pic>
              </a:graphicData>
            </a:graphic>
          </wp:inline>
        </w:drawing>
      </w:r>
    </w:p>
    <w:p w14:paraId="4FDF4DA2" w14:textId="39750409" w:rsidR="005B2012" w:rsidRDefault="005B2012" w:rsidP="009A7F74">
      <w:pPr>
        <w:spacing w:line="240" w:lineRule="auto"/>
        <w:ind w:left="-720" w:right="-720"/>
        <w:jc w:val="center"/>
        <w:rPr>
          <w:rFonts w:cs="Times New Roman"/>
          <w:noProof/>
          <w:szCs w:val="24"/>
        </w:rPr>
      </w:pPr>
    </w:p>
    <w:p w14:paraId="1A4B5154" w14:textId="77777777" w:rsidR="00D5643B" w:rsidRDefault="00D5643B" w:rsidP="009A7F74">
      <w:pPr>
        <w:spacing w:line="240" w:lineRule="auto"/>
        <w:jc w:val="left"/>
        <w:rPr>
          <w:b/>
        </w:rPr>
      </w:pPr>
    </w:p>
    <w:p w14:paraId="2E3908AA" w14:textId="77777777" w:rsidR="009A7F74" w:rsidRPr="009A7F74" w:rsidRDefault="009A7F74" w:rsidP="009A7F74">
      <w:pPr>
        <w:spacing w:line="240" w:lineRule="auto"/>
        <w:jc w:val="left"/>
        <w:rPr>
          <w:b/>
        </w:rPr>
      </w:pPr>
    </w:p>
    <w:p w14:paraId="2BBDCFD1" w14:textId="60EF1AA4" w:rsidR="00F13ABD" w:rsidRDefault="00F13ABD" w:rsidP="009A7F74">
      <w:pPr>
        <w:spacing w:line="240" w:lineRule="auto"/>
        <w:jc w:val="center"/>
        <w:rPr>
          <w:b/>
        </w:rPr>
      </w:pPr>
      <w:r>
        <w:rPr>
          <w:b/>
        </w:rPr>
        <w:t xml:space="preserve">Figure 1. </w:t>
      </w:r>
      <w:r w:rsidR="008D23B2" w:rsidRPr="008D23B2">
        <w:rPr>
          <w:b/>
          <w:bCs/>
        </w:rPr>
        <w:t>Diagrammatic Representation of the GHDM Model</w:t>
      </w:r>
    </w:p>
    <w:p w14:paraId="73B2218F" w14:textId="1FC0AE8F" w:rsidR="00E17C4B" w:rsidRDefault="00E17C4B" w:rsidP="009A7F74">
      <w:pPr>
        <w:spacing w:line="240" w:lineRule="auto"/>
        <w:jc w:val="left"/>
        <w:rPr>
          <w:b/>
        </w:rPr>
      </w:pPr>
    </w:p>
    <w:p w14:paraId="2179C4CA" w14:textId="77777777" w:rsidR="00C4248F" w:rsidRDefault="00C4248F" w:rsidP="009A7F74">
      <w:pPr>
        <w:spacing w:line="240" w:lineRule="auto"/>
        <w:jc w:val="left"/>
        <w:rPr>
          <w:b/>
        </w:rPr>
        <w:sectPr w:rsidR="00C4248F" w:rsidSect="00387A6F">
          <w:pgSz w:w="15840" w:h="12240" w:orient="landscape"/>
          <w:pgMar w:top="1152" w:right="1440" w:bottom="1152" w:left="1440" w:header="720" w:footer="720" w:gutter="0"/>
          <w:cols w:space="720"/>
          <w:docGrid w:linePitch="360"/>
        </w:sectPr>
      </w:pPr>
    </w:p>
    <w:p w14:paraId="13BE6AEE" w14:textId="7B633FCF" w:rsidR="006C1B77" w:rsidRDefault="006C1B77" w:rsidP="009E3B28">
      <w:pPr>
        <w:spacing w:after="120" w:line="240" w:lineRule="auto"/>
        <w:jc w:val="center"/>
        <w:rPr>
          <w:b/>
        </w:rPr>
      </w:pPr>
      <w:r w:rsidRPr="004002B4">
        <w:rPr>
          <w:b/>
        </w:rPr>
        <w:lastRenderedPageBreak/>
        <w:t xml:space="preserve">Table </w:t>
      </w:r>
      <w:r w:rsidR="004E794A">
        <w:rPr>
          <w:b/>
        </w:rPr>
        <w:t>1</w:t>
      </w:r>
      <w:r w:rsidR="002A1D88">
        <w:rPr>
          <w:b/>
        </w:rPr>
        <w:t>.</w:t>
      </w:r>
      <w:r w:rsidRPr="004002B4">
        <w:rPr>
          <w:b/>
        </w:rPr>
        <w:t xml:space="preserve"> Sample distribution of</w:t>
      </w:r>
      <w:r>
        <w:rPr>
          <w:b/>
        </w:rPr>
        <w:t xml:space="preserve"> socio-demographic characteristics</w:t>
      </w:r>
    </w:p>
    <w:tbl>
      <w:tblPr>
        <w:tblW w:w="7637" w:type="dxa"/>
        <w:jc w:val="center"/>
        <w:tblLook w:val="04A0" w:firstRow="1" w:lastRow="0" w:firstColumn="1" w:lastColumn="0" w:noHBand="0" w:noVBand="1"/>
      </w:tblPr>
      <w:tblGrid>
        <w:gridCol w:w="4380"/>
        <w:gridCol w:w="823"/>
        <w:gridCol w:w="844"/>
        <w:gridCol w:w="1590"/>
      </w:tblGrid>
      <w:tr w:rsidR="00DB0276" w:rsidRPr="00912BF7" w14:paraId="5DA50364" w14:textId="77777777" w:rsidTr="009E3B28">
        <w:trPr>
          <w:trHeight w:val="20"/>
          <w:jc w:val="center"/>
        </w:trPr>
        <w:tc>
          <w:tcPr>
            <w:tcW w:w="4380" w:type="dxa"/>
            <w:tcBorders>
              <w:top w:val="double" w:sz="6" w:space="0" w:color="auto"/>
              <w:left w:val="double" w:sz="6" w:space="0" w:color="auto"/>
              <w:bottom w:val="double" w:sz="6" w:space="0" w:color="auto"/>
              <w:right w:val="nil"/>
            </w:tcBorders>
            <w:shd w:val="clear" w:color="auto" w:fill="auto"/>
            <w:noWrap/>
            <w:vAlign w:val="center"/>
            <w:hideMark/>
          </w:tcPr>
          <w:p w14:paraId="0B18E93B" w14:textId="77777777" w:rsidR="00DB0276" w:rsidRPr="00912BF7" w:rsidRDefault="00DB0276" w:rsidP="008E018F">
            <w:pPr>
              <w:spacing w:line="240" w:lineRule="auto"/>
              <w:jc w:val="left"/>
              <w:rPr>
                <w:rFonts w:eastAsia="Times New Roman" w:cs="Times New Roman"/>
                <w:color w:val="000000"/>
                <w:sz w:val="22"/>
              </w:rPr>
            </w:pPr>
            <w:r w:rsidRPr="00912BF7">
              <w:rPr>
                <w:rFonts w:eastAsia="Times New Roman" w:cs="Times New Roman"/>
                <w:color w:val="000000"/>
                <w:sz w:val="22"/>
              </w:rPr>
              <w:t>Variable</w:t>
            </w:r>
          </w:p>
        </w:tc>
        <w:tc>
          <w:tcPr>
            <w:tcW w:w="823" w:type="dxa"/>
            <w:tcBorders>
              <w:top w:val="double" w:sz="6" w:space="0" w:color="auto"/>
              <w:left w:val="nil"/>
              <w:bottom w:val="double" w:sz="6" w:space="0" w:color="auto"/>
              <w:right w:val="nil"/>
            </w:tcBorders>
            <w:shd w:val="clear" w:color="auto" w:fill="auto"/>
            <w:noWrap/>
            <w:vAlign w:val="center"/>
            <w:hideMark/>
          </w:tcPr>
          <w:p w14:paraId="55B83BD2" w14:textId="77777777" w:rsidR="00DB0276" w:rsidRPr="00912BF7" w:rsidRDefault="00DB0276" w:rsidP="008E018F">
            <w:pPr>
              <w:spacing w:line="240" w:lineRule="auto"/>
              <w:jc w:val="right"/>
              <w:rPr>
                <w:rFonts w:eastAsia="Times New Roman" w:cs="Times New Roman"/>
                <w:color w:val="000000"/>
                <w:sz w:val="22"/>
              </w:rPr>
            </w:pPr>
            <w:r w:rsidRPr="00912BF7">
              <w:rPr>
                <w:rFonts w:eastAsia="Times New Roman" w:cs="Times New Roman"/>
                <w:color w:val="000000"/>
                <w:sz w:val="22"/>
              </w:rPr>
              <w:t>Count</w:t>
            </w:r>
          </w:p>
        </w:tc>
        <w:tc>
          <w:tcPr>
            <w:tcW w:w="844" w:type="dxa"/>
            <w:tcBorders>
              <w:top w:val="double" w:sz="6" w:space="0" w:color="auto"/>
              <w:left w:val="nil"/>
              <w:bottom w:val="double" w:sz="6" w:space="0" w:color="auto"/>
              <w:right w:val="double" w:sz="4" w:space="0" w:color="auto"/>
            </w:tcBorders>
            <w:shd w:val="clear" w:color="auto" w:fill="auto"/>
            <w:noWrap/>
            <w:vAlign w:val="center"/>
            <w:hideMark/>
          </w:tcPr>
          <w:p w14:paraId="17DBDAC2" w14:textId="77777777" w:rsidR="00DB0276" w:rsidRPr="00912BF7" w:rsidRDefault="00DB0276" w:rsidP="008E018F">
            <w:pPr>
              <w:spacing w:line="240" w:lineRule="auto"/>
              <w:jc w:val="right"/>
              <w:rPr>
                <w:rFonts w:eastAsia="Times New Roman" w:cs="Times New Roman"/>
                <w:color w:val="000000"/>
                <w:sz w:val="22"/>
              </w:rPr>
            </w:pPr>
            <w:r w:rsidRPr="00912BF7">
              <w:rPr>
                <w:rFonts w:eastAsia="Times New Roman" w:cs="Times New Roman"/>
                <w:color w:val="000000"/>
                <w:sz w:val="22"/>
              </w:rPr>
              <w:t>%</w:t>
            </w:r>
          </w:p>
        </w:tc>
        <w:tc>
          <w:tcPr>
            <w:tcW w:w="1590" w:type="dxa"/>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6863F46E" w14:textId="6EFFBAED" w:rsidR="00DB0276" w:rsidRPr="00912BF7" w:rsidRDefault="00DB0276" w:rsidP="008E018F">
            <w:pPr>
              <w:spacing w:line="240" w:lineRule="auto"/>
              <w:jc w:val="right"/>
              <w:rPr>
                <w:rFonts w:eastAsia="Times New Roman" w:cs="Times New Roman"/>
                <w:color w:val="000000"/>
                <w:sz w:val="22"/>
              </w:rPr>
            </w:pPr>
            <w:r w:rsidRPr="00912BF7">
              <w:rPr>
                <w:rFonts w:eastAsia="Times New Roman" w:cs="Times New Roman"/>
                <w:color w:val="000000"/>
                <w:sz w:val="22"/>
              </w:rPr>
              <w:t xml:space="preserve">% </w:t>
            </w:r>
            <w:r w:rsidR="00BC6C7C">
              <w:rPr>
                <w:rFonts w:eastAsia="Times New Roman" w:cs="Times New Roman"/>
                <w:color w:val="000000"/>
                <w:sz w:val="22"/>
              </w:rPr>
              <w:t>R</w:t>
            </w:r>
            <w:r>
              <w:rPr>
                <w:rFonts w:eastAsia="Times New Roman" w:cs="Times New Roman"/>
                <w:color w:val="000000"/>
                <w:sz w:val="22"/>
              </w:rPr>
              <w:t>ide-hailing</w:t>
            </w:r>
            <w:r w:rsidRPr="00912BF7">
              <w:rPr>
                <w:rFonts w:eastAsia="Times New Roman" w:cs="Times New Roman"/>
                <w:color w:val="000000"/>
                <w:sz w:val="22"/>
              </w:rPr>
              <w:t xml:space="preserve"> experience</w:t>
            </w:r>
          </w:p>
        </w:tc>
      </w:tr>
      <w:tr w:rsidR="00DB0276" w:rsidRPr="00912BF7" w14:paraId="400137D1"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1E7FEE98" w14:textId="77777777" w:rsidR="00DB0276" w:rsidRPr="00912BF7" w:rsidRDefault="00DB0276" w:rsidP="008E018F">
            <w:pPr>
              <w:spacing w:line="240" w:lineRule="auto"/>
              <w:jc w:val="left"/>
              <w:rPr>
                <w:rFonts w:eastAsia="Times New Roman" w:cs="Times New Roman"/>
                <w:b/>
                <w:bCs/>
                <w:color w:val="000000"/>
                <w:sz w:val="22"/>
              </w:rPr>
            </w:pPr>
            <w:r w:rsidRPr="00912BF7">
              <w:rPr>
                <w:rFonts w:eastAsia="Times New Roman" w:cs="Times New Roman"/>
                <w:b/>
                <w:bCs/>
                <w:color w:val="000000"/>
                <w:sz w:val="22"/>
              </w:rPr>
              <w:t>Gender</w:t>
            </w:r>
          </w:p>
        </w:tc>
        <w:tc>
          <w:tcPr>
            <w:tcW w:w="823" w:type="dxa"/>
            <w:tcBorders>
              <w:top w:val="nil"/>
              <w:left w:val="nil"/>
              <w:bottom w:val="nil"/>
              <w:right w:val="nil"/>
            </w:tcBorders>
            <w:shd w:val="clear" w:color="auto" w:fill="auto"/>
            <w:noWrap/>
            <w:vAlign w:val="center"/>
            <w:hideMark/>
          </w:tcPr>
          <w:p w14:paraId="2CF0F9D6" w14:textId="77777777" w:rsidR="00DB0276" w:rsidRPr="00912BF7" w:rsidRDefault="00DB0276" w:rsidP="005D6BB5">
            <w:pPr>
              <w:spacing w:line="240" w:lineRule="auto"/>
              <w:jc w:val="right"/>
              <w:rPr>
                <w:rFonts w:eastAsia="Times New Roman" w:cs="Times New Roman"/>
                <w:b/>
                <w:bCs/>
                <w:color w:val="000000"/>
                <w:sz w:val="22"/>
              </w:rPr>
            </w:pPr>
          </w:p>
        </w:tc>
        <w:tc>
          <w:tcPr>
            <w:tcW w:w="844" w:type="dxa"/>
            <w:tcBorders>
              <w:top w:val="nil"/>
              <w:left w:val="nil"/>
              <w:bottom w:val="nil"/>
              <w:right w:val="double" w:sz="4" w:space="0" w:color="auto"/>
            </w:tcBorders>
            <w:shd w:val="clear" w:color="auto" w:fill="auto"/>
            <w:noWrap/>
            <w:vAlign w:val="center"/>
            <w:hideMark/>
          </w:tcPr>
          <w:p w14:paraId="33AD5E8F" w14:textId="77777777" w:rsidR="00DB0276" w:rsidRPr="00912BF7" w:rsidRDefault="00DB0276"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double" w:sz="4" w:space="0" w:color="auto"/>
              <w:left w:val="double" w:sz="4" w:space="0" w:color="auto"/>
              <w:right w:val="double" w:sz="4" w:space="0" w:color="auto"/>
            </w:tcBorders>
            <w:shd w:val="clear" w:color="auto" w:fill="auto"/>
            <w:noWrap/>
            <w:vAlign w:val="bottom"/>
            <w:hideMark/>
          </w:tcPr>
          <w:p w14:paraId="1D11694C" w14:textId="77777777" w:rsidR="00DB0276" w:rsidRPr="00912BF7" w:rsidRDefault="00DB0276" w:rsidP="008E018F">
            <w:pPr>
              <w:spacing w:line="240" w:lineRule="auto"/>
              <w:jc w:val="left"/>
              <w:rPr>
                <w:rFonts w:ascii="Calibri" w:eastAsia="Times New Roman" w:hAnsi="Calibri" w:cs="Calibri"/>
                <w:color w:val="000000"/>
                <w:sz w:val="22"/>
              </w:rPr>
            </w:pPr>
          </w:p>
        </w:tc>
      </w:tr>
      <w:tr w:rsidR="00DB0276" w:rsidRPr="00912BF7" w14:paraId="54CFD7B4"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09C7110A"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Female</w:t>
            </w:r>
          </w:p>
        </w:tc>
        <w:tc>
          <w:tcPr>
            <w:tcW w:w="823" w:type="dxa"/>
            <w:tcBorders>
              <w:top w:val="nil"/>
              <w:left w:val="nil"/>
              <w:bottom w:val="nil"/>
              <w:right w:val="nil"/>
            </w:tcBorders>
            <w:shd w:val="clear" w:color="auto" w:fill="auto"/>
            <w:noWrap/>
            <w:vAlign w:val="center"/>
            <w:hideMark/>
          </w:tcPr>
          <w:p w14:paraId="34E5646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668</w:t>
            </w:r>
          </w:p>
        </w:tc>
        <w:tc>
          <w:tcPr>
            <w:tcW w:w="844" w:type="dxa"/>
            <w:tcBorders>
              <w:top w:val="nil"/>
              <w:left w:val="nil"/>
              <w:bottom w:val="nil"/>
              <w:right w:val="double" w:sz="4" w:space="0" w:color="auto"/>
            </w:tcBorders>
            <w:shd w:val="clear" w:color="auto" w:fill="auto"/>
            <w:noWrap/>
            <w:vAlign w:val="center"/>
            <w:hideMark/>
          </w:tcPr>
          <w:p w14:paraId="5F48BC78"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41.57</w:t>
            </w:r>
          </w:p>
        </w:tc>
        <w:tc>
          <w:tcPr>
            <w:tcW w:w="1590" w:type="dxa"/>
            <w:tcBorders>
              <w:left w:val="double" w:sz="4" w:space="0" w:color="auto"/>
              <w:bottom w:val="nil"/>
              <w:right w:val="double" w:sz="4" w:space="0" w:color="auto"/>
            </w:tcBorders>
            <w:shd w:val="clear" w:color="auto" w:fill="auto"/>
            <w:noWrap/>
            <w:vAlign w:val="center"/>
            <w:hideMark/>
          </w:tcPr>
          <w:p w14:paraId="047342A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54.04</w:t>
            </w:r>
          </w:p>
        </w:tc>
      </w:tr>
      <w:tr w:rsidR="00DB0276" w:rsidRPr="00912BF7" w14:paraId="75CF0082"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4492FD97"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Male</w:t>
            </w:r>
          </w:p>
        </w:tc>
        <w:tc>
          <w:tcPr>
            <w:tcW w:w="823" w:type="dxa"/>
            <w:tcBorders>
              <w:top w:val="nil"/>
              <w:left w:val="nil"/>
              <w:bottom w:val="nil"/>
              <w:right w:val="nil"/>
            </w:tcBorders>
            <w:shd w:val="clear" w:color="auto" w:fill="auto"/>
            <w:noWrap/>
            <w:vAlign w:val="center"/>
            <w:hideMark/>
          </w:tcPr>
          <w:p w14:paraId="56176498"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939</w:t>
            </w:r>
          </w:p>
        </w:tc>
        <w:tc>
          <w:tcPr>
            <w:tcW w:w="844" w:type="dxa"/>
            <w:tcBorders>
              <w:top w:val="nil"/>
              <w:left w:val="nil"/>
              <w:bottom w:val="nil"/>
              <w:right w:val="double" w:sz="4" w:space="0" w:color="auto"/>
            </w:tcBorders>
            <w:shd w:val="clear" w:color="auto" w:fill="auto"/>
            <w:noWrap/>
            <w:vAlign w:val="center"/>
            <w:hideMark/>
          </w:tcPr>
          <w:p w14:paraId="5A7AF3C8"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58.43</w:t>
            </w:r>
          </w:p>
        </w:tc>
        <w:tc>
          <w:tcPr>
            <w:tcW w:w="1590" w:type="dxa"/>
            <w:tcBorders>
              <w:top w:val="nil"/>
              <w:left w:val="double" w:sz="4" w:space="0" w:color="auto"/>
              <w:bottom w:val="nil"/>
              <w:right w:val="double" w:sz="4" w:space="0" w:color="auto"/>
            </w:tcBorders>
            <w:shd w:val="clear" w:color="auto" w:fill="auto"/>
            <w:noWrap/>
            <w:vAlign w:val="center"/>
            <w:hideMark/>
          </w:tcPr>
          <w:p w14:paraId="39E73452"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58.04</w:t>
            </w:r>
          </w:p>
        </w:tc>
      </w:tr>
      <w:tr w:rsidR="00DB0276" w:rsidRPr="00912BF7" w14:paraId="2D67BD39"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21536973" w14:textId="77777777" w:rsidR="00DB0276" w:rsidRPr="00912BF7" w:rsidRDefault="00DB0276" w:rsidP="008E018F">
            <w:pPr>
              <w:spacing w:line="240" w:lineRule="auto"/>
              <w:jc w:val="left"/>
              <w:rPr>
                <w:rFonts w:eastAsia="Times New Roman" w:cs="Times New Roman"/>
                <w:b/>
                <w:bCs/>
                <w:color w:val="000000"/>
                <w:sz w:val="22"/>
              </w:rPr>
            </w:pPr>
            <w:r w:rsidRPr="00912BF7">
              <w:rPr>
                <w:rFonts w:eastAsia="Times New Roman" w:cs="Times New Roman"/>
                <w:b/>
                <w:bCs/>
                <w:color w:val="000000"/>
                <w:sz w:val="22"/>
              </w:rPr>
              <w:t>Age</w:t>
            </w:r>
          </w:p>
        </w:tc>
        <w:tc>
          <w:tcPr>
            <w:tcW w:w="823" w:type="dxa"/>
            <w:tcBorders>
              <w:top w:val="nil"/>
              <w:left w:val="nil"/>
              <w:bottom w:val="nil"/>
              <w:right w:val="nil"/>
            </w:tcBorders>
            <w:shd w:val="clear" w:color="auto" w:fill="auto"/>
            <w:noWrap/>
            <w:vAlign w:val="center"/>
            <w:hideMark/>
          </w:tcPr>
          <w:p w14:paraId="18011BC0" w14:textId="77777777" w:rsidR="00DB0276" w:rsidRPr="00912BF7" w:rsidRDefault="00DB0276" w:rsidP="005D6BB5">
            <w:pPr>
              <w:spacing w:line="240" w:lineRule="auto"/>
              <w:jc w:val="right"/>
              <w:rPr>
                <w:rFonts w:eastAsia="Times New Roman" w:cs="Times New Roman"/>
                <w:b/>
                <w:bCs/>
                <w:color w:val="000000"/>
                <w:sz w:val="22"/>
              </w:rPr>
            </w:pPr>
          </w:p>
        </w:tc>
        <w:tc>
          <w:tcPr>
            <w:tcW w:w="844" w:type="dxa"/>
            <w:tcBorders>
              <w:top w:val="nil"/>
              <w:left w:val="nil"/>
              <w:bottom w:val="nil"/>
              <w:right w:val="double" w:sz="4" w:space="0" w:color="auto"/>
            </w:tcBorders>
            <w:shd w:val="clear" w:color="auto" w:fill="auto"/>
            <w:noWrap/>
            <w:vAlign w:val="center"/>
            <w:hideMark/>
          </w:tcPr>
          <w:p w14:paraId="7D924659" w14:textId="77777777" w:rsidR="00DB0276" w:rsidRPr="00912BF7" w:rsidRDefault="00DB0276"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nil"/>
              <w:left w:val="double" w:sz="4" w:space="0" w:color="auto"/>
              <w:bottom w:val="nil"/>
              <w:right w:val="double" w:sz="4" w:space="0" w:color="auto"/>
            </w:tcBorders>
            <w:shd w:val="clear" w:color="auto" w:fill="auto"/>
            <w:noWrap/>
            <w:vAlign w:val="center"/>
            <w:hideMark/>
          </w:tcPr>
          <w:p w14:paraId="6FA1CDF9" w14:textId="77777777" w:rsidR="00DB0276" w:rsidRPr="00912BF7" w:rsidRDefault="00DB0276" w:rsidP="005D6BB5">
            <w:pPr>
              <w:spacing w:line="240" w:lineRule="auto"/>
              <w:jc w:val="right"/>
              <w:rPr>
                <w:rFonts w:ascii="Calibri" w:eastAsia="Times New Roman" w:hAnsi="Calibri" w:cs="Calibri"/>
                <w:color w:val="000000"/>
                <w:sz w:val="22"/>
              </w:rPr>
            </w:pPr>
          </w:p>
        </w:tc>
      </w:tr>
      <w:tr w:rsidR="00DB0276" w:rsidRPr="00912BF7" w14:paraId="2CB9375D"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7FD2FF9B" w14:textId="114D71C7" w:rsidR="00DB0276" w:rsidRPr="00912BF7" w:rsidRDefault="00EB5D49" w:rsidP="00A50369">
            <w:pPr>
              <w:spacing w:line="240" w:lineRule="auto"/>
              <w:ind w:left="96"/>
              <w:jc w:val="left"/>
              <w:rPr>
                <w:rFonts w:eastAsia="Times New Roman" w:cs="Times New Roman"/>
                <w:color w:val="000000"/>
                <w:sz w:val="22"/>
              </w:rPr>
            </w:pPr>
            <w:r>
              <w:rPr>
                <w:rFonts w:eastAsia="Times New Roman" w:cs="Times New Roman"/>
                <w:color w:val="000000"/>
                <w:sz w:val="22"/>
              </w:rPr>
              <w:t>18-</w:t>
            </w:r>
            <w:r w:rsidR="00DB0276" w:rsidRPr="00912BF7">
              <w:rPr>
                <w:rFonts w:eastAsia="Times New Roman" w:cs="Times New Roman"/>
                <w:color w:val="000000"/>
                <w:sz w:val="22"/>
              </w:rPr>
              <w:t>34</w:t>
            </w:r>
          </w:p>
        </w:tc>
        <w:tc>
          <w:tcPr>
            <w:tcW w:w="823" w:type="dxa"/>
            <w:tcBorders>
              <w:top w:val="nil"/>
              <w:left w:val="nil"/>
              <w:bottom w:val="nil"/>
              <w:right w:val="nil"/>
            </w:tcBorders>
            <w:shd w:val="clear" w:color="auto" w:fill="auto"/>
            <w:noWrap/>
            <w:vAlign w:val="center"/>
            <w:hideMark/>
          </w:tcPr>
          <w:p w14:paraId="5CA4DD9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261</w:t>
            </w:r>
          </w:p>
        </w:tc>
        <w:tc>
          <w:tcPr>
            <w:tcW w:w="844" w:type="dxa"/>
            <w:tcBorders>
              <w:top w:val="nil"/>
              <w:left w:val="nil"/>
              <w:bottom w:val="nil"/>
              <w:right w:val="double" w:sz="4" w:space="0" w:color="auto"/>
            </w:tcBorders>
            <w:shd w:val="clear" w:color="auto" w:fill="auto"/>
            <w:noWrap/>
            <w:vAlign w:val="center"/>
            <w:hideMark/>
          </w:tcPr>
          <w:p w14:paraId="3BD59C22"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16.24</w:t>
            </w:r>
          </w:p>
        </w:tc>
        <w:tc>
          <w:tcPr>
            <w:tcW w:w="1590" w:type="dxa"/>
            <w:tcBorders>
              <w:top w:val="nil"/>
              <w:left w:val="double" w:sz="4" w:space="0" w:color="auto"/>
              <w:bottom w:val="nil"/>
              <w:right w:val="double" w:sz="4" w:space="0" w:color="auto"/>
            </w:tcBorders>
            <w:shd w:val="clear" w:color="auto" w:fill="auto"/>
            <w:noWrap/>
            <w:vAlign w:val="center"/>
            <w:hideMark/>
          </w:tcPr>
          <w:p w14:paraId="0CD399A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75.48</w:t>
            </w:r>
          </w:p>
        </w:tc>
      </w:tr>
      <w:tr w:rsidR="00DB0276" w:rsidRPr="00912BF7" w14:paraId="4488819C"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588DB304" w14:textId="5166F87D" w:rsidR="00DB0276" w:rsidRPr="00912BF7" w:rsidRDefault="00EB5D49" w:rsidP="00EB5D49">
            <w:pPr>
              <w:spacing w:line="240" w:lineRule="auto"/>
              <w:ind w:left="96"/>
              <w:jc w:val="left"/>
              <w:rPr>
                <w:rFonts w:eastAsia="Times New Roman" w:cs="Times New Roman"/>
                <w:color w:val="000000"/>
                <w:sz w:val="22"/>
              </w:rPr>
            </w:pPr>
            <w:r>
              <w:rPr>
                <w:rFonts w:eastAsia="Times New Roman" w:cs="Times New Roman"/>
                <w:color w:val="000000"/>
                <w:sz w:val="22"/>
              </w:rPr>
              <w:t>35</w:t>
            </w:r>
            <w:r>
              <w:rPr>
                <w:rFonts w:eastAsia="Times New Roman" w:cs="Times New Roman"/>
                <w:color w:val="000000"/>
                <w:sz w:val="22"/>
              </w:rPr>
              <w:t>-</w:t>
            </w:r>
            <w:r w:rsidR="00DB0276" w:rsidRPr="00912BF7">
              <w:rPr>
                <w:rFonts w:eastAsia="Times New Roman" w:cs="Times New Roman"/>
                <w:color w:val="000000"/>
                <w:sz w:val="22"/>
              </w:rPr>
              <w:t>44</w:t>
            </w:r>
          </w:p>
        </w:tc>
        <w:tc>
          <w:tcPr>
            <w:tcW w:w="823" w:type="dxa"/>
            <w:tcBorders>
              <w:top w:val="nil"/>
              <w:left w:val="nil"/>
              <w:bottom w:val="nil"/>
              <w:right w:val="nil"/>
            </w:tcBorders>
            <w:shd w:val="clear" w:color="auto" w:fill="auto"/>
            <w:noWrap/>
            <w:vAlign w:val="center"/>
            <w:hideMark/>
          </w:tcPr>
          <w:p w14:paraId="4F197E3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360</w:t>
            </w:r>
          </w:p>
        </w:tc>
        <w:tc>
          <w:tcPr>
            <w:tcW w:w="844" w:type="dxa"/>
            <w:tcBorders>
              <w:top w:val="nil"/>
              <w:left w:val="nil"/>
              <w:bottom w:val="nil"/>
              <w:right w:val="double" w:sz="4" w:space="0" w:color="auto"/>
            </w:tcBorders>
            <w:shd w:val="clear" w:color="auto" w:fill="auto"/>
            <w:noWrap/>
            <w:vAlign w:val="center"/>
            <w:hideMark/>
          </w:tcPr>
          <w:p w14:paraId="200ADA32" w14:textId="71CF9F68"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22.4</w:t>
            </w:r>
            <w:r w:rsidR="00EB5D49">
              <w:rPr>
                <w:rFonts w:eastAsia="Times New Roman" w:cs="Times New Roman"/>
                <w:color w:val="000000"/>
                <w:sz w:val="22"/>
              </w:rPr>
              <w:t>0</w:t>
            </w:r>
          </w:p>
        </w:tc>
        <w:tc>
          <w:tcPr>
            <w:tcW w:w="1590" w:type="dxa"/>
            <w:tcBorders>
              <w:top w:val="nil"/>
              <w:left w:val="double" w:sz="4" w:space="0" w:color="auto"/>
              <w:bottom w:val="nil"/>
              <w:right w:val="double" w:sz="4" w:space="0" w:color="auto"/>
            </w:tcBorders>
            <w:shd w:val="clear" w:color="auto" w:fill="auto"/>
            <w:noWrap/>
            <w:vAlign w:val="center"/>
            <w:hideMark/>
          </w:tcPr>
          <w:p w14:paraId="5B617313"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65.28</w:t>
            </w:r>
          </w:p>
        </w:tc>
      </w:tr>
      <w:tr w:rsidR="00DB0276" w:rsidRPr="00912BF7" w14:paraId="3831A315"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43E1121E" w14:textId="48E8D7A8" w:rsidR="00DB0276" w:rsidRPr="00912BF7" w:rsidRDefault="00EB5D49" w:rsidP="00A50369">
            <w:pPr>
              <w:spacing w:line="240" w:lineRule="auto"/>
              <w:ind w:left="96"/>
              <w:jc w:val="left"/>
              <w:rPr>
                <w:rFonts w:eastAsia="Times New Roman" w:cs="Times New Roman"/>
                <w:color w:val="000000"/>
                <w:sz w:val="22"/>
              </w:rPr>
            </w:pPr>
            <w:r>
              <w:rPr>
                <w:rFonts w:eastAsia="Times New Roman" w:cs="Times New Roman"/>
                <w:color w:val="000000"/>
                <w:sz w:val="22"/>
              </w:rPr>
              <w:t>45</w:t>
            </w:r>
            <w:r>
              <w:rPr>
                <w:rFonts w:eastAsia="Times New Roman" w:cs="Times New Roman"/>
                <w:color w:val="000000"/>
                <w:sz w:val="22"/>
              </w:rPr>
              <w:t>-</w:t>
            </w:r>
            <w:r w:rsidR="00DB0276" w:rsidRPr="00912BF7">
              <w:rPr>
                <w:rFonts w:eastAsia="Times New Roman" w:cs="Times New Roman"/>
                <w:color w:val="000000"/>
                <w:sz w:val="22"/>
              </w:rPr>
              <w:t>54</w:t>
            </w:r>
          </w:p>
        </w:tc>
        <w:tc>
          <w:tcPr>
            <w:tcW w:w="823" w:type="dxa"/>
            <w:tcBorders>
              <w:top w:val="nil"/>
              <w:left w:val="nil"/>
              <w:bottom w:val="nil"/>
              <w:right w:val="nil"/>
            </w:tcBorders>
            <w:shd w:val="clear" w:color="auto" w:fill="auto"/>
            <w:noWrap/>
            <w:vAlign w:val="center"/>
            <w:hideMark/>
          </w:tcPr>
          <w:p w14:paraId="2C80D793"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432</w:t>
            </w:r>
          </w:p>
        </w:tc>
        <w:tc>
          <w:tcPr>
            <w:tcW w:w="844" w:type="dxa"/>
            <w:tcBorders>
              <w:top w:val="nil"/>
              <w:left w:val="nil"/>
              <w:bottom w:val="nil"/>
              <w:right w:val="double" w:sz="4" w:space="0" w:color="auto"/>
            </w:tcBorders>
            <w:shd w:val="clear" w:color="auto" w:fill="auto"/>
            <w:noWrap/>
            <w:vAlign w:val="center"/>
            <w:hideMark/>
          </w:tcPr>
          <w:p w14:paraId="65DAF199"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26.88</w:t>
            </w:r>
          </w:p>
        </w:tc>
        <w:tc>
          <w:tcPr>
            <w:tcW w:w="1590" w:type="dxa"/>
            <w:tcBorders>
              <w:top w:val="nil"/>
              <w:left w:val="double" w:sz="4" w:space="0" w:color="auto"/>
              <w:bottom w:val="nil"/>
              <w:right w:val="double" w:sz="4" w:space="0" w:color="auto"/>
            </w:tcBorders>
            <w:shd w:val="clear" w:color="auto" w:fill="auto"/>
            <w:noWrap/>
            <w:vAlign w:val="center"/>
            <w:hideMark/>
          </w:tcPr>
          <w:p w14:paraId="1B737A9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54.63</w:t>
            </w:r>
          </w:p>
        </w:tc>
      </w:tr>
      <w:tr w:rsidR="00DB0276" w:rsidRPr="00912BF7" w14:paraId="330C156A"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34A1C04" w14:textId="71AF6C03" w:rsidR="00DB0276" w:rsidRPr="00912BF7" w:rsidRDefault="00EB5D49" w:rsidP="00A50369">
            <w:pPr>
              <w:spacing w:line="240" w:lineRule="auto"/>
              <w:ind w:left="96"/>
              <w:jc w:val="left"/>
              <w:rPr>
                <w:rFonts w:eastAsia="Times New Roman" w:cs="Times New Roman"/>
                <w:color w:val="000000"/>
                <w:sz w:val="22"/>
              </w:rPr>
            </w:pPr>
            <w:r>
              <w:rPr>
                <w:rFonts w:eastAsia="Times New Roman" w:cs="Times New Roman"/>
                <w:color w:val="000000"/>
                <w:sz w:val="22"/>
              </w:rPr>
              <w:t>55</w:t>
            </w:r>
            <w:r>
              <w:rPr>
                <w:rFonts w:eastAsia="Times New Roman" w:cs="Times New Roman"/>
                <w:color w:val="000000"/>
                <w:sz w:val="22"/>
              </w:rPr>
              <w:t>-</w:t>
            </w:r>
            <w:r w:rsidR="00DB0276" w:rsidRPr="00912BF7">
              <w:rPr>
                <w:rFonts w:eastAsia="Times New Roman" w:cs="Times New Roman"/>
                <w:color w:val="000000"/>
                <w:sz w:val="22"/>
              </w:rPr>
              <w:t>64</w:t>
            </w:r>
          </w:p>
        </w:tc>
        <w:tc>
          <w:tcPr>
            <w:tcW w:w="823" w:type="dxa"/>
            <w:tcBorders>
              <w:top w:val="nil"/>
              <w:left w:val="nil"/>
              <w:bottom w:val="nil"/>
              <w:right w:val="nil"/>
            </w:tcBorders>
            <w:shd w:val="clear" w:color="auto" w:fill="auto"/>
            <w:noWrap/>
            <w:vAlign w:val="center"/>
            <w:hideMark/>
          </w:tcPr>
          <w:p w14:paraId="2D21B8EB"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423</w:t>
            </w:r>
          </w:p>
        </w:tc>
        <w:tc>
          <w:tcPr>
            <w:tcW w:w="844" w:type="dxa"/>
            <w:tcBorders>
              <w:top w:val="nil"/>
              <w:left w:val="nil"/>
              <w:bottom w:val="nil"/>
              <w:right w:val="double" w:sz="4" w:space="0" w:color="auto"/>
            </w:tcBorders>
            <w:shd w:val="clear" w:color="auto" w:fill="auto"/>
            <w:noWrap/>
            <w:vAlign w:val="center"/>
            <w:hideMark/>
          </w:tcPr>
          <w:p w14:paraId="01BFE5B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26.32</w:t>
            </w:r>
          </w:p>
        </w:tc>
        <w:tc>
          <w:tcPr>
            <w:tcW w:w="1590" w:type="dxa"/>
            <w:tcBorders>
              <w:top w:val="nil"/>
              <w:left w:val="double" w:sz="4" w:space="0" w:color="auto"/>
              <w:bottom w:val="nil"/>
              <w:right w:val="double" w:sz="4" w:space="0" w:color="auto"/>
            </w:tcBorders>
            <w:shd w:val="clear" w:color="auto" w:fill="auto"/>
            <w:noWrap/>
            <w:vAlign w:val="center"/>
            <w:hideMark/>
          </w:tcPr>
          <w:p w14:paraId="39DB745E"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45.86</w:t>
            </w:r>
          </w:p>
        </w:tc>
      </w:tr>
      <w:tr w:rsidR="00DB0276" w:rsidRPr="00912BF7" w14:paraId="11EDE9A0"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719E5720"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65 or more</w:t>
            </w:r>
          </w:p>
        </w:tc>
        <w:tc>
          <w:tcPr>
            <w:tcW w:w="823" w:type="dxa"/>
            <w:tcBorders>
              <w:top w:val="nil"/>
              <w:left w:val="nil"/>
              <w:bottom w:val="nil"/>
              <w:right w:val="nil"/>
            </w:tcBorders>
            <w:shd w:val="clear" w:color="auto" w:fill="auto"/>
            <w:noWrap/>
            <w:vAlign w:val="center"/>
            <w:hideMark/>
          </w:tcPr>
          <w:p w14:paraId="62815BBC"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131</w:t>
            </w:r>
          </w:p>
        </w:tc>
        <w:tc>
          <w:tcPr>
            <w:tcW w:w="844" w:type="dxa"/>
            <w:tcBorders>
              <w:top w:val="nil"/>
              <w:left w:val="nil"/>
              <w:bottom w:val="nil"/>
              <w:right w:val="double" w:sz="4" w:space="0" w:color="auto"/>
            </w:tcBorders>
            <w:shd w:val="clear" w:color="auto" w:fill="auto"/>
            <w:noWrap/>
            <w:vAlign w:val="center"/>
            <w:hideMark/>
          </w:tcPr>
          <w:p w14:paraId="17A937E8"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8.16</w:t>
            </w:r>
          </w:p>
        </w:tc>
        <w:tc>
          <w:tcPr>
            <w:tcW w:w="1590" w:type="dxa"/>
            <w:tcBorders>
              <w:top w:val="nil"/>
              <w:left w:val="double" w:sz="4" w:space="0" w:color="auto"/>
              <w:bottom w:val="nil"/>
              <w:right w:val="double" w:sz="4" w:space="0" w:color="auto"/>
            </w:tcBorders>
            <w:shd w:val="clear" w:color="auto" w:fill="auto"/>
            <w:noWrap/>
            <w:vAlign w:val="center"/>
            <w:hideMark/>
          </w:tcPr>
          <w:p w14:paraId="51D2756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33.59</w:t>
            </w:r>
          </w:p>
        </w:tc>
      </w:tr>
      <w:tr w:rsidR="00DB0276" w:rsidRPr="00912BF7" w14:paraId="1F876C5C"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F285B5D" w14:textId="21F73A21" w:rsidR="00DB0276" w:rsidRPr="00447214" w:rsidRDefault="00447214" w:rsidP="008E018F">
            <w:pPr>
              <w:spacing w:line="240" w:lineRule="auto"/>
              <w:jc w:val="left"/>
              <w:rPr>
                <w:rFonts w:eastAsia="Times New Roman" w:cs="Times New Roman"/>
                <w:b/>
                <w:bCs/>
                <w:color w:val="000000"/>
                <w:sz w:val="22"/>
              </w:rPr>
            </w:pPr>
            <w:r w:rsidRPr="00447214">
              <w:rPr>
                <w:b/>
              </w:rPr>
              <w:t>Ethnicity</w:t>
            </w:r>
          </w:p>
        </w:tc>
        <w:tc>
          <w:tcPr>
            <w:tcW w:w="823" w:type="dxa"/>
            <w:tcBorders>
              <w:top w:val="nil"/>
              <w:left w:val="nil"/>
              <w:bottom w:val="nil"/>
              <w:right w:val="nil"/>
            </w:tcBorders>
            <w:shd w:val="clear" w:color="auto" w:fill="auto"/>
            <w:noWrap/>
            <w:vAlign w:val="center"/>
            <w:hideMark/>
          </w:tcPr>
          <w:p w14:paraId="7A46007C" w14:textId="77777777" w:rsidR="00DB0276" w:rsidRPr="00912BF7" w:rsidRDefault="00DB0276" w:rsidP="005D6BB5">
            <w:pPr>
              <w:spacing w:line="240" w:lineRule="auto"/>
              <w:jc w:val="right"/>
              <w:rPr>
                <w:rFonts w:eastAsia="Times New Roman" w:cs="Times New Roman"/>
                <w:b/>
                <w:bCs/>
                <w:color w:val="000000"/>
                <w:sz w:val="22"/>
              </w:rPr>
            </w:pPr>
          </w:p>
        </w:tc>
        <w:tc>
          <w:tcPr>
            <w:tcW w:w="844" w:type="dxa"/>
            <w:tcBorders>
              <w:top w:val="nil"/>
              <w:left w:val="nil"/>
              <w:bottom w:val="nil"/>
              <w:right w:val="double" w:sz="4" w:space="0" w:color="auto"/>
            </w:tcBorders>
            <w:shd w:val="clear" w:color="auto" w:fill="auto"/>
            <w:noWrap/>
            <w:vAlign w:val="center"/>
            <w:hideMark/>
          </w:tcPr>
          <w:p w14:paraId="6A8D7F11" w14:textId="77777777" w:rsidR="00DB0276" w:rsidRPr="00912BF7" w:rsidRDefault="00DB0276"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nil"/>
              <w:left w:val="double" w:sz="4" w:space="0" w:color="auto"/>
              <w:bottom w:val="nil"/>
              <w:right w:val="double" w:sz="4" w:space="0" w:color="auto"/>
            </w:tcBorders>
            <w:shd w:val="clear" w:color="auto" w:fill="auto"/>
            <w:noWrap/>
            <w:vAlign w:val="center"/>
            <w:hideMark/>
          </w:tcPr>
          <w:p w14:paraId="5150B047" w14:textId="77777777" w:rsidR="00DB0276" w:rsidRPr="00912BF7" w:rsidRDefault="00DB0276" w:rsidP="005D6BB5">
            <w:pPr>
              <w:spacing w:line="240" w:lineRule="auto"/>
              <w:jc w:val="right"/>
              <w:rPr>
                <w:rFonts w:ascii="Calibri" w:eastAsia="Times New Roman" w:hAnsi="Calibri" w:cs="Calibri"/>
                <w:color w:val="000000"/>
                <w:sz w:val="22"/>
              </w:rPr>
            </w:pPr>
          </w:p>
        </w:tc>
      </w:tr>
      <w:tr w:rsidR="00DB0276" w:rsidRPr="00912BF7" w14:paraId="5990FAB8"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2954D3B9"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Non-Hispanic White</w:t>
            </w:r>
          </w:p>
        </w:tc>
        <w:tc>
          <w:tcPr>
            <w:tcW w:w="823" w:type="dxa"/>
            <w:tcBorders>
              <w:top w:val="nil"/>
              <w:left w:val="nil"/>
              <w:bottom w:val="nil"/>
              <w:right w:val="nil"/>
            </w:tcBorders>
            <w:shd w:val="clear" w:color="auto" w:fill="auto"/>
            <w:noWrap/>
            <w:vAlign w:val="center"/>
            <w:hideMark/>
          </w:tcPr>
          <w:p w14:paraId="364B32EE"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1205</w:t>
            </w:r>
          </w:p>
        </w:tc>
        <w:tc>
          <w:tcPr>
            <w:tcW w:w="844" w:type="dxa"/>
            <w:tcBorders>
              <w:top w:val="nil"/>
              <w:left w:val="nil"/>
              <w:bottom w:val="nil"/>
              <w:right w:val="double" w:sz="4" w:space="0" w:color="auto"/>
            </w:tcBorders>
            <w:shd w:val="clear" w:color="auto" w:fill="auto"/>
            <w:noWrap/>
            <w:vAlign w:val="center"/>
            <w:hideMark/>
          </w:tcPr>
          <w:p w14:paraId="7DED9C5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74.98</w:t>
            </w:r>
          </w:p>
        </w:tc>
        <w:tc>
          <w:tcPr>
            <w:tcW w:w="1590" w:type="dxa"/>
            <w:tcBorders>
              <w:top w:val="nil"/>
              <w:left w:val="double" w:sz="4" w:space="0" w:color="auto"/>
              <w:bottom w:val="nil"/>
              <w:right w:val="double" w:sz="4" w:space="0" w:color="auto"/>
            </w:tcBorders>
            <w:shd w:val="clear" w:color="auto" w:fill="auto"/>
            <w:noWrap/>
            <w:vAlign w:val="center"/>
            <w:hideMark/>
          </w:tcPr>
          <w:p w14:paraId="1F92B0A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55.19</w:t>
            </w:r>
          </w:p>
        </w:tc>
      </w:tr>
      <w:tr w:rsidR="00DB0276" w:rsidRPr="00912BF7" w14:paraId="34D3A4FE"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29EF5A2F"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Non-Hispanic Black</w:t>
            </w:r>
          </w:p>
        </w:tc>
        <w:tc>
          <w:tcPr>
            <w:tcW w:w="823" w:type="dxa"/>
            <w:tcBorders>
              <w:top w:val="nil"/>
              <w:left w:val="nil"/>
              <w:bottom w:val="nil"/>
              <w:right w:val="nil"/>
            </w:tcBorders>
            <w:shd w:val="clear" w:color="auto" w:fill="auto"/>
            <w:noWrap/>
            <w:vAlign w:val="center"/>
            <w:hideMark/>
          </w:tcPr>
          <w:p w14:paraId="5E6381C8"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102</w:t>
            </w:r>
          </w:p>
        </w:tc>
        <w:tc>
          <w:tcPr>
            <w:tcW w:w="844" w:type="dxa"/>
            <w:tcBorders>
              <w:top w:val="nil"/>
              <w:left w:val="nil"/>
              <w:bottom w:val="nil"/>
              <w:right w:val="double" w:sz="4" w:space="0" w:color="auto"/>
            </w:tcBorders>
            <w:shd w:val="clear" w:color="auto" w:fill="auto"/>
            <w:noWrap/>
            <w:vAlign w:val="center"/>
            <w:hideMark/>
          </w:tcPr>
          <w:p w14:paraId="2A76C527"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6.35</w:t>
            </w:r>
          </w:p>
        </w:tc>
        <w:tc>
          <w:tcPr>
            <w:tcW w:w="1590" w:type="dxa"/>
            <w:tcBorders>
              <w:top w:val="nil"/>
              <w:left w:val="double" w:sz="4" w:space="0" w:color="auto"/>
              <w:bottom w:val="nil"/>
              <w:right w:val="double" w:sz="4" w:space="0" w:color="auto"/>
            </w:tcBorders>
            <w:shd w:val="clear" w:color="auto" w:fill="auto"/>
            <w:noWrap/>
            <w:vAlign w:val="center"/>
            <w:hideMark/>
          </w:tcPr>
          <w:p w14:paraId="2976276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55.88</w:t>
            </w:r>
          </w:p>
        </w:tc>
      </w:tr>
      <w:tr w:rsidR="00DB0276" w:rsidRPr="00912BF7" w14:paraId="4906FA9A"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366D6BAE"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Hispanic</w:t>
            </w:r>
          </w:p>
        </w:tc>
        <w:tc>
          <w:tcPr>
            <w:tcW w:w="823" w:type="dxa"/>
            <w:tcBorders>
              <w:top w:val="nil"/>
              <w:left w:val="nil"/>
              <w:bottom w:val="nil"/>
              <w:right w:val="nil"/>
            </w:tcBorders>
            <w:shd w:val="clear" w:color="auto" w:fill="auto"/>
            <w:noWrap/>
            <w:vAlign w:val="center"/>
            <w:hideMark/>
          </w:tcPr>
          <w:p w14:paraId="1EC8D00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109</w:t>
            </w:r>
          </w:p>
        </w:tc>
        <w:tc>
          <w:tcPr>
            <w:tcW w:w="844" w:type="dxa"/>
            <w:tcBorders>
              <w:top w:val="nil"/>
              <w:left w:val="nil"/>
              <w:bottom w:val="nil"/>
              <w:right w:val="double" w:sz="4" w:space="0" w:color="auto"/>
            </w:tcBorders>
            <w:shd w:val="clear" w:color="auto" w:fill="auto"/>
            <w:noWrap/>
            <w:vAlign w:val="center"/>
            <w:hideMark/>
          </w:tcPr>
          <w:p w14:paraId="18E1398B"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6.78</w:t>
            </w:r>
          </w:p>
        </w:tc>
        <w:tc>
          <w:tcPr>
            <w:tcW w:w="1590" w:type="dxa"/>
            <w:tcBorders>
              <w:top w:val="nil"/>
              <w:left w:val="double" w:sz="4" w:space="0" w:color="auto"/>
              <w:bottom w:val="nil"/>
              <w:right w:val="double" w:sz="4" w:space="0" w:color="auto"/>
            </w:tcBorders>
            <w:shd w:val="clear" w:color="auto" w:fill="auto"/>
            <w:noWrap/>
            <w:vAlign w:val="center"/>
            <w:hideMark/>
          </w:tcPr>
          <w:p w14:paraId="1369484A"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62.39</w:t>
            </w:r>
          </w:p>
        </w:tc>
      </w:tr>
      <w:tr w:rsidR="00DB0276" w:rsidRPr="00912BF7" w14:paraId="453EA3E3"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2BC8B6DF"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Asian/Pacific Islander </w:t>
            </w:r>
          </w:p>
        </w:tc>
        <w:tc>
          <w:tcPr>
            <w:tcW w:w="823" w:type="dxa"/>
            <w:tcBorders>
              <w:top w:val="nil"/>
              <w:left w:val="nil"/>
              <w:bottom w:val="nil"/>
              <w:right w:val="nil"/>
            </w:tcBorders>
            <w:shd w:val="clear" w:color="auto" w:fill="auto"/>
            <w:noWrap/>
            <w:vAlign w:val="center"/>
            <w:hideMark/>
          </w:tcPr>
          <w:p w14:paraId="4E1C431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101</w:t>
            </w:r>
          </w:p>
        </w:tc>
        <w:tc>
          <w:tcPr>
            <w:tcW w:w="844" w:type="dxa"/>
            <w:tcBorders>
              <w:top w:val="nil"/>
              <w:left w:val="nil"/>
              <w:bottom w:val="nil"/>
              <w:right w:val="double" w:sz="4" w:space="0" w:color="auto"/>
            </w:tcBorders>
            <w:shd w:val="clear" w:color="auto" w:fill="auto"/>
            <w:noWrap/>
            <w:vAlign w:val="center"/>
            <w:hideMark/>
          </w:tcPr>
          <w:p w14:paraId="2D464DB4"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6.29</w:t>
            </w:r>
          </w:p>
        </w:tc>
        <w:tc>
          <w:tcPr>
            <w:tcW w:w="1590" w:type="dxa"/>
            <w:tcBorders>
              <w:top w:val="nil"/>
              <w:left w:val="double" w:sz="4" w:space="0" w:color="auto"/>
              <w:bottom w:val="nil"/>
              <w:right w:val="double" w:sz="4" w:space="0" w:color="auto"/>
            </w:tcBorders>
            <w:shd w:val="clear" w:color="auto" w:fill="auto"/>
            <w:noWrap/>
            <w:vAlign w:val="center"/>
            <w:hideMark/>
          </w:tcPr>
          <w:p w14:paraId="7D1FBA6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65.35</w:t>
            </w:r>
          </w:p>
        </w:tc>
      </w:tr>
      <w:tr w:rsidR="00DB0276" w:rsidRPr="00912BF7" w14:paraId="6B3A453F"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0F220439"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Other</w:t>
            </w:r>
          </w:p>
        </w:tc>
        <w:tc>
          <w:tcPr>
            <w:tcW w:w="823" w:type="dxa"/>
            <w:tcBorders>
              <w:top w:val="nil"/>
              <w:left w:val="nil"/>
              <w:bottom w:val="nil"/>
              <w:right w:val="nil"/>
            </w:tcBorders>
            <w:shd w:val="clear" w:color="auto" w:fill="auto"/>
            <w:noWrap/>
            <w:vAlign w:val="center"/>
            <w:hideMark/>
          </w:tcPr>
          <w:p w14:paraId="2708C07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90</w:t>
            </w:r>
          </w:p>
        </w:tc>
        <w:tc>
          <w:tcPr>
            <w:tcW w:w="844" w:type="dxa"/>
            <w:tcBorders>
              <w:top w:val="nil"/>
              <w:left w:val="nil"/>
              <w:bottom w:val="nil"/>
              <w:right w:val="double" w:sz="4" w:space="0" w:color="auto"/>
            </w:tcBorders>
            <w:shd w:val="clear" w:color="auto" w:fill="auto"/>
            <w:noWrap/>
            <w:vAlign w:val="center"/>
            <w:hideMark/>
          </w:tcPr>
          <w:p w14:paraId="15CD8E0C"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5.6</w:t>
            </w:r>
            <w:r w:rsidR="003E12F9">
              <w:rPr>
                <w:rFonts w:eastAsia="Times New Roman" w:cs="Times New Roman"/>
                <w:color w:val="000000"/>
                <w:sz w:val="22"/>
              </w:rPr>
              <w:t>0</w:t>
            </w:r>
          </w:p>
        </w:tc>
        <w:tc>
          <w:tcPr>
            <w:tcW w:w="1590" w:type="dxa"/>
            <w:tcBorders>
              <w:top w:val="nil"/>
              <w:left w:val="double" w:sz="4" w:space="0" w:color="auto"/>
              <w:bottom w:val="nil"/>
              <w:right w:val="double" w:sz="4" w:space="0" w:color="auto"/>
            </w:tcBorders>
            <w:shd w:val="clear" w:color="auto" w:fill="auto"/>
            <w:noWrap/>
            <w:vAlign w:val="center"/>
            <w:hideMark/>
          </w:tcPr>
          <w:p w14:paraId="09CF27E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55.55</w:t>
            </w:r>
          </w:p>
        </w:tc>
      </w:tr>
      <w:tr w:rsidR="00DB0276" w:rsidRPr="00912BF7" w14:paraId="281F4F84"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357F5F8C" w14:textId="77777777" w:rsidR="00DB0276" w:rsidRPr="00912BF7" w:rsidRDefault="00DB0276" w:rsidP="008E018F">
            <w:pPr>
              <w:spacing w:line="240" w:lineRule="auto"/>
              <w:jc w:val="left"/>
              <w:rPr>
                <w:rFonts w:eastAsia="Times New Roman" w:cs="Times New Roman"/>
                <w:b/>
                <w:bCs/>
                <w:color w:val="000000"/>
                <w:sz w:val="22"/>
              </w:rPr>
            </w:pPr>
            <w:r w:rsidRPr="00912BF7">
              <w:rPr>
                <w:rFonts w:eastAsia="Times New Roman" w:cs="Times New Roman"/>
                <w:b/>
                <w:bCs/>
                <w:color w:val="000000"/>
                <w:sz w:val="22"/>
              </w:rPr>
              <w:t>Education</w:t>
            </w:r>
          </w:p>
        </w:tc>
        <w:tc>
          <w:tcPr>
            <w:tcW w:w="823" w:type="dxa"/>
            <w:tcBorders>
              <w:top w:val="nil"/>
              <w:left w:val="nil"/>
              <w:bottom w:val="nil"/>
              <w:right w:val="nil"/>
            </w:tcBorders>
            <w:shd w:val="clear" w:color="auto" w:fill="auto"/>
            <w:noWrap/>
            <w:vAlign w:val="center"/>
            <w:hideMark/>
          </w:tcPr>
          <w:p w14:paraId="728159CB" w14:textId="77777777" w:rsidR="00DB0276" w:rsidRPr="00912BF7" w:rsidRDefault="00DB0276" w:rsidP="005D6BB5">
            <w:pPr>
              <w:spacing w:line="240" w:lineRule="auto"/>
              <w:jc w:val="right"/>
              <w:rPr>
                <w:rFonts w:eastAsia="Times New Roman" w:cs="Times New Roman"/>
                <w:b/>
                <w:bCs/>
                <w:color w:val="000000"/>
                <w:sz w:val="22"/>
              </w:rPr>
            </w:pPr>
          </w:p>
        </w:tc>
        <w:tc>
          <w:tcPr>
            <w:tcW w:w="844" w:type="dxa"/>
            <w:tcBorders>
              <w:top w:val="nil"/>
              <w:left w:val="nil"/>
              <w:bottom w:val="nil"/>
              <w:right w:val="double" w:sz="4" w:space="0" w:color="auto"/>
            </w:tcBorders>
            <w:shd w:val="clear" w:color="auto" w:fill="auto"/>
            <w:noWrap/>
            <w:vAlign w:val="center"/>
            <w:hideMark/>
          </w:tcPr>
          <w:p w14:paraId="675EBC13" w14:textId="77777777" w:rsidR="00DB0276" w:rsidRPr="00912BF7" w:rsidRDefault="00DB0276"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nil"/>
              <w:left w:val="double" w:sz="4" w:space="0" w:color="auto"/>
              <w:bottom w:val="nil"/>
              <w:right w:val="double" w:sz="4" w:space="0" w:color="auto"/>
            </w:tcBorders>
            <w:shd w:val="clear" w:color="auto" w:fill="auto"/>
            <w:noWrap/>
            <w:vAlign w:val="center"/>
            <w:hideMark/>
          </w:tcPr>
          <w:p w14:paraId="38622482" w14:textId="77777777" w:rsidR="00DB0276" w:rsidRPr="00912BF7" w:rsidRDefault="00DB0276" w:rsidP="005D6BB5">
            <w:pPr>
              <w:spacing w:line="240" w:lineRule="auto"/>
              <w:jc w:val="right"/>
              <w:rPr>
                <w:rFonts w:ascii="Calibri" w:eastAsia="Times New Roman" w:hAnsi="Calibri" w:cs="Calibri"/>
                <w:color w:val="000000"/>
                <w:sz w:val="22"/>
              </w:rPr>
            </w:pPr>
          </w:p>
        </w:tc>
      </w:tr>
      <w:tr w:rsidR="00DB0276" w:rsidRPr="00912BF7" w14:paraId="5DEF96A5"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543A4EF2"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Completed high-school </w:t>
            </w:r>
          </w:p>
        </w:tc>
        <w:tc>
          <w:tcPr>
            <w:tcW w:w="823" w:type="dxa"/>
            <w:tcBorders>
              <w:top w:val="nil"/>
              <w:left w:val="nil"/>
              <w:bottom w:val="nil"/>
              <w:right w:val="nil"/>
            </w:tcBorders>
            <w:shd w:val="clear" w:color="auto" w:fill="auto"/>
            <w:noWrap/>
            <w:vAlign w:val="center"/>
            <w:hideMark/>
          </w:tcPr>
          <w:p w14:paraId="5BF38B8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238</w:t>
            </w:r>
          </w:p>
        </w:tc>
        <w:tc>
          <w:tcPr>
            <w:tcW w:w="844" w:type="dxa"/>
            <w:tcBorders>
              <w:top w:val="nil"/>
              <w:left w:val="nil"/>
              <w:bottom w:val="nil"/>
              <w:right w:val="double" w:sz="4" w:space="0" w:color="auto"/>
            </w:tcBorders>
            <w:shd w:val="clear" w:color="auto" w:fill="auto"/>
            <w:noWrap/>
            <w:vAlign w:val="center"/>
            <w:hideMark/>
          </w:tcPr>
          <w:p w14:paraId="293BBBCA"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14.82</w:t>
            </w:r>
          </w:p>
        </w:tc>
        <w:tc>
          <w:tcPr>
            <w:tcW w:w="1590" w:type="dxa"/>
            <w:tcBorders>
              <w:top w:val="nil"/>
              <w:left w:val="double" w:sz="4" w:space="0" w:color="auto"/>
              <w:bottom w:val="nil"/>
              <w:right w:val="double" w:sz="4" w:space="0" w:color="auto"/>
            </w:tcBorders>
            <w:shd w:val="clear" w:color="auto" w:fill="auto"/>
            <w:noWrap/>
            <w:vAlign w:val="center"/>
            <w:hideMark/>
          </w:tcPr>
          <w:p w14:paraId="73A00BB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42.44</w:t>
            </w:r>
          </w:p>
        </w:tc>
      </w:tr>
      <w:tr w:rsidR="00DB0276" w:rsidRPr="00912BF7" w14:paraId="7A93CE15"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4B73264F" w14:textId="65DEDA88"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Completed technical school/</w:t>
            </w:r>
            <w:r w:rsidR="001B6573" w:rsidRPr="00912BF7">
              <w:rPr>
                <w:rFonts w:eastAsia="Times New Roman" w:cs="Times New Roman"/>
                <w:color w:val="000000"/>
                <w:sz w:val="22"/>
              </w:rPr>
              <w:t>associates’</w:t>
            </w:r>
            <w:r w:rsidRPr="00912BF7">
              <w:rPr>
                <w:rFonts w:eastAsia="Times New Roman" w:cs="Times New Roman"/>
                <w:color w:val="000000"/>
                <w:sz w:val="22"/>
              </w:rPr>
              <w:t xml:space="preserve"> degree </w:t>
            </w:r>
          </w:p>
        </w:tc>
        <w:tc>
          <w:tcPr>
            <w:tcW w:w="823" w:type="dxa"/>
            <w:tcBorders>
              <w:top w:val="nil"/>
              <w:left w:val="nil"/>
              <w:bottom w:val="nil"/>
              <w:right w:val="nil"/>
            </w:tcBorders>
            <w:shd w:val="clear" w:color="auto" w:fill="auto"/>
            <w:noWrap/>
            <w:vAlign w:val="center"/>
            <w:hideMark/>
          </w:tcPr>
          <w:p w14:paraId="1B9193E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154</w:t>
            </w:r>
          </w:p>
        </w:tc>
        <w:tc>
          <w:tcPr>
            <w:tcW w:w="844" w:type="dxa"/>
            <w:tcBorders>
              <w:top w:val="nil"/>
              <w:left w:val="nil"/>
              <w:bottom w:val="nil"/>
              <w:right w:val="double" w:sz="4" w:space="0" w:color="auto"/>
            </w:tcBorders>
            <w:shd w:val="clear" w:color="auto" w:fill="auto"/>
            <w:noWrap/>
            <w:vAlign w:val="center"/>
            <w:hideMark/>
          </w:tcPr>
          <w:p w14:paraId="3AE380F3"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9.58</w:t>
            </w:r>
          </w:p>
        </w:tc>
        <w:tc>
          <w:tcPr>
            <w:tcW w:w="1590" w:type="dxa"/>
            <w:tcBorders>
              <w:top w:val="nil"/>
              <w:left w:val="double" w:sz="4" w:space="0" w:color="auto"/>
              <w:bottom w:val="nil"/>
              <w:right w:val="double" w:sz="4" w:space="0" w:color="auto"/>
            </w:tcBorders>
            <w:shd w:val="clear" w:color="auto" w:fill="auto"/>
            <w:noWrap/>
            <w:vAlign w:val="center"/>
            <w:hideMark/>
          </w:tcPr>
          <w:p w14:paraId="44D6AC1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59.74</w:t>
            </w:r>
          </w:p>
        </w:tc>
      </w:tr>
      <w:tr w:rsidR="00DB0276" w:rsidRPr="00912BF7" w14:paraId="5AB59D98"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1355E787"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Completed undergraduate degree </w:t>
            </w:r>
          </w:p>
        </w:tc>
        <w:tc>
          <w:tcPr>
            <w:tcW w:w="823" w:type="dxa"/>
            <w:tcBorders>
              <w:top w:val="nil"/>
              <w:left w:val="nil"/>
              <w:bottom w:val="nil"/>
              <w:right w:val="nil"/>
            </w:tcBorders>
            <w:shd w:val="clear" w:color="auto" w:fill="auto"/>
            <w:noWrap/>
            <w:vAlign w:val="center"/>
            <w:hideMark/>
          </w:tcPr>
          <w:p w14:paraId="619FEF19"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724</w:t>
            </w:r>
          </w:p>
        </w:tc>
        <w:tc>
          <w:tcPr>
            <w:tcW w:w="844" w:type="dxa"/>
            <w:tcBorders>
              <w:top w:val="nil"/>
              <w:left w:val="nil"/>
              <w:bottom w:val="nil"/>
              <w:right w:val="double" w:sz="4" w:space="0" w:color="auto"/>
            </w:tcBorders>
            <w:shd w:val="clear" w:color="auto" w:fill="auto"/>
            <w:noWrap/>
            <w:vAlign w:val="center"/>
            <w:hideMark/>
          </w:tcPr>
          <w:p w14:paraId="4FA46FBE"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45.05</w:t>
            </w:r>
          </w:p>
        </w:tc>
        <w:tc>
          <w:tcPr>
            <w:tcW w:w="1590" w:type="dxa"/>
            <w:tcBorders>
              <w:top w:val="nil"/>
              <w:left w:val="double" w:sz="4" w:space="0" w:color="auto"/>
              <w:bottom w:val="nil"/>
              <w:right w:val="double" w:sz="4" w:space="0" w:color="auto"/>
            </w:tcBorders>
            <w:shd w:val="clear" w:color="auto" w:fill="auto"/>
            <w:noWrap/>
            <w:vAlign w:val="center"/>
            <w:hideMark/>
          </w:tcPr>
          <w:p w14:paraId="725FA7C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56.22</w:t>
            </w:r>
          </w:p>
        </w:tc>
      </w:tr>
      <w:tr w:rsidR="00DB0276" w:rsidRPr="00912BF7" w14:paraId="55DA4ED8"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046BB18E"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Completed graduate degree </w:t>
            </w:r>
          </w:p>
        </w:tc>
        <w:tc>
          <w:tcPr>
            <w:tcW w:w="823" w:type="dxa"/>
            <w:tcBorders>
              <w:top w:val="nil"/>
              <w:left w:val="nil"/>
              <w:bottom w:val="nil"/>
              <w:right w:val="nil"/>
            </w:tcBorders>
            <w:shd w:val="clear" w:color="auto" w:fill="auto"/>
            <w:noWrap/>
            <w:vAlign w:val="center"/>
            <w:hideMark/>
          </w:tcPr>
          <w:p w14:paraId="32874631"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491</w:t>
            </w:r>
          </w:p>
        </w:tc>
        <w:tc>
          <w:tcPr>
            <w:tcW w:w="844" w:type="dxa"/>
            <w:tcBorders>
              <w:top w:val="nil"/>
              <w:left w:val="nil"/>
              <w:bottom w:val="nil"/>
              <w:right w:val="double" w:sz="4" w:space="0" w:color="auto"/>
            </w:tcBorders>
            <w:shd w:val="clear" w:color="auto" w:fill="auto"/>
            <w:noWrap/>
            <w:vAlign w:val="center"/>
            <w:hideMark/>
          </w:tcPr>
          <w:p w14:paraId="0A9C82B9"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30.55</w:t>
            </w:r>
          </w:p>
        </w:tc>
        <w:tc>
          <w:tcPr>
            <w:tcW w:w="1590" w:type="dxa"/>
            <w:tcBorders>
              <w:top w:val="nil"/>
              <w:left w:val="double" w:sz="4" w:space="0" w:color="auto"/>
              <w:bottom w:val="nil"/>
              <w:right w:val="double" w:sz="4" w:space="0" w:color="auto"/>
            </w:tcBorders>
            <w:shd w:val="clear" w:color="auto" w:fill="auto"/>
            <w:noWrap/>
            <w:vAlign w:val="center"/>
            <w:hideMark/>
          </w:tcPr>
          <w:p w14:paraId="314F9A2C"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62.32</w:t>
            </w:r>
          </w:p>
        </w:tc>
      </w:tr>
      <w:tr w:rsidR="00DB0276" w:rsidRPr="00912BF7" w14:paraId="30DF4DF3" w14:textId="77777777" w:rsidTr="005D6BB5">
        <w:trPr>
          <w:trHeight w:val="288"/>
          <w:jc w:val="center"/>
        </w:trPr>
        <w:tc>
          <w:tcPr>
            <w:tcW w:w="6047" w:type="dxa"/>
            <w:gridSpan w:val="3"/>
            <w:tcBorders>
              <w:top w:val="nil"/>
              <w:left w:val="double" w:sz="6" w:space="0" w:color="auto"/>
              <w:bottom w:val="nil"/>
              <w:right w:val="double" w:sz="4" w:space="0" w:color="auto"/>
            </w:tcBorders>
            <w:shd w:val="clear" w:color="auto" w:fill="auto"/>
            <w:noWrap/>
            <w:vAlign w:val="center"/>
            <w:hideMark/>
          </w:tcPr>
          <w:p w14:paraId="330F8B89" w14:textId="77777777" w:rsidR="00DB0276" w:rsidRPr="00912BF7" w:rsidRDefault="00DB0276" w:rsidP="008E018F">
            <w:pPr>
              <w:spacing w:line="240" w:lineRule="auto"/>
              <w:jc w:val="left"/>
              <w:rPr>
                <w:rFonts w:eastAsia="Times New Roman" w:cs="Times New Roman"/>
                <w:b/>
                <w:bCs/>
                <w:color w:val="000000"/>
                <w:sz w:val="22"/>
              </w:rPr>
            </w:pPr>
            <w:r w:rsidRPr="00912BF7">
              <w:rPr>
                <w:rFonts w:eastAsia="Times New Roman" w:cs="Times New Roman"/>
                <w:b/>
                <w:bCs/>
                <w:color w:val="000000"/>
                <w:sz w:val="22"/>
              </w:rPr>
              <w:t>Student (attending institution in person)</w:t>
            </w:r>
          </w:p>
        </w:tc>
        <w:tc>
          <w:tcPr>
            <w:tcW w:w="1590" w:type="dxa"/>
            <w:tcBorders>
              <w:top w:val="nil"/>
              <w:left w:val="double" w:sz="4" w:space="0" w:color="auto"/>
              <w:bottom w:val="nil"/>
              <w:right w:val="double" w:sz="4" w:space="0" w:color="auto"/>
            </w:tcBorders>
            <w:shd w:val="clear" w:color="auto" w:fill="auto"/>
            <w:noWrap/>
            <w:vAlign w:val="bottom"/>
            <w:hideMark/>
          </w:tcPr>
          <w:p w14:paraId="7668E327" w14:textId="77777777" w:rsidR="00DB0276" w:rsidRPr="00912BF7" w:rsidRDefault="00DB0276" w:rsidP="008E018F">
            <w:pPr>
              <w:spacing w:line="240" w:lineRule="auto"/>
              <w:jc w:val="left"/>
              <w:rPr>
                <w:rFonts w:eastAsia="Times New Roman" w:cs="Times New Roman"/>
                <w:b/>
                <w:bCs/>
                <w:color w:val="000000"/>
                <w:sz w:val="22"/>
              </w:rPr>
            </w:pPr>
          </w:p>
        </w:tc>
      </w:tr>
      <w:tr w:rsidR="00DB0276" w:rsidRPr="00912BF7" w14:paraId="4FCFB507"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01BE23A5"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Yes</w:t>
            </w:r>
          </w:p>
        </w:tc>
        <w:tc>
          <w:tcPr>
            <w:tcW w:w="823" w:type="dxa"/>
            <w:tcBorders>
              <w:top w:val="nil"/>
              <w:left w:val="nil"/>
              <w:bottom w:val="nil"/>
              <w:right w:val="nil"/>
            </w:tcBorders>
            <w:shd w:val="clear" w:color="auto" w:fill="auto"/>
            <w:noWrap/>
            <w:vAlign w:val="center"/>
            <w:hideMark/>
          </w:tcPr>
          <w:p w14:paraId="766A258A"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93</w:t>
            </w:r>
          </w:p>
        </w:tc>
        <w:tc>
          <w:tcPr>
            <w:tcW w:w="844" w:type="dxa"/>
            <w:tcBorders>
              <w:top w:val="nil"/>
              <w:left w:val="nil"/>
              <w:bottom w:val="nil"/>
              <w:right w:val="double" w:sz="4" w:space="0" w:color="auto"/>
            </w:tcBorders>
            <w:shd w:val="clear" w:color="auto" w:fill="auto"/>
            <w:noWrap/>
            <w:vAlign w:val="center"/>
            <w:hideMark/>
          </w:tcPr>
          <w:p w14:paraId="612F0C9B"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5.79</w:t>
            </w:r>
          </w:p>
        </w:tc>
        <w:tc>
          <w:tcPr>
            <w:tcW w:w="1590" w:type="dxa"/>
            <w:tcBorders>
              <w:top w:val="nil"/>
              <w:left w:val="double" w:sz="4" w:space="0" w:color="auto"/>
              <w:bottom w:val="nil"/>
              <w:right w:val="double" w:sz="4" w:space="0" w:color="auto"/>
            </w:tcBorders>
            <w:shd w:val="clear" w:color="auto" w:fill="auto"/>
            <w:noWrap/>
            <w:vAlign w:val="center"/>
            <w:hideMark/>
          </w:tcPr>
          <w:p w14:paraId="65036F3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65.59</w:t>
            </w:r>
          </w:p>
        </w:tc>
      </w:tr>
      <w:tr w:rsidR="00DB0276" w:rsidRPr="00912BF7" w14:paraId="1B0CDA1B"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E60B205"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No</w:t>
            </w:r>
          </w:p>
        </w:tc>
        <w:tc>
          <w:tcPr>
            <w:tcW w:w="823" w:type="dxa"/>
            <w:tcBorders>
              <w:top w:val="nil"/>
              <w:left w:val="nil"/>
              <w:bottom w:val="nil"/>
              <w:right w:val="nil"/>
            </w:tcBorders>
            <w:shd w:val="clear" w:color="auto" w:fill="auto"/>
            <w:noWrap/>
            <w:vAlign w:val="center"/>
            <w:hideMark/>
          </w:tcPr>
          <w:p w14:paraId="0E9A59EA"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1514</w:t>
            </w:r>
          </w:p>
        </w:tc>
        <w:tc>
          <w:tcPr>
            <w:tcW w:w="844" w:type="dxa"/>
            <w:tcBorders>
              <w:top w:val="nil"/>
              <w:left w:val="nil"/>
              <w:bottom w:val="nil"/>
              <w:right w:val="double" w:sz="4" w:space="0" w:color="auto"/>
            </w:tcBorders>
            <w:shd w:val="clear" w:color="auto" w:fill="auto"/>
            <w:noWrap/>
            <w:vAlign w:val="center"/>
            <w:hideMark/>
          </w:tcPr>
          <w:p w14:paraId="52780F4B"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94.21</w:t>
            </w:r>
          </w:p>
        </w:tc>
        <w:tc>
          <w:tcPr>
            <w:tcW w:w="1590" w:type="dxa"/>
            <w:tcBorders>
              <w:top w:val="nil"/>
              <w:left w:val="double" w:sz="4" w:space="0" w:color="auto"/>
              <w:bottom w:val="nil"/>
              <w:right w:val="double" w:sz="4" w:space="0" w:color="auto"/>
            </w:tcBorders>
            <w:shd w:val="clear" w:color="auto" w:fill="auto"/>
            <w:noWrap/>
            <w:vAlign w:val="center"/>
            <w:hideMark/>
          </w:tcPr>
          <w:p w14:paraId="62EF8D4E"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55.81</w:t>
            </w:r>
          </w:p>
        </w:tc>
      </w:tr>
      <w:tr w:rsidR="003E12F9" w:rsidRPr="00912BF7" w14:paraId="78A83058" w14:textId="77777777" w:rsidTr="005D6BB5">
        <w:trPr>
          <w:trHeight w:val="288"/>
          <w:jc w:val="center"/>
        </w:trPr>
        <w:tc>
          <w:tcPr>
            <w:tcW w:w="5203" w:type="dxa"/>
            <w:gridSpan w:val="2"/>
            <w:tcBorders>
              <w:top w:val="nil"/>
              <w:left w:val="double" w:sz="6" w:space="0" w:color="auto"/>
              <w:bottom w:val="nil"/>
              <w:right w:val="nil"/>
            </w:tcBorders>
            <w:shd w:val="clear" w:color="auto" w:fill="auto"/>
            <w:noWrap/>
            <w:vAlign w:val="center"/>
            <w:hideMark/>
          </w:tcPr>
          <w:p w14:paraId="5717FF72" w14:textId="77777777" w:rsidR="003E12F9" w:rsidRPr="00912BF7" w:rsidRDefault="003E12F9" w:rsidP="005D6BB5">
            <w:pPr>
              <w:spacing w:line="240" w:lineRule="auto"/>
              <w:jc w:val="left"/>
              <w:rPr>
                <w:rFonts w:eastAsia="Times New Roman" w:cs="Times New Roman"/>
                <w:b/>
                <w:bCs/>
                <w:color w:val="000000"/>
                <w:sz w:val="22"/>
              </w:rPr>
            </w:pPr>
            <w:r w:rsidRPr="00912BF7">
              <w:rPr>
                <w:rFonts w:eastAsia="Times New Roman" w:cs="Times New Roman"/>
                <w:b/>
                <w:bCs/>
                <w:color w:val="000000"/>
                <w:sz w:val="22"/>
              </w:rPr>
              <w:t>Employment type</w:t>
            </w:r>
          </w:p>
        </w:tc>
        <w:tc>
          <w:tcPr>
            <w:tcW w:w="844" w:type="dxa"/>
            <w:tcBorders>
              <w:top w:val="nil"/>
              <w:left w:val="nil"/>
              <w:bottom w:val="nil"/>
              <w:right w:val="double" w:sz="4" w:space="0" w:color="auto"/>
            </w:tcBorders>
            <w:shd w:val="clear" w:color="auto" w:fill="auto"/>
            <w:noWrap/>
            <w:vAlign w:val="center"/>
            <w:hideMark/>
          </w:tcPr>
          <w:p w14:paraId="4EAF96C0" w14:textId="77777777" w:rsidR="003E12F9" w:rsidRPr="00912BF7" w:rsidRDefault="003E12F9"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nil"/>
              <w:left w:val="double" w:sz="4" w:space="0" w:color="auto"/>
              <w:bottom w:val="nil"/>
              <w:right w:val="double" w:sz="4" w:space="0" w:color="auto"/>
            </w:tcBorders>
            <w:shd w:val="clear" w:color="auto" w:fill="auto"/>
            <w:noWrap/>
            <w:vAlign w:val="center"/>
            <w:hideMark/>
          </w:tcPr>
          <w:p w14:paraId="41371187" w14:textId="77777777" w:rsidR="003E12F9" w:rsidRPr="00912BF7" w:rsidRDefault="003E12F9" w:rsidP="005D6BB5">
            <w:pPr>
              <w:spacing w:line="240" w:lineRule="auto"/>
              <w:jc w:val="right"/>
              <w:rPr>
                <w:rFonts w:ascii="Calibri" w:eastAsia="Times New Roman" w:hAnsi="Calibri" w:cs="Calibri"/>
                <w:color w:val="000000"/>
                <w:sz w:val="22"/>
              </w:rPr>
            </w:pPr>
          </w:p>
        </w:tc>
      </w:tr>
      <w:tr w:rsidR="003E12F9" w:rsidRPr="00912BF7" w14:paraId="1DA5C320"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753AB09" w14:textId="77777777" w:rsidR="003E12F9" w:rsidRPr="00912BF7" w:rsidRDefault="003E12F9" w:rsidP="003E12F9">
            <w:pPr>
              <w:spacing w:line="240" w:lineRule="auto"/>
              <w:ind w:left="96"/>
              <w:jc w:val="left"/>
              <w:rPr>
                <w:rFonts w:eastAsia="Times New Roman" w:cs="Times New Roman"/>
                <w:color w:val="000000"/>
                <w:sz w:val="22"/>
              </w:rPr>
            </w:pPr>
            <w:r w:rsidRPr="00912BF7">
              <w:rPr>
                <w:rFonts w:eastAsia="Times New Roman" w:cs="Times New Roman"/>
                <w:color w:val="000000"/>
                <w:sz w:val="22"/>
              </w:rPr>
              <w:t>Full-time employee</w:t>
            </w:r>
          </w:p>
        </w:tc>
        <w:tc>
          <w:tcPr>
            <w:tcW w:w="823" w:type="dxa"/>
            <w:tcBorders>
              <w:top w:val="nil"/>
              <w:left w:val="nil"/>
              <w:bottom w:val="nil"/>
              <w:right w:val="nil"/>
            </w:tcBorders>
            <w:shd w:val="clear" w:color="auto" w:fill="auto"/>
            <w:noWrap/>
            <w:vAlign w:val="center"/>
            <w:hideMark/>
          </w:tcPr>
          <w:p w14:paraId="0FD556E8"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1312</w:t>
            </w:r>
          </w:p>
        </w:tc>
        <w:tc>
          <w:tcPr>
            <w:tcW w:w="844" w:type="dxa"/>
            <w:tcBorders>
              <w:top w:val="nil"/>
              <w:left w:val="nil"/>
              <w:bottom w:val="nil"/>
              <w:right w:val="double" w:sz="4" w:space="0" w:color="auto"/>
            </w:tcBorders>
            <w:shd w:val="clear" w:color="auto" w:fill="auto"/>
            <w:noWrap/>
            <w:vAlign w:val="center"/>
            <w:hideMark/>
          </w:tcPr>
          <w:p w14:paraId="0673C592"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81.64</w:t>
            </w:r>
          </w:p>
        </w:tc>
        <w:tc>
          <w:tcPr>
            <w:tcW w:w="1590" w:type="dxa"/>
            <w:tcBorders>
              <w:top w:val="nil"/>
              <w:left w:val="double" w:sz="4" w:space="0" w:color="auto"/>
              <w:bottom w:val="nil"/>
              <w:right w:val="double" w:sz="4" w:space="0" w:color="auto"/>
            </w:tcBorders>
            <w:shd w:val="clear" w:color="auto" w:fill="auto"/>
            <w:noWrap/>
            <w:vAlign w:val="center"/>
            <w:hideMark/>
          </w:tcPr>
          <w:p w14:paraId="226F29DD"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57.39</w:t>
            </w:r>
          </w:p>
        </w:tc>
      </w:tr>
      <w:tr w:rsidR="003E12F9" w:rsidRPr="00912BF7" w14:paraId="43FD4EE0"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7B3B732B" w14:textId="77777777" w:rsidR="003E12F9" w:rsidRPr="00912BF7" w:rsidRDefault="003E12F9" w:rsidP="003E12F9">
            <w:pPr>
              <w:spacing w:line="240" w:lineRule="auto"/>
              <w:ind w:left="96"/>
              <w:jc w:val="left"/>
              <w:rPr>
                <w:rFonts w:eastAsia="Times New Roman" w:cs="Times New Roman"/>
                <w:color w:val="000000"/>
                <w:sz w:val="22"/>
              </w:rPr>
            </w:pPr>
            <w:r w:rsidRPr="00912BF7">
              <w:rPr>
                <w:rFonts w:eastAsia="Times New Roman" w:cs="Times New Roman"/>
                <w:color w:val="000000"/>
                <w:sz w:val="22"/>
              </w:rPr>
              <w:t>Part-time employee</w:t>
            </w:r>
          </w:p>
        </w:tc>
        <w:tc>
          <w:tcPr>
            <w:tcW w:w="823" w:type="dxa"/>
            <w:tcBorders>
              <w:top w:val="nil"/>
              <w:left w:val="nil"/>
              <w:bottom w:val="nil"/>
              <w:right w:val="nil"/>
            </w:tcBorders>
            <w:shd w:val="clear" w:color="auto" w:fill="auto"/>
            <w:noWrap/>
            <w:vAlign w:val="center"/>
            <w:hideMark/>
          </w:tcPr>
          <w:p w14:paraId="32BE42F1"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138</w:t>
            </w:r>
          </w:p>
        </w:tc>
        <w:tc>
          <w:tcPr>
            <w:tcW w:w="844" w:type="dxa"/>
            <w:tcBorders>
              <w:top w:val="nil"/>
              <w:left w:val="nil"/>
              <w:bottom w:val="nil"/>
              <w:right w:val="double" w:sz="4" w:space="0" w:color="auto"/>
            </w:tcBorders>
            <w:shd w:val="clear" w:color="auto" w:fill="auto"/>
            <w:noWrap/>
            <w:vAlign w:val="center"/>
            <w:hideMark/>
          </w:tcPr>
          <w:p w14:paraId="481AD704"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8.59</w:t>
            </w:r>
          </w:p>
        </w:tc>
        <w:tc>
          <w:tcPr>
            <w:tcW w:w="1590" w:type="dxa"/>
            <w:tcBorders>
              <w:top w:val="nil"/>
              <w:left w:val="double" w:sz="4" w:space="0" w:color="auto"/>
              <w:bottom w:val="nil"/>
              <w:right w:val="double" w:sz="4" w:space="0" w:color="auto"/>
            </w:tcBorders>
            <w:shd w:val="clear" w:color="auto" w:fill="auto"/>
            <w:noWrap/>
            <w:vAlign w:val="center"/>
            <w:hideMark/>
          </w:tcPr>
          <w:p w14:paraId="48B78886"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51.45</w:t>
            </w:r>
          </w:p>
        </w:tc>
      </w:tr>
      <w:tr w:rsidR="003E12F9" w:rsidRPr="00912BF7" w14:paraId="151BD16C"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7C7CB2D" w14:textId="77777777" w:rsidR="003E12F9" w:rsidRPr="00912BF7" w:rsidRDefault="003E12F9" w:rsidP="003E12F9">
            <w:pPr>
              <w:spacing w:line="240" w:lineRule="auto"/>
              <w:ind w:left="96"/>
              <w:jc w:val="left"/>
              <w:rPr>
                <w:rFonts w:eastAsia="Times New Roman" w:cs="Times New Roman"/>
                <w:color w:val="000000"/>
                <w:sz w:val="22"/>
              </w:rPr>
            </w:pPr>
            <w:r w:rsidRPr="00912BF7">
              <w:rPr>
                <w:rFonts w:eastAsia="Times New Roman" w:cs="Times New Roman"/>
                <w:color w:val="000000"/>
                <w:sz w:val="22"/>
              </w:rPr>
              <w:t>Self-employed</w:t>
            </w:r>
          </w:p>
        </w:tc>
        <w:tc>
          <w:tcPr>
            <w:tcW w:w="823" w:type="dxa"/>
            <w:tcBorders>
              <w:top w:val="nil"/>
              <w:left w:val="nil"/>
              <w:bottom w:val="nil"/>
              <w:right w:val="nil"/>
            </w:tcBorders>
            <w:shd w:val="clear" w:color="auto" w:fill="auto"/>
            <w:noWrap/>
            <w:vAlign w:val="center"/>
            <w:hideMark/>
          </w:tcPr>
          <w:p w14:paraId="76CA7B73"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157</w:t>
            </w:r>
          </w:p>
        </w:tc>
        <w:tc>
          <w:tcPr>
            <w:tcW w:w="844" w:type="dxa"/>
            <w:tcBorders>
              <w:top w:val="nil"/>
              <w:left w:val="nil"/>
              <w:bottom w:val="nil"/>
              <w:right w:val="double" w:sz="4" w:space="0" w:color="auto"/>
            </w:tcBorders>
            <w:shd w:val="clear" w:color="auto" w:fill="auto"/>
            <w:noWrap/>
            <w:vAlign w:val="center"/>
            <w:hideMark/>
          </w:tcPr>
          <w:p w14:paraId="50EEDF84"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9.77</w:t>
            </w:r>
          </w:p>
        </w:tc>
        <w:tc>
          <w:tcPr>
            <w:tcW w:w="1590" w:type="dxa"/>
            <w:tcBorders>
              <w:top w:val="nil"/>
              <w:left w:val="double" w:sz="4" w:space="0" w:color="auto"/>
              <w:bottom w:val="nil"/>
              <w:right w:val="double" w:sz="4" w:space="0" w:color="auto"/>
            </w:tcBorders>
            <w:shd w:val="clear" w:color="auto" w:fill="auto"/>
            <w:noWrap/>
            <w:vAlign w:val="center"/>
            <w:hideMark/>
          </w:tcPr>
          <w:p w14:paraId="7701A4CA" w14:textId="77777777" w:rsidR="003E12F9" w:rsidRPr="00912BF7" w:rsidRDefault="003E12F9" w:rsidP="005D6BB5">
            <w:pPr>
              <w:spacing w:line="240" w:lineRule="auto"/>
              <w:jc w:val="right"/>
              <w:rPr>
                <w:rFonts w:eastAsia="Times New Roman" w:cs="Times New Roman"/>
                <w:color w:val="000000"/>
                <w:sz w:val="22"/>
              </w:rPr>
            </w:pPr>
            <w:r w:rsidRPr="00912BF7">
              <w:rPr>
                <w:rFonts w:eastAsia="Times New Roman" w:cs="Times New Roman"/>
                <w:color w:val="000000"/>
                <w:sz w:val="22"/>
              </w:rPr>
              <w:t>52.23</w:t>
            </w:r>
          </w:p>
        </w:tc>
      </w:tr>
      <w:tr w:rsidR="00DB0276" w:rsidRPr="00912BF7" w14:paraId="52793958" w14:textId="77777777" w:rsidTr="005D6BB5">
        <w:trPr>
          <w:trHeight w:val="288"/>
          <w:jc w:val="center"/>
        </w:trPr>
        <w:tc>
          <w:tcPr>
            <w:tcW w:w="5203" w:type="dxa"/>
            <w:gridSpan w:val="2"/>
            <w:tcBorders>
              <w:top w:val="nil"/>
              <w:left w:val="double" w:sz="6" w:space="0" w:color="auto"/>
              <w:bottom w:val="nil"/>
              <w:right w:val="nil"/>
            </w:tcBorders>
            <w:shd w:val="clear" w:color="auto" w:fill="auto"/>
            <w:noWrap/>
            <w:vAlign w:val="center"/>
            <w:hideMark/>
          </w:tcPr>
          <w:p w14:paraId="673DCF69" w14:textId="77777777" w:rsidR="00DB0276" w:rsidRPr="00912BF7" w:rsidRDefault="00DB0276" w:rsidP="005D6BB5">
            <w:pPr>
              <w:spacing w:line="240" w:lineRule="auto"/>
              <w:jc w:val="left"/>
              <w:rPr>
                <w:rFonts w:eastAsia="Times New Roman" w:cs="Times New Roman"/>
                <w:b/>
                <w:bCs/>
                <w:color w:val="000000"/>
                <w:sz w:val="22"/>
              </w:rPr>
            </w:pPr>
            <w:r w:rsidRPr="00912BF7">
              <w:rPr>
                <w:rFonts w:eastAsia="Times New Roman" w:cs="Times New Roman"/>
                <w:b/>
                <w:bCs/>
                <w:color w:val="000000"/>
                <w:sz w:val="22"/>
              </w:rPr>
              <w:t>Household income</w:t>
            </w:r>
          </w:p>
        </w:tc>
        <w:tc>
          <w:tcPr>
            <w:tcW w:w="844" w:type="dxa"/>
            <w:tcBorders>
              <w:top w:val="nil"/>
              <w:left w:val="nil"/>
              <w:bottom w:val="nil"/>
              <w:right w:val="double" w:sz="4" w:space="0" w:color="auto"/>
            </w:tcBorders>
            <w:shd w:val="clear" w:color="auto" w:fill="auto"/>
            <w:noWrap/>
            <w:vAlign w:val="center"/>
            <w:hideMark/>
          </w:tcPr>
          <w:p w14:paraId="494ACB4E" w14:textId="77777777" w:rsidR="00DB0276" w:rsidRPr="00912BF7" w:rsidRDefault="00DB0276" w:rsidP="005D6BB5">
            <w:pPr>
              <w:spacing w:line="240" w:lineRule="auto"/>
              <w:jc w:val="right"/>
              <w:rPr>
                <w:rFonts w:ascii="Calibri" w:eastAsia="Times New Roman" w:hAnsi="Calibri" w:cs="Calibri"/>
                <w:color w:val="000000"/>
                <w:sz w:val="22"/>
              </w:rPr>
            </w:pPr>
            <w:r w:rsidRPr="00912BF7">
              <w:rPr>
                <w:rFonts w:ascii="Calibri" w:eastAsia="Times New Roman" w:hAnsi="Calibri" w:cs="Calibri"/>
                <w:color w:val="000000"/>
                <w:sz w:val="22"/>
              </w:rPr>
              <w:t> </w:t>
            </w:r>
          </w:p>
        </w:tc>
        <w:tc>
          <w:tcPr>
            <w:tcW w:w="1590" w:type="dxa"/>
            <w:tcBorders>
              <w:top w:val="nil"/>
              <w:left w:val="double" w:sz="4" w:space="0" w:color="auto"/>
              <w:bottom w:val="nil"/>
              <w:right w:val="double" w:sz="4" w:space="0" w:color="auto"/>
            </w:tcBorders>
            <w:shd w:val="clear" w:color="auto" w:fill="auto"/>
            <w:noWrap/>
            <w:vAlign w:val="center"/>
            <w:hideMark/>
          </w:tcPr>
          <w:p w14:paraId="55665935" w14:textId="77777777" w:rsidR="00DB0276" w:rsidRPr="00912BF7" w:rsidRDefault="00DB0276" w:rsidP="005D6BB5">
            <w:pPr>
              <w:spacing w:line="240" w:lineRule="auto"/>
              <w:jc w:val="right"/>
              <w:rPr>
                <w:rFonts w:ascii="Calibri" w:eastAsia="Times New Roman" w:hAnsi="Calibri" w:cs="Calibri"/>
                <w:color w:val="000000"/>
                <w:sz w:val="22"/>
              </w:rPr>
            </w:pPr>
          </w:p>
        </w:tc>
      </w:tr>
      <w:tr w:rsidR="00DB0276" w:rsidRPr="00912BF7" w14:paraId="61FE5EB1"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0F99BED0" w14:textId="25A9F7F2"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Under $</w:t>
            </w:r>
            <w:r w:rsidR="00EB5D49" w:rsidRPr="00912BF7">
              <w:rPr>
                <w:rFonts w:eastAsia="Times New Roman" w:cs="Times New Roman"/>
                <w:color w:val="000000"/>
                <w:sz w:val="22"/>
              </w:rPr>
              <w:t>50,000</w:t>
            </w:r>
          </w:p>
        </w:tc>
        <w:tc>
          <w:tcPr>
            <w:tcW w:w="823" w:type="dxa"/>
            <w:tcBorders>
              <w:top w:val="nil"/>
              <w:left w:val="nil"/>
              <w:bottom w:val="nil"/>
              <w:right w:val="nil"/>
            </w:tcBorders>
            <w:shd w:val="clear" w:color="auto" w:fill="auto"/>
            <w:noWrap/>
            <w:vAlign w:val="center"/>
            <w:hideMark/>
          </w:tcPr>
          <w:p w14:paraId="1839DCE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184</w:t>
            </w:r>
          </w:p>
        </w:tc>
        <w:tc>
          <w:tcPr>
            <w:tcW w:w="844" w:type="dxa"/>
            <w:tcBorders>
              <w:top w:val="nil"/>
              <w:left w:val="nil"/>
              <w:bottom w:val="nil"/>
              <w:right w:val="double" w:sz="4" w:space="0" w:color="auto"/>
            </w:tcBorders>
            <w:shd w:val="clear" w:color="auto" w:fill="auto"/>
            <w:noWrap/>
            <w:vAlign w:val="center"/>
            <w:hideMark/>
          </w:tcPr>
          <w:p w14:paraId="7EDB306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11.45</w:t>
            </w:r>
          </w:p>
        </w:tc>
        <w:tc>
          <w:tcPr>
            <w:tcW w:w="1590" w:type="dxa"/>
            <w:tcBorders>
              <w:top w:val="nil"/>
              <w:left w:val="double" w:sz="4" w:space="0" w:color="auto"/>
              <w:bottom w:val="nil"/>
              <w:right w:val="double" w:sz="4" w:space="0" w:color="auto"/>
            </w:tcBorders>
            <w:shd w:val="clear" w:color="auto" w:fill="auto"/>
            <w:noWrap/>
            <w:vAlign w:val="center"/>
            <w:hideMark/>
          </w:tcPr>
          <w:p w14:paraId="39DCADA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51.09</w:t>
            </w:r>
          </w:p>
        </w:tc>
      </w:tr>
      <w:tr w:rsidR="00DB0276" w:rsidRPr="00912BF7" w14:paraId="68E6D1A3"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76839EA3"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$50,000-$99,999 </w:t>
            </w:r>
          </w:p>
        </w:tc>
        <w:tc>
          <w:tcPr>
            <w:tcW w:w="823" w:type="dxa"/>
            <w:tcBorders>
              <w:top w:val="nil"/>
              <w:left w:val="nil"/>
              <w:bottom w:val="nil"/>
              <w:right w:val="nil"/>
            </w:tcBorders>
            <w:shd w:val="clear" w:color="auto" w:fill="auto"/>
            <w:noWrap/>
            <w:vAlign w:val="center"/>
            <w:hideMark/>
          </w:tcPr>
          <w:p w14:paraId="3269DA7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443</w:t>
            </w:r>
          </w:p>
        </w:tc>
        <w:tc>
          <w:tcPr>
            <w:tcW w:w="844" w:type="dxa"/>
            <w:tcBorders>
              <w:top w:val="nil"/>
              <w:left w:val="nil"/>
              <w:bottom w:val="nil"/>
              <w:right w:val="double" w:sz="4" w:space="0" w:color="auto"/>
            </w:tcBorders>
            <w:shd w:val="clear" w:color="auto" w:fill="auto"/>
            <w:noWrap/>
            <w:vAlign w:val="center"/>
            <w:hideMark/>
          </w:tcPr>
          <w:p w14:paraId="21EEB577"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27.57</w:t>
            </w:r>
          </w:p>
        </w:tc>
        <w:tc>
          <w:tcPr>
            <w:tcW w:w="1590" w:type="dxa"/>
            <w:tcBorders>
              <w:top w:val="nil"/>
              <w:left w:val="double" w:sz="4" w:space="0" w:color="auto"/>
              <w:bottom w:val="nil"/>
              <w:right w:val="double" w:sz="4" w:space="0" w:color="auto"/>
            </w:tcBorders>
            <w:shd w:val="clear" w:color="auto" w:fill="auto"/>
            <w:noWrap/>
            <w:vAlign w:val="center"/>
            <w:hideMark/>
          </w:tcPr>
          <w:p w14:paraId="5DB44C7A"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46.50</w:t>
            </w:r>
          </w:p>
        </w:tc>
      </w:tr>
      <w:tr w:rsidR="00DB0276" w:rsidRPr="00912BF7" w14:paraId="0DA07A88"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7A055AF0"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$100,000-$149,999 </w:t>
            </w:r>
          </w:p>
        </w:tc>
        <w:tc>
          <w:tcPr>
            <w:tcW w:w="823" w:type="dxa"/>
            <w:tcBorders>
              <w:top w:val="nil"/>
              <w:left w:val="nil"/>
              <w:bottom w:val="nil"/>
              <w:right w:val="nil"/>
            </w:tcBorders>
            <w:shd w:val="clear" w:color="auto" w:fill="auto"/>
            <w:noWrap/>
            <w:vAlign w:val="center"/>
            <w:hideMark/>
          </w:tcPr>
          <w:p w14:paraId="3A7EABA3"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496</w:t>
            </w:r>
          </w:p>
        </w:tc>
        <w:tc>
          <w:tcPr>
            <w:tcW w:w="844" w:type="dxa"/>
            <w:tcBorders>
              <w:top w:val="nil"/>
              <w:left w:val="nil"/>
              <w:bottom w:val="nil"/>
              <w:right w:val="double" w:sz="4" w:space="0" w:color="auto"/>
            </w:tcBorders>
            <w:shd w:val="clear" w:color="auto" w:fill="auto"/>
            <w:noWrap/>
            <w:vAlign w:val="center"/>
            <w:hideMark/>
          </w:tcPr>
          <w:p w14:paraId="288B6F32"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30.86</w:t>
            </w:r>
          </w:p>
        </w:tc>
        <w:tc>
          <w:tcPr>
            <w:tcW w:w="1590" w:type="dxa"/>
            <w:tcBorders>
              <w:top w:val="nil"/>
              <w:left w:val="double" w:sz="4" w:space="0" w:color="auto"/>
              <w:bottom w:val="nil"/>
              <w:right w:val="double" w:sz="4" w:space="0" w:color="auto"/>
            </w:tcBorders>
            <w:shd w:val="clear" w:color="auto" w:fill="auto"/>
            <w:noWrap/>
            <w:vAlign w:val="center"/>
            <w:hideMark/>
          </w:tcPr>
          <w:p w14:paraId="0835A8FC"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54.64</w:t>
            </w:r>
          </w:p>
        </w:tc>
      </w:tr>
      <w:tr w:rsidR="00DB0276" w:rsidRPr="00912BF7" w14:paraId="3C56472C"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6089629C"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$150,000-$199,999 </w:t>
            </w:r>
          </w:p>
        </w:tc>
        <w:tc>
          <w:tcPr>
            <w:tcW w:w="823" w:type="dxa"/>
            <w:tcBorders>
              <w:top w:val="nil"/>
              <w:left w:val="nil"/>
              <w:bottom w:val="nil"/>
              <w:right w:val="nil"/>
            </w:tcBorders>
            <w:shd w:val="clear" w:color="auto" w:fill="auto"/>
            <w:noWrap/>
            <w:vAlign w:val="center"/>
            <w:hideMark/>
          </w:tcPr>
          <w:p w14:paraId="1198E52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269</w:t>
            </w:r>
          </w:p>
        </w:tc>
        <w:tc>
          <w:tcPr>
            <w:tcW w:w="844" w:type="dxa"/>
            <w:tcBorders>
              <w:top w:val="nil"/>
              <w:left w:val="nil"/>
              <w:bottom w:val="nil"/>
              <w:right w:val="double" w:sz="4" w:space="0" w:color="auto"/>
            </w:tcBorders>
            <w:shd w:val="clear" w:color="auto" w:fill="auto"/>
            <w:noWrap/>
            <w:vAlign w:val="center"/>
            <w:hideMark/>
          </w:tcPr>
          <w:p w14:paraId="319B9A8D"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16.74</w:t>
            </w:r>
          </w:p>
        </w:tc>
        <w:tc>
          <w:tcPr>
            <w:tcW w:w="1590" w:type="dxa"/>
            <w:tcBorders>
              <w:top w:val="nil"/>
              <w:left w:val="double" w:sz="4" w:space="0" w:color="auto"/>
              <w:bottom w:val="nil"/>
              <w:right w:val="double" w:sz="4" w:space="0" w:color="auto"/>
            </w:tcBorders>
            <w:shd w:val="clear" w:color="auto" w:fill="auto"/>
            <w:noWrap/>
            <w:vAlign w:val="center"/>
            <w:hideMark/>
          </w:tcPr>
          <w:p w14:paraId="3984F27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63.94</w:t>
            </w:r>
          </w:p>
        </w:tc>
      </w:tr>
      <w:tr w:rsidR="00DB0276" w:rsidRPr="00912BF7" w14:paraId="519139EE"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54F54690"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$200,000 or more</w:t>
            </w:r>
          </w:p>
        </w:tc>
        <w:tc>
          <w:tcPr>
            <w:tcW w:w="823" w:type="dxa"/>
            <w:tcBorders>
              <w:top w:val="nil"/>
              <w:left w:val="nil"/>
              <w:bottom w:val="nil"/>
              <w:right w:val="nil"/>
            </w:tcBorders>
            <w:shd w:val="clear" w:color="auto" w:fill="auto"/>
            <w:noWrap/>
            <w:vAlign w:val="center"/>
            <w:hideMark/>
          </w:tcPr>
          <w:p w14:paraId="60A0EB83"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215</w:t>
            </w:r>
          </w:p>
        </w:tc>
        <w:tc>
          <w:tcPr>
            <w:tcW w:w="844" w:type="dxa"/>
            <w:tcBorders>
              <w:top w:val="nil"/>
              <w:left w:val="nil"/>
              <w:bottom w:val="nil"/>
              <w:right w:val="double" w:sz="4" w:space="0" w:color="auto"/>
            </w:tcBorders>
            <w:shd w:val="clear" w:color="auto" w:fill="auto"/>
            <w:noWrap/>
            <w:vAlign w:val="center"/>
            <w:hideMark/>
          </w:tcPr>
          <w:p w14:paraId="1877DB5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13.38</w:t>
            </w:r>
          </w:p>
        </w:tc>
        <w:tc>
          <w:tcPr>
            <w:tcW w:w="1590" w:type="dxa"/>
            <w:tcBorders>
              <w:top w:val="nil"/>
              <w:left w:val="double" w:sz="4" w:space="0" w:color="auto"/>
              <w:bottom w:val="nil"/>
              <w:right w:val="double" w:sz="4" w:space="0" w:color="auto"/>
            </w:tcBorders>
            <w:shd w:val="clear" w:color="auto" w:fill="auto"/>
            <w:noWrap/>
            <w:vAlign w:val="center"/>
            <w:hideMark/>
          </w:tcPr>
          <w:p w14:paraId="4925FE15"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75.81</w:t>
            </w:r>
          </w:p>
        </w:tc>
      </w:tr>
      <w:tr w:rsidR="00DB0276" w:rsidRPr="00912BF7" w14:paraId="524917B8" w14:textId="77777777" w:rsidTr="005D6BB5">
        <w:trPr>
          <w:trHeight w:val="288"/>
          <w:jc w:val="center"/>
        </w:trPr>
        <w:tc>
          <w:tcPr>
            <w:tcW w:w="6047" w:type="dxa"/>
            <w:gridSpan w:val="3"/>
            <w:tcBorders>
              <w:top w:val="nil"/>
              <w:left w:val="double" w:sz="6" w:space="0" w:color="auto"/>
              <w:bottom w:val="nil"/>
              <w:right w:val="double" w:sz="4" w:space="0" w:color="auto"/>
            </w:tcBorders>
            <w:shd w:val="clear" w:color="auto" w:fill="auto"/>
            <w:noWrap/>
            <w:vAlign w:val="center"/>
            <w:hideMark/>
          </w:tcPr>
          <w:p w14:paraId="4B68322E" w14:textId="77777777" w:rsidR="00DB0276" w:rsidRPr="00912BF7" w:rsidRDefault="00DB0276" w:rsidP="005D6BB5">
            <w:pPr>
              <w:spacing w:line="240" w:lineRule="auto"/>
              <w:jc w:val="left"/>
              <w:rPr>
                <w:rFonts w:eastAsia="Times New Roman" w:cs="Times New Roman"/>
                <w:b/>
                <w:bCs/>
                <w:color w:val="000000"/>
                <w:sz w:val="22"/>
              </w:rPr>
            </w:pPr>
            <w:r w:rsidRPr="00912BF7">
              <w:rPr>
                <w:rFonts w:eastAsia="Times New Roman" w:cs="Times New Roman"/>
                <w:b/>
                <w:bCs/>
                <w:color w:val="000000"/>
                <w:sz w:val="22"/>
              </w:rPr>
              <w:t>Household composition</w:t>
            </w:r>
          </w:p>
        </w:tc>
        <w:tc>
          <w:tcPr>
            <w:tcW w:w="1590" w:type="dxa"/>
            <w:tcBorders>
              <w:top w:val="nil"/>
              <w:left w:val="double" w:sz="4" w:space="0" w:color="auto"/>
              <w:bottom w:val="nil"/>
              <w:right w:val="double" w:sz="4" w:space="0" w:color="auto"/>
            </w:tcBorders>
            <w:shd w:val="clear" w:color="auto" w:fill="auto"/>
            <w:noWrap/>
            <w:vAlign w:val="center"/>
            <w:hideMark/>
          </w:tcPr>
          <w:p w14:paraId="7759FCED" w14:textId="77777777" w:rsidR="00DB0276" w:rsidRPr="00912BF7" w:rsidRDefault="00DB0276" w:rsidP="005D6BB5">
            <w:pPr>
              <w:spacing w:line="240" w:lineRule="auto"/>
              <w:jc w:val="right"/>
              <w:rPr>
                <w:rFonts w:eastAsia="Times New Roman" w:cs="Times New Roman"/>
                <w:b/>
                <w:bCs/>
                <w:color w:val="000000"/>
                <w:sz w:val="22"/>
              </w:rPr>
            </w:pPr>
          </w:p>
        </w:tc>
      </w:tr>
      <w:tr w:rsidR="00DB0276" w:rsidRPr="00912BF7" w14:paraId="611C26C4" w14:textId="77777777" w:rsidTr="005D6BB5">
        <w:trPr>
          <w:trHeight w:val="288"/>
          <w:jc w:val="center"/>
        </w:trPr>
        <w:tc>
          <w:tcPr>
            <w:tcW w:w="4380" w:type="dxa"/>
            <w:tcBorders>
              <w:top w:val="nil"/>
              <w:left w:val="double" w:sz="6" w:space="0" w:color="auto"/>
              <w:bottom w:val="nil"/>
              <w:right w:val="nil"/>
            </w:tcBorders>
            <w:shd w:val="clear" w:color="auto" w:fill="auto"/>
            <w:noWrap/>
            <w:vAlign w:val="center"/>
            <w:hideMark/>
          </w:tcPr>
          <w:p w14:paraId="591FBEFD"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Single person household</w:t>
            </w:r>
          </w:p>
        </w:tc>
        <w:tc>
          <w:tcPr>
            <w:tcW w:w="823" w:type="dxa"/>
            <w:tcBorders>
              <w:top w:val="nil"/>
              <w:left w:val="nil"/>
              <w:bottom w:val="nil"/>
              <w:right w:val="nil"/>
            </w:tcBorders>
            <w:shd w:val="clear" w:color="auto" w:fill="auto"/>
            <w:noWrap/>
            <w:vAlign w:val="center"/>
            <w:hideMark/>
          </w:tcPr>
          <w:p w14:paraId="31EEE54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191</w:t>
            </w:r>
          </w:p>
        </w:tc>
        <w:tc>
          <w:tcPr>
            <w:tcW w:w="844" w:type="dxa"/>
            <w:tcBorders>
              <w:top w:val="nil"/>
              <w:left w:val="nil"/>
              <w:bottom w:val="nil"/>
              <w:right w:val="double" w:sz="4" w:space="0" w:color="auto"/>
            </w:tcBorders>
            <w:shd w:val="clear" w:color="auto" w:fill="auto"/>
            <w:noWrap/>
            <w:vAlign w:val="center"/>
            <w:hideMark/>
          </w:tcPr>
          <w:p w14:paraId="34DD8CF6"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11.89</w:t>
            </w:r>
          </w:p>
        </w:tc>
        <w:tc>
          <w:tcPr>
            <w:tcW w:w="1590" w:type="dxa"/>
            <w:tcBorders>
              <w:top w:val="nil"/>
              <w:left w:val="double" w:sz="4" w:space="0" w:color="auto"/>
              <w:bottom w:val="nil"/>
              <w:right w:val="double" w:sz="4" w:space="0" w:color="auto"/>
            </w:tcBorders>
            <w:shd w:val="clear" w:color="auto" w:fill="auto"/>
            <w:noWrap/>
            <w:vAlign w:val="center"/>
            <w:hideMark/>
          </w:tcPr>
          <w:p w14:paraId="32758280"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62.30</w:t>
            </w:r>
          </w:p>
        </w:tc>
      </w:tr>
      <w:tr w:rsidR="00DB0276" w:rsidRPr="00912BF7" w14:paraId="205F15FB" w14:textId="77777777" w:rsidTr="005D6BB5">
        <w:trPr>
          <w:trHeight w:val="288"/>
          <w:jc w:val="center"/>
        </w:trPr>
        <w:tc>
          <w:tcPr>
            <w:tcW w:w="4380" w:type="dxa"/>
            <w:tcBorders>
              <w:top w:val="nil"/>
              <w:left w:val="double" w:sz="6" w:space="0" w:color="auto"/>
              <w:right w:val="nil"/>
            </w:tcBorders>
            <w:shd w:val="clear" w:color="auto" w:fill="auto"/>
            <w:noWrap/>
            <w:vAlign w:val="center"/>
            <w:hideMark/>
          </w:tcPr>
          <w:p w14:paraId="100804DF"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 xml:space="preserve">Single worker multi-person household </w:t>
            </w:r>
          </w:p>
        </w:tc>
        <w:tc>
          <w:tcPr>
            <w:tcW w:w="823" w:type="dxa"/>
            <w:tcBorders>
              <w:top w:val="nil"/>
              <w:left w:val="nil"/>
              <w:right w:val="nil"/>
            </w:tcBorders>
            <w:shd w:val="clear" w:color="auto" w:fill="auto"/>
            <w:noWrap/>
            <w:vAlign w:val="center"/>
            <w:hideMark/>
          </w:tcPr>
          <w:p w14:paraId="1EAFA66C"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265</w:t>
            </w:r>
          </w:p>
        </w:tc>
        <w:tc>
          <w:tcPr>
            <w:tcW w:w="844" w:type="dxa"/>
            <w:tcBorders>
              <w:top w:val="nil"/>
              <w:left w:val="nil"/>
              <w:right w:val="double" w:sz="4" w:space="0" w:color="auto"/>
            </w:tcBorders>
            <w:shd w:val="clear" w:color="auto" w:fill="auto"/>
            <w:noWrap/>
            <w:vAlign w:val="center"/>
            <w:hideMark/>
          </w:tcPr>
          <w:p w14:paraId="539034AE"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16.49</w:t>
            </w:r>
          </w:p>
        </w:tc>
        <w:tc>
          <w:tcPr>
            <w:tcW w:w="1590" w:type="dxa"/>
            <w:tcBorders>
              <w:top w:val="nil"/>
              <w:left w:val="double" w:sz="4" w:space="0" w:color="auto"/>
              <w:right w:val="double" w:sz="4" w:space="0" w:color="auto"/>
            </w:tcBorders>
            <w:shd w:val="clear" w:color="auto" w:fill="auto"/>
            <w:noWrap/>
            <w:vAlign w:val="center"/>
            <w:hideMark/>
          </w:tcPr>
          <w:p w14:paraId="5E41E0EF"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44.91</w:t>
            </w:r>
          </w:p>
        </w:tc>
      </w:tr>
      <w:tr w:rsidR="00DB0276" w:rsidRPr="00912BF7" w14:paraId="3F0B2369" w14:textId="77777777" w:rsidTr="005D6BB5">
        <w:trPr>
          <w:trHeight w:val="288"/>
          <w:jc w:val="center"/>
        </w:trPr>
        <w:tc>
          <w:tcPr>
            <w:tcW w:w="4380" w:type="dxa"/>
            <w:tcBorders>
              <w:top w:val="nil"/>
              <w:left w:val="double" w:sz="6" w:space="0" w:color="auto"/>
              <w:bottom w:val="double" w:sz="4" w:space="0" w:color="auto"/>
              <w:right w:val="nil"/>
            </w:tcBorders>
            <w:shd w:val="clear" w:color="auto" w:fill="auto"/>
            <w:noWrap/>
            <w:vAlign w:val="center"/>
            <w:hideMark/>
          </w:tcPr>
          <w:p w14:paraId="7ADAF9E6" w14:textId="77777777" w:rsidR="00DB0276" w:rsidRPr="00912BF7" w:rsidRDefault="00DB0276" w:rsidP="00A50369">
            <w:pPr>
              <w:spacing w:line="240" w:lineRule="auto"/>
              <w:ind w:left="96"/>
              <w:jc w:val="left"/>
              <w:rPr>
                <w:rFonts w:eastAsia="Times New Roman" w:cs="Times New Roman"/>
                <w:color w:val="000000"/>
                <w:sz w:val="22"/>
              </w:rPr>
            </w:pPr>
            <w:r w:rsidRPr="00912BF7">
              <w:rPr>
                <w:rFonts w:eastAsia="Times New Roman" w:cs="Times New Roman"/>
                <w:color w:val="000000"/>
                <w:sz w:val="22"/>
              </w:rPr>
              <w:t>Multi-worker household</w:t>
            </w:r>
          </w:p>
        </w:tc>
        <w:tc>
          <w:tcPr>
            <w:tcW w:w="823" w:type="dxa"/>
            <w:tcBorders>
              <w:top w:val="nil"/>
              <w:left w:val="nil"/>
              <w:bottom w:val="double" w:sz="4" w:space="0" w:color="auto"/>
              <w:right w:val="nil"/>
            </w:tcBorders>
            <w:shd w:val="clear" w:color="auto" w:fill="auto"/>
            <w:noWrap/>
            <w:vAlign w:val="center"/>
            <w:hideMark/>
          </w:tcPr>
          <w:p w14:paraId="3DB1E3D7"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1151</w:t>
            </w:r>
          </w:p>
        </w:tc>
        <w:tc>
          <w:tcPr>
            <w:tcW w:w="844" w:type="dxa"/>
            <w:tcBorders>
              <w:top w:val="nil"/>
              <w:left w:val="nil"/>
              <w:bottom w:val="double" w:sz="4" w:space="0" w:color="auto"/>
              <w:right w:val="double" w:sz="4" w:space="0" w:color="auto"/>
            </w:tcBorders>
            <w:shd w:val="clear" w:color="auto" w:fill="auto"/>
            <w:noWrap/>
            <w:vAlign w:val="center"/>
            <w:hideMark/>
          </w:tcPr>
          <w:p w14:paraId="6C7E8F89"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71.62</w:t>
            </w:r>
          </w:p>
        </w:tc>
        <w:tc>
          <w:tcPr>
            <w:tcW w:w="1590" w:type="dxa"/>
            <w:tcBorders>
              <w:top w:val="nil"/>
              <w:left w:val="double" w:sz="4" w:space="0" w:color="auto"/>
              <w:bottom w:val="double" w:sz="4" w:space="0" w:color="auto"/>
              <w:right w:val="double" w:sz="4" w:space="0" w:color="auto"/>
            </w:tcBorders>
            <w:shd w:val="clear" w:color="auto" w:fill="auto"/>
            <w:noWrap/>
            <w:vAlign w:val="center"/>
            <w:hideMark/>
          </w:tcPr>
          <w:p w14:paraId="4E557234" w14:textId="77777777" w:rsidR="00DB0276" w:rsidRPr="00912BF7" w:rsidRDefault="00DB0276" w:rsidP="005D6BB5">
            <w:pPr>
              <w:spacing w:line="240" w:lineRule="auto"/>
              <w:jc w:val="right"/>
              <w:rPr>
                <w:rFonts w:eastAsia="Times New Roman" w:cs="Times New Roman"/>
                <w:color w:val="000000"/>
                <w:sz w:val="22"/>
              </w:rPr>
            </w:pPr>
            <w:r w:rsidRPr="00912BF7">
              <w:rPr>
                <w:rFonts w:eastAsia="Times New Roman" w:cs="Times New Roman"/>
                <w:color w:val="000000"/>
                <w:sz w:val="22"/>
              </w:rPr>
              <w:t>58.04</w:t>
            </w:r>
          </w:p>
        </w:tc>
      </w:tr>
    </w:tbl>
    <w:p w14:paraId="03E76D36" w14:textId="77777777" w:rsidR="005D6BB5" w:rsidRDefault="005D6BB5" w:rsidP="005D6BB5">
      <w:pPr>
        <w:spacing w:line="276" w:lineRule="auto"/>
        <w:rPr>
          <w:b/>
        </w:rPr>
      </w:pPr>
    </w:p>
    <w:p w14:paraId="7C1CA9A4" w14:textId="77777777" w:rsidR="005D6BB5" w:rsidRDefault="005D6BB5" w:rsidP="005D6BB5">
      <w:pPr>
        <w:spacing w:line="276" w:lineRule="auto"/>
        <w:rPr>
          <w:b/>
        </w:rPr>
      </w:pPr>
      <w:r>
        <w:rPr>
          <w:b/>
        </w:rPr>
        <w:br w:type="page"/>
      </w:r>
    </w:p>
    <w:p w14:paraId="295A49EA" w14:textId="48944B61" w:rsidR="0037515A" w:rsidRPr="004002B4" w:rsidRDefault="0037515A" w:rsidP="005D6BB5">
      <w:pPr>
        <w:spacing w:after="120" w:line="276" w:lineRule="auto"/>
        <w:jc w:val="center"/>
        <w:rPr>
          <w:b/>
        </w:rPr>
      </w:pPr>
      <w:r w:rsidRPr="004002B4">
        <w:rPr>
          <w:b/>
        </w:rPr>
        <w:lastRenderedPageBreak/>
        <w:t xml:space="preserve">Table </w:t>
      </w:r>
      <w:r w:rsidR="004E794A">
        <w:rPr>
          <w:b/>
        </w:rPr>
        <w:t>2</w:t>
      </w:r>
      <w:r w:rsidR="002A1D88">
        <w:rPr>
          <w:b/>
        </w:rPr>
        <w:t>.</w:t>
      </w:r>
      <w:r w:rsidRPr="004002B4">
        <w:rPr>
          <w:b/>
        </w:rPr>
        <w:t xml:space="preserve"> Sample distribution of </w:t>
      </w:r>
      <w:r>
        <w:rPr>
          <w:b/>
        </w:rPr>
        <w:t xml:space="preserve">attitudinal and behavioral </w:t>
      </w:r>
      <w:r w:rsidR="00C12332">
        <w:rPr>
          <w:b/>
        </w:rPr>
        <w:t xml:space="preserve">indicators </w:t>
      </w:r>
      <w:r w:rsidR="00C12332" w:rsidRPr="004002B4">
        <w:rPr>
          <w:b/>
        </w:rPr>
        <w:t>(</w:t>
      </w:r>
      <w:r w:rsidR="00C12332">
        <w:rPr>
          <w:b/>
        </w:rPr>
        <w:t>n=1607)</w:t>
      </w:r>
    </w:p>
    <w:tbl>
      <w:tblPr>
        <w:tblW w:w="937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435"/>
        <w:gridCol w:w="1188"/>
        <w:gridCol w:w="1188"/>
        <w:gridCol w:w="1217"/>
        <w:gridCol w:w="1159"/>
        <w:gridCol w:w="1188"/>
      </w:tblGrid>
      <w:tr w:rsidR="0037515A" w:rsidRPr="0037515A" w14:paraId="2B4E1538" w14:textId="77777777" w:rsidTr="003A68B3">
        <w:trPr>
          <w:trHeight w:val="300"/>
          <w:jc w:val="center"/>
        </w:trPr>
        <w:tc>
          <w:tcPr>
            <w:tcW w:w="9375" w:type="dxa"/>
            <w:gridSpan w:val="6"/>
            <w:tcBorders>
              <w:top w:val="double" w:sz="4" w:space="0" w:color="auto"/>
              <w:bottom w:val="double" w:sz="4" w:space="0" w:color="auto"/>
            </w:tcBorders>
            <w:shd w:val="clear" w:color="auto" w:fill="auto"/>
            <w:noWrap/>
            <w:vAlign w:val="bottom"/>
            <w:hideMark/>
          </w:tcPr>
          <w:p w14:paraId="07D25686" w14:textId="77777777" w:rsidR="0037515A" w:rsidRPr="0037515A" w:rsidRDefault="00690234" w:rsidP="0037515A">
            <w:pPr>
              <w:spacing w:line="240" w:lineRule="auto"/>
              <w:jc w:val="center"/>
              <w:rPr>
                <w:rFonts w:eastAsia="Times New Roman" w:cs="Times New Roman"/>
                <w:b/>
                <w:color w:val="000000"/>
                <w:sz w:val="22"/>
              </w:rPr>
            </w:pPr>
            <w:r>
              <w:rPr>
                <w:b/>
              </w:rPr>
              <w:br w:type="page"/>
            </w:r>
            <w:r w:rsidR="0037515A" w:rsidRPr="0037515A">
              <w:rPr>
                <w:rFonts w:eastAsia="Times New Roman" w:cs="Times New Roman"/>
                <w:b/>
                <w:color w:val="000000"/>
                <w:sz w:val="22"/>
              </w:rPr>
              <w:t>Privacy-sensitivity</w:t>
            </w:r>
          </w:p>
        </w:tc>
      </w:tr>
      <w:tr w:rsidR="0037515A" w:rsidRPr="0037515A" w14:paraId="73CD7AF7" w14:textId="77777777" w:rsidTr="0082758F">
        <w:trPr>
          <w:trHeight w:val="600"/>
          <w:jc w:val="center"/>
        </w:trPr>
        <w:tc>
          <w:tcPr>
            <w:tcW w:w="3435" w:type="dxa"/>
            <w:tcBorders>
              <w:top w:val="double" w:sz="4" w:space="0" w:color="auto"/>
              <w:bottom w:val="single" w:sz="4" w:space="0" w:color="auto"/>
            </w:tcBorders>
            <w:shd w:val="clear" w:color="auto" w:fill="auto"/>
            <w:noWrap/>
            <w:vAlign w:val="bottom"/>
            <w:hideMark/>
          </w:tcPr>
          <w:p w14:paraId="6D90C435" w14:textId="77777777" w:rsidR="0037515A" w:rsidRPr="0037515A" w:rsidRDefault="0037515A" w:rsidP="0037515A">
            <w:pPr>
              <w:spacing w:line="240" w:lineRule="auto"/>
              <w:jc w:val="left"/>
              <w:rPr>
                <w:rFonts w:eastAsia="Times New Roman" w:cs="Times New Roman"/>
                <w:color w:val="000000"/>
                <w:sz w:val="22"/>
              </w:rPr>
            </w:pPr>
          </w:p>
        </w:tc>
        <w:tc>
          <w:tcPr>
            <w:tcW w:w="1188" w:type="dxa"/>
            <w:tcBorders>
              <w:top w:val="double" w:sz="4" w:space="0" w:color="auto"/>
              <w:bottom w:val="single" w:sz="4" w:space="0" w:color="auto"/>
            </w:tcBorders>
            <w:shd w:val="clear" w:color="auto" w:fill="auto"/>
            <w:vAlign w:val="center"/>
            <w:hideMark/>
          </w:tcPr>
          <w:p w14:paraId="65C40E4D"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Strongly disagree </w:t>
            </w:r>
          </w:p>
        </w:tc>
        <w:tc>
          <w:tcPr>
            <w:tcW w:w="1188" w:type="dxa"/>
            <w:tcBorders>
              <w:top w:val="double" w:sz="4" w:space="0" w:color="auto"/>
              <w:bottom w:val="single" w:sz="4" w:space="0" w:color="auto"/>
            </w:tcBorders>
            <w:shd w:val="clear" w:color="auto" w:fill="auto"/>
            <w:vAlign w:val="center"/>
            <w:hideMark/>
          </w:tcPr>
          <w:p w14:paraId="2D65934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Somewhat disagree </w:t>
            </w:r>
          </w:p>
        </w:tc>
        <w:tc>
          <w:tcPr>
            <w:tcW w:w="1217" w:type="dxa"/>
            <w:tcBorders>
              <w:top w:val="double" w:sz="4" w:space="0" w:color="auto"/>
              <w:bottom w:val="single" w:sz="4" w:space="0" w:color="auto"/>
            </w:tcBorders>
            <w:shd w:val="clear" w:color="auto" w:fill="auto"/>
            <w:vAlign w:val="center"/>
            <w:hideMark/>
          </w:tcPr>
          <w:p w14:paraId="2CD04644"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Neither </w:t>
            </w:r>
          </w:p>
        </w:tc>
        <w:tc>
          <w:tcPr>
            <w:tcW w:w="1159" w:type="dxa"/>
            <w:tcBorders>
              <w:top w:val="double" w:sz="4" w:space="0" w:color="auto"/>
              <w:bottom w:val="single" w:sz="4" w:space="0" w:color="auto"/>
            </w:tcBorders>
            <w:shd w:val="clear" w:color="auto" w:fill="auto"/>
            <w:vAlign w:val="center"/>
            <w:hideMark/>
          </w:tcPr>
          <w:p w14:paraId="4D246403"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Somewhat agree </w:t>
            </w:r>
          </w:p>
        </w:tc>
        <w:tc>
          <w:tcPr>
            <w:tcW w:w="1188" w:type="dxa"/>
            <w:tcBorders>
              <w:top w:val="double" w:sz="4" w:space="0" w:color="auto"/>
              <w:bottom w:val="single" w:sz="4" w:space="0" w:color="auto"/>
            </w:tcBorders>
            <w:shd w:val="clear" w:color="auto" w:fill="auto"/>
            <w:vAlign w:val="center"/>
            <w:hideMark/>
          </w:tcPr>
          <w:p w14:paraId="081DA19B"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Strongly agree </w:t>
            </w:r>
          </w:p>
        </w:tc>
      </w:tr>
      <w:tr w:rsidR="0037515A" w:rsidRPr="0037515A" w14:paraId="39446419" w14:textId="77777777" w:rsidTr="0082758F">
        <w:trPr>
          <w:trHeight w:val="576"/>
          <w:jc w:val="center"/>
        </w:trPr>
        <w:tc>
          <w:tcPr>
            <w:tcW w:w="3435" w:type="dxa"/>
            <w:tcBorders>
              <w:top w:val="single" w:sz="4" w:space="0" w:color="auto"/>
            </w:tcBorders>
            <w:shd w:val="clear" w:color="auto" w:fill="auto"/>
            <w:vAlign w:val="center"/>
            <w:hideMark/>
          </w:tcPr>
          <w:p w14:paraId="2CF356C2"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I don’t mind sharing a ride with strangers if it reduces my costs </w:t>
            </w:r>
          </w:p>
        </w:tc>
        <w:tc>
          <w:tcPr>
            <w:tcW w:w="1188" w:type="dxa"/>
            <w:tcBorders>
              <w:top w:val="single" w:sz="4" w:space="0" w:color="auto"/>
            </w:tcBorders>
            <w:shd w:val="clear" w:color="auto" w:fill="auto"/>
            <w:noWrap/>
            <w:vAlign w:val="center"/>
            <w:hideMark/>
          </w:tcPr>
          <w:p w14:paraId="0E54223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13.44%</w:t>
            </w:r>
          </w:p>
        </w:tc>
        <w:tc>
          <w:tcPr>
            <w:tcW w:w="1188" w:type="dxa"/>
            <w:tcBorders>
              <w:top w:val="single" w:sz="4" w:space="0" w:color="auto"/>
            </w:tcBorders>
            <w:shd w:val="clear" w:color="auto" w:fill="auto"/>
            <w:noWrap/>
            <w:vAlign w:val="center"/>
            <w:hideMark/>
          </w:tcPr>
          <w:p w14:paraId="4CB1C510"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22.15%</w:t>
            </w:r>
          </w:p>
        </w:tc>
        <w:tc>
          <w:tcPr>
            <w:tcW w:w="1217" w:type="dxa"/>
            <w:tcBorders>
              <w:top w:val="single" w:sz="4" w:space="0" w:color="auto"/>
            </w:tcBorders>
            <w:shd w:val="clear" w:color="auto" w:fill="auto"/>
            <w:noWrap/>
            <w:vAlign w:val="center"/>
            <w:hideMark/>
          </w:tcPr>
          <w:p w14:paraId="5AE1E747"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20.41%</w:t>
            </w:r>
          </w:p>
        </w:tc>
        <w:tc>
          <w:tcPr>
            <w:tcW w:w="1159" w:type="dxa"/>
            <w:tcBorders>
              <w:top w:val="single" w:sz="4" w:space="0" w:color="auto"/>
            </w:tcBorders>
            <w:shd w:val="clear" w:color="auto" w:fill="auto"/>
            <w:noWrap/>
            <w:vAlign w:val="center"/>
            <w:hideMark/>
          </w:tcPr>
          <w:p w14:paraId="27728149"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35.53%</w:t>
            </w:r>
          </w:p>
        </w:tc>
        <w:tc>
          <w:tcPr>
            <w:tcW w:w="1188" w:type="dxa"/>
            <w:tcBorders>
              <w:top w:val="single" w:sz="4" w:space="0" w:color="auto"/>
            </w:tcBorders>
            <w:shd w:val="clear" w:color="auto" w:fill="auto"/>
            <w:noWrap/>
            <w:vAlign w:val="center"/>
            <w:hideMark/>
          </w:tcPr>
          <w:p w14:paraId="6ED695F9"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8.46%</w:t>
            </w:r>
          </w:p>
        </w:tc>
      </w:tr>
      <w:tr w:rsidR="0037515A" w:rsidRPr="0037515A" w14:paraId="788134B2" w14:textId="77777777" w:rsidTr="0082758F">
        <w:trPr>
          <w:trHeight w:val="576"/>
          <w:jc w:val="center"/>
        </w:trPr>
        <w:tc>
          <w:tcPr>
            <w:tcW w:w="3435" w:type="dxa"/>
            <w:shd w:val="clear" w:color="auto" w:fill="auto"/>
            <w:vAlign w:val="center"/>
            <w:hideMark/>
          </w:tcPr>
          <w:p w14:paraId="0FC0E9A1"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Having privacy is important to me when I make a trip </w:t>
            </w:r>
          </w:p>
        </w:tc>
        <w:tc>
          <w:tcPr>
            <w:tcW w:w="1188" w:type="dxa"/>
            <w:shd w:val="clear" w:color="auto" w:fill="auto"/>
            <w:noWrap/>
            <w:vAlign w:val="center"/>
            <w:hideMark/>
          </w:tcPr>
          <w:p w14:paraId="76CF7118"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2.80%</w:t>
            </w:r>
          </w:p>
        </w:tc>
        <w:tc>
          <w:tcPr>
            <w:tcW w:w="1188" w:type="dxa"/>
            <w:shd w:val="clear" w:color="auto" w:fill="auto"/>
            <w:noWrap/>
            <w:vAlign w:val="center"/>
            <w:hideMark/>
          </w:tcPr>
          <w:p w14:paraId="0F329AFC"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10.52%</w:t>
            </w:r>
          </w:p>
        </w:tc>
        <w:tc>
          <w:tcPr>
            <w:tcW w:w="1217" w:type="dxa"/>
            <w:shd w:val="clear" w:color="auto" w:fill="auto"/>
            <w:noWrap/>
            <w:vAlign w:val="center"/>
            <w:hideMark/>
          </w:tcPr>
          <w:p w14:paraId="2370735D"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22.84%</w:t>
            </w:r>
          </w:p>
        </w:tc>
        <w:tc>
          <w:tcPr>
            <w:tcW w:w="1159" w:type="dxa"/>
            <w:shd w:val="clear" w:color="auto" w:fill="auto"/>
            <w:noWrap/>
            <w:vAlign w:val="center"/>
            <w:hideMark/>
          </w:tcPr>
          <w:p w14:paraId="2C068B02"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41.19%</w:t>
            </w:r>
          </w:p>
        </w:tc>
        <w:tc>
          <w:tcPr>
            <w:tcW w:w="1188" w:type="dxa"/>
            <w:shd w:val="clear" w:color="auto" w:fill="auto"/>
            <w:noWrap/>
            <w:vAlign w:val="center"/>
            <w:hideMark/>
          </w:tcPr>
          <w:p w14:paraId="120F8580"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22.65%</w:t>
            </w:r>
          </w:p>
        </w:tc>
      </w:tr>
      <w:tr w:rsidR="0037515A" w:rsidRPr="0037515A" w14:paraId="29134E21" w14:textId="77777777" w:rsidTr="0082758F">
        <w:trPr>
          <w:trHeight w:val="576"/>
          <w:jc w:val="center"/>
        </w:trPr>
        <w:tc>
          <w:tcPr>
            <w:tcW w:w="3435" w:type="dxa"/>
            <w:tcBorders>
              <w:bottom w:val="double" w:sz="4" w:space="0" w:color="auto"/>
            </w:tcBorders>
            <w:shd w:val="clear" w:color="auto" w:fill="auto"/>
            <w:vAlign w:val="center"/>
            <w:hideMark/>
          </w:tcPr>
          <w:p w14:paraId="0FCF8F85"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I feel uncomfortable sitting close to strangers </w:t>
            </w:r>
          </w:p>
        </w:tc>
        <w:tc>
          <w:tcPr>
            <w:tcW w:w="1188" w:type="dxa"/>
            <w:tcBorders>
              <w:bottom w:val="double" w:sz="4" w:space="0" w:color="auto"/>
            </w:tcBorders>
            <w:shd w:val="clear" w:color="auto" w:fill="auto"/>
            <w:noWrap/>
            <w:vAlign w:val="center"/>
            <w:hideMark/>
          </w:tcPr>
          <w:p w14:paraId="28C1A8B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8.59%</w:t>
            </w:r>
          </w:p>
        </w:tc>
        <w:tc>
          <w:tcPr>
            <w:tcW w:w="1188" w:type="dxa"/>
            <w:tcBorders>
              <w:bottom w:val="double" w:sz="4" w:space="0" w:color="auto"/>
            </w:tcBorders>
            <w:shd w:val="clear" w:color="auto" w:fill="auto"/>
            <w:noWrap/>
            <w:vAlign w:val="center"/>
            <w:hideMark/>
          </w:tcPr>
          <w:p w14:paraId="28729F05"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22.53%</w:t>
            </w:r>
          </w:p>
        </w:tc>
        <w:tc>
          <w:tcPr>
            <w:tcW w:w="1217" w:type="dxa"/>
            <w:tcBorders>
              <w:bottom w:val="double" w:sz="4" w:space="0" w:color="auto"/>
            </w:tcBorders>
            <w:shd w:val="clear" w:color="auto" w:fill="auto"/>
            <w:noWrap/>
            <w:vAlign w:val="center"/>
            <w:hideMark/>
          </w:tcPr>
          <w:p w14:paraId="504B462D"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27.88%</w:t>
            </w:r>
          </w:p>
        </w:tc>
        <w:tc>
          <w:tcPr>
            <w:tcW w:w="1159" w:type="dxa"/>
            <w:tcBorders>
              <w:bottom w:val="double" w:sz="4" w:space="0" w:color="auto"/>
            </w:tcBorders>
            <w:shd w:val="clear" w:color="auto" w:fill="auto"/>
            <w:noWrap/>
            <w:vAlign w:val="center"/>
            <w:hideMark/>
          </w:tcPr>
          <w:p w14:paraId="72D01180"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29.12%</w:t>
            </w:r>
          </w:p>
        </w:tc>
        <w:tc>
          <w:tcPr>
            <w:tcW w:w="1188" w:type="dxa"/>
            <w:tcBorders>
              <w:bottom w:val="double" w:sz="4" w:space="0" w:color="auto"/>
            </w:tcBorders>
            <w:shd w:val="clear" w:color="auto" w:fill="auto"/>
            <w:noWrap/>
            <w:vAlign w:val="center"/>
            <w:hideMark/>
          </w:tcPr>
          <w:p w14:paraId="333C3D95"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11.89%</w:t>
            </w:r>
          </w:p>
        </w:tc>
      </w:tr>
      <w:tr w:rsidR="0037515A" w:rsidRPr="0037515A" w14:paraId="43CC1E7F" w14:textId="77777777" w:rsidTr="003A68B3">
        <w:trPr>
          <w:trHeight w:val="300"/>
          <w:jc w:val="center"/>
        </w:trPr>
        <w:tc>
          <w:tcPr>
            <w:tcW w:w="9375" w:type="dxa"/>
            <w:gridSpan w:val="6"/>
            <w:tcBorders>
              <w:top w:val="double" w:sz="4" w:space="0" w:color="auto"/>
              <w:bottom w:val="double" w:sz="4" w:space="0" w:color="auto"/>
            </w:tcBorders>
            <w:shd w:val="clear" w:color="auto" w:fill="auto"/>
            <w:noWrap/>
            <w:vAlign w:val="bottom"/>
            <w:hideMark/>
          </w:tcPr>
          <w:p w14:paraId="64A90906" w14:textId="77777777" w:rsidR="0037515A" w:rsidRPr="0037515A" w:rsidRDefault="0037515A" w:rsidP="0037515A">
            <w:pPr>
              <w:spacing w:line="240" w:lineRule="auto"/>
              <w:jc w:val="center"/>
              <w:rPr>
                <w:rFonts w:eastAsia="Times New Roman" w:cs="Times New Roman"/>
                <w:b/>
                <w:color w:val="000000"/>
                <w:sz w:val="22"/>
              </w:rPr>
            </w:pPr>
            <w:r w:rsidRPr="0037515A">
              <w:rPr>
                <w:rFonts w:eastAsia="Times New Roman" w:cs="Times New Roman"/>
                <w:b/>
                <w:color w:val="000000"/>
                <w:sz w:val="22"/>
              </w:rPr>
              <w:t>Tech-savviness</w:t>
            </w:r>
          </w:p>
        </w:tc>
      </w:tr>
      <w:tr w:rsidR="0037515A" w:rsidRPr="0037515A" w14:paraId="5F908B69" w14:textId="77777777" w:rsidTr="0082758F">
        <w:trPr>
          <w:trHeight w:val="20"/>
          <w:jc w:val="center"/>
        </w:trPr>
        <w:tc>
          <w:tcPr>
            <w:tcW w:w="3435" w:type="dxa"/>
            <w:tcBorders>
              <w:top w:val="double" w:sz="4" w:space="0" w:color="auto"/>
              <w:bottom w:val="single" w:sz="4" w:space="0" w:color="auto"/>
            </w:tcBorders>
            <w:shd w:val="clear" w:color="auto" w:fill="auto"/>
            <w:noWrap/>
            <w:vAlign w:val="bottom"/>
            <w:hideMark/>
          </w:tcPr>
          <w:p w14:paraId="08BAB685" w14:textId="77777777" w:rsidR="0037515A" w:rsidRPr="0037515A" w:rsidRDefault="0037515A" w:rsidP="0037515A">
            <w:pPr>
              <w:spacing w:line="240" w:lineRule="auto"/>
              <w:jc w:val="left"/>
              <w:rPr>
                <w:rFonts w:eastAsia="Times New Roman" w:cs="Times New Roman"/>
                <w:color w:val="000000"/>
                <w:sz w:val="22"/>
              </w:rPr>
            </w:pPr>
          </w:p>
        </w:tc>
        <w:tc>
          <w:tcPr>
            <w:tcW w:w="1188" w:type="dxa"/>
            <w:tcBorders>
              <w:top w:val="double" w:sz="4" w:space="0" w:color="auto"/>
              <w:bottom w:val="single" w:sz="4" w:space="0" w:color="auto"/>
            </w:tcBorders>
            <w:shd w:val="clear" w:color="auto" w:fill="auto"/>
            <w:vAlign w:val="center"/>
            <w:hideMark/>
          </w:tcPr>
          <w:p w14:paraId="7DF8D19F"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Does not describe me at all</w:t>
            </w:r>
          </w:p>
        </w:tc>
        <w:tc>
          <w:tcPr>
            <w:tcW w:w="1188" w:type="dxa"/>
            <w:tcBorders>
              <w:top w:val="double" w:sz="4" w:space="0" w:color="auto"/>
              <w:bottom w:val="single" w:sz="4" w:space="0" w:color="auto"/>
            </w:tcBorders>
            <w:shd w:val="clear" w:color="auto" w:fill="auto"/>
            <w:vAlign w:val="center"/>
            <w:hideMark/>
          </w:tcPr>
          <w:p w14:paraId="4D8EC1A3"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Describes me slightly well</w:t>
            </w:r>
          </w:p>
        </w:tc>
        <w:tc>
          <w:tcPr>
            <w:tcW w:w="1217" w:type="dxa"/>
            <w:tcBorders>
              <w:top w:val="double" w:sz="4" w:space="0" w:color="auto"/>
              <w:bottom w:val="single" w:sz="4" w:space="0" w:color="auto"/>
            </w:tcBorders>
            <w:shd w:val="clear" w:color="auto" w:fill="auto"/>
            <w:vAlign w:val="center"/>
            <w:hideMark/>
          </w:tcPr>
          <w:p w14:paraId="78A7743C"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Describes me moderately well</w:t>
            </w:r>
          </w:p>
        </w:tc>
        <w:tc>
          <w:tcPr>
            <w:tcW w:w="1159" w:type="dxa"/>
            <w:tcBorders>
              <w:top w:val="double" w:sz="4" w:space="0" w:color="auto"/>
              <w:bottom w:val="single" w:sz="4" w:space="0" w:color="auto"/>
            </w:tcBorders>
            <w:shd w:val="clear" w:color="auto" w:fill="auto"/>
            <w:vAlign w:val="center"/>
            <w:hideMark/>
          </w:tcPr>
          <w:p w14:paraId="4B2322D3"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 xml:space="preserve">Describes </w:t>
            </w:r>
            <w:r>
              <w:rPr>
                <w:rFonts w:eastAsia="Times New Roman" w:cs="Times New Roman"/>
                <w:color w:val="000000"/>
                <w:sz w:val="22"/>
              </w:rPr>
              <w:t>m</w:t>
            </w:r>
            <w:r w:rsidRPr="0037515A">
              <w:rPr>
                <w:rFonts w:eastAsia="Times New Roman" w:cs="Times New Roman"/>
                <w:color w:val="000000"/>
                <w:sz w:val="22"/>
              </w:rPr>
              <w:t>e very well</w:t>
            </w:r>
          </w:p>
        </w:tc>
        <w:tc>
          <w:tcPr>
            <w:tcW w:w="1188" w:type="dxa"/>
            <w:tcBorders>
              <w:top w:val="double" w:sz="4" w:space="0" w:color="auto"/>
              <w:bottom w:val="single" w:sz="4" w:space="0" w:color="auto"/>
            </w:tcBorders>
            <w:shd w:val="clear" w:color="auto" w:fill="auto"/>
            <w:vAlign w:val="center"/>
            <w:hideMark/>
          </w:tcPr>
          <w:p w14:paraId="1DFBCA67"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Describes me extremely well</w:t>
            </w:r>
          </w:p>
        </w:tc>
      </w:tr>
      <w:tr w:rsidR="0037515A" w:rsidRPr="0037515A" w14:paraId="482E5748" w14:textId="77777777" w:rsidTr="0082758F">
        <w:trPr>
          <w:trHeight w:val="576"/>
          <w:jc w:val="center"/>
        </w:trPr>
        <w:tc>
          <w:tcPr>
            <w:tcW w:w="3435" w:type="dxa"/>
            <w:tcBorders>
              <w:top w:val="single" w:sz="4" w:space="0" w:color="auto"/>
            </w:tcBorders>
            <w:shd w:val="clear" w:color="auto" w:fill="auto"/>
            <w:vAlign w:val="center"/>
            <w:hideMark/>
          </w:tcPr>
          <w:p w14:paraId="47412B9D"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I frequently use online banking services </w:t>
            </w:r>
          </w:p>
        </w:tc>
        <w:tc>
          <w:tcPr>
            <w:tcW w:w="1188" w:type="dxa"/>
            <w:tcBorders>
              <w:top w:val="single" w:sz="4" w:space="0" w:color="auto"/>
            </w:tcBorders>
            <w:shd w:val="clear" w:color="auto" w:fill="auto"/>
            <w:noWrap/>
            <w:vAlign w:val="center"/>
            <w:hideMark/>
          </w:tcPr>
          <w:p w14:paraId="2A32F22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2.43%</w:t>
            </w:r>
          </w:p>
        </w:tc>
        <w:tc>
          <w:tcPr>
            <w:tcW w:w="1188" w:type="dxa"/>
            <w:tcBorders>
              <w:top w:val="single" w:sz="4" w:space="0" w:color="auto"/>
            </w:tcBorders>
            <w:shd w:val="clear" w:color="auto" w:fill="auto"/>
            <w:noWrap/>
            <w:vAlign w:val="center"/>
            <w:hideMark/>
          </w:tcPr>
          <w:p w14:paraId="7F80FDB6"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3.42%</w:t>
            </w:r>
          </w:p>
        </w:tc>
        <w:tc>
          <w:tcPr>
            <w:tcW w:w="1217" w:type="dxa"/>
            <w:tcBorders>
              <w:top w:val="single" w:sz="4" w:space="0" w:color="auto"/>
            </w:tcBorders>
            <w:shd w:val="clear" w:color="auto" w:fill="auto"/>
            <w:noWrap/>
            <w:vAlign w:val="center"/>
            <w:hideMark/>
          </w:tcPr>
          <w:p w14:paraId="129221C3"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6.41%</w:t>
            </w:r>
          </w:p>
        </w:tc>
        <w:tc>
          <w:tcPr>
            <w:tcW w:w="1159" w:type="dxa"/>
            <w:tcBorders>
              <w:top w:val="single" w:sz="4" w:space="0" w:color="auto"/>
            </w:tcBorders>
            <w:shd w:val="clear" w:color="auto" w:fill="auto"/>
            <w:noWrap/>
            <w:vAlign w:val="center"/>
            <w:hideMark/>
          </w:tcPr>
          <w:p w14:paraId="0B25E606"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18.67%</w:t>
            </w:r>
          </w:p>
        </w:tc>
        <w:tc>
          <w:tcPr>
            <w:tcW w:w="1188" w:type="dxa"/>
            <w:tcBorders>
              <w:top w:val="single" w:sz="4" w:space="0" w:color="auto"/>
            </w:tcBorders>
            <w:shd w:val="clear" w:color="auto" w:fill="auto"/>
            <w:noWrap/>
            <w:vAlign w:val="center"/>
            <w:hideMark/>
          </w:tcPr>
          <w:p w14:paraId="47F61FC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69.07%</w:t>
            </w:r>
          </w:p>
        </w:tc>
      </w:tr>
      <w:tr w:rsidR="0037515A" w:rsidRPr="0037515A" w14:paraId="049D3450" w14:textId="77777777" w:rsidTr="0082758F">
        <w:trPr>
          <w:trHeight w:val="576"/>
          <w:jc w:val="center"/>
        </w:trPr>
        <w:tc>
          <w:tcPr>
            <w:tcW w:w="3435" w:type="dxa"/>
            <w:shd w:val="clear" w:color="auto" w:fill="auto"/>
            <w:vAlign w:val="center"/>
            <w:hideMark/>
          </w:tcPr>
          <w:p w14:paraId="34D74943"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I frequently purchase products online </w:t>
            </w:r>
          </w:p>
        </w:tc>
        <w:tc>
          <w:tcPr>
            <w:tcW w:w="1188" w:type="dxa"/>
            <w:shd w:val="clear" w:color="auto" w:fill="auto"/>
            <w:noWrap/>
            <w:vAlign w:val="center"/>
            <w:hideMark/>
          </w:tcPr>
          <w:p w14:paraId="42225C97"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1.24%</w:t>
            </w:r>
          </w:p>
        </w:tc>
        <w:tc>
          <w:tcPr>
            <w:tcW w:w="1188" w:type="dxa"/>
            <w:shd w:val="clear" w:color="auto" w:fill="auto"/>
            <w:noWrap/>
            <w:vAlign w:val="center"/>
            <w:hideMark/>
          </w:tcPr>
          <w:p w14:paraId="3B46F11C"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7.28%</w:t>
            </w:r>
          </w:p>
        </w:tc>
        <w:tc>
          <w:tcPr>
            <w:tcW w:w="1217" w:type="dxa"/>
            <w:shd w:val="clear" w:color="auto" w:fill="auto"/>
            <w:noWrap/>
            <w:vAlign w:val="center"/>
            <w:hideMark/>
          </w:tcPr>
          <w:p w14:paraId="2B9C9A5C"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14.87%</w:t>
            </w:r>
          </w:p>
        </w:tc>
        <w:tc>
          <w:tcPr>
            <w:tcW w:w="1159" w:type="dxa"/>
            <w:shd w:val="clear" w:color="auto" w:fill="auto"/>
            <w:noWrap/>
            <w:vAlign w:val="center"/>
            <w:hideMark/>
          </w:tcPr>
          <w:p w14:paraId="31DA976F"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23.58%</w:t>
            </w:r>
          </w:p>
        </w:tc>
        <w:tc>
          <w:tcPr>
            <w:tcW w:w="1188" w:type="dxa"/>
            <w:shd w:val="clear" w:color="auto" w:fill="auto"/>
            <w:noWrap/>
            <w:vAlign w:val="center"/>
            <w:hideMark/>
          </w:tcPr>
          <w:p w14:paraId="29F05943"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53.02%</w:t>
            </w:r>
          </w:p>
        </w:tc>
      </w:tr>
      <w:tr w:rsidR="0037515A" w:rsidRPr="0037515A" w14:paraId="2580282E" w14:textId="77777777" w:rsidTr="0082758F">
        <w:trPr>
          <w:trHeight w:val="576"/>
          <w:jc w:val="center"/>
        </w:trPr>
        <w:tc>
          <w:tcPr>
            <w:tcW w:w="3435" w:type="dxa"/>
            <w:tcBorders>
              <w:bottom w:val="double" w:sz="4" w:space="0" w:color="auto"/>
            </w:tcBorders>
            <w:shd w:val="clear" w:color="auto" w:fill="auto"/>
            <w:vAlign w:val="center"/>
            <w:hideMark/>
          </w:tcPr>
          <w:p w14:paraId="1DEC93CB" w14:textId="77777777" w:rsidR="0037515A" w:rsidRPr="0037515A" w:rsidRDefault="0037515A" w:rsidP="0037515A">
            <w:pPr>
              <w:spacing w:line="240" w:lineRule="auto"/>
              <w:jc w:val="left"/>
              <w:rPr>
                <w:rFonts w:eastAsia="Times New Roman" w:cs="Times New Roman"/>
                <w:color w:val="000000"/>
                <w:sz w:val="22"/>
              </w:rPr>
            </w:pPr>
            <w:r w:rsidRPr="0037515A">
              <w:rPr>
                <w:rFonts w:eastAsia="Times New Roman" w:cs="Times New Roman"/>
                <w:color w:val="000000"/>
                <w:sz w:val="22"/>
              </w:rPr>
              <w:t xml:space="preserve">Learning how to use new smartphone apps is easy for me </w:t>
            </w:r>
          </w:p>
        </w:tc>
        <w:tc>
          <w:tcPr>
            <w:tcW w:w="1188" w:type="dxa"/>
            <w:tcBorders>
              <w:bottom w:val="double" w:sz="4" w:space="0" w:color="auto"/>
            </w:tcBorders>
            <w:shd w:val="clear" w:color="auto" w:fill="auto"/>
            <w:noWrap/>
            <w:vAlign w:val="center"/>
            <w:hideMark/>
          </w:tcPr>
          <w:p w14:paraId="17EE851A"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2.49%</w:t>
            </w:r>
          </w:p>
        </w:tc>
        <w:tc>
          <w:tcPr>
            <w:tcW w:w="1188" w:type="dxa"/>
            <w:tcBorders>
              <w:bottom w:val="double" w:sz="4" w:space="0" w:color="auto"/>
            </w:tcBorders>
            <w:shd w:val="clear" w:color="auto" w:fill="auto"/>
            <w:noWrap/>
            <w:vAlign w:val="center"/>
            <w:hideMark/>
          </w:tcPr>
          <w:p w14:paraId="3474EC52"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5.48%</w:t>
            </w:r>
          </w:p>
        </w:tc>
        <w:tc>
          <w:tcPr>
            <w:tcW w:w="1217" w:type="dxa"/>
            <w:tcBorders>
              <w:bottom w:val="double" w:sz="4" w:space="0" w:color="auto"/>
            </w:tcBorders>
            <w:shd w:val="clear" w:color="auto" w:fill="auto"/>
            <w:noWrap/>
            <w:vAlign w:val="center"/>
            <w:hideMark/>
          </w:tcPr>
          <w:p w14:paraId="049AD046"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16.68%</w:t>
            </w:r>
          </w:p>
        </w:tc>
        <w:tc>
          <w:tcPr>
            <w:tcW w:w="1159" w:type="dxa"/>
            <w:tcBorders>
              <w:bottom w:val="double" w:sz="4" w:space="0" w:color="auto"/>
            </w:tcBorders>
            <w:shd w:val="clear" w:color="auto" w:fill="auto"/>
            <w:noWrap/>
            <w:vAlign w:val="center"/>
            <w:hideMark/>
          </w:tcPr>
          <w:p w14:paraId="4234AFAC"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27.13%</w:t>
            </w:r>
          </w:p>
        </w:tc>
        <w:tc>
          <w:tcPr>
            <w:tcW w:w="1188" w:type="dxa"/>
            <w:tcBorders>
              <w:bottom w:val="double" w:sz="4" w:space="0" w:color="auto"/>
            </w:tcBorders>
            <w:shd w:val="clear" w:color="auto" w:fill="auto"/>
            <w:noWrap/>
            <w:vAlign w:val="center"/>
            <w:hideMark/>
          </w:tcPr>
          <w:p w14:paraId="7A4433B2" w14:textId="77777777" w:rsidR="0037515A" w:rsidRPr="0037515A" w:rsidRDefault="0037515A" w:rsidP="0037515A">
            <w:pPr>
              <w:spacing w:line="240" w:lineRule="auto"/>
              <w:jc w:val="center"/>
              <w:rPr>
                <w:rFonts w:eastAsia="Times New Roman" w:cs="Times New Roman"/>
                <w:color w:val="000000"/>
                <w:sz w:val="22"/>
              </w:rPr>
            </w:pPr>
            <w:r w:rsidRPr="0037515A">
              <w:rPr>
                <w:rFonts w:eastAsia="Times New Roman" w:cs="Times New Roman"/>
                <w:color w:val="000000"/>
                <w:sz w:val="22"/>
              </w:rPr>
              <w:t>48.23%</w:t>
            </w:r>
          </w:p>
        </w:tc>
      </w:tr>
      <w:tr w:rsidR="0037515A" w:rsidRPr="0037515A" w14:paraId="4384851B" w14:textId="77777777" w:rsidTr="003A68B3">
        <w:trPr>
          <w:trHeight w:val="300"/>
          <w:jc w:val="center"/>
        </w:trPr>
        <w:tc>
          <w:tcPr>
            <w:tcW w:w="9375" w:type="dxa"/>
            <w:gridSpan w:val="6"/>
            <w:tcBorders>
              <w:top w:val="double" w:sz="4" w:space="0" w:color="auto"/>
              <w:bottom w:val="double" w:sz="4" w:space="0" w:color="auto"/>
            </w:tcBorders>
            <w:shd w:val="clear" w:color="auto" w:fill="auto"/>
            <w:noWrap/>
            <w:vAlign w:val="bottom"/>
            <w:hideMark/>
          </w:tcPr>
          <w:p w14:paraId="40923192" w14:textId="77777777" w:rsidR="0037515A" w:rsidRPr="0037515A" w:rsidRDefault="00E65720" w:rsidP="0037515A">
            <w:pPr>
              <w:spacing w:line="240" w:lineRule="auto"/>
              <w:jc w:val="center"/>
              <w:rPr>
                <w:rFonts w:eastAsia="Times New Roman" w:cs="Times New Roman"/>
                <w:b/>
                <w:color w:val="000000"/>
                <w:sz w:val="22"/>
              </w:rPr>
            </w:pPr>
            <w:r>
              <w:rPr>
                <w:rFonts w:eastAsia="Times New Roman" w:cs="Times New Roman"/>
                <w:b/>
                <w:color w:val="000000"/>
                <w:sz w:val="22"/>
              </w:rPr>
              <w:t>Variety-seeking</w:t>
            </w:r>
            <w:r w:rsidR="0000172B">
              <w:rPr>
                <w:rFonts w:eastAsia="Times New Roman" w:cs="Times New Roman"/>
                <w:b/>
                <w:color w:val="000000"/>
                <w:sz w:val="22"/>
              </w:rPr>
              <w:t xml:space="preserve"> lifestyle propensity (VSLP)</w:t>
            </w:r>
          </w:p>
        </w:tc>
      </w:tr>
      <w:tr w:rsidR="0082758F" w:rsidRPr="0037515A" w14:paraId="69F9C3B5" w14:textId="77777777" w:rsidTr="0082758F">
        <w:trPr>
          <w:trHeight w:val="600"/>
          <w:jc w:val="center"/>
        </w:trPr>
        <w:tc>
          <w:tcPr>
            <w:tcW w:w="3435" w:type="dxa"/>
            <w:tcBorders>
              <w:top w:val="double" w:sz="4" w:space="0" w:color="auto"/>
              <w:bottom w:val="single" w:sz="4" w:space="0" w:color="auto"/>
            </w:tcBorders>
            <w:shd w:val="clear" w:color="auto" w:fill="auto"/>
            <w:noWrap/>
            <w:vAlign w:val="bottom"/>
            <w:hideMark/>
          </w:tcPr>
          <w:p w14:paraId="4DF33932" w14:textId="77777777" w:rsidR="0082758F" w:rsidRPr="0037515A" w:rsidRDefault="0082758F" w:rsidP="0082758F">
            <w:pPr>
              <w:spacing w:line="240" w:lineRule="auto"/>
              <w:jc w:val="left"/>
              <w:rPr>
                <w:rFonts w:eastAsia="Times New Roman" w:cs="Times New Roman"/>
                <w:color w:val="000000"/>
                <w:sz w:val="22"/>
              </w:rPr>
            </w:pPr>
          </w:p>
        </w:tc>
        <w:tc>
          <w:tcPr>
            <w:tcW w:w="1188" w:type="dxa"/>
            <w:tcBorders>
              <w:top w:val="double" w:sz="4" w:space="0" w:color="auto"/>
              <w:bottom w:val="single" w:sz="4" w:space="0" w:color="auto"/>
            </w:tcBorders>
            <w:shd w:val="clear" w:color="auto" w:fill="auto"/>
            <w:vAlign w:val="center"/>
            <w:hideMark/>
          </w:tcPr>
          <w:p w14:paraId="06E60B95" w14:textId="77777777" w:rsidR="0082758F" w:rsidRPr="0037515A" w:rsidRDefault="0082758F" w:rsidP="0082758F">
            <w:pPr>
              <w:spacing w:line="240" w:lineRule="auto"/>
              <w:jc w:val="center"/>
              <w:rPr>
                <w:rFonts w:eastAsia="Times New Roman" w:cs="Times New Roman"/>
                <w:color w:val="000000"/>
                <w:sz w:val="22"/>
              </w:rPr>
            </w:pPr>
            <w:r w:rsidRPr="0037515A">
              <w:rPr>
                <w:rFonts w:eastAsia="Times New Roman" w:cs="Times New Roman"/>
                <w:color w:val="000000"/>
                <w:sz w:val="22"/>
              </w:rPr>
              <w:t>Does not describe me at all</w:t>
            </w:r>
          </w:p>
        </w:tc>
        <w:tc>
          <w:tcPr>
            <w:tcW w:w="1188" w:type="dxa"/>
            <w:tcBorders>
              <w:top w:val="double" w:sz="4" w:space="0" w:color="auto"/>
              <w:bottom w:val="single" w:sz="4" w:space="0" w:color="auto"/>
            </w:tcBorders>
            <w:shd w:val="clear" w:color="auto" w:fill="auto"/>
            <w:vAlign w:val="center"/>
            <w:hideMark/>
          </w:tcPr>
          <w:p w14:paraId="4257137E" w14:textId="77777777" w:rsidR="0082758F" w:rsidRPr="0037515A" w:rsidRDefault="0082758F" w:rsidP="0082758F">
            <w:pPr>
              <w:spacing w:line="240" w:lineRule="auto"/>
              <w:jc w:val="center"/>
              <w:rPr>
                <w:rFonts w:eastAsia="Times New Roman" w:cs="Times New Roman"/>
                <w:color w:val="000000"/>
                <w:sz w:val="22"/>
              </w:rPr>
            </w:pPr>
            <w:r w:rsidRPr="0037515A">
              <w:rPr>
                <w:rFonts w:eastAsia="Times New Roman" w:cs="Times New Roman"/>
                <w:color w:val="000000"/>
                <w:sz w:val="22"/>
              </w:rPr>
              <w:t>Describes me slightly well</w:t>
            </w:r>
          </w:p>
        </w:tc>
        <w:tc>
          <w:tcPr>
            <w:tcW w:w="1217" w:type="dxa"/>
            <w:tcBorders>
              <w:top w:val="double" w:sz="4" w:space="0" w:color="auto"/>
              <w:bottom w:val="single" w:sz="4" w:space="0" w:color="auto"/>
            </w:tcBorders>
            <w:shd w:val="clear" w:color="auto" w:fill="auto"/>
            <w:vAlign w:val="center"/>
            <w:hideMark/>
          </w:tcPr>
          <w:p w14:paraId="2193A3BD" w14:textId="77777777" w:rsidR="0082758F" w:rsidRPr="0037515A" w:rsidRDefault="0082758F" w:rsidP="0082758F">
            <w:pPr>
              <w:spacing w:line="240" w:lineRule="auto"/>
              <w:jc w:val="center"/>
              <w:rPr>
                <w:rFonts w:eastAsia="Times New Roman" w:cs="Times New Roman"/>
                <w:color w:val="000000"/>
                <w:sz w:val="22"/>
              </w:rPr>
            </w:pPr>
            <w:r w:rsidRPr="0037515A">
              <w:rPr>
                <w:rFonts w:eastAsia="Times New Roman" w:cs="Times New Roman"/>
                <w:color w:val="000000"/>
                <w:sz w:val="22"/>
              </w:rPr>
              <w:t>Describes me moderately well</w:t>
            </w:r>
          </w:p>
        </w:tc>
        <w:tc>
          <w:tcPr>
            <w:tcW w:w="1159" w:type="dxa"/>
            <w:tcBorders>
              <w:top w:val="double" w:sz="4" w:space="0" w:color="auto"/>
              <w:bottom w:val="single" w:sz="4" w:space="0" w:color="auto"/>
            </w:tcBorders>
            <w:shd w:val="clear" w:color="auto" w:fill="auto"/>
            <w:vAlign w:val="center"/>
            <w:hideMark/>
          </w:tcPr>
          <w:p w14:paraId="37FD50C5" w14:textId="77777777" w:rsidR="0082758F" w:rsidRPr="0037515A" w:rsidRDefault="0082758F" w:rsidP="0082758F">
            <w:pPr>
              <w:spacing w:line="240" w:lineRule="auto"/>
              <w:jc w:val="center"/>
              <w:rPr>
                <w:rFonts w:eastAsia="Times New Roman" w:cs="Times New Roman"/>
                <w:color w:val="000000"/>
                <w:sz w:val="22"/>
              </w:rPr>
            </w:pPr>
            <w:r w:rsidRPr="0037515A">
              <w:rPr>
                <w:rFonts w:eastAsia="Times New Roman" w:cs="Times New Roman"/>
                <w:color w:val="000000"/>
                <w:sz w:val="22"/>
              </w:rPr>
              <w:t xml:space="preserve">Describes </w:t>
            </w:r>
            <w:r>
              <w:rPr>
                <w:rFonts w:eastAsia="Times New Roman" w:cs="Times New Roman"/>
                <w:color w:val="000000"/>
                <w:sz w:val="22"/>
              </w:rPr>
              <w:t>m</w:t>
            </w:r>
            <w:r w:rsidRPr="0037515A">
              <w:rPr>
                <w:rFonts w:eastAsia="Times New Roman" w:cs="Times New Roman"/>
                <w:color w:val="000000"/>
                <w:sz w:val="22"/>
              </w:rPr>
              <w:t>e very well</w:t>
            </w:r>
          </w:p>
        </w:tc>
        <w:tc>
          <w:tcPr>
            <w:tcW w:w="1188" w:type="dxa"/>
            <w:tcBorders>
              <w:top w:val="double" w:sz="4" w:space="0" w:color="auto"/>
              <w:bottom w:val="single" w:sz="4" w:space="0" w:color="auto"/>
            </w:tcBorders>
            <w:shd w:val="clear" w:color="auto" w:fill="auto"/>
            <w:vAlign w:val="center"/>
            <w:hideMark/>
          </w:tcPr>
          <w:p w14:paraId="0C105782" w14:textId="77777777" w:rsidR="0082758F" w:rsidRPr="0037515A" w:rsidRDefault="0082758F" w:rsidP="0082758F">
            <w:pPr>
              <w:spacing w:line="240" w:lineRule="auto"/>
              <w:jc w:val="center"/>
              <w:rPr>
                <w:rFonts w:eastAsia="Times New Roman" w:cs="Times New Roman"/>
                <w:color w:val="000000"/>
                <w:sz w:val="22"/>
              </w:rPr>
            </w:pPr>
            <w:r w:rsidRPr="0037515A">
              <w:rPr>
                <w:rFonts w:eastAsia="Times New Roman" w:cs="Times New Roman"/>
                <w:color w:val="000000"/>
                <w:sz w:val="22"/>
              </w:rPr>
              <w:t>Describes me extremely well</w:t>
            </w:r>
          </w:p>
        </w:tc>
      </w:tr>
      <w:tr w:rsidR="0037515A" w:rsidRPr="0037515A" w14:paraId="0E95A655" w14:textId="77777777" w:rsidTr="0082758F">
        <w:trPr>
          <w:trHeight w:val="576"/>
          <w:jc w:val="center"/>
        </w:trPr>
        <w:tc>
          <w:tcPr>
            <w:tcW w:w="3435" w:type="dxa"/>
            <w:tcBorders>
              <w:top w:val="single" w:sz="4" w:space="0" w:color="auto"/>
            </w:tcBorders>
            <w:shd w:val="clear" w:color="auto" w:fill="auto"/>
            <w:vAlign w:val="center"/>
          </w:tcPr>
          <w:p w14:paraId="2DD5DA69" w14:textId="2BD42A36" w:rsidR="0037515A" w:rsidRPr="0037515A" w:rsidRDefault="0082758F" w:rsidP="0037515A">
            <w:pPr>
              <w:spacing w:line="240" w:lineRule="auto"/>
              <w:jc w:val="left"/>
              <w:rPr>
                <w:rFonts w:eastAsia="Times New Roman" w:cs="Times New Roman"/>
                <w:color w:val="000000"/>
                <w:sz w:val="22"/>
              </w:rPr>
            </w:pPr>
            <w:r w:rsidRPr="0082758F">
              <w:rPr>
                <w:rFonts w:eastAsia="Times New Roman" w:cs="Times New Roman"/>
                <w:color w:val="000000"/>
                <w:sz w:val="22"/>
              </w:rPr>
              <w:t>I think it is important to have all sorts of new experiences and I am always trying new things</w:t>
            </w:r>
          </w:p>
        </w:tc>
        <w:tc>
          <w:tcPr>
            <w:tcW w:w="1188" w:type="dxa"/>
            <w:tcBorders>
              <w:top w:val="single" w:sz="4" w:space="0" w:color="auto"/>
            </w:tcBorders>
            <w:shd w:val="clear" w:color="auto" w:fill="auto"/>
            <w:noWrap/>
            <w:vAlign w:val="center"/>
          </w:tcPr>
          <w:p w14:paraId="0028B7F4"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3.48%</w:t>
            </w:r>
          </w:p>
        </w:tc>
        <w:tc>
          <w:tcPr>
            <w:tcW w:w="1188" w:type="dxa"/>
            <w:shd w:val="clear" w:color="auto" w:fill="auto"/>
            <w:noWrap/>
            <w:vAlign w:val="center"/>
          </w:tcPr>
          <w:p w14:paraId="3525BBE5"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12.62%</w:t>
            </w:r>
          </w:p>
        </w:tc>
        <w:tc>
          <w:tcPr>
            <w:tcW w:w="1217" w:type="dxa"/>
            <w:shd w:val="clear" w:color="auto" w:fill="auto"/>
            <w:noWrap/>
            <w:vAlign w:val="center"/>
          </w:tcPr>
          <w:p w14:paraId="03A61923"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29.33%</w:t>
            </w:r>
          </w:p>
        </w:tc>
        <w:tc>
          <w:tcPr>
            <w:tcW w:w="1159" w:type="dxa"/>
            <w:shd w:val="clear" w:color="auto" w:fill="auto"/>
            <w:noWrap/>
            <w:vAlign w:val="center"/>
          </w:tcPr>
          <w:p w14:paraId="161F0685"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34.12%</w:t>
            </w:r>
          </w:p>
        </w:tc>
        <w:tc>
          <w:tcPr>
            <w:tcW w:w="1188" w:type="dxa"/>
            <w:shd w:val="clear" w:color="auto" w:fill="auto"/>
            <w:noWrap/>
            <w:vAlign w:val="center"/>
          </w:tcPr>
          <w:p w14:paraId="3F49D5A3"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20.45%</w:t>
            </w:r>
          </w:p>
        </w:tc>
      </w:tr>
      <w:tr w:rsidR="00E65720" w:rsidRPr="0037515A" w14:paraId="41AD9F32" w14:textId="77777777" w:rsidTr="0082758F">
        <w:trPr>
          <w:trHeight w:val="576"/>
          <w:jc w:val="center"/>
        </w:trPr>
        <w:tc>
          <w:tcPr>
            <w:tcW w:w="3435" w:type="dxa"/>
            <w:shd w:val="clear" w:color="auto" w:fill="auto"/>
            <w:vAlign w:val="center"/>
          </w:tcPr>
          <w:p w14:paraId="1E1AD5BC" w14:textId="05642C6B" w:rsidR="00E65720" w:rsidRPr="0037515A" w:rsidRDefault="0082758F" w:rsidP="0037515A">
            <w:pPr>
              <w:spacing w:line="240" w:lineRule="auto"/>
              <w:jc w:val="left"/>
              <w:rPr>
                <w:rFonts w:eastAsia="Times New Roman" w:cs="Times New Roman"/>
                <w:color w:val="000000"/>
                <w:sz w:val="22"/>
              </w:rPr>
            </w:pPr>
            <w:r w:rsidRPr="0082758F">
              <w:rPr>
                <w:rFonts w:eastAsia="Times New Roman" w:cs="Times New Roman"/>
                <w:color w:val="000000"/>
                <w:sz w:val="22"/>
              </w:rPr>
              <w:t>Looking for adventures and taking risks is important to me</w:t>
            </w:r>
          </w:p>
        </w:tc>
        <w:tc>
          <w:tcPr>
            <w:tcW w:w="1188" w:type="dxa"/>
            <w:shd w:val="clear" w:color="auto" w:fill="auto"/>
            <w:noWrap/>
            <w:vAlign w:val="center"/>
          </w:tcPr>
          <w:p w14:paraId="06865262" w14:textId="77777777" w:rsidR="00E65720"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13.36%</w:t>
            </w:r>
          </w:p>
        </w:tc>
        <w:tc>
          <w:tcPr>
            <w:tcW w:w="1188" w:type="dxa"/>
            <w:shd w:val="clear" w:color="auto" w:fill="auto"/>
            <w:noWrap/>
            <w:vAlign w:val="center"/>
          </w:tcPr>
          <w:p w14:paraId="6A133F35" w14:textId="77777777" w:rsidR="00E65720"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24.98%</w:t>
            </w:r>
          </w:p>
        </w:tc>
        <w:tc>
          <w:tcPr>
            <w:tcW w:w="1217" w:type="dxa"/>
            <w:shd w:val="clear" w:color="auto" w:fill="auto"/>
            <w:noWrap/>
            <w:vAlign w:val="center"/>
          </w:tcPr>
          <w:p w14:paraId="7F6CCAA3" w14:textId="77777777" w:rsidR="00E65720"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33.25%</w:t>
            </w:r>
          </w:p>
        </w:tc>
        <w:tc>
          <w:tcPr>
            <w:tcW w:w="1159" w:type="dxa"/>
            <w:shd w:val="clear" w:color="auto" w:fill="auto"/>
            <w:noWrap/>
            <w:vAlign w:val="center"/>
          </w:tcPr>
          <w:p w14:paraId="0BA6CF1F" w14:textId="77777777" w:rsidR="00E65720"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21.81%</w:t>
            </w:r>
          </w:p>
        </w:tc>
        <w:tc>
          <w:tcPr>
            <w:tcW w:w="1188" w:type="dxa"/>
            <w:shd w:val="clear" w:color="auto" w:fill="auto"/>
            <w:noWrap/>
            <w:vAlign w:val="center"/>
          </w:tcPr>
          <w:p w14:paraId="19648E23" w14:textId="77777777" w:rsidR="00E65720"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6.59%</w:t>
            </w:r>
          </w:p>
        </w:tc>
      </w:tr>
      <w:tr w:rsidR="0037515A" w:rsidRPr="0037515A" w14:paraId="3F7FD7D2" w14:textId="77777777" w:rsidTr="0082758F">
        <w:trPr>
          <w:trHeight w:val="576"/>
          <w:jc w:val="center"/>
        </w:trPr>
        <w:tc>
          <w:tcPr>
            <w:tcW w:w="3435" w:type="dxa"/>
            <w:shd w:val="clear" w:color="auto" w:fill="auto"/>
            <w:vAlign w:val="center"/>
          </w:tcPr>
          <w:p w14:paraId="3CC109C5" w14:textId="77777777" w:rsidR="0037515A" w:rsidRPr="0037515A" w:rsidRDefault="0082758F" w:rsidP="0037515A">
            <w:pPr>
              <w:spacing w:line="240" w:lineRule="auto"/>
              <w:jc w:val="left"/>
              <w:rPr>
                <w:rFonts w:eastAsia="Times New Roman" w:cs="Times New Roman"/>
                <w:color w:val="000000"/>
                <w:sz w:val="22"/>
              </w:rPr>
            </w:pPr>
            <w:r w:rsidRPr="0082758F">
              <w:rPr>
                <w:rFonts w:eastAsia="Times New Roman" w:cs="Times New Roman"/>
                <w:color w:val="000000"/>
                <w:sz w:val="22"/>
              </w:rPr>
              <w:t>I love to try new products before anyone else</w:t>
            </w:r>
          </w:p>
        </w:tc>
        <w:tc>
          <w:tcPr>
            <w:tcW w:w="1188" w:type="dxa"/>
            <w:shd w:val="clear" w:color="auto" w:fill="auto"/>
            <w:noWrap/>
            <w:vAlign w:val="center"/>
          </w:tcPr>
          <w:p w14:paraId="54A0A4C7"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6.90%</w:t>
            </w:r>
          </w:p>
        </w:tc>
        <w:tc>
          <w:tcPr>
            <w:tcW w:w="1188" w:type="dxa"/>
            <w:shd w:val="clear" w:color="auto" w:fill="auto"/>
            <w:noWrap/>
            <w:vAlign w:val="center"/>
          </w:tcPr>
          <w:p w14:paraId="31DE5ACF"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15.91%</w:t>
            </w:r>
          </w:p>
        </w:tc>
        <w:tc>
          <w:tcPr>
            <w:tcW w:w="1217" w:type="dxa"/>
            <w:shd w:val="clear" w:color="auto" w:fill="auto"/>
            <w:noWrap/>
            <w:vAlign w:val="center"/>
          </w:tcPr>
          <w:p w14:paraId="3A4E7BFC"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28.28%</w:t>
            </w:r>
          </w:p>
        </w:tc>
        <w:tc>
          <w:tcPr>
            <w:tcW w:w="1159" w:type="dxa"/>
            <w:shd w:val="clear" w:color="auto" w:fill="auto"/>
            <w:noWrap/>
            <w:vAlign w:val="center"/>
          </w:tcPr>
          <w:p w14:paraId="6FF742A5"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30.33%</w:t>
            </w:r>
          </w:p>
        </w:tc>
        <w:tc>
          <w:tcPr>
            <w:tcW w:w="1188" w:type="dxa"/>
            <w:shd w:val="clear" w:color="auto" w:fill="auto"/>
            <w:noWrap/>
            <w:vAlign w:val="center"/>
          </w:tcPr>
          <w:p w14:paraId="7BC49472" w14:textId="77777777" w:rsidR="0037515A" w:rsidRPr="0037515A" w:rsidRDefault="0082758F" w:rsidP="0037515A">
            <w:pPr>
              <w:spacing w:line="240" w:lineRule="auto"/>
              <w:jc w:val="center"/>
              <w:rPr>
                <w:rFonts w:eastAsia="Times New Roman" w:cs="Times New Roman"/>
                <w:color w:val="000000"/>
                <w:sz w:val="22"/>
              </w:rPr>
            </w:pPr>
            <w:r>
              <w:rPr>
                <w:rFonts w:eastAsia="Times New Roman" w:cs="Times New Roman"/>
                <w:color w:val="000000"/>
                <w:sz w:val="22"/>
              </w:rPr>
              <w:t>18.58%</w:t>
            </w:r>
          </w:p>
        </w:tc>
      </w:tr>
      <w:tr w:rsidR="00E65720" w:rsidRPr="0037515A" w14:paraId="312B026D" w14:textId="77777777" w:rsidTr="002720EB">
        <w:trPr>
          <w:trHeight w:val="300"/>
          <w:jc w:val="center"/>
        </w:trPr>
        <w:tc>
          <w:tcPr>
            <w:tcW w:w="9375" w:type="dxa"/>
            <w:gridSpan w:val="6"/>
            <w:tcBorders>
              <w:top w:val="double" w:sz="4" w:space="0" w:color="auto"/>
              <w:bottom w:val="double" w:sz="4" w:space="0" w:color="auto"/>
            </w:tcBorders>
            <w:shd w:val="clear" w:color="auto" w:fill="auto"/>
            <w:noWrap/>
            <w:vAlign w:val="bottom"/>
            <w:hideMark/>
          </w:tcPr>
          <w:p w14:paraId="26875740" w14:textId="77777777" w:rsidR="00E65720" w:rsidRPr="0037515A" w:rsidRDefault="00E65720" w:rsidP="002720EB">
            <w:pPr>
              <w:spacing w:line="240" w:lineRule="auto"/>
              <w:jc w:val="center"/>
              <w:rPr>
                <w:rFonts w:eastAsia="Times New Roman" w:cs="Times New Roman"/>
                <w:b/>
                <w:color w:val="000000"/>
                <w:sz w:val="22"/>
              </w:rPr>
            </w:pPr>
            <w:r w:rsidRPr="0037515A">
              <w:rPr>
                <w:rFonts w:eastAsia="Times New Roman" w:cs="Times New Roman"/>
                <w:b/>
                <w:color w:val="000000"/>
                <w:sz w:val="22"/>
              </w:rPr>
              <w:t>Green lifestyle</w:t>
            </w:r>
            <w:r w:rsidR="0000172B">
              <w:rPr>
                <w:rFonts w:eastAsia="Times New Roman" w:cs="Times New Roman"/>
                <w:b/>
                <w:color w:val="000000"/>
                <w:sz w:val="22"/>
              </w:rPr>
              <w:t xml:space="preserve"> propensity (GLP) </w:t>
            </w:r>
          </w:p>
        </w:tc>
      </w:tr>
      <w:tr w:rsidR="00E65720" w:rsidRPr="0037515A" w14:paraId="12D00116" w14:textId="77777777" w:rsidTr="0082758F">
        <w:trPr>
          <w:trHeight w:val="20"/>
          <w:jc w:val="center"/>
        </w:trPr>
        <w:tc>
          <w:tcPr>
            <w:tcW w:w="3435" w:type="dxa"/>
            <w:tcBorders>
              <w:top w:val="double" w:sz="4" w:space="0" w:color="auto"/>
              <w:bottom w:val="single" w:sz="4" w:space="0" w:color="auto"/>
            </w:tcBorders>
            <w:shd w:val="clear" w:color="auto" w:fill="auto"/>
            <w:noWrap/>
            <w:vAlign w:val="bottom"/>
            <w:hideMark/>
          </w:tcPr>
          <w:p w14:paraId="5A08D0B6" w14:textId="77777777" w:rsidR="00E65720" w:rsidRPr="0037515A" w:rsidRDefault="00E65720" w:rsidP="00E65720">
            <w:pPr>
              <w:spacing w:line="240" w:lineRule="auto"/>
              <w:jc w:val="left"/>
              <w:rPr>
                <w:rFonts w:eastAsia="Times New Roman" w:cs="Times New Roman"/>
                <w:color w:val="000000"/>
                <w:sz w:val="22"/>
              </w:rPr>
            </w:pPr>
          </w:p>
        </w:tc>
        <w:tc>
          <w:tcPr>
            <w:tcW w:w="1188" w:type="dxa"/>
            <w:tcBorders>
              <w:top w:val="double" w:sz="4" w:space="0" w:color="auto"/>
              <w:bottom w:val="single" w:sz="4" w:space="0" w:color="auto"/>
            </w:tcBorders>
            <w:shd w:val="clear" w:color="auto" w:fill="auto"/>
            <w:vAlign w:val="center"/>
            <w:hideMark/>
          </w:tcPr>
          <w:p w14:paraId="1F3BAA0A"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Strongly disagree </w:t>
            </w:r>
          </w:p>
        </w:tc>
        <w:tc>
          <w:tcPr>
            <w:tcW w:w="1188" w:type="dxa"/>
            <w:tcBorders>
              <w:top w:val="double" w:sz="4" w:space="0" w:color="auto"/>
              <w:bottom w:val="single" w:sz="4" w:space="0" w:color="auto"/>
            </w:tcBorders>
            <w:shd w:val="clear" w:color="auto" w:fill="auto"/>
            <w:vAlign w:val="center"/>
            <w:hideMark/>
          </w:tcPr>
          <w:p w14:paraId="4EF705E4"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Somewhat disagree </w:t>
            </w:r>
          </w:p>
        </w:tc>
        <w:tc>
          <w:tcPr>
            <w:tcW w:w="1217" w:type="dxa"/>
            <w:tcBorders>
              <w:top w:val="double" w:sz="4" w:space="0" w:color="auto"/>
              <w:bottom w:val="single" w:sz="4" w:space="0" w:color="auto"/>
            </w:tcBorders>
            <w:shd w:val="clear" w:color="auto" w:fill="auto"/>
            <w:vAlign w:val="center"/>
            <w:hideMark/>
          </w:tcPr>
          <w:p w14:paraId="75A9E7DF"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 xml:space="preserve">Neither </w:t>
            </w:r>
          </w:p>
        </w:tc>
        <w:tc>
          <w:tcPr>
            <w:tcW w:w="1159" w:type="dxa"/>
            <w:tcBorders>
              <w:top w:val="double" w:sz="4" w:space="0" w:color="auto"/>
              <w:bottom w:val="single" w:sz="4" w:space="0" w:color="auto"/>
            </w:tcBorders>
            <w:shd w:val="clear" w:color="auto" w:fill="auto"/>
            <w:vAlign w:val="center"/>
            <w:hideMark/>
          </w:tcPr>
          <w:p w14:paraId="1231535F"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Somewhat agree </w:t>
            </w:r>
          </w:p>
        </w:tc>
        <w:tc>
          <w:tcPr>
            <w:tcW w:w="1188" w:type="dxa"/>
            <w:tcBorders>
              <w:top w:val="double" w:sz="4" w:space="0" w:color="auto"/>
              <w:bottom w:val="single" w:sz="4" w:space="0" w:color="auto"/>
            </w:tcBorders>
            <w:shd w:val="clear" w:color="auto" w:fill="auto"/>
            <w:vAlign w:val="center"/>
            <w:hideMark/>
          </w:tcPr>
          <w:p w14:paraId="095812A5"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 xml:space="preserve">Strongly agree </w:t>
            </w:r>
          </w:p>
        </w:tc>
      </w:tr>
      <w:tr w:rsidR="00E65720" w:rsidRPr="0037515A" w14:paraId="3DBFA144" w14:textId="77777777" w:rsidTr="0082758F">
        <w:trPr>
          <w:trHeight w:val="576"/>
          <w:jc w:val="center"/>
        </w:trPr>
        <w:tc>
          <w:tcPr>
            <w:tcW w:w="3435" w:type="dxa"/>
            <w:tcBorders>
              <w:top w:val="single" w:sz="4" w:space="0" w:color="auto"/>
            </w:tcBorders>
            <w:shd w:val="clear" w:color="auto" w:fill="auto"/>
            <w:vAlign w:val="center"/>
          </w:tcPr>
          <w:p w14:paraId="50C664DC" w14:textId="77777777" w:rsidR="00E65720" w:rsidRPr="0037515A" w:rsidRDefault="00E65720" w:rsidP="00E65720">
            <w:pPr>
              <w:spacing w:line="240" w:lineRule="auto"/>
              <w:jc w:val="left"/>
              <w:rPr>
                <w:rFonts w:eastAsia="Times New Roman" w:cs="Times New Roman"/>
                <w:color w:val="000000"/>
                <w:sz w:val="22"/>
              </w:rPr>
            </w:pPr>
            <w:r w:rsidRPr="0037515A">
              <w:rPr>
                <w:rFonts w:eastAsia="Times New Roman" w:cs="Times New Roman"/>
                <w:color w:val="000000"/>
                <w:sz w:val="22"/>
              </w:rPr>
              <w:t>When choosing my commute mode, there are many things that are more important than being environmentally friendly</w:t>
            </w:r>
          </w:p>
        </w:tc>
        <w:tc>
          <w:tcPr>
            <w:tcW w:w="1188" w:type="dxa"/>
            <w:tcBorders>
              <w:top w:val="single" w:sz="4" w:space="0" w:color="auto"/>
            </w:tcBorders>
            <w:shd w:val="clear" w:color="auto" w:fill="auto"/>
            <w:noWrap/>
            <w:vAlign w:val="center"/>
          </w:tcPr>
          <w:p w14:paraId="66182AC7"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4.60%</w:t>
            </w:r>
          </w:p>
        </w:tc>
        <w:tc>
          <w:tcPr>
            <w:tcW w:w="1188" w:type="dxa"/>
            <w:tcBorders>
              <w:top w:val="single" w:sz="4" w:space="0" w:color="auto"/>
            </w:tcBorders>
            <w:shd w:val="clear" w:color="auto" w:fill="auto"/>
            <w:noWrap/>
            <w:vAlign w:val="center"/>
          </w:tcPr>
          <w:p w14:paraId="482E12D9"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15.93%</w:t>
            </w:r>
          </w:p>
        </w:tc>
        <w:tc>
          <w:tcPr>
            <w:tcW w:w="1217" w:type="dxa"/>
            <w:tcBorders>
              <w:top w:val="single" w:sz="4" w:space="0" w:color="auto"/>
            </w:tcBorders>
            <w:shd w:val="clear" w:color="auto" w:fill="auto"/>
            <w:noWrap/>
            <w:vAlign w:val="center"/>
          </w:tcPr>
          <w:p w14:paraId="2A95E0A8"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28.38%</w:t>
            </w:r>
          </w:p>
        </w:tc>
        <w:tc>
          <w:tcPr>
            <w:tcW w:w="1159" w:type="dxa"/>
            <w:tcBorders>
              <w:top w:val="single" w:sz="4" w:space="0" w:color="auto"/>
            </w:tcBorders>
            <w:shd w:val="clear" w:color="auto" w:fill="auto"/>
            <w:noWrap/>
            <w:vAlign w:val="center"/>
          </w:tcPr>
          <w:p w14:paraId="52D84DFE"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34.85%</w:t>
            </w:r>
          </w:p>
        </w:tc>
        <w:tc>
          <w:tcPr>
            <w:tcW w:w="1188" w:type="dxa"/>
            <w:tcBorders>
              <w:top w:val="single" w:sz="4" w:space="0" w:color="auto"/>
            </w:tcBorders>
            <w:shd w:val="clear" w:color="auto" w:fill="auto"/>
            <w:noWrap/>
            <w:vAlign w:val="center"/>
          </w:tcPr>
          <w:p w14:paraId="4F34F59F"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16.24%</w:t>
            </w:r>
          </w:p>
        </w:tc>
      </w:tr>
      <w:tr w:rsidR="00E65720" w:rsidRPr="0037515A" w14:paraId="6191F14C" w14:textId="77777777" w:rsidTr="0082758F">
        <w:trPr>
          <w:trHeight w:val="576"/>
          <w:jc w:val="center"/>
        </w:trPr>
        <w:tc>
          <w:tcPr>
            <w:tcW w:w="3435" w:type="dxa"/>
            <w:shd w:val="clear" w:color="auto" w:fill="auto"/>
            <w:vAlign w:val="center"/>
          </w:tcPr>
          <w:p w14:paraId="7B9A72A2" w14:textId="77777777" w:rsidR="00E65720" w:rsidRPr="0037515A" w:rsidRDefault="00E65720" w:rsidP="00E65720">
            <w:pPr>
              <w:spacing w:line="240" w:lineRule="auto"/>
              <w:jc w:val="left"/>
              <w:rPr>
                <w:rFonts w:eastAsia="Times New Roman" w:cs="Times New Roman"/>
                <w:color w:val="000000"/>
                <w:sz w:val="22"/>
              </w:rPr>
            </w:pPr>
            <w:r w:rsidRPr="0037515A">
              <w:rPr>
                <w:rFonts w:eastAsia="Times New Roman" w:cs="Times New Roman"/>
                <w:color w:val="000000"/>
                <w:sz w:val="22"/>
              </w:rPr>
              <w:t>I don’t give much thought to saving energy at home</w:t>
            </w:r>
          </w:p>
        </w:tc>
        <w:tc>
          <w:tcPr>
            <w:tcW w:w="1188" w:type="dxa"/>
            <w:shd w:val="clear" w:color="auto" w:fill="auto"/>
            <w:noWrap/>
            <w:vAlign w:val="center"/>
          </w:tcPr>
          <w:p w14:paraId="6F2CB53F"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39.33%</w:t>
            </w:r>
          </w:p>
        </w:tc>
        <w:tc>
          <w:tcPr>
            <w:tcW w:w="1188" w:type="dxa"/>
            <w:shd w:val="clear" w:color="auto" w:fill="auto"/>
            <w:noWrap/>
            <w:vAlign w:val="center"/>
          </w:tcPr>
          <w:p w14:paraId="21323098"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37.59%</w:t>
            </w:r>
          </w:p>
        </w:tc>
        <w:tc>
          <w:tcPr>
            <w:tcW w:w="1217" w:type="dxa"/>
            <w:shd w:val="clear" w:color="auto" w:fill="auto"/>
            <w:noWrap/>
            <w:vAlign w:val="center"/>
          </w:tcPr>
          <w:p w14:paraId="1D7EF0B1"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11.64%</w:t>
            </w:r>
          </w:p>
        </w:tc>
        <w:tc>
          <w:tcPr>
            <w:tcW w:w="1159" w:type="dxa"/>
            <w:shd w:val="clear" w:color="auto" w:fill="auto"/>
            <w:noWrap/>
            <w:vAlign w:val="center"/>
          </w:tcPr>
          <w:p w14:paraId="29E475FE"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8.59%</w:t>
            </w:r>
          </w:p>
        </w:tc>
        <w:tc>
          <w:tcPr>
            <w:tcW w:w="1188" w:type="dxa"/>
            <w:shd w:val="clear" w:color="auto" w:fill="auto"/>
            <w:noWrap/>
            <w:vAlign w:val="center"/>
          </w:tcPr>
          <w:p w14:paraId="3C8F53E3" w14:textId="77777777" w:rsidR="00E65720" w:rsidRPr="0037515A" w:rsidRDefault="00E65720" w:rsidP="00E65720">
            <w:pPr>
              <w:spacing w:line="240" w:lineRule="auto"/>
              <w:jc w:val="center"/>
              <w:rPr>
                <w:rFonts w:eastAsia="Times New Roman" w:cs="Times New Roman"/>
                <w:color w:val="000000"/>
                <w:sz w:val="22"/>
              </w:rPr>
            </w:pPr>
            <w:r w:rsidRPr="0037515A">
              <w:rPr>
                <w:rFonts w:eastAsia="Times New Roman" w:cs="Times New Roman"/>
                <w:color w:val="000000"/>
                <w:sz w:val="22"/>
              </w:rPr>
              <w:t>2.86%</w:t>
            </w:r>
          </w:p>
        </w:tc>
      </w:tr>
    </w:tbl>
    <w:p w14:paraId="36E2D58A" w14:textId="77777777" w:rsidR="00DF0A35" w:rsidRDefault="00DF0A35" w:rsidP="000C7444">
      <w:pPr>
        <w:ind w:left="360"/>
        <w:rPr>
          <w:b/>
        </w:rPr>
      </w:pPr>
    </w:p>
    <w:p w14:paraId="627214A3" w14:textId="77777777" w:rsidR="006D1E4F" w:rsidRDefault="00CF228A" w:rsidP="006D1E4F">
      <w:pPr>
        <w:spacing w:after="200" w:line="276" w:lineRule="auto"/>
        <w:jc w:val="center"/>
        <w:rPr>
          <w:b/>
        </w:rPr>
      </w:pPr>
      <w:r>
        <w:rPr>
          <w:b/>
        </w:rPr>
        <w:br w:type="page"/>
      </w:r>
    </w:p>
    <w:p w14:paraId="744ABDC9" w14:textId="77777777" w:rsidR="006D1E4F" w:rsidRDefault="006D1E4F" w:rsidP="006D1E4F">
      <w:pPr>
        <w:spacing w:after="200" w:line="276" w:lineRule="auto"/>
        <w:jc w:val="center"/>
        <w:rPr>
          <w:b/>
        </w:rPr>
      </w:pPr>
    </w:p>
    <w:p w14:paraId="5F21EB38" w14:textId="77777777" w:rsidR="006D1E4F" w:rsidRDefault="006D1E4F" w:rsidP="00435DAF">
      <w:pPr>
        <w:spacing w:after="200" w:line="276" w:lineRule="auto"/>
        <w:rPr>
          <w:b/>
        </w:rPr>
      </w:pPr>
    </w:p>
    <w:p w14:paraId="53CC5E32" w14:textId="4D8EA487" w:rsidR="00CF228A" w:rsidRPr="004002B4" w:rsidRDefault="00CF228A" w:rsidP="009E3B28">
      <w:pPr>
        <w:spacing w:after="120" w:line="240" w:lineRule="auto"/>
        <w:jc w:val="center"/>
        <w:rPr>
          <w:b/>
        </w:rPr>
      </w:pPr>
      <w:r w:rsidRPr="004002B4">
        <w:rPr>
          <w:b/>
        </w:rPr>
        <w:t xml:space="preserve">Table </w:t>
      </w:r>
      <w:r w:rsidR="004337C4">
        <w:rPr>
          <w:b/>
        </w:rPr>
        <w:t>3</w:t>
      </w:r>
      <w:r w:rsidR="002A1D88">
        <w:rPr>
          <w:b/>
        </w:rPr>
        <w:t>.</w:t>
      </w:r>
      <w:r w:rsidRPr="004002B4">
        <w:rPr>
          <w:b/>
        </w:rPr>
        <w:t xml:space="preserve"> Sample distribution of </w:t>
      </w:r>
      <w:r>
        <w:rPr>
          <w:b/>
        </w:rPr>
        <w:t>trip characteristics (n=906)</w:t>
      </w:r>
    </w:p>
    <w:tbl>
      <w:tblPr>
        <w:tblW w:w="5967"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24"/>
        <w:gridCol w:w="1066"/>
        <w:gridCol w:w="977"/>
      </w:tblGrid>
      <w:tr w:rsidR="00CF228A" w:rsidRPr="00690234" w14:paraId="322CF8D4" w14:textId="77777777" w:rsidTr="00435DAF">
        <w:trPr>
          <w:trHeight w:val="360"/>
          <w:jc w:val="center"/>
        </w:trPr>
        <w:tc>
          <w:tcPr>
            <w:tcW w:w="3924" w:type="dxa"/>
            <w:tcBorders>
              <w:top w:val="double" w:sz="4" w:space="0" w:color="auto"/>
              <w:bottom w:val="double" w:sz="4" w:space="0" w:color="auto"/>
            </w:tcBorders>
            <w:shd w:val="clear" w:color="auto" w:fill="auto"/>
            <w:noWrap/>
            <w:vAlign w:val="center"/>
            <w:hideMark/>
          </w:tcPr>
          <w:p w14:paraId="6246839F"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Variable</w:t>
            </w:r>
          </w:p>
        </w:tc>
        <w:tc>
          <w:tcPr>
            <w:tcW w:w="1066" w:type="dxa"/>
            <w:tcBorders>
              <w:top w:val="double" w:sz="4" w:space="0" w:color="auto"/>
              <w:bottom w:val="double" w:sz="4" w:space="0" w:color="auto"/>
            </w:tcBorders>
            <w:shd w:val="clear" w:color="auto" w:fill="auto"/>
            <w:noWrap/>
            <w:tcMar>
              <w:left w:w="115" w:type="dxa"/>
              <w:right w:w="144" w:type="dxa"/>
            </w:tcMar>
            <w:vAlign w:val="center"/>
            <w:hideMark/>
          </w:tcPr>
          <w:p w14:paraId="46345456"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Count</w:t>
            </w:r>
          </w:p>
        </w:tc>
        <w:tc>
          <w:tcPr>
            <w:tcW w:w="977" w:type="dxa"/>
            <w:tcBorders>
              <w:top w:val="double" w:sz="4" w:space="0" w:color="auto"/>
              <w:bottom w:val="double" w:sz="4" w:space="0" w:color="auto"/>
            </w:tcBorders>
            <w:shd w:val="clear" w:color="auto" w:fill="auto"/>
            <w:noWrap/>
            <w:tcMar>
              <w:left w:w="115" w:type="dxa"/>
              <w:right w:w="144" w:type="dxa"/>
            </w:tcMar>
            <w:vAlign w:val="center"/>
            <w:hideMark/>
          </w:tcPr>
          <w:p w14:paraId="60943E75" w14:textId="77777777" w:rsidR="00CF228A" w:rsidRPr="00690234" w:rsidRDefault="00CF228A" w:rsidP="00435DAF">
            <w:pPr>
              <w:spacing w:line="240" w:lineRule="auto"/>
              <w:jc w:val="right"/>
              <w:rPr>
                <w:rFonts w:eastAsia="Times New Roman" w:cs="Times New Roman"/>
                <w:color w:val="000000"/>
                <w:sz w:val="22"/>
              </w:rPr>
            </w:pPr>
            <w:r>
              <w:rPr>
                <w:rFonts w:eastAsia="Times New Roman" w:cs="Times New Roman"/>
                <w:color w:val="000000"/>
                <w:sz w:val="22"/>
              </w:rPr>
              <w:t>%</w:t>
            </w:r>
          </w:p>
        </w:tc>
      </w:tr>
      <w:tr w:rsidR="00CF228A" w:rsidRPr="00690234" w14:paraId="5CAF71EE" w14:textId="77777777" w:rsidTr="00435DAF">
        <w:trPr>
          <w:trHeight w:val="360"/>
          <w:jc w:val="center"/>
        </w:trPr>
        <w:tc>
          <w:tcPr>
            <w:tcW w:w="4990" w:type="dxa"/>
            <w:gridSpan w:val="2"/>
            <w:tcBorders>
              <w:top w:val="nil"/>
              <w:left w:val="double" w:sz="4" w:space="0" w:color="auto"/>
              <w:bottom w:val="nil"/>
            </w:tcBorders>
            <w:shd w:val="clear" w:color="auto" w:fill="auto"/>
            <w:noWrap/>
            <w:tcMar>
              <w:left w:w="115" w:type="dxa"/>
              <w:right w:w="144" w:type="dxa"/>
            </w:tcMar>
            <w:vAlign w:val="center"/>
            <w:hideMark/>
          </w:tcPr>
          <w:p w14:paraId="0252AD31" w14:textId="77777777" w:rsidR="00CF228A" w:rsidRPr="00CF228A" w:rsidRDefault="00CF228A" w:rsidP="00435DAF">
            <w:pPr>
              <w:spacing w:line="240" w:lineRule="auto"/>
              <w:jc w:val="left"/>
              <w:rPr>
                <w:rFonts w:eastAsia="Times New Roman" w:cs="Times New Roman"/>
                <w:b/>
                <w:color w:val="000000"/>
                <w:sz w:val="22"/>
              </w:rPr>
            </w:pPr>
            <w:r w:rsidRPr="00CF228A">
              <w:rPr>
                <w:rFonts w:eastAsia="Times New Roman" w:cs="Times New Roman"/>
                <w:b/>
                <w:color w:val="000000"/>
                <w:sz w:val="22"/>
              </w:rPr>
              <w:t>Trip purpose</w:t>
            </w:r>
          </w:p>
        </w:tc>
        <w:tc>
          <w:tcPr>
            <w:tcW w:w="977" w:type="dxa"/>
            <w:tcBorders>
              <w:top w:val="nil"/>
              <w:bottom w:val="nil"/>
            </w:tcBorders>
            <w:shd w:val="clear" w:color="auto" w:fill="auto"/>
            <w:noWrap/>
            <w:tcMar>
              <w:left w:w="115" w:type="dxa"/>
              <w:right w:w="144" w:type="dxa"/>
            </w:tcMar>
            <w:vAlign w:val="center"/>
            <w:hideMark/>
          </w:tcPr>
          <w:p w14:paraId="38CAF1EA" w14:textId="77777777" w:rsidR="00CF228A" w:rsidRPr="00690234" w:rsidRDefault="00CF228A" w:rsidP="00435DAF">
            <w:pPr>
              <w:spacing w:line="240" w:lineRule="auto"/>
              <w:jc w:val="right"/>
              <w:rPr>
                <w:rFonts w:eastAsia="Times New Roman" w:cs="Times New Roman"/>
                <w:color w:val="000000"/>
                <w:sz w:val="22"/>
              </w:rPr>
            </w:pPr>
          </w:p>
        </w:tc>
      </w:tr>
      <w:tr w:rsidR="00CF228A" w:rsidRPr="00690234" w14:paraId="0D4F2DF6"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51B292B9"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Airport</w:t>
            </w:r>
          </w:p>
        </w:tc>
        <w:tc>
          <w:tcPr>
            <w:tcW w:w="1066" w:type="dxa"/>
            <w:tcBorders>
              <w:top w:val="nil"/>
              <w:bottom w:val="nil"/>
            </w:tcBorders>
            <w:shd w:val="clear" w:color="auto" w:fill="auto"/>
            <w:noWrap/>
            <w:tcMar>
              <w:left w:w="115" w:type="dxa"/>
              <w:right w:w="144" w:type="dxa"/>
            </w:tcMar>
            <w:vAlign w:val="center"/>
            <w:hideMark/>
          </w:tcPr>
          <w:p w14:paraId="4AB3A630"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359</w:t>
            </w:r>
          </w:p>
        </w:tc>
        <w:tc>
          <w:tcPr>
            <w:tcW w:w="977" w:type="dxa"/>
            <w:tcBorders>
              <w:top w:val="nil"/>
              <w:bottom w:val="nil"/>
            </w:tcBorders>
            <w:shd w:val="clear" w:color="auto" w:fill="auto"/>
            <w:noWrap/>
            <w:tcMar>
              <w:left w:w="115" w:type="dxa"/>
              <w:right w:w="144" w:type="dxa"/>
            </w:tcMar>
            <w:vAlign w:val="center"/>
            <w:hideMark/>
          </w:tcPr>
          <w:p w14:paraId="68FB5740"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39.62</w:t>
            </w:r>
          </w:p>
        </w:tc>
      </w:tr>
      <w:tr w:rsidR="00CF228A" w:rsidRPr="00690234" w14:paraId="3616B143"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31A2E593"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 xml:space="preserve">Shopping, personal, </w:t>
            </w:r>
            <w:r>
              <w:rPr>
                <w:rFonts w:eastAsia="Times New Roman" w:cs="Times New Roman"/>
                <w:color w:val="000000"/>
                <w:sz w:val="22"/>
              </w:rPr>
              <w:t xml:space="preserve">or </w:t>
            </w:r>
            <w:r w:rsidRPr="00690234">
              <w:rPr>
                <w:rFonts w:eastAsia="Times New Roman" w:cs="Times New Roman"/>
                <w:color w:val="000000"/>
                <w:sz w:val="22"/>
              </w:rPr>
              <w:t>family errands</w:t>
            </w:r>
          </w:p>
        </w:tc>
        <w:tc>
          <w:tcPr>
            <w:tcW w:w="1066" w:type="dxa"/>
            <w:tcBorders>
              <w:top w:val="nil"/>
              <w:bottom w:val="nil"/>
            </w:tcBorders>
            <w:shd w:val="clear" w:color="auto" w:fill="auto"/>
            <w:noWrap/>
            <w:tcMar>
              <w:left w:w="115" w:type="dxa"/>
              <w:right w:w="144" w:type="dxa"/>
            </w:tcMar>
            <w:vAlign w:val="center"/>
            <w:hideMark/>
          </w:tcPr>
          <w:p w14:paraId="514DFC83"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86</w:t>
            </w:r>
          </w:p>
        </w:tc>
        <w:tc>
          <w:tcPr>
            <w:tcW w:w="977" w:type="dxa"/>
            <w:tcBorders>
              <w:top w:val="nil"/>
              <w:bottom w:val="nil"/>
            </w:tcBorders>
            <w:shd w:val="clear" w:color="auto" w:fill="auto"/>
            <w:noWrap/>
            <w:tcMar>
              <w:left w:w="115" w:type="dxa"/>
              <w:right w:w="144" w:type="dxa"/>
            </w:tcMar>
            <w:vAlign w:val="center"/>
            <w:hideMark/>
          </w:tcPr>
          <w:p w14:paraId="37DD0BB3"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9.49</w:t>
            </w:r>
          </w:p>
        </w:tc>
      </w:tr>
      <w:tr w:rsidR="00CF228A" w:rsidRPr="00690234" w14:paraId="7FF98381"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1F9B2C03"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Recreational and leisure activities</w:t>
            </w:r>
          </w:p>
        </w:tc>
        <w:tc>
          <w:tcPr>
            <w:tcW w:w="1066" w:type="dxa"/>
            <w:tcBorders>
              <w:top w:val="nil"/>
              <w:bottom w:val="nil"/>
            </w:tcBorders>
            <w:shd w:val="clear" w:color="auto" w:fill="auto"/>
            <w:noWrap/>
            <w:tcMar>
              <w:left w:w="115" w:type="dxa"/>
              <w:right w:w="144" w:type="dxa"/>
            </w:tcMar>
            <w:vAlign w:val="center"/>
            <w:hideMark/>
          </w:tcPr>
          <w:p w14:paraId="1EF42C4F"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362</w:t>
            </w:r>
          </w:p>
        </w:tc>
        <w:tc>
          <w:tcPr>
            <w:tcW w:w="977" w:type="dxa"/>
            <w:tcBorders>
              <w:top w:val="nil"/>
              <w:bottom w:val="nil"/>
            </w:tcBorders>
            <w:shd w:val="clear" w:color="auto" w:fill="auto"/>
            <w:noWrap/>
            <w:tcMar>
              <w:left w:w="115" w:type="dxa"/>
              <w:right w:w="144" w:type="dxa"/>
            </w:tcMar>
            <w:vAlign w:val="center"/>
            <w:hideMark/>
          </w:tcPr>
          <w:p w14:paraId="1854958A"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39.96</w:t>
            </w:r>
          </w:p>
        </w:tc>
      </w:tr>
      <w:tr w:rsidR="00CF228A" w:rsidRPr="00690234" w14:paraId="6C2BA044"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2236EACB"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 xml:space="preserve">Work or education </w:t>
            </w:r>
          </w:p>
        </w:tc>
        <w:tc>
          <w:tcPr>
            <w:tcW w:w="1066" w:type="dxa"/>
            <w:tcBorders>
              <w:top w:val="nil"/>
              <w:bottom w:val="nil"/>
            </w:tcBorders>
            <w:shd w:val="clear" w:color="auto" w:fill="auto"/>
            <w:noWrap/>
            <w:tcMar>
              <w:left w:w="115" w:type="dxa"/>
              <w:right w:w="144" w:type="dxa"/>
            </w:tcMar>
            <w:vAlign w:val="center"/>
            <w:hideMark/>
          </w:tcPr>
          <w:p w14:paraId="2FDA3C33"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99</w:t>
            </w:r>
          </w:p>
        </w:tc>
        <w:tc>
          <w:tcPr>
            <w:tcW w:w="977" w:type="dxa"/>
            <w:tcBorders>
              <w:top w:val="nil"/>
              <w:bottom w:val="nil"/>
            </w:tcBorders>
            <w:shd w:val="clear" w:color="auto" w:fill="auto"/>
            <w:noWrap/>
            <w:tcMar>
              <w:left w:w="115" w:type="dxa"/>
              <w:right w:w="144" w:type="dxa"/>
            </w:tcMar>
            <w:vAlign w:val="center"/>
            <w:hideMark/>
          </w:tcPr>
          <w:p w14:paraId="62442AD2"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10.93</w:t>
            </w:r>
          </w:p>
        </w:tc>
      </w:tr>
      <w:tr w:rsidR="00CF228A" w:rsidRPr="00690234" w14:paraId="383EA918" w14:textId="77777777" w:rsidTr="00435DAF">
        <w:trPr>
          <w:trHeight w:val="360"/>
          <w:jc w:val="center"/>
        </w:trPr>
        <w:tc>
          <w:tcPr>
            <w:tcW w:w="4990" w:type="dxa"/>
            <w:gridSpan w:val="2"/>
            <w:tcBorders>
              <w:top w:val="nil"/>
              <w:left w:val="double" w:sz="4" w:space="0" w:color="auto"/>
              <w:bottom w:val="nil"/>
            </w:tcBorders>
            <w:shd w:val="clear" w:color="auto" w:fill="auto"/>
            <w:noWrap/>
            <w:tcMar>
              <w:left w:w="115" w:type="dxa"/>
              <w:right w:w="144" w:type="dxa"/>
            </w:tcMar>
            <w:vAlign w:val="center"/>
            <w:hideMark/>
          </w:tcPr>
          <w:p w14:paraId="60B032B5" w14:textId="77777777" w:rsidR="00CF228A" w:rsidRPr="00CF228A" w:rsidRDefault="00CF228A" w:rsidP="00435DAF">
            <w:pPr>
              <w:spacing w:line="240" w:lineRule="auto"/>
              <w:jc w:val="left"/>
              <w:rPr>
                <w:rFonts w:eastAsia="Times New Roman" w:cs="Times New Roman"/>
                <w:b/>
                <w:color w:val="000000"/>
                <w:sz w:val="22"/>
              </w:rPr>
            </w:pPr>
            <w:r w:rsidRPr="00CF228A">
              <w:rPr>
                <w:rFonts w:eastAsia="Times New Roman" w:cs="Times New Roman"/>
                <w:b/>
                <w:color w:val="000000"/>
                <w:sz w:val="22"/>
              </w:rPr>
              <w:t>Time-of-day</w:t>
            </w:r>
          </w:p>
        </w:tc>
        <w:tc>
          <w:tcPr>
            <w:tcW w:w="977" w:type="dxa"/>
            <w:tcBorders>
              <w:top w:val="nil"/>
              <w:bottom w:val="nil"/>
            </w:tcBorders>
            <w:shd w:val="clear" w:color="auto" w:fill="auto"/>
            <w:noWrap/>
            <w:tcMar>
              <w:left w:w="115" w:type="dxa"/>
              <w:right w:w="144" w:type="dxa"/>
            </w:tcMar>
            <w:vAlign w:val="center"/>
            <w:hideMark/>
          </w:tcPr>
          <w:p w14:paraId="62963A12" w14:textId="77777777" w:rsidR="00CF228A" w:rsidRPr="00690234" w:rsidRDefault="00CF228A" w:rsidP="00435DAF">
            <w:pPr>
              <w:spacing w:line="240" w:lineRule="auto"/>
              <w:jc w:val="right"/>
              <w:rPr>
                <w:rFonts w:eastAsia="Times New Roman" w:cs="Times New Roman"/>
                <w:color w:val="000000"/>
                <w:sz w:val="22"/>
              </w:rPr>
            </w:pPr>
          </w:p>
        </w:tc>
      </w:tr>
      <w:tr w:rsidR="00CF228A" w:rsidRPr="00690234" w14:paraId="05A4F0A9"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56E9CE6A" w14:textId="77777777" w:rsidR="00CF228A" w:rsidRPr="00690234" w:rsidRDefault="001264BF" w:rsidP="00435DAF">
            <w:pPr>
              <w:spacing w:line="240" w:lineRule="auto"/>
              <w:jc w:val="left"/>
              <w:rPr>
                <w:rFonts w:eastAsia="Times New Roman" w:cs="Times New Roman"/>
                <w:color w:val="000000"/>
                <w:sz w:val="22"/>
              </w:rPr>
            </w:pPr>
            <w:r>
              <w:rPr>
                <w:rFonts w:eastAsia="Times New Roman" w:cs="Times New Roman"/>
                <w:color w:val="000000"/>
                <w:sz w:val="22"/>
              </w:rPr>
              <w:t>Moring (</w:t>
            </w:r>
            <w:r w:rsidR="00CF228A" w:rsidRPr="00690234">
              <w:rPr>
                <w:rFonts w:eastAsia="Times New Roman" w:cs="Times New Roman"/>
                <w:color w:val="000000"/>
                <w:sz w:val="22"/>
              </w:rPr>
              <w:t>6:00am-10:59am</w:t>
            </w:r>
            <w:r>
              <w:rPr>
                <w:rFonts w:eastAsia="Times New Roman" w:cs="Times New Roman"/>
                <w:color w:val="000000"/>
                <w:sz w:val="22"/>
              </w:rPr>
              <w:t>)</w:t>
            </w:r>
          </w:p>
        </w:tc>
        <w:tc>
          <w:tcPr>
            <w:tcW w:w="1066" w:type="dxa"/>
            <w:tcBorders>
              <w:top w:val="nil"/>
              <w:bottom w:val="nil"/>
            </w:tcBorders>
            <w:shd w:val="clear" w:color="auto" w:fill="auto"/>
            <w:noWrap/>
            <w:tcMar>
              <w:left w:w="115" w:type="dxa"/>
              <w:right w:w="144" w:type="dxa"/>
            </w:tcMar>
            <w:vAlign w:val="center"/>
            <w:hideMark/>
          </w:tcPr>
          <w:p w14:paraId="62A0AA66"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191</w:t>
            </w:r>
          </w:p>
        </w:tc>
        <w:tc>
          <w:tcPr>
            <w:tcW w:w="977" w:type="dxa"/>
            <w:tcBorders>
              <w:top w:val="nil"/>
              <w:bottom w:val="nil"/>
            </w:tcBorders>
            <w:shd w:val="clear" w:color="auto" w:fill="auto"/>
            <w:noWrap/>
            <w:tcMar>
              <w:left w:w="115" w:type="dxa"/>
              <w:right w:w="144" w:type="dxa"/>
            </w:tcMar>
            <w:vAlign w:val="center"/>
            <w:hideMark/>
          </w:tcPr>
          <w:p w14:paraId="48B5E87D"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21.08</w:t>
            </w:r>
          </w:p>
        </w:tc>
      </w:tr>
      <w:tr w:rsidR="00CF228A" w:rsidRPr="00690234" w14:paraId="0DAB9485"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23B1306E" w14:textId="77777777" w:rsidR="00CF228A" w:rsidRPr="00690234" w:rsidRDefault="001264BF" w:rsidP="00435DAF">
            <w:pPr>
              <w:spacing w:line="240" w:lineRule="auto"/>
              <w:jc w:val="left"/>
              <w:rPr>
                <w:rFonts w:eastAsia="Times New Roman" w:cs="Times New Roman"/>
                <w:color w:val="000000"/>
                <w:sz w:val="22"/>
              </w:rPr>
            </w:pPr>
            <w:r>
              <w:rPr>
                <w:rFonts w:eastAsia="Times New Roman" w:cs="Times New Roman"/>
                <w:color w:val="000000"/>
                <w:sz w:val="22"/>
              </w:rPr>
              <w:t>Mid-day (</w:t>
            </w:r>
            <w:r w:rsidR="00CF228A" w:rsidRPr="00690234">
              <w:rPr>
                <w:rFonts w:eastAsia="Times New Roman" w:cs="Times New Roman"/>
                <w:color w:val="000000"/>
                <w:sz w:val="22"/>
              </w:rPr>
              <w:t>11:00am-3:59pm</w:t>
            </w:r>
          </w:p>
        </w:tc>
        <w:tc>
          <w:tcPr>
            <w:tcW w:w="1066" w:type="dxa"/>
            <w:tcBorders>
              <w:top w:val="nil"/>
              <w:bottom w:val="nil"/>
            </w:tcBorders>
            <w:shd w:val="clear" w:color="auto" w:fill="auto"/>
            <w:noWrap/>
            <w:tcMar>
              <w:left w:w="115" w:type="dxa"/>
              <w:right w:w="144" w:type="dxa"/>
            </w:tcMar>
            <w:vAlign w:val="center"/>
            <w:hideMark/>
          </w:tcPr>
          <w:p w14:paraId="5F9BA5CE"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183</w:t>
            </w:r>
          </w:p>
        </w:tc>
        <w:tc>
          <w:tcPr>
            <w:tcW w:w="977" w:type="dxa"/>
            <w:tcBorders>
              <w:top w:val="nil"/>
              <w:bottom w:val="nil"/>
            </w:tcBorders>
            <w:shd w:val="clear" w:color="auto" w:fill="auto"/>
            <w:noWrap/>
            <w:tcMar>
              <w:left w:w="115" w:type="dxa"/>
              <w:right w:w="144" w:type="dxa"/>
            </w:tcMar>
            <w:vAlign w:val="center"/>
            <w:hideMark/>
          </w:tcPr>
          <w:p w14:paraId="7134B25D"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20.20</w:t>
            </w:r>
          </w:p>
        </w:tc>
      </w:tr>
      <w:tr w:rsidR="00CF228A" w:rsidRPr="00690234" w14:paraId="6D3D07B7"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0A6D7A2D" w14:textId="77777777" w:rsidR="00CF228A" w:rsidRPr="00690234" w:rsidRDefault="001264BF" w:rsidP="00435DAF">
            <w:pPr>
              <w:spacing w:line="240" w:lineRule="auto"/>
              <w:jc w:val="left"/>
              <w:rPr>
                <w:rFonts w:eastAsia="Times New Roman" w:cs="Times New Roman"/>
                <w:color w:val="000000"/>
                <w:sz w:val="22"/>
              </w:rPr>
            </w:pPr>
            <w:r>
              <w:rPr>
                <w:rFonts w:eastAsia="Times New Roman" w:cs="Times New Roman"/>
                <w:color w:val="000000"/>
                <w:sz w:val="22"/>
              </w:rPr>
              <w:t>Evening (</w:t>
            </w:r>
            <w:r w:rsidR="00CF228A" w:rsidRPr="00690234">
              <w:rPr>
                <w:rFonts w:eastAsia="Times New Roman" w:cs="Times New Roman"/>
                <w:color w:val="000000"/>
                <w:sz w:val="22"/>
              </w:rPr>
              <w:t>4:00pm-8:59pm</w:t>
            </w:r>
            <w:r>
              <w:rPr>
                <w:rFonts w:eastAsia="Times New Roman" w:cs="Times New Roman"/>
                <w:color w:val="000000"/>
                <w:sz w:val="22"/>
              </w:rPr>
              <w:t>)</w:t>
            </w:r>
          </w:p>
        </w:tc>
        <w:tc>
          <w:tcPr>
            <w:tcW w:w="1066" w:type="dxa"/>
            <w:tcBorders>
              <w:top w:val="nil"/>
              <w:bottom w:val="nil"/>
            </w:tcBorders>
            <w:shd w:val="clear" w:color="auto" w:fill="auto"/>
            <w:noWrap/>
            <w:tcMar>
              <w:left w:w="115" w:type="dxa"/>
              <w:right w:w="144" w:type="dxa"/>
            </w:tcMar>
            <w:vAlign w:val="center"/>
            <w:hideMark/>
          </w:tcPr>
          <w:p w14:paraId="24F4CB3E"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305</w:t>
            </w:r>
          </w:p>
        </w:tc>
        <w:tc>
          <w:tcPr>
            <w:tcW w:w="977" w:type="dxa"/>
            <w:tcBorders>
              <w:top w:val="nil"/>
              <w:bottom w:val="nil"/>
            </w:tcBorders>
            <w:shd w:val="clear" w:color="auto" w:fill="auto"/>
            <w:noWrap/>
            <w:tcMar>
              <w:left w:w="115" w:type="dxa"/>
              <w:right w:w="144" w:type="dxa"/>
            </w:tcMar>
            <w:vAlign w:val="center"/>
            <w:hideMark/>
          </w:tcPr>
          <w:p w14:paraId="5E25DA85"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33.66</w:t>
            </w:r>
          </w:p>
        </w:tc>
      </w:tr>
      <w:tr w:rsidR="00CF228A" w:rsidRPr="00690234" w14:paraId="0EC1510A"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595DEACB" w14:textId="77777777" w:rsidR="00CF228A" w:rsidRPr="00690234" w:rsidRDefault="000372A8" w:rsidP="00435DAF">
            <w:pPr>
              <w:spacing w:line="240" w:lineRule="auto"/>
              <w:jc w:val="left"/>
              <w:rPr>
                <w:rFonts w:eastAsia="Times New Roman" w:cs="Times New Roman"/>
                <w:color w:val="000000"/>
                <w:sz w:val="22"/>
              </w:rPr>
            </w:pPr>
            <w:r>
              <w:rPr>
                <w:rFonts w:eastAsia="Times New Roman" w:cs="Times New Roman"/>
                <w:color w:val="000000"/>
                <w:sz w:val="22"/>
              </w:rPr>
              <w:t>Night (</w:t>
            </w:r>
            <w:r w:rsidR="00CF228A" w:rsidRPr="00690234">
              <w:rPr>
                <w:rFonts w:eastAsia="Times New Roman" w:cs="Times New Roman"/>
                <w:color w:val="000000"/>
                <w:sz w:val="22"/>
              </w:rPr>
              <w:t>9:00pm-5:59am</w:t>
            </w:r>
            <w:r>
              <w:rPr>
                <w:rFonts w:eastAsia="Times New Roman" w:cs="Times New Roman"/>
                <w:color w:val="000000"/>
                <w:sz w:val="22"/>
              </w:rPr>
              <w:t>)</w:t>
            </w:r>
          </w:p>
        </w:tc>
        <w:tc>
          <w:tcPr>
            <w:tcW w:w="1066" w:type="dxa"/>
            <w:tcBorders>
              <w:top w:val="nil"/>
              <w:bottom w:val="nil"/>
            </w:tcBorders>
            <w:shd w:val="clear" w:color="auto" w:fill="auto"/>
            <w:noWrap/>
            <w:tcMar>
              <w:left w:w="115" w:type="dxa"/>
              <w:right w:w="144" w:type="dxa"/>
            </w:tcMar>
            <w:vAlign w:val="center"/>
            <w:hideMark/>
          </w:tcPr>
          <w:p w14:paraId="03055C92"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227</w:t>
            </w:r>
          </w:p>
        </w:tc>
        <w:tc>
          <w:tcPr>
            <w:tcW w:w="977" w:type="dxa"/>
            <w:tcBorders>
              <w:top w:val="nil"/>
              <w:bottom w:val="nil"/>
            </w:tcBorders>
            <w:shd w:val="clear" w:color="auto" w:fill="auto"/>
            <w:noWrap/>
            <w:tcMar>
              <w:left w:w="115" w:type="dxa"/>
              <w:right w:w="144" w:type="dxa"/>
            </w:tcMar>
            <w:vAlign w:val="center"/>
            <w:hideMark/>
          </w:tcPr>
          <w:p w14:paraId="7FBCF2F3"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25.06</w:t>
            </w:r>
          </w:p>
        </w:tc>
      </w:tr>
      <w:tr w:rsidR="00CF228A" w:rsidRPr="00690234" w14:paraId="360F8D1C" w14:textId="77777777" w:rsidTr="00435DAF">
        <w:trPr>
          <w:trHeight w:val="360"/>
          <w:jc w:val="center"/>
        </w:trPr>
        <w:tc>
          <w:tcPr>
            <w:tcW w:w="4990" w:type="dxa"/>
            <w:gridSpan w:val="2"/>
            <w:tcBorders>
              <w:top w:val="nil"/>
              <w:left w:val="double" w:sz="4" w:space="0" w:color="auto"/>
              <w:bottom w:val="nil"/>
            </w:tcBorders>
            <w:shd w:val="clear" w:color="auto" w:fill="auto"/>
            <w:noWrap/>
            <w:tcMar>
              <w:left w:w="115" w:type="dxa"/>
              <w:right w:w="144" w:type="dxa"/>
            </w:tcMar>
            <w:vAlign w:val="center"/>
            <w:hideMark/>
          </w:tcPr>
          <w:p w14:paraId="294EA14F" w14:textId="77777777" w:rsidR="00CF228A" w:rsidRPr="00CF228A" w:rsidRDefault="00CF228A" w:rsidP="00435DAF">
            <w:pPr>
              <w:spacing w:line="240" w:lineRule="auto"/>
              <w:jc w:val="left"/>
              <w:rPr>
                <w:rFonts w:eastAsia="Times New Roman" w:cs="Times New Roman"/>
                <w:b/>
                <w:color w:val="000000"/>
                <w:sz w:val="22"/>
              </w:rPr>
            </w:pPr>
            <w:r w:rsidRPr="00CF228A">
              <w:rPr>
                <w:rFonts w:eastAsia="Times New Roman" w:cs="Times New Roman"/>
                <w:b/>
                <w:color w:val="000000"/>
                <w:sz w:val="22"/>
              </w:rPr>
              <w:t>Companion</w:t>
            </w:r>
          </w:p>
        </w:tc>
        <w:tc>
          <w:tcPr>
            <w:tcW w:w="977" w:type="dxa"/>
            <w:tcBorders>
              <w:top w:val="nil"/>
              <w:bottom w:val="nil"/>
            </w:tcBorders>
            <w:shd w:val="clear" w:color="auto" w:fill="auto"/>
            <w:noWrap/>
            <w:tcMar>
              <w:left w:w="115" w:type="dxa"/>
              <w:right w:w="144" w:type="dxa"/>
            </w:tcMar>
            <w:vAlign w:val="center"/>
            <w:hideMark/>
          </w:tcPr>
          <w:p w14:paraId="488F21C6" w14:textId="77777777" w:rsidR="00CF228A" w:rsidRPr="00690234" w:rsidRDefault="00CF228A" w:rsidP="00435DAF">
            <w:pPr>
              <w:spacing w:line="240" w:lineRule="auto"/>
              <w:jc w:val="right"/>
              <w:rPr>
                <w:rFonts w:eastAsia="Times New Roman" w:cs="Times New Roman"/>
                <w:color w:val="000000"/>
                <w:sz w:val="22"/>
              </w:rPr>
            </w:pPr>
          </w:p>
        </w:tc>
      </w:tr>
      <w:tr w:rsidR="00CF228A" w:rsidRPr="00690234" w14:paraId="466F6D74"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0DA53F65"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Alone</w:t>
            </w:r>
          </w:p>
        </w:tc>
        <w:tc>
          <w:tcPr>
            <w:tcW w:w="1066" w:type="dxa"/>
            <w:tcBorders>
              <w:top w:val="nil"/>
              <w:bottom w:val="nil"/>
            </w:tcBorders>
            <w:shd w:val="clear" w:color="auto" w:fill="auto"/>
            <w:noWrap/>
            <w:tcMar>
              <w:left w:w="115" w:type="dxa"/>
              <w:right w:w="144" w:type="dxa"/>
            </w:tcMar>
            <w:vAlign w:val="center"/>
            <w:hideMark/>
          </w:tcPr>
          <w:p w14:paraId="177DBF77"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370</w:t>
            </w:r>
          </w:p>
        </w:tc>
        <w:tc>
          <w:tcPr>
            <w:tcW w:w="977" w:type="dxa"/>
            <w:tcBorders>
              <w:top w:val="nil"/>
              <w:bottom w:val="nil"/>
            </w:tcBorders>
            <w:shd w:val="clear" w:color="auto" w:fill="auto"/>
            <w:noWrap/>
            <w:tcMar>
              <w:left w:w="115" w:type="dxa"/>
              <w:right w:w="144" w:type="dxa"/>
            </w:tcMar>
            <w:vAlign w:val="center"/>
            <w:hideMark/>
          </w:tcPr>
          <w:p w14:paraId="4E26ED6E"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40.84</w:t>
            </w:r>
          </w:p>
        </w:tc>
      </w:tr>
      <w:tr w:rsidR="00CF228A" w:rsidRPr="00690234" w14:paraId="77B31A6B"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3BC6C279"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With friends, family or co-workers</w:t>
            </w:r>
          </w:p>
        </w:tc>
        <w:tc>
          <w:tcPr>
            <w:tcW w:w="1066" w:type="dxa"/>
            <w:tcBorders>
              <w:top w:val="nil"/>
              <w:bottom w:val="nil"/>
            </w:tcBorders>
            <w:shd w:val="clear" w:color="auto" w:fill="auto"/>
            <w:noWrap/>
            <w:tcMar>
              <w:left w:w="115" w:type="dxa"/>
              <w:right w:w="144" w:type="dxa"/>
            </w:tcMar>
            <w:vAlign w:val="center"/>
            <w:hideMark/>
          </w:tcPr>
          <w:p w14:paraId="531F72CC"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523</w:t>
            </w:r>
          </w:p>
        </w:tc>
        <w:tc>
          <w:tcPr>
            <w:tcW w:w="977" w:type="dxa"/>
            <w:tcBorders>
              <w:top w:val="nil"/>
              <w:bottom w:val="nil"/>
            </w:tcBorders>
            <w:shd w:val="clear" w:color="auto" w:fill="auto"/>
            <w:noWrap/>
            <w:tcMar>
              <w:left w:w="115" w:type="dxa"/>
              <w:right w:w="144" w:type="dxa"/>
            </w:tcMar>
            <w:vAlign w:val="center"/>
            <w:hideMark/>
          </w:tcPr>
          <w:p w14:paraId="7883E9F3"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57.73</w:t>
            </w:r>
          </w:p>
        </w:tc>
      </w:tr>
      <w:tr w:rsidR="00CF228A" w:rsidRPr="00690234" w14:paraId="52EBFD15"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2D09608D"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With a stranger (pooled ride)</w:t>
            </w:r>
          </w:p>
        </w:tc>
        <w:tc>
          <w:tcPr>
            <w:tcW w:w="1066" w:type="dxa"/>
            <w:tcBorders>
              <w:top w:val="nil"/>
              <w:bottom w:val="nil"/>
            </w:tcBorders>
            <w:shd w:val="clear" w:color="auto" w:fill="auto"/>
            <w:noWrap/>
            <w:tcMar>
              <w:left w:w="115" w:type="dxa"/>
              <w:right w:w="144" w:type="dxa"/>
            </w:tcMar>
            <w:vAlign w:val="center"/>
            <w:hideMark/>
          </w:tcPr>
          <w:p w14:paraId="5BC9C76E"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13</w:t>
            </w:r>
          </w:p>
        </w:tc>
        <w:tc>
          <w:tcPr>
            <w:tcW w:w="977" w:type="dxa"/>
            <w:tcBorders>
              <w:top w:val="nil"/>
              <w:bottom w:val="nil"/>
            </w:tcBorders>
            <w:shd w:val="clear" w:color="auto" w:fill="auto"/>
            <w:noWrap/>
            <w:tcMar>
              <w:left w:w="115" w:type="dxa"/>
              <w:right w:w="144" w:type="dxa"/>
            </w:tcMar>
            <w:vAlign w:val="center"/>
            <w:hideMark/>
          </w:tcPr>
          <w:p w14:paraId="66F4A85E"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1.43</w:t>
            </w:r>
          </w:p>
        </w:tc>
      </w:tr>
      <w:tr w:rsidR="00CF228A" w:rsidRPr="00690234" w14:paraId="70530954" w14:textId="77777777" w:rsidTr="00435DAF">
        <w:trPr>
          <w:trHeight w:val="360"/>
          <w:jc w:val="center"/>
        </w:trPr>
        <w:tc>
          <w:tcPr>
            <w:tcW w:w="4990" w:type="dxa"/>
            <w:gridSpan w:val="2"/>
            <w:tcBorders>
              <w:top w:val="nil"/>
              <w:left w:val="double" w:sz="4" w:space="0" w:color="auto"/>
              <w:bottom w:val="nil"/>
            </w:tcBorders>
            <w:shd w:val="clear" w:color="auto" w:fill="auto"/>
            <w:noWrap/>
            <w:tcMar>
              <w:left w:w="115" w:type="dxa"/>
              <w:right w:w="144" w:type="dxa"/>
            </w:tcMar>
            <w:vAlign w:val="center"/>
            <w:hideMark/>
          </w:tcPr>
          <w:p w14:paraId="4258EDCA" w14:textId="77777777" w:rsidR="00CF228A" w:rsidRPr="00CF228A" w:rsidRDefault="00CF228A" w:rsidP="00435DAF">
            <w:pPr>
              <w:spacing w:line="240" w:lineRule="auto"/>
              <w:jc w:val="left"/>
              <w:rPr>
                <w:rFonts w:eastAsia="Times New Roman" w:cs="Times New Roman"/>
                <w:b/>
                <w:color w:val="000000"/>
                <w:sz w:val="22"/>
              </w:rPr>
            </w:pPr>
            <w:r w:rsidRPr="00CF228A">
              <w:rPr>
                <w:rFonts w:eastAsia="Times New Roman" w:cs="Times New Roman"/>
                <w:b/>
                <w:color w:val="000000"/>
                <w:sz w:val="22"/>
              </w:rPr>
              <w:t>Mode substituted</w:t>
            </w:r>
          </w:p>
        </w:tc>
        <w:tc>
          <w:tcPr>
            <w:tcW w:w="977" w:type="dxa"/>
            <w:tcBorders>
              <w:top w:val="nil"/>
              <w:bottom w:val="nil"/>
            </w:tcBorders>
            <w:shd w:val="clear" w:color="auto" w:fill="auto"/>
            <w:noWrap/>
            <w:tcMar>
              <w:left w:w="115" w:type="dxa"/>
              <w:right w:w="144" w:type="dxa"/>
            </w:tcMar>
            <w:vAlign w:val="center"/>
            <w:hideMark/>
          </w:tcPr>
          <w:p w14:paraId="68A72C15" w14:textId="77777777" w:rsidR="00CF228A" w:rsidRPr="00690234" w:rsidRDefault="00CF228A" w:rsidP="00435DAF">
            <w:pPr>
              <w:spacing w:line="240" w:lineRule="auto"/>
              <w:jc w:val="right"/>
              <w:rPr>
                <w:rFonts w:eastAsia="Times New Roman" w:cs="Times New Roman"/>
                <w:color w:val="000000"/>
                <w:sz w:val="22"/>
              </w:rPr>
            </w:pPr>
          </w:p>
        </w:tc>
      </w:tr>
      <w:tr w:rsidR="00CF228A" w:rsidRPr="00690234" w14:paraId="5AC2F0F8"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3C99C457"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My own vehicle</w:t>
            </w:r>
          </w:p>
        </w:tc>
        <w:tc>
          <w:tcPr>
            <w:tcW w:w="1066" w:type="dxa"/>
            <w:tcBorders>
              <w:top w:val="nil"/>
              <w:bottom w:val="nil"/>
            </w:tcBorders>
            <w:shd w:val="clear" w:color="auto" w:fill="auto"/>
            <w:noWrap/>
            <w:tcMar>
              <w:left w:w="115" w:type="dxa"/>
              <w:right w:w="144" w:type="dxa"/>
            </w:tcMar>
            <w:vAlign w:val="center"/>
            <w:hideMark/>
          </w:tcPr>
          <w:p w14:paraId="720E1BF0"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419</w:t>
            </w:r>
          </w:p>
        </w:tc>
        <w:tc>
          <w:tcPr>
            <w:tcW w:w="977" w:type="dxa"/>
            <w:tcBorders>
              <w:top w:val="nil"/>
              <w:bottom w:val="nil"/>
            </w:tcBorders>
            <w:shd w:val="clear" w:color="auto" w:fill="auto"/>
            <w:noWrap/>
            <w:tcMar>
              <w:left w:w="115" w:type="dxa"/>
              <w:right w:w="144" w:type="dxa"/>
            </w:tcMar>
            <w:vAlign w:val="center"/>
            <w:hideMark/>
          </w:tcPr>
          <w:p w14:paraId="2252BA54"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46.25</w:t>
            </w:r>
          </w:p>
        </w:tc>
      </w:tr>
      <w:tr w:rsidR="00CF228A" w:rsidRPr="00690234" w14:paraId="2E98AA63"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03A34CBD"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Taxi</w:t>
            </w:r>
          </w:p>
        </w:tc>
        <w:tc>
          <w:tcPr>
            <w:tcW w:w="1066" w:type="dxa"/>
            <w:tcBorders>
              <w:top w:val="nil"/>
              <w:bottom w:val="nil"/>
            </w:tcBorders>
            <w:shd w:val="clear" w:color="auto" w:fill="auto"/>
            <w:noWrap/>
            <w:tcMar>
              <w:left w:w="115" w:type="dxa"/>
              <w:right w:w="144" w:type="dxa"/>
            </w:tcMar>
            <w:vAlign w:val="center"/>
            <w:hideMark/>
          </w:tcPr>
          <w:p w14:paraId="2AC39EB1"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347</w:t>
            </w:r>
          </w:p>
        </w:tc>
        <w:tc>
          <w:tcPr>
            <w:tcW w:w="977" w:type="dxa"/>
            <w:tcBorders>
              <w:top w:val="nil"/>
              <w:bottom w:val="nil"/>
            </w:tcBorders>
            <w:shd w:val="clear" w:color="auto" w:fill="auto"/>
            <w:noWrap/>
            <w:tcMar>
              <w:left w:w="115" w:type="dxa"/>
              <w:right w:w="144" w:type="dxa"/>
            </w:tcMar>
            <w:vAlign w:val="center"/>
            <w:hideMark/>
          </w:tcPr>
          <w:p w14:paraId="2DABB056"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38.30</w:t>
            </w:r>
          </w:p>
        </w:tc>
      </w:tr>
      <w:tr w:rsidR="00CF228A" w:rsidRPr="00690234" w14:paraId="4F1EC68F" w14:textId="77777777" w:rsidTr="00435DAF">
        <w:trPr>
          <w:trHeight w:val="360"/>
          <w:jc w:val="center"/>
        </w:trPr>
        <w:tc>
          <w:tcPr>
            <w:tcW w:w="3924" w:type="dxa"/>
            <w:tcBorders>
              <w:top w:val="nil"/>
              <w:left w:val="double" w:sz="4" w:space="0" w:color="auto"/>
              <w:bottom w:val="nil"/>
            </w:tcBorders>
            <w:shd w:val="clear" w:color="auto" w:fill="auto"/>
            <w:noWrap/>
            <w:vAlign w:val="center"/>
            <w:hideMark/>
          </w:tcPr>
          <w:p w14:paraId="31CD54F5"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Transit, bicycle or walk</w:t>
            </w:r>
          </w:p>
        </w:tc>
        <w:tc>
          <w:tcPr>
            <w:tcW w:w="1066" w:type="dxa"/>
            <w:tcBorders>
              <w:top w:val="nil"/>
              <w:bottom w:val="nil"/>
            </w:tcBorders>
            <w:shd w:val="clear" w:color="auto" w:fill="auto"/>
            <w:noWrap/>
            <w:tcMar>
              <w:left w:w="115" w:type="dxa"/>
              <w:right w:w="144" w:type="dxa"/>
            </w:tcMar>
            <w:vAlign w:val="center"/>
            <w:hideMark/>
          </w:tcPr>
          <w:p w14:paraId="2D410F4D"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87</w:t>
            </w:r>
          </w:p>
        </w:tc>
        <w:tc>
          <w:tcPr>
            <w:tcW w:w="977" w:type="dxa"/>
            <w:tcBorders>
              <w:top w:val="nil"/>
              <w:bottom w:val="nil"/>
            </w:tcBorders>
            <w:shd w:val="clear" w:color="auto" w:fill="auto"/>
            <w:noWrap/>
            <w:tcMar>
              <w:left w:w="115" w:type="dxa"/>
              <w:right w:w="144" w:type="dxa"/>
            </w:tcMar>
            <w:vAlign w:val="center"/>
            <w:hideMark/>
          </w:tcPr>
          <w:p w14:paraId="33F4BDB6"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9.60</w:t>
            </w:r>
          </w:p>
        </w:tc>
      </w:tr>
      <w:tr w:rsidR="00CF228A" w:rsidRPr="00690234" w14:paraId="585605E9" w14:textId="77777777" w:rsidTr="00435DAF">
        <w:trPr>
          <w:trHeight w:val="360"/>
          <w:jc w:val="center"/>
        </w:trPr>
        <w:tc>
          <w:tcPr>
            <w:tcW w:w="3924" w:type="dxa"/>
            <w:tcBorders>
              <w:top w:val="nil"/>
              <w:left w:val="double" w:sz="4" w:space="0" w:color="auto"/>
              <w:bottom w:val="double" w:sz="4" w:space="0" w:color="auto"/>
            </w:tcBorders>
            <w:shd w:val="clear" w:color="auto" w:fill="auto"/>
            <w:noWrap/>
            <w:vAlign w:val="center"/>
            <w:hideMark/>
          </w:tcPr>
          <w:p w14:paraId="6AB434D0" w14:textId="77777777" w:rsidR="00CF228A" w:rsidRPr="00690234" w:rsidRDefault="00CF228A" w:rsidP="00435DAF">
            <w:pPr>
              <w:spacing w:line="240" w:lineRule="auto"/>
              <w:jc w:val="left"/>
              <w:rPr>
                <w:rFonts w:eastAsia="Times New Roman" w:cs="Times New Roman"/>
                <w:color w:val="000000"/>
                <w:sz w:val="22"/>
              </w:rPr>
            </w:pPr>
            <w:r w:rsidRPr="00690234">
              <w:rPr>
                <w:rFonts w:eastAsia="Times New Roman" w:cs="Times New Roman"/>
                <w:color w:val="000000"/>
                <w:sz w:val="22"/>
              </w:rPr>
              <w:t xml:space="preserve">Would not have traveled </w:t>
            </w:r>
          </w:p>
        </w:tc>
        <w:tc>
          <w:tcPr>
            <w:tcW w:w="1066" w:type="dxa"/>
            <w:tcBorders>
              <w:top w:val="nil"/>
              <w:bottom w:val="double" w:sz="4" w:space="0" w:color="auto"/>
            </w:tcBorders>
            <w:shd w:val="clear" w:color="auto" w:fill="auto"/>
            <w:noWrap/>
            <w:tcMar>
              <w:left w:w="115" w:type="dxa"/>
              <w:right w:w="144" w:type="dxa"/>
            </w:tcMar>
            <w:vAlign w:val="center"/>
            <w:hideMark/>
          </w:tcPr>
          <w:p w14:paraId="1E5AF9BD"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53</w:t>
            </w:r>
          </w:p>
        </w:tc>
        <w:tc>
          <w:tcPr>
            <w:tcW w:w="977" w:type="dxa"/>
            <w:tcBorders>
              <w:top w:val="nil"/>
              <w:bottom w:val="double" w:sz="4" w:space="0" w:color="auto"/>
            </w:tcBorders>
            <w:shd w:val="clear" w:color="auto" w:fill="auto"/>
            <w:noWrap/>
            <w:tcMar>
              <w:left w:w="115" w:type="dxa"/>
              <w:right w:w="144" w:type="dxa"/>
            </w:tcMar>
            <w:vAlign w:val="center"/>
            <w:hideMark/>
          </w:tcPr>
          <w:p w14:paraId="232B89E6" w14:textId="77777777" w:rsidR="00CF228A" w:rsidRPr="00690234" w:rsidRDefault="00CF228A" w:rsidP="00435DAF">
            <w:pPr>
              <w:spacing w:line="240" w:lineRule="auto"/>
              <w:jc w:val="right"/>
              <w:rPr>
                <w:rFonts w:eastAsia="Times New Roman" w:cs="Times New Roman"/>
                <w:color w:val="000000"/>
                <w:sz w:val="22"/>
              </w:rPr>
            </w:pPr>
            <w:r w:rsidRPr="00690234">
              <w:rPr>
                <w:rFonts w:eastAsia="Times New Roman" w:cs="Times New Roman"/>
                <w:color w:val="000000"/>
                <w:sz w:val="22"/>
              </w:rPr>
              <w:t>5.85</w:t>
            </w:r>
          </w:p>
        </w:tc>
      </w:tr>
    </w:tbl>
    <w:p w14:paraId="772D8ED0" w14:textId="77777777" w:rsidR="00CF228A" w:rsidRDefault="00CF228A" w:rsidP="00CF228A">
      <w:pPr>
        <w:ind w:left="360"/>
        <w:rPr>
          <w:b/>
        </w:rPr>
      </w:pPr>
    </w:p>
    <w:p w14:paraId="29CCB33B" w14:textId="77777777" w:rsidR="00CF228A" w:rsidRDefault="00CF228A" w:rsidP="00CF228A">
      <w:pPr>
        <w:spacing w:line="276" w:lineRule="auto"/>
        <w:jc w:val="center"/>
        <w:rPr>
          <w:b/>
        </w:rPr>
      </w:pPr>
      <w:r>
        <w:rPr>
          <w:b/>
        </w:rPr>
        <w:t xml:space="preserve"> </w:t>
      </w:r>
    </w:p>
    <w:p w14:paraId="2D04A70A" w14:textId="77777777" w:rsidR="00D77ACD" w:rsidRDefault="00D77ACD">
      <w:pPr>
        <w:spacing w:after="200" w:line="276" w:lineRule="auto"/>
        <w:jc w:val="left"/>
        <w:rPr>
          <w:b/>
        </w:rPr>
      </w:pPr>
    </w:p>
    <w:p w14:paraId="718BC6FB" w14:textId="62BF19A9" w:rsidR="004337C4" w:rsidRDefault="005D6BB5" w:rsidP="005D6BB5">
      <w:pPr>
        <w:spacing w:after="120" w:line="240" w:lineRule="auto"/>
        <w:jc w:val="center"/>
        <w:rPr>
          <w:b/>
        </w:rPr>
      </w:pPr>
      <w:r>
        <w:rPr>
          <w:b/>
        </w:rPr>
        <w:br w:type="page"/>
      </w:r>
      <w:r w:rsidR="00D77ACD">
        <w:rPr>
          <w:b/>
        </w:rPr>
        <w:lastRenderedPageBreak/>
        <w:t xml:space="preserve">Table </w:t>
      </w:r>
      <w:r w:rsidR="00D522A8">
        <w:rPr>
          <w:b/>
        </w:rPr>
        <w:t>4</w:t>
      </w:r>
      <w:r w:rsidR="002A1D88">
        <w:rPr>
          <w:b/>
        </w:rPr>
        <w:t>.</w:t>
      </w:r>
      <w:r w:rsidR="00D77ACD">
        <w:rPr>
          <w:b/>
        </w:rPr>
        <w:t xml:space="preserve"> Determinants of latent constructs</w:t>
      </w:r>
    </w:p>
    <w:tbl>
      <w:tblPr>
        <w:tblW w:w="4782" w:type="pct"/>
        <w:jc w:val="center"/>
        <w:tblLayout w:type="fixed"/>
        <w:tblLook w:val="04A0" w:firstRow="1" w:lastRow="0" w:firstColumn="1" w:lastColumn="0" w:noHBand="0" w:noVBand="1"/>
      </w:tblPr>
      <w:tblGrid>
        <w:gridCol w:w="3076"/>
        <w:gridCol w:w="806"/>
        <w:gridCol w:w="753"/>
        <w:gridCol w:w="854"/>
        <w:gridCol w:w="707"/>
        <w:gridCol w:w="766"/>
        <w:gridCol w:w="707"/>
        <w:gridCol w:w="771"/>
        <w:gridCol w:w="718"/>
      </w:tblGrid>
      <w:tr w:rsidR="00D77ACD" w:rsidRPr="00D77ACD" w14:paraId="7BC79911" w14:textId="77777777" w:rsidTr="005D6BB5">
        <w:trPr>
          <w:trHeight w:val="312"/>
          <w:jc w:val="center"/>
        </w:trPr>
        <w:tc>
          <w:tcPr>
            <w:tcW w:w="1680"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A5D7655" w14:textId="77777777" w:rsidR="00D77ACD" w:rsidRPr="00D77ACD" w:rsidRDefault="00D77ACD" w:rsidP="00D77ACD">
            <w:pPr>
              <w:spacing w:line="240" w:lineRule="auto"/>
              <w:jc w:val="left"/>
              <w:rPr>
                <w:rFonts w:eastAsia="Times New Roman" w:cs="Times New Roman"/>
                <w:b/>
                <w:bCs/>
                <w:color w:val="000000"/>
                <w:sz w:val="20"/>
                <w:szCs w:val="20"/>
              </w:rPr>
            </w:pPr>
            <w:r w:rsidRPr="00D77ACD">
              <w:rPr>
                <w:rFonts w:eastAsia="Times New Roman" w:cs="Times New Roman"/>
                <w:b/>
                <w:bCs/>
                <w:color w:val="000000"/>
                <w:sz w:val="20"/>
                <w:szCs w:val="20"/>
              </w:rPr>
              <w:t>Variables (base category)</w:t>
            </w:r>
          </w:p>
        </w:tc>
        <w:tc>
          <w:tcPr>
            <w:tcW w:w="3320" w:type="pct"/>
            <w:gridSpan w:val="8"/>
            <w:tcBorders>
              <w:top w:val="double" w:sz="6" w:space="0" w:color="auto"/>
              <w:left w:val="double" w:sz="6" w:space="0" w:color="auto"/>
              <w:bottom w:val="nil"/>
              <w:right w:val="double" w:sz="6" w:space="0" w:color="000000"/>
            </w:tcBorders>
            <w:shd w:val="clear" w:color="auto" w:fill="auto"/>
            <w:vAlign w:val="center"/>
            <w:hideMark/>
          </w:tcPr>
          <w:p w14:paraId="0E916B21" w14:textId="77777777" w:rsidR="00D77ACD" w:rsidRPr="00D77ACD" w:rsidRDefault="00D77ACD" w:rsidP="00D77ACD">
            <w:pPr>
              <w:spacing w:line="240" w:lineRule="auto"/>
              <w:jc w:val="center"/>
              <w:rPr>
                <w:rFonts w:eastAsia="Times New Roman" w:cs="Times New Roman"/>
                <w:b/>
                <w:bCs/>
                <w:color w:val="000000"/>
                <w:sz w:val="20"/>
                <w:szCs w:val="20"/>
              </w:rPr>
            </w:pPr>
            <w:r w:rsidRPr="00D77ACD">
              <w:rPr>
                <w:rFonts w:eastAsia="Times New Roman" w:cs="Times New Roman"/>
                <w:b/>
                <w:bCs/>
                <w:color w:val="000000"/>
                <w:sz w:val="20"/>
                <w:szCs w:val="20"/>
              </w:rPr>
              <w:t>Structural Equations Model Component Results</w:t>
            </w:r>
          </w:p>
        </w:tc>
      </w:tr>
      <w:tr w:rsidR="005D6BB5" w:rsidRPr="00D77ACD" w14:paraId="41B0C9A8" w14:textId="77777777" w:rsidTr="005D6BB5">
        <w:trPr>
          <w:trHeight w:val="288"/>
          <w:jc w:val="center"/>
        </w:trPr>
        <w:tc>
          <w:tcPr>
            <w:tcW w:w="1680" w:type="pct"/>
            <w:vMerge/>
            <w:tcBorders>
              <w:top w:val="double" w:sz="6" w:space="0" w:color="auto"/>
              <w:left w:val="double" w:sz="6" w:space="0" w:color="auto"/>
              <w:bottom w:val="double" w:sz="6" w:space="0" w:color="000000"/>
              <w:right w:val="double" w:sz="6" w:space="0" w:color="auto"/>
            </w:tcBorders>
            <w:vAlign w:val="center"/>
            <w:hideMark/>
          </w:tcPr>
          <w:p w14:paraId="33481757" w14:textId="77777777" w:rsidR="00D77ACD" w:rsidRPr="00D77ACD" w:rsidRDefault="00D77ACD" w:rsidP="00D77ACD">
            <w:pPr>
              <w:spacing w:line="240" w:lineRule="auto"/>
              <w:jc w:val="left"/>
              <w:rPr>
                <w:rFonts w:eastAsia="Times New Roman" w:cs="Times New Roman"/>
                <w:b/>
                <w:bCs/>
                <w:color w:val="000000"/>
                <w:sz w:val="20"/>
                <w:szCs w:val="20"/>
              </w:rPr>
            </w:pPr>
          </w:p>
        </w:tc>
        <w:tc>
          <w:tcPr>
            <w:tcW w:w="851" w:type="pct"/>
            <w:gridSpan w:val="2"/>
            <w:tcBorders>
              <w:top w:val="double" w:sz="6" w:space="0" w:color="auto"/>
              <w:left w:val="double" w:sz="6" w:space="0" w:color="auto"/>
              <w:bottom w:val="nil"/>
              <w:right w:val="double" w:sz="6" w:space="0" w:color="000000"/>
            </w:tcBorders>
            <w:shd w:val="clear" w:color="auto" w:fill="auto"/>
            <w:vAlign w:val="center"/>
            <w:hideMark/>
          </w:tcPr>
          <w:p w14:paraId="6FB42950"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Privacy-sensitivity</w:t>
            </w:r>
          </w:p>
        </w:tc>
        <w:tc>
          <w:tcPr>
            <w:tcW w:w="852" w:type="pct"/>
            <w:gridSpan w:val="2"/>
            <w:tcBorders>
              <w:top w:val="double" w:sz="6" w:space="0" w:color="auto"/>
              <w:left w:val="nil"/>
              <w:bottom w:val="nil"/>
              <w:right w:val="nil"/>
            </w:tcBorders>
            <w:shd w:val="clear" w:color="auto" w:fill="auto"/>
            <w:vAlign w:val="center"/>
            <w:hideMark/>
          </w:tcPr>
          <w:p w14:paraId="6DA1D18E"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Tech-savviness</w:t>
            </w:r>
          </w:p>
        </w:tc>
        <w:tc>
          <w:tcPr>
            <w:tcW w:w="804" w:type="pct"/>
            <w:gridSpan w:val="2"/>
            <w:tcBorders>
              <w:top w:val="double" w:sz="6" w:space="0" w:color="auto"/>
              <w:left w:val="double" w:sz="6" w:space="0" w:color="auto"/>
              <w:bottom w:val="nil"/>
              <w:right w:val="double" w:sz="6" w:space="0" w:color="000000"/>
            </w:tcBorders>
            <w:shd w:val="clear" w:color="auto" w:fill="auto"/>
            <w:vAlign w:val="center"/>
            <w:hideMark/>
          </w:tcPr>
          <w:p w14:paraId="73F11936"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VSLP</w:t>
            </w:r>
          </w:p>
        </w:tc>
        <w:tc>
          <w:tcPr>
            <w:tcW w:w="813" w:type="pct"/>
            <w:gridSpan w:val="2"/>
            <w:tcBorders>
              <w:top w:val="double" w:sz="6" w:space="0" w:color="auto"/>
              <w:left w:val="nil"/>
              <w:bottom w:val="nil"/>
              <w:right w:val="double" w:sz="6" w:space="0" w:color="000000"/>
            </w:tcBorders>
            <w:shd w:val="clear" w:color="auto" w:fill="auto"/>
            <w:vAlign w:val="center"/>
            <w:hideMark/>
          </w:tcPr>
          <w:p w14:paraId="03612ABA"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GLP</w:t>
            </w:r>
          </w:p>
        </w:tc>
      </w:tr>
      <w:tr w:rsidR="005D6BB5" w:rsidRPr="00D77ACD" w14:paraId="2BB4E4A0" w14:textId="77777777" w:rsidTr="005D6BB5">
        <w:trPr>
          <w:trHeight w:val="300"/>
          <w:jc w:val="center"/>
        </w:trPr>
        <w:tc>
          <w:tcPr>
            <w:tcW w:w="1680" w:type="pct"/>
            <w:vMerge/>
            <w:tcBorders>
              <w:top w:val="double" w:sz="6" w:space="0" w:color="auto"/>
              <w:left w:val="double" w:sz="6" w:space="0" w:color="auto"/>
              <w:bottom w:val="double" w:sz="6" w:space="0" w:color="000000"/>
              <w:right w:val="double" w:sz="6" w:space="0" w:color="auto"/>
            </w:tcBorders>
            <w:vAlign w:val="center"/>
            <w:hideMark/>
          </w:tcPr>
          <w:p w14:paraId="363512B1" w14:textId="77777777" w:rsidR="00D77ACD" w:rsidRPr="00D77ACD" w:rsidRDefault="00D77ACD" w:rsidP="00D77ACD">
            <w:pPr>
              <w:spacing w:line="240" w:lineRule="auto"/>
              <w:jc w:val="left"/>
              <w:rPr>
                <w:rFonts w:eastAsia="Times New Roman" w:cs="Times New Roman"/>
                <w:b/>
                <w:bCs/>
                <w:color w:val="000000"/>
                <w:sz w:val="20"/>
                <w:szCs w:val="20"/>
              </w:rPr>
            </w:pPr>
          </w:p>
        </w:tc>
        <w:tc>
          <w:tcPr>
            <w:tcW w:w="440" w:type="pct"/>
            <w:tcBorders>
              <w:top w:val="nil"/>
              <w:left w:val="double" w:sz="6" w:space="0" w:color="auto"/>
              <w:bottom w:val="double" w:sz="6" w:space="0" w:color="auto"/>
              <w:right w:val="nil"/>
            </w:tcBorders>
            <w:shd w:val="clear" w:color="auto" w:fill="auto"/>
            <w:vAlign w:val="center"/>
            <w:hideMark/>
          </w:tcPr>
          <w:p w14:paraId="2D1ACFEB"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Coeff.</w:t>
            </w:r>
          </w:p>
        </w:tc>
        <w:tc>
          <w:tcPr>
            <w:tcW w:w="411" w:type="pct"/>
            <w:tcBorders>
              <w:top w:val="nil"/>
              <w:left w:val="nil"/>
              <w:bottom w:val="double" w:sz="6" w:space="0" w:color="auto"/>
              <w:right w:val="double" w:sz="6" w:space="0" w:color="auto"/>
            </w:tcBorders>
            <w:shd w:val="clear" w:color="auto" w:fill="auto"/>
            <w:vAlign w:val="center"/>
            <w:hideMark/>
          </w:tcPr>
          <w:p w14:paraId="78A72603"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t-stat</w:t>
            </w:r>
          </w:p>
        </w:tc>
        <w:tc>
          <w:tcPr>
            <w:tcW w:w="466" w:type="pct"/>
            <w:tcBorders>
              <w:top w:val="nil"/>
              <w:left w:val="nil"/>
              <w:bottom w:val="double" w:sz="6" w:space="0" w:color="auto"/>
              <w:right w:val="nil"/>
            </w:tcBorders>
            <w:shd w:val="clear" w:color="auto" w:fill="auto"/>
            <w:vAlign w:val="center"/>
            <w:hideMark/>
          </w:tcPr>
          <w:p w14:paraId="3F6A3168"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Coeff.</w:t>
            </w:r>
          </w:p>
        </w:tc>
        <w:tc>
          <w:tcPr>
            <w:tcW w:w="386" w:type="pct"/>
            <w:tcBorders>
              <w:top w:val="nil"/>
              <w:left w:val="nil"/>
              <w:bottom w:val="double" w:sz="6" w:space="0" w:color="auto"/>
              <w:right w:val="nil"/>
            </w:tcBorders>
            <w:shd w:val="clear" w:color="auto" w:fill="auto"/>
            <w:vAlign w:val="center"/>
            <w:hideMark/>
          </w:tcPr>
          <w:p w14:paraId="67F64768"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t-stat</w:t>
            </w:r>
          </w:p>
        </w:tc>
        <w:tc>
          <w:tcPr>
            <w:tcW w:w="418" w:type="pct"/>
            <w:tcBorders>
              <w:top w:val="nil"/>
              <w:left w:val="double" w:sz="6" w:space="0" w:color="auto"/>
              <w:bottom w:val="double" w:sz="6" w:space="0" w:color="auto"/>
              <w:right w:val="nil"/>
            </w:tcBorders>
            <w:shd w:val="clear" w:color="auto" w:fill="auto"/>
            <w:vAlign w:val="center"/>
            <w:hideMark/>
          </w:tcPr>
          <w:p w14:paraId="6E1E5ECF"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Coeff.</w:t>
            </w:r>
          </w:p>
        </w:tc>
        <w:tc>
          <w:tcPr>
            <w:tcW w:w="386" w:type="pct"/>
            <w:tcBorders>
              <w:top w:val="nil"/>
              <w:left w:val="nil"/>
              <w:bottom w:val="double" w:sz="6" w:space="0" w:color="auto"/>
              <w:right w:val="double" w:sz="6" w:space="0" w:color="auto"/>
            </w:tcBorders>
            <w:shd w:val="clear" w:color="auto" w:fill="auto"/>
            <w:vAlign w:val="center"/>
            <w:hideMark/>
          </w:tcPr>
          <w:p w14:paraId="1E2818F9"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t-stat</w:t>
            </w:r>
          </w:p>
        </w:tc>
        <w:tc>
          <w:tcPr>
            <w:tcW w:w="421" w:type="pct"/>
            <w:tcBorders>
              <w:top w:val="nil"/>
              <w:left w:val="nil"/>
              <w:bottom w:val="double" w:sz="6" w:space="0" w:color="auto"/>
              <w:right w:val="nil"/>
            </w:tcBorders>
            <w:shd w:val="clear" w:color="auto" w:fill="auto"/>
            <w:vAlign w:val="center"/>
            <w:hideMark/>
          </w:tcPr>
          <w:p w14:paraId="0352BFFC"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Coeff.</w:t>
            </w:r>
          </w:p>
        </w:tc>
        <w:tc>
          <w:tcPr>
            <w:tcW w:w="392" w:type="pct"/>
            <w:tcBorders>
              <w:top w:val="nil"/>
              <w:left w:val="nil"/>
              <w:bottom w:val="double" w:sz="6" w:space="0" w:color="auto"/>
              <w:right w:val="double" w:sz="6" w:space="0" w:color="auto"/>
            </w:tcBorders>
            <w:shd w:val="clear" w:color="auto" w:fill="auto"/>
            <w:vAlign w:val="center"/>
            <w:hideMark/>
          </w:tcPr>
          <w:p w14:paraId="189BCA84" w14:textId="77777777" w:rsidR="00D77ACD" w:rsidRPr="00D77ACD" w:rsidRDefault="00D77ACD" w:rsidP="00D77ACD">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t-stat</w:t>
            </w:r>
          </w:p>
        </w:tc>
      </w:tr>
      <w:tr w:rsidR="005D6BB5" w:rsidRPr="00D77ACD" w14:paraId="47291D92" w14:textId="77777777" w:rsidTr="005D6BB5">
        <w:trPr>
          <w:trHeight w:val="300"/>
          <w:jc w:val="center"/>
        </w:trPr>
        <w:tc>
          <w:tcPr>
            <w:tcW w:w="1680" w:type="pct"/>
            <w:tcBorders>
              <w:top w:val="nil"/>
              <w:left w:val="double" w:sz="6" w:space="0" w:color="auto"/>
              <w:bottom w:val="nil"/>
              <w:right w:val="double" w:sz="6" w:space="0" w:color="auto"/>
            </w:tcBorders>
            <w:shd w:val="clear" w:color="auto" w:fill="auto"/>
            <w:vAlign w:val="center"/>
            <w:hideMark/>
          </w:tcPr>
          <w:p w14:paraId="55B3A138" w14:textId="77777777" w:rsidR="00D77ACD" w:rsidRPr="00EB5D49" w:rsidRDefault="00D77ACD" w:rsidP="00D77ACD">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Gender (male)</w:t>
            </w:r>
          </w:p>
        </w:tc>
        <w:tc>
          <w:tcPr>
            <w:tcW w:w="440" w:type="pct"/>
            <w:tcBorders>
              <w:top w:val="nil"/>
              <w:left w:val="nil"/>
              <w:bottom w:val="nil"/>
              <w:right w:val="nil"/>
            </w:tcBorders>
            <w:shd w:val="clear" w:color="auto" w:fill="auto"/>
            <w:noWrap/>
            <w:vAlign w:val="bottom"/>
            <w:hideMark/>
          </w:tcPr>
          <w:p w14:paraId="673CCC0A" w14:textId="77777777" w:rsidR="00D77ACD" w:rsidRPr="00D77ACD" w:rsidRDefault="00D77ACD" w:rsidP="00D77ACD">
            <w:pPr>
              <w:spacing w:line="240" w:lineRule="auto"/>
              <w:jc w:val="right"/>
              <w:rPr>
                <w:rFonts w:ascii="Calibri" w:eastAsia="Times New Roman" w:hAnsi="Calibri" w:cs="Calibri"/>
                <w:color w:val="000000"/>
                <w:sz w:val="20"/>
                <w:szCs w:val="20"/>
              </w:rPr>
            </w:pPr>
            <w:r w:rsidRPr="00D77ACD">
              <w:rPr>
                <w:rFonts w:ascii="Calibri" w:eastAsia="Times New Roman" w:hAnsi="Calibri" w:cs="Calibri"/>
                <w:color w:val="000000"/>
                <w:sz w:val="20"/>
                <w:szCs w:val="20"/>
              </w:rPr>
              <w:t> </w:t>
            </w:r>
          </w:p>
        </w:tc>
        <w:tc>
          <w:tcPr>
            <w:tcW w:w="411" w:type="pct"/>
            <w:tcBorders>
              <w:top w:val="nil"/>
              <w:left w:val="nil"/>
              <w:bottom w:val="nil"/>
              <w:right w:val="double" w:sz="6" w:space="0" w:color="auto"/>
            </w:tcBorders>
            <w:shd w:val="clear" w:color="auto" w:fill="auto"/>
            <w:noWrap/>
            <w:vAlign w:val="bottom"/>
            <w:hideMark/>
          </w:tcPr>
          <w:p w14:paraId="226C8EA6" w14:textId="77777777" w:rsidR="00D77ACD" w:rsidRPr="00D77ACD" w:rsidRDefault="00D77ACD" w:rsidP="00D77ACD">
            <w:pPr>
              <w:spacing w:line="240" w:lineRule="auto"/>
              <w:jc w:val="right"/>
              <w:rPr>
                <w:rFonts w:ascii="Calibri" w:eastAsia="Times New Roman" w:hAnsi="Calibri" w:cs="Calibri"/>
                <w:color w:val="000000"/>
                <w:sz w:val="20"/>
                <w:szCs w:val="20"/>
              </w:rPr>
            </w:pPr>
            <w:r w:rsidRPr="00D77ACD">
              <w:rPr>
                <w:rFonts w:ascii="Calibri" w:eastAsia="Times New Roman" w:hAnsi="Calibri" w:cs="Calibri"/>
                <w:color w:val="000000"/>
                <w:sz w:val="20"/>
                <w:szCs w:val="20"/>
              </w:rPr>
              <w:t> </w:t>
            </w:r>
          </w:p>
        </w:tc>
        <w:tc>
          <w:tcPr>
            <w:tcW w:w="466" w:type="pct"/>
            <w:tcBorders>
              <w:top w:val="nil"/>
              <w:left w:val="nil"/>
              <w:bottom w:val="nil"/>
              <w:right w:val="nil"/>
            </w:tcBorders>
            <w:shd w:val="clear" w:color="auto" w:fill="auto"/>
            <w:noWrap/>
            <w:vAlign w:val="bottom"/>
            <w:hideMark/>
          </w:tcPr>
          <w:p w14:paraId="39A9492D" w14:textId="77777777" w:rsidR="00D77ACD" w:rsidRPr="00D77ACD" w:rsidRDefault="00D77ACD" w:rsidP="00D77ACD">
            <w:pPr>
              <w:spacing w:line="240" w:lineRule="auto"/>
              <w:jc w:val="right"/>
              <w:rPr>
                <w:rFonts w:ascii="Calibri" w:eastAsia="Times New Roman" w:hAnsi="Calibri" w:cs="Calibri"/>
                <w:color w:val="000000"/>
                <w:sz w:val="20"/>
                <w:szCs w:val="20"/>
              </w:rPr>
            </w:pPr>
          </w:p>
        </w:tc>
        <w:tc>
          <w:tcPr>
            <w:tcW w:w="386" w:type="pct"/>
            <w:tcBorders>
              <w:top w:val="nil"/>
              <w:left w:val="nil"/>
              <w:bottom w:val="nil"/>
              <w:right w:val="nil"/>
            </w:tcBorders>
            <w:shd w:val="clear" w:color="auto" w:fill="auto"/>
            <w:noWrap/>
            <w:vAlign w:val="bottom"/>
            <w:hideMark/>
          </w:tcPr>
          <w:p w14:paraId="2E691924" w14:textId="77777777" w:rsidR="00D77ACD" w:rsidRPr="00D77ACD" w:rsidRDefault="00D77ACD" w:rsidP="00D77ACD">
            <w:pPr>
              <w:spacing w:line="240" w:lineRule="auto"/>
              <w:jc w:val="right"/>
              <w:rPr>
                <w:rFonts w:eastAsia="Times New Roman" w:cs="Times New Roman"/>
                <w:sz w:val="20"/>
                <w:szCs w:val="20"/>
              </w:rPr>
            </w:pPr>
          </w:p>
        </w:tc>
        <w:tc>
          <w:tcPr>
            <w:tcW w:w="418" w:type="pct"/>
            <w:tcBorders>
              <w:top w:val="nil"/>
              <w:left w:val="double" w:sz="6" w:space="0" w:color="auto"/>
              <w:bottom w:val="nil"/>
              <w:right w:val="nil"/>
            </w:tcBorders>
            <w:shd w:val="clear" w:color="auto" w:fill="auto"/>
            <w:noWrap/>
            <w:vAlign w:val="bottom"/>
            <w:hideMark/>
          </w:tcPr>
          <w:p w14:paraId="10F65319" w14:textId="77777777" w:rsidR="00D77ACD" w:rsidRPr="00D77ACD" w:rsidRDefault="00D77ACD" w:rsidP="004842BF">
            <w:pPr>
              <w:tabs>
                <w:tab w:val="decimal" w:pos="306"/>
              </w:tabs>
              <w:spacing w:line="240" w:lineRule="auto"/>
              <w:jc w:val="left"/>
              <w:rPr>
                <w:rFonts w:ascii="Calibri" w:eastAsia="Times New Roman" w:hAnsi="Calibri" w:cs="Calibri"/>
                <w:color w:val="000000"/>
                <w:sz w:val="20"/>
                <w:szCs w:val="20"/>
              </w:rPr>
            </w:pPr>
            <w:r w:rsidRPr="00D77ACD">
              <w:rPr>
                <w:rFonts w:ascii="Calibri" w:eastAsia="Times New Roman" w:hAnsi="Calibri" w:cs="Calibri"/>
                <w:color w:val="000000"/>
                <w:sz w:val="20"/>
                <w:szCs w:val="20"/>
              </w:rPr>
              <w:t> </w:t>
            </w:r>
          </w:p>
        </w:tc>
        <w:tc>
          <w:tcPr>
            <w:tcW w:w="386" w:type="pct"/>
            <w:tcBorders>
              <w:top w:val="nil"/>
              <w:left w:val="nil"/>
              <w:bottom w:val="nil"/>
              <w:right w:val="double" w:sz="6" w:space="0" w:color="auto"/>
            </w:tcBorders>
            <w:shd w:val="clear" w:color="auto" w:fill="auto"/>
            <w:noWrap/>
            <w:vAlign w:val="bottom"/>
            <w:hideMark/>
          </w:tcPr>
          <w:p w14:paraId="54DE9177" w14:textId="77777777" w:rsidR="00D77ACD" w:rsidRPr="00D77ACD" w:rsidRDefault="00D77ACD" w:rsidP="004842BF">
            <w:pPr>
              <w:tabs>
                <w:tab w:val="decimal" w:pos="306"/>
              </w:tabs>
              <w:spacing w:line="240" w:lineRule="auto"/>
              <w:jc w:val="left"/>
              <w:rPr>
                <w:rFonts w:ascii="Calibri" w:eastAsia="Times New Roman" w:hAnsi="Calibri" w:cs="Calibri"/>
                <w:color w:val="000000"/>
                <w:sz w:val="20"/>
                <w:szCs w:val="20"/>
              </w:rPr>
            </w:pPr>
            <w:r w:rsidRPr="00D77ACD">
              <w:rPr>
                <w:rFonts w:ascii="Calibri" w:eastAsia="Times New Roman" w:hAnsi="Calibri" w:cs="Calibri"/>
                <w:color w:val="000000"/>
                <w:sz w:val="20"/>
                <w:szCs w:val="20"/>
              </w:rPr>
              <w:t> </w:t>
            </w:r>
          </w:p>
        </w:tc>
        <w:tc>
          <w:tcPr>
            <w:tcW w:w="421" w:type="pct"/>
            <w:tcBorders>
              <w:top w:val="nil"/>
              <w:left w:val="nil"/>
              <w:bottom w:val="nil"/>
              <w:right w:val="nil"/>
            </w:tcBorders>
            <w:shd w:val="clear" w:color="auto" w:fill="auto"/>
            <w:noWrap/>
            <w:vAlign w:val="bottom"/>
            <w:hideMark/>
          </w:tcPr>
          <w:p w14:paraId="797F6296" w14:textId="77777777" w:rsidR="00D77ACD" w:rsidRPr="00D77ACD" w:rsidRDefault="00D77ACD" w:rsidP="00D77ACD">
            <w:pPr>
              <w:spacing w:line="240" w:lineRule="auto"/>
              <w:jc w:val="right"/>
              <w:rPr>
                <w:rFonts w:ascii="Calibri" w:eastAsia="Times New Roman" w:hAnsi="Calibri" w:cs="Calibri"/>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26F604F6" w14:textId="77777777" w:rsidR="00D77ACD" w:rsidRPr="00D77ACD" w:rsidRDefault="00D77ACD" w:rsidP="00D77ACD">
            <w:pPr>
              <w:spacing w:line="240" w:lineRule="auto"/>
              <w:jc w:val="right"/>
              <w:rPr>
                <w:rFonts w:ascii="Calibri" w:eastAsia="Times New Roman" w:hAnsi="Calibri" w:cs="Calibri"/>
                <w:color w:val="000000"/>
                <w:sz w:val="20"/>
                <w:szCs w:val="20"/>
              </w:rPr>
            </w:pPr>
            <w:r w:rsidRPr="00D77ACD">
              <w:rPr>
                <w:rFonts w:ascii="Calibri" w:eastAsia="Times New Roman" w:hAnsi="Calibri" w:cs="Calibri"/>
                <w:color w:val="000000"/>
                <w:sz w:val="20"/>
                <w:szCs w:val="20"/>
              </w:rPr>
              <w:t> </w:t>
            </w:r>
          </w:p>
        </w:tc>
      </w:tr>
      <w:tr w:rsidR="005D6BB5" w:rsidRPr="00D77ACD" w14:paraId="42A98BC4"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0F603977" w14:textId="77777777" w:rsidR="00D77ACD" w:rsidRPr="00EB5D49" w:rsidRDefault="00D77ACD" w:rsidP="00D77ACD">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Female</w:t>
            </w:r>
          </w:p>
        </w:tc>
        <w:tc>
          <w:tcPr>
            <w:tcW w:w="440" w:type="pct"/>
            <w:tcBorders>
              <w:top w:val="nil"/>
              <w:left w:val="nil"/>
              <w:bottom w:val="nil"/>
              <w:right w:val="nil"/>
            </w:tcBorders>
            <w:shd w:val="clear" w:color="auto" w:fill="auto"/>
            <w:vAlign w:val="center"/>
            <w:hideMark/>
          </w:tcPr>
          <w:p w14:paraId="79895262" w14:textId="77777777" w:rsidR="00D77ACD" w:rsidRPr="00D77ACD" w:rsidRDefault="00D77ACD" w:rsidP="004038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242A76BC"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0C19CAF7"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nil"/>
            </w:tcBorders>
            <w:shd w:val="clear" w:color="auto" w:fill="auto"/>
            <w:vAlign w:val="center"/>
            <w:hideMark/>
          </w:tcPr>
          <w:p w14:paraId="548C0FD7"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top w:val="nil"/>
              <w:left w:val="double" w:sz="6" w:space="0" w:color="auto"/>
              <w:bottom w:val="nil"/>
              <w:right w:val="nil"/>
            </w:tcBorders>
            <w:shd w:val="clear" w:color="auto" w:fill="auto"/>
            <w:vAlign w:val="center"/>
            <w:hideMark/>
          </w:tcPr>
          <w:p w14:paraId="1C488818"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-0.27</w:t>
            </w:r>
            <w:r w:rsidR="00D35452">
              <w:rPr>
                <w:rFonts w:eastAsia="Times New Roman" w:cs="Times New Roman"/>
                <w:color w:val="000000"/>
                <w:sz w:val="20"/>
                <w:szCs w:val="20"/>
              </w:rPr>
              <w:t>0</w:t>
            </w:r>
          </w:p>
        </w:tc>
        <w:tc>
          <w:tcPr>
            <w:tcW w:w="386" w:type="pct"/>
            <w:tcBorders>
              <w:top w:val="nil"/>
              <w:left w:val="nil"/>
              <w:bottom w:val="nil"/>
              <w:right w:val="double" w:sz="6" w:space="0" w:color="auto"/>
            </w:tcBorders>
            <w:shd w:val="clear" w:color="auto" w:fill="auto"/>
            <w:vAlign w:val="center"/>
            <w:hideMark/>
          </w:tcPr>
          <w:p w14:paraId="2599C428"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-3.</w:t>
            </w:r>
            <w:r w:rsidR="00D35452">
              <w:rPr>
                <w:rFonts w:eastAsia="Times New Roman" w:cs="Times New Roman"/>
                <w:color w:val="000000"/>
                <w:sz w:val="20"/>
                <w:szCs w:val="20"/>
              </w:rPr>
              <w:t>24</w:t>
            </w:r>
          </w:p>
        </w:tc>
        <w:tc>
          <w:tcPr>
            <w:tcW w:w="421" w:type="pct"/>
            <w:tcBorders>
              <w:top w:val="nil"/>
              <w:left w:val="nil"/>
              <w:bottom w:val="nil"/>
              <w:right w:val="nil"/>
            </w:tcBorders>
            <w:shd w:val="clear" w:color="auto" w:fill="auto"/>
            <w:noWrap/>
            <w:vAlign w:val="bottom"/>
            <w:hideMark/>
          </w:tcPr>
          <w:p w14:paraId="1706F84B"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w:t>
            </w:r>
            <w:r w:rsidR="00D35452">
              <w:rPr>
                <w:rFonts w:eastAsia="Times New Roman" w:cs="Times New Roman"/>
                <w:color w:val="000000"/>
                <w:sz w:val="20"/>
                <w:szCs w:val="20"/>
              </w:rPr>
              <w:t>426</w:t>
            </w:r>
          </w:p>
        </w:tc>
        <w:tc>
          <w:tcPr>
            <w:tcW w:w="392" w:type="pct"/>
            <w:tcBorders>
              <w:top w:val="nil"/>
              <w:left w:val="nil"/>
              <w:bottom w:val="nil"/>
              <w:right w:val="double" w:sz="6" w:space="0" w:color="auto"/>
            </w:tcBorders>
            <w:shd w:val="clear" w:color="auto" w:fill="auto"/>
            <w:noWrap/>
            <w:vAlign w:val="bottom"/>
            <w:hideMark/>
          </w:tcPr>
          <w:p w14:paraId="01700CD9"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1.</w:t>
            </w:r>
            <w:r w:rsidR="00D35452">
              <w:rPr>
                <w:rFonts w:eastAsia="Times New Roman" w:cs="Times New Roman"/>
                <w:color w:val="000000"/>
                <w:sz w:val="20"/>
                <w:szCs w:val="20"/>
              </w:rPr>
              <w:t>89</w:t>
            </w:r>
          </w:p>
        </w:tc>
      </w:tr>
      <w:tr w:rsidR="005D6BB5" w:rsidRPr="00D77ACD" w14:paraId="499C90C3"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D63BB1D" w14:textId="2228530A" w:rsidR="00D77ACD" w:rsidRPr="00EB5D49" w:rsidRDefault="00D77ACD" w:rsidP="00D77ACD">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Age (55 years</w:t>
            </w:r>
            <w:r w:rsidR="00EB5D49" w:rsidRPr="00EB5D49">
              <w:rPr>
                <w:rFonts w:eastAsia="Times New Roman" w:cs="Times New Roman"/>
                <w:b/>
                <w:bCs/>
                <w:color w:val="000000"/>
                <w:sz w:val="20"/>
                <w:szCs w:val="20"/>
              </w:rPr>
              <w:t xml:space="preserve"> or more</w:t>
            </w:r>
            <w:r w:rsidRPr="00EB5D49">
              <w:rPr>
                <w:rFonts w:eastAsia="Times New Roman" w:cs="Times New Roman"/>
                <w:b/>
                <w:bCs/>
                <w:color w:val="000000"/>
                <w:sz w:val="20"/>
                <w:szCs w:val="20"/>
              </w:rPr>
              <w:t>)</w:t>
            </w:r>
          </w:p>
        </w:tc>
        <w:tc>
          <w:tcPr>
            <w:tcW w:w="440" w:type="pct"/>
            <w:tcBorders>
              <w:top w:val="nil"/>
              <w:left w:val="nil"/>
              <w:bottom w:val="nil"/>
              <w:right w:val="nil"/>
            </w:tcBorders>
            <w:shd w:val="clear" w:color="auto" w:fill="auto"/>
            <w:noWrap/>
            <w:vAlign w:val="bottom"/>
            <w:hideMark/>
          </w:tcPr>
          <w:p w14:paraId="760E35D4" w14:textId="77777777" w:rsidR="00D77ACD" w:rsidRPr="00D77ACD" w:rsidRDefault="00D77ACD" w:rsidP="004038BF">
            <w:pPr>
              <w:tabs>
                <w:tab w:val="left" w:pos="535"/>
                <w:tab w:val="left" w:pos="666"/>
              </w:tabs>
              <w:spacing w:line="240" w:lineRule="auto"/>
              <w:jc w:val="center"/>
              <w:rPr>
                <w:rFonts w:ascii="Calibri" w:eastAsia="Times New Roman" w:hAnsi="Calibri" w:cs="Calibri"/>
                <w:color w:val="000000"/>
                <w:sz w:val="20"/>
                <w:szCs w:val="20"/>
              </w:rPr>
            </w:pPr>
          </w:p>
        </w:tc>
        <w:tc>
          <w:tcPr>
            <w:tcW w:w="411" w:type="pct"/>
            <w:tcBorders>
              <w:top w:val="nil"/>
              <w:left w:val="nil"/>
              <w:bottom w:val="nil"/>
              <w:right w:val="double" w:sz="6" w:space="0" w:color="auto"/>
            </w:tcBorders>
            <w:shd w:val="clear" w:color="auto" w:fill="auto"/>
            <w:noWrap/>
            <w:vAlign w:val="bottom"/>
            <w:hideMark/>
          </w:tcPr>
          <w:p w14:paraId="1A33EE3E" w14:textId="77777777" w:rsidR="00D77ACD" w:rsidRPr="00D77ACD" w:rsidRDefault="00D77ACD" w:rsidP="004038BF">
            <w:pPr>
              <w:spacing w:line="240" w:lineRule="auto"/>
              <w:jc w:val="center"/>
              <w:rPr>
                <w:rFonts w:ascii="Calibri" w:eastAsia="Times New Roman" w:hAnsi="Calibri" w:cs="Calibri"/>
                <w:color w:val="000000"/>
                <w:sz w:val="20"/>
                <w:szCs w:val="20"/>
              </w:rPr>
            </w:pPr>
          </w:p>
        </w:tc>
        <w:tc>
          <w:tcPr>
            <w:tcW w:w="466" w:type="pct"/>
            <w:tcBorders>
              <w:top w:val="nil"/>
              <w:left w:val="nil"/>
              <w:bottom w:val="nil"/>
              <w:right w:val="nil"/>
            </w:tcBorders>
            <w:shd w:val="clear" w:color="auto" w:fill="auto"/>
            <w:noWrap/>
            <w:vAlign w:val="bottom"/>
            <w:hideMark/>
          </w:tcPr>
          <w:p w14:paraId="55478D79" w14:textId="77777777" w:rsidR="00D77ACD" w:rsidRPr="00D77ACD" w:rsidRDefault="00D77ACD" w:rsidP="004038BF">
            <w:pPr>
              <w:spacing w:line="240" w:lineRule="auto"/>
              <w:jc w:val="center"/>
              <w:rPr>
                <w:rFonts w:ascii="Calibri" w:eastAsia="Times New Roman" w:hAnsi="Calibri" w:cs="Calibri"/>
                <w:color w:val="000000"/>
                <w:sz w:val="20"/>
                <w:szCs w:val="20"/>
              </w:rPr>
            </w:pPr>
          </w:p>
        </w:tc>
        <w:tc>
          <w:tcPr>
            <w:tcW w:w="386" w:type="pct"/>
            <w:tcBorders>
              <w:top w:val="nil"/>
              <w:left w:val="nil"/>
              <w:bottom w:val="nil"/>
              <w:right w:val="nil"/>
            </w:tcBorders>
            <w:shd w:val="clear" w:color="auto" w:fill="auto"/>
            <w:noWrap/>
            <w:vAlign w:val="bottom"/>
            <w:hideMark/>
          </w:tcPr>
          <w:p w14:paraId="350B49B4" w14:textId="77777777" w:rsidR="00D77ACD" w:rsidRPr="00D77ACD" w:rsidRDefault="00D77ACD" w:rsidP="004038BF">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noWrap/>
            <w:vAlign w:val="bottom"/>
            <w:hideMark/>
          </w:tcPr>
          <w:p w14:paraId="0D1743B4" w14:textId="77777777" w:rsidR="00D77ACD" w:rsidRPr="00D77ACD" w:rsidRDefault="00D77ACD" w:rsidP="004842BF">
            <w:pPr>
              <w:tabs>
                <w:tab w:val="decimal" w:pos="306"/>
              </w:tabs>
              <w:spacing w:line="240" w:lineRule="auto"/>
              <w:jc w:val="left"/>
              <w:rPr>
                <w:rFonts w:ascii="Calibri" w:eastAsia="Times New Roman" w:hAnsi="Calibri" w:cs="Calibri"/>
                <w:color w:val="000000"/>
                <w:sz w:val="20"/>
                <w:szCs w:val="20"/>
              </w:rPr>
            </w:pPr>
          </w:p>
        </w:tc>
        <w:tc>
          <w:tcPr>
            <w:tcW w:w="386" w:type="pct"/>
            <w:tcBorders>
              <w:top w:val="nil"/>
              <w:left w:val="nil"/>
              <w:bottom w:val="nil"/>
              <w:right w:val="double" w:sz="6" w:space="0" w:color="auto"/>
            </w:tcBorders>
            <w:shd w:val="clear" w:color="auto" w:fill="auto"/>
            <w:noWrap/>
            <w:vAlign w:val="bottom"/>
            <w:hideMark/>
          </w:tcPr>
          <w:p w14:paraId="508D048A" w14:textId="77777777" w:rsidR="00D77ACD" w:rsidRPr="00D77ACD" w:rsidRDefault="00D77ACD" w:rsidP="004842BF">
            <w:pPr>
              <w:tabs>
                <w:tab w:val="decimal" w:pos="306"/>
              </w:tabs>
              <w:spacing w:line="240" w:lineRule="auto"/>
              <w:jc w:val="left"/>
              <w:rPr>
                <w:rFonts w:ascii="Calibri" w:eastAsia="Times New Roman" w:hAnsi="Calibri" w:cs="Calibri"/>
                <w:color w:val="000000"/>
                <w:sz w:val="20"/>
                <w:szCs w:val="20"/>
              </w:rPr>
            </w:pPr>
          </w:p>
        </w:tc>
        <w:tc>
          <w:tcPr>
            <w:tcW w:w="421" w:type="pct"/>
            <w:tcBorders>
              <w:top w:val="nil"/>
              <w:left w:val="nil"/>
              <w:bottom w:val="nil"/>
              <w:right w:val="nil"/>
            </w:tcBorders>
            <w:shd w:val="clear" w:color="auto" w:fill="auto"/>
            <w:noWrap/>
            <w:vAlign w:val="bottom"/>
            <w:hideMark/>
          </w:tcPr>
          <w:p w14:paraId="4CF40C28" w14:textId="77777777" w:rsidR="00D77ACD" w:rsidRPr="00D77ACD" w:rsidRDefault="00D77ACD" w:rsidP="004038BF">
            <w:pPr>
              <w:spacing w:line="240" w:lineRule="auto"/>
              <w:jc w:val="center"/>
              <w:rPr>
                <w:rFonts w:ascii="Calibri" w:eastAsia="Times New Roman" w:hAnsi="Calibri" w:cs="Calibri"/>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49833532" w14:textId="77777777" w:rsidR="00D77ACD" w:rsidRPr="00D77ACD" w:rsidRDefault="00D77ACD" w:rsidP="004038BF">
            <w:pPr>
              <w:spacing w:line="240" w:lineRule="auto"/>
              <w:jc w:val="center"/>
              <w:rPr>
                <w:rFonts w:ascii="Calibri" w:eastAsia="Times New Roman" w:hAnsi="Calibri" w:cs="Calibri"/>
                <w:color w:val="000000"/>
                <w:sz w:val="20"/>
                <w:szCs w:val="20"/>
              </w:rPr>
            </w:pPr>
          </w:p>
        </w:tc>
      </w:tr>
      <w:tr w:rsidR="005D6BB5" w:rsidRPr="00D77ACD" w14:paraId="472E945A"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166A5B44" w14:textId="1E5A8910" w:rsidR="00D35452" w:rsidRPr="00EB5D49" w:rsidRDefault="00EB5D49" w:rsidP="00EB5D49">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18-</w:t>
            </w:r>
            <w:r w:rsidR="00D35452" w:rsidRPr="00EB5D49">
              <w:rPr>
                <w:rFonts w:eastAsia="Times New Roman" w:cs="Times New Roman"/>
                <w:color w:val="000000"/>
                <w:sz w:val="20"/>
                <w:szCs w:val="20"/>
              </w:rPr>
              <w:t>34</w:t>
            </w:r>
          </w:p>
        </w:tc>
        <w:tc>
          <w:tcPr>
            <w:tcW w:w="440" w:type="pct"/>
            <w:tcBorders>
              <w:top w:val="nil"/>
              <w:left w:val="nil"/>
              <w:bottom w:val="nil"/>
              <w:right w:val="nil"/>
            </w:tcBorders>
            <w:shd w:val="clear" w:color="auto" w:fill="auto"/>
            <w:vAlign w:val="center"/>
            <w:hideMark/>
          </w:tcPr>
          <w:p w14:paraId="093BEBB1" w14:textId="77777777" w:rsidR="00D35452" w:rsidRPr="00D77ACD" w:rsidRDefault="00D35452" w:rsidP="00D35452">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5ACD8A50"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1A4014ED"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1.1</w:t>
            </w:r>
            <w:r>
              <w:rPr>
                <w:rFonts w:eastAsia="Times New Roman" w:cs="Times New Roman"/>
                <w:color w:val="000000"/>
                <w:sz w:val="20"/>
                <w:szCs w:val="20"/>
              </w:rPr>
              <w:t>44</w:t>
            </w:r>
          </w:p>
        </w:tc>
        <w:tc>
          <w:tcPr>
            <w:tcW w:w="386" w:type="pct"/>
            <w:tcBorders>
              <w:top w:val="nil"/>
              <w:left w:val="nil"/>
              <w:bottom w:val="nil"/>
              <w:right w:val="nil"/>
            </w:tcBorders>
            <w:shd w:val="clear" w:color="auto" w:fill="auto"/>
            <w:vAlign w:val="center"/>
            <w:hideMark/>
          </w:tcPr>
          <w:p w14:paraId="276F9739" w14:textId="77777777" w:rsidR="00D35452" w:rsidRPr="00D77ACD"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11.28</w:t>
            </w:r>
          </w:p>
        </w:tc>
        <w:tc>
          <w:tcPr>
            <w:tcW w:w="418" w:type="pct"/>
            <w:tcBorders>
              <w:top w:val="nil"/>
              <w:left w:val="double" w:sz="6" w:space="0" w:color="auto"/>
              <w:bottom w:val="nil"/>
              <w:right w:val="nil"/>
            </w:tcBorders>
            <w:shd w:val="clear" w:color="auto" w:fill="auto"/>
            <w:vAlign w:val="center"/>
            <w:hideMark/>
          </w:tcPr>
          <w:p w14:paraId="7F093859"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0.</w:t>
            </w:r>
            <w:r>
              <w:rPr>
                <w:rFonts w:eastAsia="Times New Roman" w:cs="Times New Roman"/>
                <w:color w:val="000000"/>
                <w:sz w:val="20"/>
                <w:szCs w:val="20"/>
              </w:rPr>
              <w:t>480</w:t>
            </w:r>
          </w:p>
        </w:tc>
        <w:tc>
          <w:tcPr>
            <w:tcW w:w="386" w:type="pct"/>
            <w:tcBorders>
              <w:top w:val="nil"/>
              <w:left w:val="nil"/>
              <w:bottom w:val="nil"/>
              <w:right w:val="double" w:sz="6" w:space="0" w:color="auto"/>
            </w:tcBorders>
            <w:shd w:val="clear" w:color="auto" w:fill="auto"/>
            <w:vAlign w:val="center"/>
            <w:hideMark/>
          </w:tcPr>
          <w:p w14:paraId="1FC3BBF3"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Pr>
                <w:rFonts w:eastAsia="Times New Roman" w:cs="Times New Roman"/>
                <w:color w:val="000000"/>
                <w:sz w:val="20"/>
                <w:szCs w:val="20"/>
              </w:rPr>
              <w:t>4.89</w:t>
            </w:r>
          </w:p>
        </w:tc>
        <w:tc>
          <w:tcPr>
            <w:tcW w:w="421" w:type="pct"/>
            <w:tcBorders>
              <w:top w:val="nil"/>
              <w:left w:val="nil"/>
              <w:bottom w:val="nil"/>
              <w:right w:val="nil"/>
            </w:tcBorders>
            <w:shd w:val="clear" w:color="auto" w:fill="auto"/>
            <w:noWrap/>
            <w:vAlign w:val="bottom"/>
            <w:hideMark/>
          </w:tcPr>
          <w:p w14:paraId="330E1871" w14:textId="77777777" w:rsidR="00D35452" w:rsidRPr="00D77ACD" w:rsidRDefault="00D35452" w:rsidP="004842BF">
            <w:pPr>
              <w:tabs>
                <w:tab w:val="decimal" w:pos="258"/>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w:t>
            </w:r>
            <w:r>
              <w:rPr>
                <w:rFonts w:eastAsia="Times New Roman" w:cs="Times New Roman"/>
                <w:color w:val="000000"/>
                <w:sz w:val="20"/>
                <w:szCs w:val="20"/>
              </w:rPr>
              <w:t>1.174</w:t>
            </w:r>
          </w:p>
        </w:tc>
        <w:tc>
          <w:tcPr>
            <w:tcW w:w="392" w:type="pct"/>
            <w:tcBorders>
              <w:top w:val="nil"/>
              <w:left w:val="nil"/>
              <w:bottom w:val="nil"/>
              <w:right w:val="double" w:sz="6" w:space="0" w:color="auto"/>
            </w:tcBorders>
            <w:shd w:val="clear" w:color="auto" w:fill="auto"/>
            <w:noWrap/>
            <w:vAlign w:val="bottom"/>
            <w:hideMark/>
          </w:tcPr>
          <w:p w14:paraId="3ECC859C" w14:textId="77777777" w:rsidR="00D35452" w:rsidRPr="00D77ACD" w:rsidRDefault="00D35452" w:rsidP="004842BF">
            <w:pPr>
              <w:tabs>
                <w:tab w:val="decimal" w:pos="258"/>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-1.8</w:t>
            </w:r>
            <w:r>
              <w:rPr>
                <w:rFonts w:eastAsia="Times New Roman" w:cs="Times New Roman"/>
                <w:color w:val="000000"/>
                <w:sz w:val="20"/>
                <w:szCs w:val="20"/>
              </w:rPr>
              <w:t>6</w:t>
            </w:r>
          </w:p>
        </w:tc>
      </w:tr>
      <w:tr w:rsidR="005D6BB5" w:rsidRPr="00D77ACD" w14:paraId="499AE34B"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60FE2300" w14:textId="5B793D7A" w:rsidR="00D35452" w:rsidRPr="00EB5D49" w:rsidRDefault="00EB5D49" w:rsidP="00EB5D49">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35-</w:t>
            </w:r>
            <w:r w:rsidR="00D35452" w:rsidRPr="00EB5D49">
              <w:rPr>
                <w:rFonts w:eastAsia="Times New Roman" w:cs="Times New Roman"/>
                <w:color w:val="000000"/>
                <w:sz w:val="20"/>
                <w:szCs w:val="20"/>
              </w:rPr>
              <w:t>44</w:t>
            </w:r>
          </w:p>
        </w:tc>
        <w:tc>
          <w:tcPr>
            <w:tcW w:w="440" w:type="pct"/>
            <w:tcBorders>
              <w:top w:val="nil"/>
              <w:left w:val="nil"/>
              <w:bottom w:val="nil"/>
              <w:right w:val="nil"/>
            </w:tcBorders>
            <w:shd w:val="clear" w:color="auto" w:fill="auto"/>
            <w:noWrap/>
            <w:vAlign w:val="center"/>
            <w:hideMark/>
          </w:tcPr>
          <w:p w14:paraId="10919CD5" w14:textId="77777777" w:rsidR="00D35452" w:rsidRPr="00D77ACD" w:rsidRDefault="00D35452" w:rsidP="00D35452">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noWrap/>
            <w:vAlign w:val="center"/>
            <w:hideMark/>
          </w:tcPr>
          <w:p w14:paraId="3D3A4516"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noWrap/>
            <w:vAlign w:val="bottom"/>
            <w:hideMark/>
          </w:tcPr>
          <w:p w14:paraId="7F792F2F"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w:t>
            </w:r>
            <w:r>
              <w:rPr>
                <w:rFonts w:eastAsia="Times New Roman" w:cs="Times New Roman"/>
                <w:color w:val="000000"/>
                <w:sz w:val="20"/>
                <w:szCs w:val="20"/>
              </w:rPr>
              <w:t>899</w:t>
            </w:r>
          </w:p>
        </w:tc>
        <w:tc>
          <w:tcPr>
            <w:tcW w:w="386" w:type="pct"/>
            <w:tcBorders>
              <w:top w:val="nil"/>
              <w:left w:val="nil"/>
              <w:bottom w:val="nil"/>
              <w:right w:val="nil"/>
            </w:tcBorders>
            <w:shd w:val="clear" w:color="auto" w:fill="auto"/>
            <w:noWrap/>
            <w:vAlign w:val="bottom"/>
            <w:hideMark/>
          </w:tcPr>
          <w:p w14:paraId="6714283D" w14:textId="77777777" w:rsidR="00D35452" w:rsidRPr="00D77ACD"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10.14</w:t>
            </w:r>
          </w:p>
        </w:tc>
        <w:tc>
          <w:tcPr>
            <w:tcW w:w="418" w:type="pct"/>
            <w:tcBorders>
              <w:top w:val="nil"/>
              <w:left w:val="double" w:sz="6" w:space="0" w:color="auto"/>
              <w:bottom w:val="nil"/>
              <w:right w:val="nil"/>
            </w:tcBorders>
            <w:shd w:val="clear" w:color="auto" w:fill="auto"/>
            <w:noWrap/>
            <w:vAlign w:val="bottom"/>
            <w:hideMark/>
          </w:tcPr>
          <w:p w14:paraId="0B58AA45"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Pr>
                <w:rFonts w:eastAsia="Times New Roman" w:cs="Times New Roman"/>
                <w:color w:val="000000"/>
                <w:sz w:val="20"/>
                <w:szCs w:val="20"/>
              </w:rPr>
              <w:t>0.287</w:t>
            </w:r>
          </w:p>
        </w:tc>
        <w:tc>
          <w:tcPr>
            <w:tcW w:w="386" w:type="pct"/>
            <w:tcBorders>
              <w:top w:val="nil"/>
              <w:left w:val="nil"/>
              <w:bottom w:val="nil"/>
              <w:right w:val="double" w:sz="6" w:space="0" w:color="auto"/>
            </w:tcBorders>
            <w:shd w:val="clear" w:color="auto" w:fill="auto"/>
            <w:noWrap/>
            <w:vAlign w:val="bottom"/>
            <w:hideMark/>
          </w:tcPr>
          <w:p w14:paraId="6388C114"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Pr>
                <w:rFonts w:eastAsia="Times New Roman" w:cs="Times New Roman"/>
                <w:color w:val="000000"/>
                <w:sz w:val="20"/>
                <w:szCs w:val="20"/>
              </w:rPr>
              <w:t>3.51</w:t>
            </w:r>
          </w:p>
        </w:tc>
        <w:tc>
          <w:tcPr>
            <w:tcW w:w="421" w:type="pct"/>
            <w:tcBorders>
              <w:top w:val="nil"/>
              <w:left w:val="nil"/>
              <w:bottom w:val="nil"/>
              <w:right w:val="nil"/>
            </w:tcBorders>
            <w:shd w:val="clear" w:color="auto" w:fill="auto"/>
            <w:noWrap/>
            <w:vAlign w:val="bottom"/>
            <w:hideMark/>
          </w:tcPr>
          <w:p w14:paraId="1063F5F5"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noWrap/>
            <w:vAlign w:val="bottom"/>
            <w:hideMark/>
          </w:tcPr>
          <w:p w14:paraId="65DF7BBD"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3F460100"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560E81B9" w14:textId="3308BA4D" w:rsidR="00D35452" w:rsidRPr="00EB5D49" w:rsidRDefault="00D35452" w:rsidP="00EB5D49">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w:t>
            </w:r>
            <w:r w:rsidR="00EB5D49" w:rsidRPr="00EB5D49">
              <w:rPr>
                <w:rFonts w:eastAsia="Times New Roman" w:cs="Times New Roman"/>
                <w:color w:val="000000"/>
                <w:sz w:val="20"/>
                <w:szCs w:val="20"/>
              </w:rPr>
              <w:t>45-</w:t>
            </w:r>
            <w:r w:rsidRPr="00EB5D49">
              <w:rPr>
                <w:rFonts w:eastAsia="Times New Roman" w:cs="Times New Roman"/>
                <w:color w:val="000000"/>
                <w:sz w:val="20"/>
                <w:szCs w:val="20"/>
              </w:rPr>
              <w:t>54</w:t>
            </w:r>
          </w:p>
        </w:tc>
        <w:tc>
          <w:tcPr>
            <w:tcW w:w="440" w:type="pct"/>
            <w:tcBorders>
              <w:top w:val="nil"/>
              <w:left w:val="nil"/>
              <w:bottom w:val="nil"/>
              <w:right w:val="nil"/>
            </w:tcBorders>
            <w:shd w:val="clear" w:color="auto" w:fill="auto"/>
            <w:noWrap/>
            <w:vAlign w:val="bottom"/>
            <w:hideMark/>
          </w:tcPr>
          <w:p w14:paraId="05936902" w14:textId="77777777" w:rsidR="00D35452" w:rsidRPr="00D77ACD" w:rsidRDefault="00D35452" w:rsidP="00D35452">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noWrap/>
            <w:vAlign w:val="bottom"/>
            <w:hideMark/>
          </w:tcPr>
          <w:p w14:paraId="03301A31"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noWrap/>
            <w:vAlign w:val="bottom"/>
            <w:hideMark/>
          </w:tcPr>
          <w:p w14:paraId="67698092" w14:textId="77777777" w:rsidR="00D35452" w:rsidRPr="00D77ACD"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0.441</w:t>
            </w:r>
          </w:p>
        </w:tc>
        <w:tc>
          <w:tcPr>
            <w:tcW w:w="386" w:type="pct"/>
            <w:tcBorders>
              <w:top w:val="nil"/>
              <w:left w:val="nil"/>
              <w:bottom w:val="nil"/>
              <w:right w:val="nil"/>
            </w:tcBorders>
            <w:shd w:val="clear" w:color="auto" w:fill="auto"/>
            <w:noWrap/>
            <w:vAlign w:val="bottom"/>
            <w:hideMark/>
          </w:tcPr>
          <w:p w14:paraId="557658C7"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5.58</w:t>
            </w:r>
          </w:p>
        </w:tc>
        <w:tc>
          <w:tcPr>
            <w:tcW w:w="418" w:type="pct"/>
            <w:tcBorders>
              <w:top w:val="nil"/>
              <w:left w:val="double" w:sz="6" w:space="0" w:color="auto"/>
              <w:bottom w:val="nil"/>
              <w:right w:val="nil"/>
            </w:tcBorders>
            <w:shd w:val="clear" w:color="auto" w:fill="auto"/>
            <w:noWrap/>
            <w:vAlign w:val="bottom"/>
            <w:hideMark/>
          </w:tcPr>
          <w:p w14:paraId="38389ED0"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noWrap/>
            <w:vAlign w:val="bottom"/>
            <w:hideMark/>
          </w:tcPr>
          <w:p w14:paraId="6F316734"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noWrap/>
            <w:vAlign w:val="bottom"/>
            <w:hideMark/>
          </w:tcPr>
          <w:p w14:paraId="55512755"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noWrap/>
            <w:vAlign w:val="bottom"/>
            <w:hideMark/>
          </w:tcPr>
          <w:p w14:paraId="255EC205"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0C2B88E0"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BA125E7" w14:textId="0523496A" w:rsidR="00D35452" w:rsidRPr="00EB5D49" w:rsidRDefault="00E45E48" w:rsidP="00D35452">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Ethnicity</w:t>
            </w:r>
            <w:r w:rsidR="00D35452" w:rsidRPr="00EB5D49">
              <w:rPr>
                <w:rFonts w:eastAsia="Times New Roman" w:cs="Times New Roman"/>
                <w:b/>
                <w:bCs/>
                <w:color w:val="000000"/>
                <w:sz w:val="20"/>
                <w:szCs w:val="20"/>
              </w:rPr>
              <w:t xml:space="preserve"> (other </w:t>
            </w:r>
            <w:r w:rsidRPr="00EB5D49">
              <w:rPr>
                <w:rFonts w:eastAsia="Times New Roman" w:cs="Times New Roman"/>
                <w:b/>
                <w:bCs/>
                <w:color w:val="000000"/>
                <w:sz w:val="20"/>
                <w:szCs w:val="20"/>
              </w:rPr>
              <w:t>ethnicities</w:t>
            </w:r>
            <w:r w:rsidR="00D35452" w:rsidRPr="00EB5D49">
              <w:rPr>
                <w:rFonts w:eastAsia="Times New Roman" w:cs="Times New Roman"/>
                <w:b/>
                <w:bCs/>
                <w:color w:val="000000"/>
                <w:sz w:val="20"/>
                <w:szCs w:val="20"/>
              </w:rPr>
              <w:t>)</w:t>
            </w:r>
          </w:p>
        </w:tc>
        <w:tc>
          <w:tcPr>
            <w:tcW w:w="440" w:type="pct"/>
            <w:tcBorders>
              <w:top w:val="nil"/>
              <w:left w:val="nil"/>
              <w:bottom w:val="nil"/>
              <w:right w:val="nil"/>
            </w:tcBorders>
            <w:shd w:val="clear" w:color="auto" w:fill="auto"/>
            <w:vAlign w:val="center"/>
            <w:hideMark/>
          </w:tcPr>
          <w:p w14:paraId="70380501" w14:textId="77777777" w:rsidR="00D35452" w:rsidRPr="00D77ACD" w:rsidRDefault="00D35452" w:rsidP="00D35452">
            <w:pPr>
              <w:tabs>
                <w:tab w:val="left" w:pos="535"/>
                <w:tab w:val="left" w:pos="666"/>
              </w:tabs>
              <w:spacing w:line="240" w:lineRule="auto"/>
              <w:jc w:val="center"/>
              <w:rPr>
                <w:rFonts w:eastAsia="Times New Roman" w:cs="Times New Roman"/>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3024DB65" w14:textId="77777777" w:rsidR="00D35452" w:rsidRPr="00D77ACD" w:rsidRDefault="00D35452" w:rsidP="00D35452">
            <w:pPr>
              <w:spacing w:line="240" w:lineRule="auto"/>
              <w:jc w:val="center"/>
              <w:rPr>
                <w:rFonts w:eastAsia="Times New Roman" w:cs="Times New Roman"/>
                <w:color w:val="000000"/>
                <w:sz w:val="20"/>
                <w:szCs w:val="20"/>
              </w:rPr>
            </w:pPr>
          </w:p>
        </w:tc>
        <w:tc>
          <w:tcPr>
            <w:tcW w:w="466" w:type="pct"/>
            <w:tcBorders>
              <w:top w:val="nil"/>
              <w:left w:val="nil"/>
              <w:bottom w:val="nil"/>
              <w:right w:val="nil"/>
            </w:tcBorders>
            <w:shd w:val="clear" w:color="auto" w:fill="auto"/>
            <w:vAlign w:val="center"/>
            <w:hideMark/>
          </w:tcPr>
          <w:p w14:paraId="1101780D" w14:textId="77777777" w:rsidR="00D35452" w:rsidRPr="00D77ACD" w:rsidRDefault="00D35452" w:rsidP="00D35452">
            <w:pPr>
              <w:spacing w:line="240" w:lineRule="auto"/>
              <w:jc w:val="center"/>
              <w:rPr>
                <w:rFonts w:eastAsia="Times New Roman" w:cs="Times New Roman"/>
                <w:color w:val="000000"/>
                <w:sz w:val="20"/>
                <w:szCs w:val="20"/>
              </w:rPr>
            </w:pPr>
          </w:p>
        </w:tc>
        <w:tc>
          <w:tcPr>
            <w:tcW w:w="386" w:type="pct"/>
            <w:tcBorders>
              <w:top w:val="nil"/>
              <w:left w:val="nil"/>
              <w:bottom w:val="nil"/>
              <w:right w:val="nil"/>
            </w:tcBorders>
            <w:shd w:val="clear" w:color="auto" w:fill="auto"/>
            <w:vAlign w:val="center"/>
            <w:hideMark/>
          </w:tcPr>
          <w:p w14:paraId="006753B5" w14:textId="77777777" w:rsidR="00D35452" w:rsidRPr="00D77ACD" w:rsidRDefault="00D35452" w:rsidP="00D35452">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1702F716"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67CDC089"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p>
        </w:tc>
        <w:tc>
          <w:tcPr>
            <w:tcW w:w="421" w:type="pct"/>
            <w:tcBorders>
              <w:top w:val="nil"/>
              <w:left w:val="nil"/>
              <w:bottom w:val="nil"/>
              <w:right w:val="nil"/>
            </w:tcBorders>
            <w:shd w:val="clear" w:color="auto" w:fill="auto"/>
            <w:noWrap/>
            <w:vAlign w:val="bottom"/>
            <w:hideMark/>
          </w:tcPr>
          <w:p w14:paraId="5B604328" w14:textId="77777777" w:rsidR="00D35452" w:rsidRPr="00D77ACD" w:rsidRDefault="00D35452" w:rsidP="00D35452">
            <w:pPr>
              <w:spacing w:line="240" w:lineRule="auto"/>
              <w:jc w:val="center"/>
              <w:rPr>
                <w:rFonts w:eastAsia="Times New Roman" w:cs="Times New Roman"/>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16FD3D76" w14:textId="77777777" w:rsidR="00D35452" w:rsidRPr="00D77ACD" w:rsidRDefault="00D35452" w:rsidP="00D35452">
            <w:pPr>
              <w:spacing w:line="240" w:lineRule="auto"/>
              <w:jc w:val="center"/>
              <w:rPr>
                <w:rFonts w:eastAsia="Times New Roman" w:cs="Times New Roman"/>
                <w:color w:val="000000"/>
                <w:sz w:val="20"/>
                <w:szCs w:val="20"/>
              </w:rPr>
            </w:pPr>
          </w:p>
        </w:tc>
      </w:tr>
      <w:tr w:rsidR="005D6BB5" w:rsidRPr="00D77ACD" w14:paraId="6E1356A3"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D2EA4E8" w14:textId="77777777" w:rsidR="00D77ACD" w:rsidRPr="00EB5D49" w:rsidRDefault="00D77ACD" w:rsidP="00D77ACD">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Non-Hispanic White</w:t>
            </w:r>
          </w:p>
        </w:tc>
        <w:tc>
          <w:tcPr>
            <w:tcW w:w="440" w:type="pct"/>
            <w:tcBorders>
              <w:top w:val="nil"/>
              <w:left w:val="nil"/>
              <w:bottom w:val="nil"/>
              <w:right w:val="nil"/>
            </w:tcBorders>
            <w:shd w:val="clear" w:color="auto" w:fill="auto"/>
            <w:vAlign w:val="center"/>
            <w:hideMark/>
          </w:tcPr>
          <w:p w14:paraId="01794694"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0.1</w:t>
            </w:r>
            <w:r w:rsidR="00D35452">
              <w:rPr>
                <w:rFonts w:eastAsia="Times New Roman" w:cs="Times New Roman"/>
                <w:color w:val="000000"/>
                <w:sz w:val="20"/>
                <w:szCs w:val="20"/>
              </w:rPr>
              <w:t>87</w:t>
            </w:r>
          </w:p>
        </w:tc>
        <w:tc>
          <w:tcPr>
            <w:tcW w:w="411" w:type="pct"/>
            <w:tcBorders>
              <w:top w:val="nil"/>
              <w:left w:val="nil"/>
              <w:bottom w:val="nil"/>
              <w:right w:val="double" w:sz="6" w:space="0" w:color="auto"/>
            </w:tcBorders>
            <w:shd w:val="clear" w:color="auto" w:fill="auto"/>
            <w:vAlign w:val="center"/>
            <w:hideMark/>
          </w:tcPr>
          <w:p w14:paraId="24955DA1"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1.</w:t>
            </w:r>
            <w:r w:rsidR="00D35452">
              <w:rPr>
                <w:rFonts w:eastAsia="Times New Roman" w:cs="Times New Roman"/>
                <w:color w:val="000000"/>
                <w:sz w:val="20"/>
                <w:szCs w:val="20"/>
              </w:rPr>
              <w:t>98</w:t>
            </w:r>
          </w:p>
        </w:tc>
        <w:tc>
          <w:tcPr>
            <w:tcW w:w="466" w:type="pct"/>
            <w:tcBorders>
              <w:top w:val="nil"/>
              <w:left w:val="nil"/>
              <w:bottom w:val="nil"/>
              <w:right w:val="nil"/>
            </w:tcBorders>
            <w:shd w:val="clear" w:color="auto" w:fill="auto"/>
            <w:noWrap/>
            <w:vAlign w:val="bottom"/>
            <w:hideMark/>
          </w:tcPr>
          <w:p w14:paraId="1135B65E"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nil"/>
            </w:tcBorders>
            <w:shd w:val="clear" w:color="auto" w:fill="auto"/>
            <w:noWrap/>
            <w:vAlign w:val="bottom"/>
            <w:hideMark/>
          </w:tcPr>
          <w:p w14:paraId="54A20110"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top w:val="nil"/>
              <w:left w:val="double" w:sz="6" w:space="0" w:color="auto"/>
              <w:bottom w:val="nil"/>
              <w:right w:val="nil"/>
            </w:tcBorders>
            <w:shd w:val="clear" w:color="auto" w:fill="auto"/>
            <w:vAlign w:val="center"/>
            <w:hideMark/>
          </w:tcPr>
          <w:p w14:paraId="660F9AE4"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-0.1</w:t>
            </w:r>
            <w:r w:rsidR="00D35452">
              <w:rPr>
                <w:rFonts w:eastAsia="Times New Roman" w:cs="Times New Roman"/>
                <w:color w:val="000000"/>
                <w:sz w:val="20"/>
                <w:szCs w:val="20"/>
              </w:rPr>
              <w:t>77</w:t>
            </w:r>
          </w:p>
        </w:tc>
        <w:tc>
          <w:tcPr>
            <w:tcW w:w="386" w:type="pct"/>
            <w:tcBorders>
              <w:top w:val="nil"/>
              <w:left w:val="nil"/>
              <w:bottom w:val="nil"/>
              <w:right w:val="double" w:sz="6" w:space="0" w:color="auto"/>
            </w:tcBorders>
            <w:shd w:val="clear" w:color="auto" w:fill="auto"/>
            <w:vAlign w:val="center"/>
            <w:hideMark/>
          </w:tcPr>
          <w:p w14:paraId="7FB5F757"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w:t>
            </w:r>
            <w:r w:rsidR="00D35452">
              <w:rPr>
                <w:rFonts w:eastAsia="Times New Roman" w:cs="Times New Roman"/>
                <w:color w:val="000000"/>
                <w:sz w:val="20"/>
                <w:szCs w:val="20"/>
              </w:rPr>
              <w:t>3.34</w:t>
            </w:r>
          </w:p>
        </w:tc>
        <w:tc>
          <w:tcPr>
            <w:tcW w:w="421" w:type="pct"/>
            <w:tcBorders>
              <w:top w:val="nil"/>
              <w:left w:val="nil"/>
              <w:bottom w:val="nil"/>
              <w:right w:val="nil"/>
            </w:tcBorders>
            <w:shd w:val="clear" w:color="auto" w:fill="auto"/>
            <w:noWrap/>
            <w:vAlign w:val="bottom"/>
            <w:hideMark/>
          </w:tcPr>
          <w:p w14:paraId="02DEAEA2"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noWrap/>
            <w:vAlign w:val="bottom"/>
            <w:hideMark/>
          </w:tcPr>
          <w:p w14:paraId="33DE313A"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0CB0C96B" w14:textId="77777777" w:rsidTr="005D6BB5">
        <w:trPr>
          <w:trHeight w:val="288"/>
          <w:jc w:val="center"/>
        </w:trPr>
        <w:tc>
          <w:tcPr>
            <w:tcW w:w="1680" w:type="pct"/>
            <w:tcBorders>
              <w:top w:val="nil"/>
              <w:left w:val="double" w:sz="6" w:space="0" w:color="auto"/>
              <w:bottom w:val="nil"/>
              <w:right w:val="nil"/>
            </w:tcBorders>
            <w:shd w:val="clear" w:color="auto" w:fill="auto"/>
            <w:vAlign w:val="center"/>
            <w:hideMark/>
          </w:tcPr>
          <w:p w14:paraId="76EF9084" w14:textId="598D0DC1" w:rsidR="00D77ACD" w:rsidRPr="00EB5D49" w:rsidRDefault="00D77ACD" w:rsidP="00D77ACD">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Education (</w:t>
            </w:r>
            <w:r w:rsidR="00EB5D49" w:rsidRPr="00EB5D49">
              <w:rPr>
                <w:rFonts w:eastAsia="Times New Roman" w:cs="Times New Roman"/>
                <w:b/>
                <w:bCs/>
                <w:color w:val="000000"/>
                <w:sz w:val="20"/>
                <w:szCs w:val="20"/>
              </w:rPr>
              <w:t>less than</w:t>
            </w:r>
            <w:r w:rsidRPr="00EB5D49">
              <w:rPr>
                <w:rFonts w:eastAsia="Times New Roman" w:cs="Times New Roman"/>
                <w:b/>
                <w:bCs/>
                <w:color w:val="000000"/>
                <w:sz w:val="20"/>
                <w:szCs w:val="20"/>
              </w:rPr>
              <w:t xml:space="preserve"> undergraduate degree)</w:t>
            </w:r>
          </w:p>
        </w:tc>
        <w:tc>
          <w:tcPr>
            <w:tcW w:w="440" w:type="pct"/>
            <w:tcBorders>
              <w:top w:val="nil"/>
              <w:left w:val="double" w:sz="6" w:space="0" w:color="auto"/>
              <w:bottom w:val="nil"/>
              <w:right w:val="nil"/>
            </w:tcBorders>
            <w:shd w:val="clear" w:color="auto" w:fill="auto"/>
            <w:vAlign w:val="center"/>
            <w:hideMark/>
          </w:tcPr>
          <w:p w14:paraId="5F8807F8" w14:textId="77777777" w:rsidR="00D77ACD" w:rsidRPr="00D77ACD" w:rsidRDefault="00D77ACD" w:rsidP="004842BF">
            <w:pPr>
              <w:tabs>
                <w:tab w:val="left" w:pos="535"/>
                <w:tab w:val="left" w:pos="666"/>
              </w:tabs>
              <w:spacing w:line="240" w:lineRule="auto"/>
              <w:jc w:val="center"/>
              <w:rPr>
                <w:rFonts w:eastAsia="Times New Roman" w:cs="Times New Roman"/>
                <w:b/>
                <w:bCs/>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00A6A437" w14:textId="77777777" w:rsidR="00D77ACD" w:rsidRPr="00D77ACD" w:rsidRDefault="00D77ACD" w:rsidP="004842BF">
            <w:pPr>
              <w:spacing w:line="240" w:lineRule="auto"/>
              <w:jc w:val="center"/>
              <w:rPr>
                <w:rFonts w:eastAsia="Times New Roman" w:cs="Times New Roman"/>
                <w:b/>
                <w:bCs/>
                <w:color w:val="000000"/>
                <w:sz w:val="20"/>
                <w:szCs w:val="20"/>
              </w:rPr>
            </w:pPr>
          </w:p>
        </w:tc>
        <w:tc>
          <w:tcPr>
            <w:tcW w:w="466" w:type="pct"/>
            <w:tcBorders>
              <w:top w:val="nil"/>
              <w:left w:val="nil"/>
              <w:bottom w:val="nil"/>
              <w:right w:val="nil"/>
            </w:tcBorders>
            <w:shd w:val="clear" w:color="auto" w:fill="auto"/>
            <w:vAlign w:val="center"/>
            <w:hideMark/>
          </w:tcPr>
          <w:p w14:paraId="13F693C5" w14:textId="77777777" w:rsidR="00D77ACD" w:rsidRPr="00D77ACD" w:rsidRDefault="00D77ACD" w:rsidP="004038BF">
            <w:pPr>
              <w:spacing w:line="240" w:lineRule="auto"/>
              <w:jc w:val="center"/>
              <w:rPr>
                <w:rFonts w:eastAsia="Times New Roman" w:cs="Times New Roman"/>
                <w:b/>
                <w:bCs/>
                <w:color w:val="000000"/>
                <w:sz w:val="20"/>
                <w:szCs w:val="20"/>
              </w:rPr>
            </w:pPr>
          </w:p>
        </w:tc>
        <w:tc>
          <w:tcPr>
            <w:tcW w:w="386" w:type="pct"/>
            <w:tcBorders>
              <w:top w:val="nil"/>
              <w:left w:val="nil"/>
              <w:bottom w:val="nil"/>
              <w:right w:val="nil"/>
            </w:tcBorders>
            <w:shd w:val="clear" w:color="auto" w:fill="auto"/>
            <w:vAlign w:val="center"/>
            <w:hideMark/>
          </w:tcPr>
          <w:p w14:paraId="758FB279" w14:textId="77777777" w:rsidR="00D77ACD" w:rsidRPr="00D77ACD" w:rsidRDefault="00D77ACD" w:rsidP="004038BF">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24BEC35B"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455951CD" w14:textId="77777777" w:rsidR="00D77ACD" w:rsidRPr="00D77ACD" w:rsidRDefault="00D77ACD" w:rsidP="004842BF">
            <w:pPr>
              <w:tabs>
                <w:tab w:val="decimal" w:pos="306"/>
              </w:tabs>
              <w:spacing w:line="240" w:lineRule="auto"/>
              <w:jc w:val="left"/>
              <w:rPr>
                <w:rFonts w:eastAsia="Times New Roman" w:cs="Times New Roman"/>
                <w:color w:val="000000"/>
                <w:sz w:val="20"/>
                <w:szCs w:val="20"/>
              </w:rPr>
            </w:pPr>
          </w:p>
        </w:tc>
        <w:tc>
          <w:tcPr>
            <w:tcW w:w="421" w:type="pct"/>
            <w:tcBorders>
              <w:top w:val="nil"/>
              <w:left w:val="nil"/>
              <w:bottom w:val="nil"/>
              <w:right w:val="nil"/>
            </w:tcBorders>
            <w:shd w:val="clear" w:color="auto" w:fill="auto"/>
            <w:noWrap/>
            <w:vAlign w:val="bottom"/>
            <w:hideMark/>
          </w:tcPr>
          <w:p w14:paraId="0EA3F3DA" w14:textId="77777777" w:rsidR="00D77ACD" w:rsidRPr="00D77ACD" w:rsidRDefault="00D77ACD" w:rsidP="004038BF">
            <w:pPr>
              <w:spacing w:line="240" w:lineRule="auto"/>
              <w:jc w:val="center"/>
              <w:rPr>
                <w:rFonts w:eastAsia="Times New Roman" w:cs="Times New Roman"/>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42CEA585" w14:textId="77777777" w:rsidR="00D77ACD" w:rsidRPr="00D77ACD" w:rsidRDefault="00D77ACD" w:rsidP="004038BF">
            <w:pPr>
              <w:spacing w:line="240" w:lineRule="auto"/>
              <w:jc w:val="center"/>
              <w:rPr>
                <w:rFonts w:eastAsia="Times New Roman" w:cs="Times New Roman"/>
                <w:color w:val="000000"/>
                <w:sz w:val="20"/>
                <w:szCs w:val="20"/>
              </w:rPr>
            </w:pPr>
          </w:p>
        </w:tc>
      </w:tr>
      <w:tr w:rsidR="005D6BB5" w:rsidRPr="00D77ACD" w14:paraId="285BD013"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52BC923" w14:textId="77777777" w:rsidR="00D77ACD" w:rsidRPr="00EB5D49" w:rsidRDefault="00D77ACD" w:rsidP="00D77ACD">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Graduate degree </w:t>
            </w:r>
          </w:p>
        </w:tc>
        <w:tc>
          <w:tcPr>
            <w:tcW w:w="440" w:type="pct"/>
            <w:tcBorders>
              <w:top w:val="nil"/>
              <w:left w:val="nil"/>
              <w:bottom w:val="nil"/>
              <w:right w:val="nil"/>
            </w:tcBorders>
            <w:shd w:val="clear" w:color="auto" w:fill="auto"/>
            <w:vAlign w:val="center"/>
            <w:hideMark/>
          </w:tcPr>
          <w:p w14:paraId="2BD0378E"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6DF01587"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2E76DF2B"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nil"/>
            </w:tcBorders>
            <w:shd w:val="clear" w:color="auto" w:fill="auto"/>
            <w:vAlign w:val="center"/>
            <w:hideMark/>
          </w:tcPr>
          <w:p w14:paraId="215C49AB"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top w:val="nil"/>
              <w:left w:val="double" w:sz="6" w:space="0" w:color="auto"/>
              <w:bottom w:val="nil"/>
              <w:right w:val="nil"/>
            </w:tcBorders>
            <w:shd w:val="clear" w:color="auto" w:fill="auto"/>
            <w:vAlign w:val="center"/>
            <w:hideMark/>
          </w:tcPr>
          <w:p w14:paraId="6C82DED0"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73AACC84"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noWrap/>
            <w:vAlign w:val="bottom"/>
            <w:hideMark/>
          </w:tcPr>
          <w:p w14:paraId="7A74E700"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w:t>
            </w:r>
            <w:r w:rsidR="00D35452">
              <w:rPr>
                <w:rFonts w:eastAsia="Times New Roman" w:cs="Times New Roman"/>
                <w:color w:val="000000"/>
                <w:sz w:val="20"/>
                <w:szCs w:val="20"/>
              </w:rPr>
              <w:t>859</w:t>
            </w:r>
          </w:p>
        </w:tc>
        <w:tc>
          <w:tcPr>
            <w:tcW w:w="392" w:type="pct"/>
            <w:tcBorders>
              <w:top w:val="nil"/>
              <w:left w:val="nil"/>
              <w:bottom w:val="nil"/>
              <w:right w:val="double" w:sz="6" w:space="0" w:color="auto"/>
            </w:tcBorders>
            <w:shd w:val="clear" w:color="auto" w:fill="auto"/>
            <w:noWrap/>
            <w:vAlign w:val="bottom"/>
            <w:hideMark/>
          </w:tcPr>
          <w:p w14:paraId="71CEDF5C" w14:textId="77777777" w:rsidR="00D77ACD" w:rsidRPr="00D77ACD" w:rsidRDefault="00D35452" w:rsidP="004038BF">
            <w:pPr>
              <w:spacing w:line="240" w:lineRule="auto"/>
              <w:jc w:val="center"/>
              <w:rPr>
                <w:rFonts w:eastAsia="Times New Roman" w:cs="Times New Roman"/>
                <w:color w:val="000000"/>
                <w:sz w:val="20"/>
                <w:szCs w:val="20"/>
              </w:rPr>
            </w:pPr>
            <w:r>
              <w:rPr>
                <w:rFonts w:eastAsia="Times New Roman" w:cs="Times New Roman"/>
                <w:color w:val="000000"/>
                <w:sz w:val="20"/>
                <w:szCs w:val="20"/>
              </w:rPr>
              <w:t>2.52</w:t>
            </w:r>
          </w:p>
        </w:tc>
      </w:tr>
      <w:tr w:rsidR="005D6BB5" w:rsidRPr="00D77ACD" w14:paraId="1B9BE34C"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654A21EC" w14:textId="77777777" w:rsidR="00D77ACD" w:rsidRPr="00EB5D49" w:rsidRDefault="00D77ACD" w:rsidP="00D77ACD">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Employment (full-time)</w:t>
            </w:r>
          </w:p>
        </w:tc>
        <w:tc>
          <w:tcPr>
            <w:tcW w:w="440" w:type="pct"/>
            <w:tcBorders>
              <w:top w:val="nil"/>
              <w:left w:val="nil"/>
              <w:bottom w:val="nil"/>
              <w:right w:val="nil"/>
            </w:tcBorders>
            <w:shd w:val="clear" w:color="auto" w:fill="auto"/>
            <w:vAlign w:val="center"/>
            <w:hideMark/>
          </w:tcPr>
          <w:p w14:paraId="68043D56" w14:textId="77777777" w:rsidR="00D77ACD" w:rsidRPr="00D77ACD" w:rsidRDefault="00D77ACD" w:rsidP="004842BF">
            <w:pPr>
              <w:tabs>
                <w:tab w:val="left" w:pos="535"/>
                <w:tab w:val="left" w:pos="666"/>
              </w:tabs>
              <w:spacing w:line="240" w:lineRule="auto"/>
              <w:jc w:val="center"/>
              <w:rPr>
                <w:rFonts w:eastAsia="Times New Roman" w:cs="Times New Roman"/>
                <w:b/>
                <w:bCs/>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05B20DF2" w14:textId="77777777" w:rsidR="00D77ACD" w:rsidRPr="00D77ACD" w:rsidRDefault="00D77ACD" w:rsidP="004842BF">
            <w:pPr>
              <w:spacing w:line="240" w:lineRule="auto"/>
              <w:jc w:val="center"/>
              <w:rPr>
                <w:rFonts w:eastAsia="Times New Roman" w:cs="Times New Roman"/>
                <w:color w:val="000000"/>
                <w:sz w:val="20"/>
                <w:szCs w:val="20"/>
              </w:rPr>
            </w:pPr>
          </w:p>
        </w:tc>
        <w:tc>
          <w:tcPr>
            <w:tcW w:w="466" w:type="pct"/>
            <w:tcBorders>
              <w:top w:val="nil"/>
              <w:left w:val="nil"/>
              <w:bottom w:val="nil"/>
              <w:right w:val="nil"/>
            </w:tcBorders>
            <w:shd w:val="clear" w:color="auto" w:fill="auto"/>
            <w:vAlign w:val="center"/>
            <w:hideMark/>
          </w:tcPr>
          <w:p w14:paraId="1ACDC081" w14:textId="77777777" w:rsidR="00D77ACD" w:rsidRPr="00D77ACD" w:rsidRDefault="00D77ACD" w:rsidP="004038BF">
            <w:pPr>
              <w:spacing w:line="240" w:lineRule="auto"/>
              <w:jc w:val="center"/>
              <w:rPr>
                <w:rFonts w:eastAsia="Times New Roman" w:cs="Times New Roman"/>
                <w:color w:val="000000"/>
                <w:sz w:val="20"/>
                <w:szCs w:val="20"/>
              </w:rPr>
            </w:pPr>
          </w:p>
        </w:tc>
        <w:tc>
          <w:tcPr>
            <w:tcW w:w="386" w:type="pct"/>
            <w:tcBorders>
              <w:top w:val="nil"/>
              <w:left w:val="nil"/>
              <w:bottom w:val="nil"/>
              <w:right w:val="nil"/>
            </w:tcBorders>
            <w:shd w:val="clear" w:color="auto" w:fill="auto"/>
            <w:vAlign w:val="center"/>
            <w:hideMark/>
          </w:tcPr>
          <w:p w14:paraId="625EC231" w14:textId="77777777" w:rsidR="00D77ACD" w:rsidRPr="00D77ACD" w:rsidRDefault="00D77ACD" w:rsidP="004038BF">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684CCDE1"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65832925"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p>
        </w:tc>
        <w:tc>
          <w:tcPr>
            <w:tcW w:w="421" w:type="pct"/>
            <w:tcBorders>
              <w:top w:val="nil"/>
              <w:left w:val="nil"/>
              <w:bottom w:val="nil"/>
              <w:right w:val="nil"/>
            </w:tcBorders>
            <w:shd w:val="clear" w:color="auto" w:fill="auto"/>
            <w:noWrap/>
            <w:vAlign w:val="bottom"/>
            <w:hideMark/>
          </w:tcPr>
          <w:p w14:paraId="73CE6CAB" w14:textId="77777777" w:rsidR="00D77ACD" w:rsidRPr="00D77ACD" w:rsidRDefault="00D77ACD" w:rsidP="004038BF">
            <w:pPr>
              <w:spacing w:line="240" w:lineRule="auto"/>
              <w:jc w:val="center"/>
              <w:rPr>
                <w:rFonts w:eastAsia="Times New Roman" w:cs="Times New Roman"/>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512BE278" w14:textId="77777777" w:rsidR="00D77ACD" w:rsidRPr="00D77ACD" w:rsidRDefault="00D77ACD" w:rsidP="004038BF">
            <w:pPr>
              <w:spacing w:line="240" w:lineRule="auto"/>
              <w:jc w:val="center"/>
              <w:rPr>
                <w:rFonts w:eastAsia="Times New Roman" w:cs="Times New Roman"/>
                <w:color w:val="000000"/>
                <w:sz w:val="20"/>
                <w:szCs w:val="20"/>
              </w:rPr>
            </w:pPr>
          </w:p>
        </w:tc>
      </w:tr>
      <w:tr w:rsidR="005D6BB5" w:rsidRPr="00D77ACD" w14:paraId="6848895E"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466B9BF2" w14:textId="77777777" w:rsidR="00D77ACD" w:rsidRPr="00EB5D49" w:rsidRDefault="00D77ACD" w:rsidP="00D77ACD">
            <w:pPr>
              <w:spacing w:line="240" w:lineRule="auto"/>
              <w:jc w:val="left"/>
              <w:rPr>
                <w:rFonts w:eastAsia="Times New Roman" w:cs="Times New Roman"/>
                <w:color w:val="000000"/>
                <w:sz w:val="20"/>
                <w:szCs w:val="20"/>
              </w:rPr>
            </w:pPr>
            <w:r w:rsidRPr="00EB5D49">
              <w:rPr>
                <w:rFonts w:eastAsia="Times New Roman" w:cs="Times New Roman"/>
                <w:color w:val="000000"/>
                <w:sz w:val="20"/>
                <w:szCs w:val="20"/>
              </w:rPr>
              <w:t xml:space="preserve"> Part-time employee</w:t>
            </w:r>
          </w:p>
        </w:tc>
        <w:tc>
          <w:tcPr>
            <w:tcW w:w="440" w:type="pct"/>
            <w:tcBorders>
              <w:top w:val="nil"/>
              <w:left w:val="nil"/>
              <w:bottom w:val="nil"/>
              <w:right w:val="nil"/>
            </w:tcBorders>
            <w:shd w:val="clear" w:color="auto" w:fill="auto"/>
            <w:vAlign w:val="center"/>
            <w:hideMark/>
          </w:tcPr>
          <w:p w14:paraId="294A7BBE"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2979DFEC"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4390278B"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-0.3</w:t>
            </w:r>
            <w:r w:rsidR="00D35452">
              <w:rPr>
                <w:rFonts w:eastAsia="Times New Roman" w:cs="Times New Roman"/>
                <w:color w:val="000000"/>
                <w:sz w:val="20"/>
                <w:szCs w:val="20"/>
              </w:rPr>
              <w:t>95</w:t>
            </w:r>
          </w:p>
        </w:tc>
        <w:tc>
          <w:tcPr>
            <w:tcW w:w="386" w:type="pct"/>
            <w:tcBorders>
              <w:top w:val="nil"/>
              <w:left w:val="nil"/>
              <w:bottom w:val="nil"/>
              <w:right w:val="nil"/>
            </w:tcBorders>
            <w:shd w:val="clear" w:color="auto" w:fill="auto"/>
            <w:vAlign w:val="center"/>
            <w:hideMark/>
          </w:tcPr>
          <w:p w14:paraId="0C49CBED"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-3.</w:t>
            </w:r>
            <w:r w:rsidR="00D35452">
              <w:rPr>
                <w:rFonts w:eastAsia="Times New Roman" w:cs="Times New Roman"/>
                <w:color w:val="000000"/>
                <w:sz w:val="20"/>
                <w:szCs w:val="20"/>
              </w:rPr>
              <w:t>29</w:t>
            </w:r>
          </w:p>
        </w:tc>
        <w:tc>
          <w:tcPr>
            <w:tcW w:w="418" w:type="pct"/>
            <w:tcBorders>
              <w:top w:val="nil"/>
              <w:left w:val="double" w:sz="6" w:space="0" w:color="auto"/>
              <w:bottom w:val="nil"/>
              <w:right w:val="nil"/>
            </w:tcBorders>
            <w:shd w:val="clear" w:color="auto" w:fill="auto"/>
            <w:vAlign w:val="center"/>
            <w:hideMark/>
          </w:tcPr>
          <w:p w14:paraId="06210111"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3B32A4F8"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vAlign w:val="center"/>
            <w:hideMark/>
          </w:tcPr>
          <w:p w14:paraId="20EF95FD"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vAlign w:val="center"/>
            <w:hideMark/>
          </w:tcPr>
          <w:p w14:paraId="2259C0DC"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5C55EADE"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41CAC5FF" w14:textId="77777777" w:rsidR="00D35452" w:rsidRPr="00D77ACD" w:rsidRDefault="00D35452" w:rsidP="00D35452">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Self-employed</w:t>
            </w:r>
          </w:p>
        </w:tc>
        <w:tc>
          <w:tcPr>
            <w:tcW w:w="440" w:type="pct"/>
            <w:tcBorders>
              <w:top w:val="nil"/>
              <w:left w:val="nil"/>
              <w:bottom w:val="nil"/>
              <w:right w:val="nil"/>
            </w:tcBorders>
            <w:shd w:val="clear" w:color="auto" w:fill="auto"/>
            <w:vAlign w:val="center"/>
            <w:hideMark/>
          </w:tcPr>
          <w:p w14:paraId="1B1AA23A" w14:textId="77777777" w:rsidR="00D35452" w:rsidRPr="00D77ACD" w:rsidRDefault="00D35452"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67CE55B2" w14:textId="77777777" w:rsidR="00D35452" w:rsidRPr="00D77ACD" w:rsidRDefault="00D35452"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71BA8A91"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nil"/>
            </w:tcBorders>
            <w:shd w:val="clear" w:color="auto" w:fill="auto"/>
            <w:vAlign w:val="center"/>
            <w:hideMark/>
          </w:tcPr>
          <w:p w14:paraId="1C62D503"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top w:val="nil"/>
              <w:left w:val="double" w:sz="6" w:space="0" w:color="auto"/>
              <w:bottom w:val="nil"/>
              <w:right w:val="nil"/>
            </w:tcBorders>
            <w:shd w:val="clear" w:color="auto" w:fill="auto"/>
            <w:vAlign w:val="center"/>
            <w:hideMark/>
          </w:tcPr>
          <w:p w14:paraId="1692A324"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128967C2"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vAlign w:val="center"/>
            <w:hideMark/>
          </w:tcPr>
          <w:p w14:paraId="3C5E427C"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vAlign w:val="center"/>
            <w:hideMark/>
          </w:tcPr>
          <w:p w14:paraId="0729740E"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7EBEF3A1"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67201FD0" w14:textId="77777777" w:rsidR="00D35452" w:rsidRPr="00D77ACD" w:rsidRDefault="00D35452" w:rsidP="00D35452">
            <w:pPr>
              <w:spacing w:line="240" w:lineRule="auto"/>
              <w:jc w:val="left"/>
              <w:rPr>
                <w:rFonts w:eastAsia="Times New Roman" w:cs="Times New Roman"/>
                <w:b/>
                <w:bCs/>
                <w:color w:val="000000"/>
                <w:sz w:val="20"/>
                <w:szCs w:val="20"/>
              </w:rPr>
            </w:pPr>
            <w:r w:rsidRPr="00D77ACD">
              <w:rPr>
                <w:rFonts w:eastAsia="Times New Roman" w:cs="Times New Roman"/>
                <w:b/>
                <w:bCs/>
                <w:color w:val="000000"/>
                <w:sz w:val="20"/>
                <w:szCs w:val="20"/>
              </w:rPr>
              <w:t xml:space="preserve">Household income </w:t>
            </w:r>
          </w:p>
        </w:tc>
        <w:tc>
          <w:tcPr>
            <w:tcW w:w="440" w:type="pct"/>
            <w:tcBorders>
              <w:top w:val="nil"/>
              <w:left w:val="nil"/>
              <w:bottom w:val="nil"/>
              <w:right w:val="nil"/>
            </w:tcBorders>
            <w:shd w:val="clear" w:color="auto" w:fill="auto"/>
            <w:vAlign w:val="center"/>
            <w:hideMark/>
          </w:tcPr>
          <w:p w14:paraId="56714E3F" w14:textId="77777777" w:rsidR="00D35452" w:rsidRPr="00D77ACD" w:rsidRDefault="00D35452" w:rsidP="004842BF">
            <w:pPr>
              <w:tabs>
                <w:tab w:val="left" w:pos="535"/>
                <w:tab w:val="left" w:pos="666"/>
              </w:tabs>
              <w:spacing w:line="240" w:lineRule="auto"/>
              <w:jc w:val="center"/>
              <w:rPr>
                <w:rFonts w:eastAsia="Times New Roman" w:cs="Times New Roman"/>
                <w:b/>
                <w:bCs/>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53D39F00" w14:textId="77777777" w:rsidR="00D35452" w:rsidRPr="00D77ACD" w:rsidRDefault="00D35452" w:rsidP="004842BF">
            <w:pPr>
              <w:spacing w:line="240" w:lineRule="auto"/>
              <w:jc w:val="center"/>
              <w:rPr>
                <w:rFonts w:eastAsia="Times New Roman" w:cs="Times New Roman"/>
                <w:color w:val="000000"/>
                <w:sz w:val="20"/>
                <w:szCs w:val="20"/>
              </w:rPr>
            </w:pPr>
          </w:p>
        </w:tc>
        <w:tc>
          <w:tcPr>
            <w:tcW w:w="466" w:type="pct"/>
            <w:tcBorders>
              <w:top w:val="nil"/>
              <w:left w:val="nil"/>
              <w:bottom w:val="nil"/>
              <w:right w:val="nil"/>
            </w:tcBorders>
            <w:shd w:val="clear" w:color="auto" w:fill="auto"/>
            <w:vAlign w:val="center"/>
            <w:hideMark/>
          </w:tcPr>
          <w:p w14:paraId="7887B437" w14:textId="77777777" w:rsidR="00D35452" w:rsidRPr="00D77ACD" w:rsidRDefault="00D35452" w:rsidP="00D35452">
            <w:pPr>
              <w:spacing w:line="240" w:lineRule="auto"/>
              <w:jc w:val="center"/>
              <w:rPr>
                <w:rFonts w:eastAsia="Times New Roman" w:cs="Times New Roman"/>
                <w:color w:val="000000"/>
                <w:sz w:val="20"/>
                <w:szCs w:val="20"/>
              </w:rPr>
            </w:pPr>
          </w:p>
        </w:tc>
        <w:tc>
          <w:tcPr>
            <w:tcW w:w="386" w:type="pct"/>
            <w:tcBorders>
              <w:top w:val="nil"/>
              <w:left w:val="nil"/>
              <w:bottom w:val="nil"/>
              <w:right w:val="nil"/>
            </w:tcBorders>
            <w:shd w:val="clear" w:color="auto" w:fill="auto"/>
            <w:vAlign w:val="center"/>
            <w:hideMark/>
          </w:tcPr>
          <w:p w14:paraId="09198D6E" w14:textId="77777777" w:rsidR="00D35452" w:rsidRPr="00D77ACD" w:rsidRDefault="00D35452" w:rsidP="00D35452">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34537AB8"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0197C2CF" w14:textId="77777777" w:rsidR="00D35452" w:rsidRPr="00D77ACD" w:rsidRDefault="00D35452" w:rsidP="004842BF">
            <w:pPr>
              <w:tabs>
                <w:tab w:val="decimal" w:pos="306"/>
              </w:tabs>
              <w:spacing w:line="240" w:lineRule="auto"/>
              <w:jc w:val="center"/>
              <w:rPr>
                <w:rFonts w:eastAsia="Times New Roman" w:cs="Times New Roman"/>
                <w:color w:val="000000"/>
                <w:sz w:val="20"/>
                <w:szCs w:val="20"/>
              </w:rPr>
            </w:pPr>
          </w:p>
        </w:tc>
        <w:tc>
          <w:tcPr>
            <w:tcW w:w="421" w:type="pct"/>
            <w:tcBorders>
              <w:top w:val="nil"/>
              <w:left w:val="nil"/>
              <w:bottom w:val="nil"/>
              <w:right w:val="nil"/>
            </w:tcBorders>
            <w:shd w:val="clear" w:color="auto" w:fill="auto"/>
            <w:noWrap/>
            <w:vAlign w:val="bottom"/>
            <w:hideMark/>
          </w:tcPr>
          <w:p w14:paraId="36192A22" w14:textId="77777777" w:rsidR="00D35452" w:rsidRPr="00D77ACD" w:rsidRDefault="00D35452" w:rsidP="00D35452">
            <w:pPr>
              <w:spacing w:line="240" w:lineRule="auto"/>
              <w:jc w:val="center"/>
              <w:rPr>
                <w:rFonts w:eastAsia="Times New Roman" w:cs="Times New Roman"/>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7E723743" w14:textId="77777777" w:rsidR="00D35452" w:rsidRPr="00D77ACD" w:rsidRDefault="00D35452" w:rsidP="00D35452">
            <w:pPr>
              <w:spacing w:line="240" w:lineRule="auto"/>
              <w:jc w:val="center"/>
              <w:rPr>
                <w:rFonts w:eastAsia="Times New Roman" w:cs="Times New Roman"/>
                <w:color w:val="000000"/>
                <w:sz w:val="20"/>
                <w:szCs w:val="20"/>
              </w:rPr>
            </w:pPr>
          </w:p>
        </w:tc>
      </w:tr>
      <w:tr w:rsidR="005D6BB5" w:rsidRPr="00D77ACD" w14:paraId="1D49BBD8"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E957613" w14:textId="529DFE82" w:rsidR="00D77ACD" w:rsidRPr="00EB5D49" w:rsidRDefault="00D77ACD" w:rsidP="00D77ACD">
            <w:pPr>
              <w:spacing w:line="240" w:lineRule="auto"/>
              <w:jc w:val="left"/>
              <w:rPr>
                <w:rFonts w:eastAsia="Times New Roman" w:cs="Times New Roman"/>
                <w:b/>
                <w:bCs/>
                <w:color w:val="000000"/>
                <w:sz w:val="20"/>
                <w:szCs w:val="20"/>
              </w:rPr>
            </w:pPr>
            <w:r w:rsidRPr="00EB5D49">
              <w:rPr>
                <w:rFonts w:eastAsia="Times New Roman" w:cs="Times New Roman"/>
                <w:b/>
                <w:bCs/>
                <w:color w:val="000000"/>
                <w:sz w:val="20"/>
                <w:szCs w:val="20"/>
              </w:rPr>
              <w:t>(</w:t>
            </w:r>
            <w:r w:rsidR="00EB5D49" w:rsidRPr="00EB5D49">
              <w:rPr>
                <w:rFonts w:eastAsia="Times New Roman" w:cs="Times New Roman"/>
                <w:b/>
                <w:bCs/>
                <w:color w:val="000000"/>
                <w:sz w:val="20"/>
                <w:szCs w:val="20"/>
              </w:rPr>
              <w:t>Under</w:t>
            </w:r>
            <w:r w:rsidRPr="00EB5D49">
              <w:rPr>
                <w:rFonts w:eastAsia="Times New Roman" w:cs="Times New Roman"/>
                <w:b/>
                <w:bCs/>
                <w:color w:val="000000"/>
                <w:sz w:val="20"/>
                <w:szCs w:val="20"/>
              </w:rPr>
              <w:t xml:space="preserve"> $50,000)</w:t>
            </w:r>
          </w:p>
        </w:tc>
        <w:tc>
          <w:tcPr>
            <w:tcW w:w="440" w:type="pct"/>
            <w:tcBorders>
              <w:top w:val="nil"/>
              <w:left w:val="nil"/>
              <w:bottom w:val="nil"/>
              <w:right w:val="nil"/>
            </w:tcBorders>
            <w:shd w:val="clear" w:color="auto" w:fill="auto"/>
            <w:vAlign w:val="center"/>
            <w:hideMark/>
          </w:tcPr>
          <w:p w14:paraId="46DFAA38" w14:textId="77777777" w:rsidR="00D77ACD" w:rsidRPr="00D77ACD" w:rsidRDefault="00D77ACD" w:rsidP="004842BF">
            <w:pPr>
              <w:tabs>
                <w:tab w:val="left" w:pos="535"/>
                <w:tab w:val="left" w:pos="666"/>
              </w:tabs>
              <w:spacing w:line="240" w:lineRule="auto"/>
              <w:jc w:val="center"/>
              <w:rPr>
                <w:rFonts w:eastAsia="Times New Roman" w:cs="Times New Roman"/>
                <w:b/>
                <w:bCs/>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0D91EECE" w14:textId="77777777" w:rsidR="00D77ACD" w:rsidRPr="00D77ACD" w:rsidRDefault="00D77ACD" w:rsidP="004842BF">
            <w:pPr>
              <w:spacing w:line="240" w:lineRule="auto"/>
              <w:jc w:val="center"/>
              <w:rPr>
                <w:rFonts w:eastAsia="Times New Roman" w:cs="Times New Roman"/>
                <w:color w:val="000000"/>
                <w:sz w:val="20"/>
                <w:szCs w:val="20"/>
              </w:rPr>
            </w:pPr>
          </w:p>
        </w:tc>
        <w:tc>
          <w:tcPr>
            <w:tcW w:w="466" w:type="pct"/>
            <w:tcBorders>
              <w:top w:val="nil"/>
              <w:left w:val="nil"/>
              <w:bottom w:val="nil"/>
              <w:right w:val="nil"/>
            </w:tcBorders>
            <w:shd w:val="clear" w:color="auto" w:fill="auto"/>
            <w:vAlign w:val="center"/>
            <w:hideMark/>
          </w:tcPr>
          <w:p w14:paraId="3282FAC0" w14:textId="77777777" w:rsidR="00D77ACD" w:rsidRPr="00D77ACD" w:rsidRDefault="00D77ACD" w:rsidP="004038BF">
            <w:pPr>
              <w:spacing w:line="240" w:lineRule="auto"/>
              <w:jc w:val="center"/>
              <w:rPr>
                <w:rFonts w:eastAsia="Times New Roman" w:cs="Times New Roman"/>
                <w:color w:val="000000"/>
                <w:sz w:val="20"/>
                <w:szCs w:val="20"/>
              </w:rPr>
            </w:pPr>
          </w:p>
        </w:tc>
        <w:tc>
          <w:tcPr>
            <w:tcW w:w="386" w:type="pct"/>
            <w:tcBorders>
              <w:top w:val="nil"/>
              <w:left w:val="nil"/>
              <w:bottom w:val="nil"/>
              <w:right w:val="nil"/>
            </w:tcBorders>
            <w:shd w:val="clear" w:color="auto" w:fill="auto"/>
            <w:vAlign w:val="center"/>
            <w:hideMark/>
          </w:tcPr>
          <w:p w14:paraId="65DA6E24" w14:textId="77777777" w:rsidR="00D77ACD" w:rsidRPr="00D77ACD" w:rsidRDefault="00D77ACD" w:rsidP="004038BF">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07C0457B"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76363075"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p>
        </w:tc>
        <w:tc>
          <w:tcPr>
            <w:tcW w:w="421" w:type="pct"/>
            <w:tcBorders>
              <w:top w:val="nil"/>
              <w:left w:val="nil"/>
              <w:bottom w:val="nil"/>
              <w:right w:val="nil"/>
            </w:tcBorders>
            <w:shd w:val="clear" w:color="auto" w:fill="auto"/>
            <w:noWrap/>
            <w:vAlign w:val="bottom"/>
            <w:hideMark/>
          </w:tcPr>
          <w:p w14:paraId="17EE023A" w14:textId="77777777" w:rsidR="00D77ACD" w:rsidRPr="00D77ACD" w:rsidRDefault="00D77ACD" w:rsidP="004038BF">
            <w:pPr>
              <w:spacing w:line="240" w:lineRule="auto"/>
              <w:jc w:val="center"/>
              <w:rPr>
                <w:rFonts w:eastAsia="Times New Roman" w:cs="Times New Roman"/>
                <w:color w:val="000000"/>
                <w:sz w:val="20"/>
                <w:szCs w:val="20"/>
              </w:rPr>
            </w:pPr>
          </w:p>
        </w:tc>
        <w:tc>
          <w:tcPr>
            <w:tcW w:w="392" w:type="pct"/>
            <w:tcBorders>
              <w:top w:val="nil"/>
              <w:left w:val="nil"/>
              <w:bottom w:val="nil"/>
              <w:right w:val="double" w:sz="6" w:space="0" w:color="auto"/>
            </w:tcBorders>
            <w:shd w:val="clear" w:color="auto" w:fill="auto"/>
            <w:noWrap/>
            <w:vAlign w:val="bottom"/>
            <w:hideMark/>
          </w:tcPr>
          <w:p w14:paraId="20D81927" w14:textId="77777777" w:rsidR="00D77ACD" w:rsidRPr="00D77ACD" w:rsidRDefault="00D77ACD" w:rsidP="004038BF">
            <w:pPr>
              <w:spacing w:line="240" w:lineRule="auto"/>
              <w:jc w:val="center"/>
              <w:rPr>
                <w:rFonts w:eastAsia="Times New Roman" w:cs="Times New Roman"/>
                <w:color w:val="000000"/>
                <w:sz w:val="20"/>
                <w:szCs w:val="20"/>
              </w:rPr>
            </w:pPr>
          </w:p>
        </w:tc>
      </w:tr>
      <w:tr w:rsidR="005D6BB5" w:rsidRPr="00D77ACD" w14:paraId="34BADA1D"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30B81CAB" w14:textId="77777777" w:rsidR="00D77ACD" w:rsidRPr="00D77ACD" w:rsidRDefault="00D77ACD" w:rsidP="00D77ACD">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$50,000-$99,999 </w:t>
            </w:r>
          </w:p>
        </w:tc>
        <w:tc>
          <w:tcPr>
            <w:tcW w:w="440" w:type="pct"/>
            <w:tcBorders>
              <w:top w:val="nil"/>
              <w:left w:val="nil"/>
              <w:bottom w:val="nil"/>
              <w:right w:val="nil"/>
            </w:tcBorders>
            <w:shd w:val="clear" w:color="auto" w:fill="auto"/>
            <w:vAlign w:val="center"/>
            <w:hideMark/>
          </w:tcPr>
          <w:p w14:paraId="2230A5BD"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3F53006D"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6E443B59"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0.2</w:t>
            </w:r>
            <w:r w:rsidR="00D35452">
              <w:rPr>
                <w:rFonts w:eastAsia="Times New Roman" w:cs="Times New Roman"/>
                <w:color w:val="000000"/>
                <w:sz w:val="20"/>
                <w:szCs w:val="20"/>
              </w:rPr>
              <w:t>83</w:t>
            </w:r>
          </w:p>
        </w:tc>
        <w:tc>
          <w:tcPr>
            <w:tcW w:w="386" w:type="pct"/>
            <w:tcBorders>
              <w:top w:val="nil"/>
              <w:left w:val="nil"/>
              <w:bottom w:val="nil"/>
              <w:right w:val="nil"/>
            </w:tcBorders>
            <w:shd w:val="clear" w:color="auto" w:fill="auto"/>
            <w:vAlign w:val="center"/>
            <w:hideMark/>
          </w:tcPr>
          <w:p w14:paraId="4AA5B8CC" w14:textId="77777777" w:rsidR="00D77ACD" w:rsidRPr="00D77ACD" w:rsidRDefault="00D77ACD"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2.</w:t>
            </w:r>
            <w:r w:rsidR="00D35452">
              <w:rPr>
                <w:rFonts w:eastAsia="Times New Roman" w:cs="Times New Roman"/>
                <w:color w:val="000000"/>
                <w:sz w:val="20"/>
                <w:szCs w:val="20"/>
              </w:rPr>
              <w:t>55</w:t>
            </w:r>
          </w:p>
        </w:tc>
        <w:tc>
          <w:tcPr>
            <w:tcW w:w="418" w:type="pct"/>
            <w:tcBorders>
              <w:top w:val="nil"/>
              <w:left w:val="double" w:sz="6" w:space="0" w:color="auto"/>
              <w:bottom w:val="nil"/>
              <w:right w:val="nil"/>
            </w:tcBorders>
            <w:shd w:val="clear" w:color="auto" w:fill="auto"/>
            <w:vAlign w:val="center"/>
            <w:hideMark/>
          </w:tcPr>
          <w:p w14:paraId="52AF4080"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284A58E6"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vAlign w:val="center"/>
            <w:hideMark/>
          </w:tcPr>
          <w:p w14:paraId="474146B2"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vAlign w:val="center"/>
            <w:hideMark/>
          </w:tcPr>
          <w:p w14:paraId="2E41FE05"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41E6C00D"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F4E4B45" w14:textId="77777777" w:rsidR="00D77ACD" w:rsidRPr="00D77ACD" w:rsidRDefault="00D77ACD" w:rsidP="00D77ACD">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$100,000-$149,999 </w:t>
            </w:r>
          </w:p>
        </w:tc>
        <w:tc>
          <w:tcPr>
            <w:tcW w:w="440" w:type="pct"/>
            <w:tcBorders>
              <w:top w:val="nil"/>
              <w:left w:val="nil"/>
              <w:bottom w:val="nil"/>
              <w:right w:val="nil"/>
            </w:tcBorders>
            <w:shd w:val="clear" w:color="auto" w:fill="auto"/>
            <w:vAlign w:val="center"/>
            <w:hideMark/>
          </w:tcPr>
          <w:p w14:paraId="79AA93DE"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1FF7AAF4"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7B661D7E" w14:textId="77777777" w:rsidR="00D77ACD" w:rsidRPr="00D77ACD" w:rsidRDefault="00D35452" w:rsidP="004038BF">
            <w:pPr>
              <w:spacing w:line="240" w:lineRule="auto"/>
              <w:jc w:val="center"/>
              <w:rPr>
                <w:rFonts w:eastAsia="Times New Roman" w:cs="Times New Roman"/>
                <w:color w:val="000000"/>
                <w:sz w:val="20"/>
                <w:szCs w:val="20"/>
              </w:rPr>
            </w:pPr>
            <w:r>
              <w:rPr>
                <w:rFonts w:eastAsia="Times New Roman" w:cs="Times New Roman"/>
                <w:color w:val="000000"/>
                <w:sz w:val="20"/>
                <w:szCs w:val="20"/>
              </w:rPr>
              <w:t>0.44</w:t>
            </w:r>
            <w:r w:rsidR="00D77ACD" w:rsidRPr="00D77ACD">
              <w:rPr>
                <w:rFonts w:eastAsia="Times New Roman" w:cs="Times New Roman"/>
                <w:color w:val="000000"/>
                <w:sz w:val="20"/>
                <w:szCs w:val="20"/>
              </w:rPr>
              <w:t>6</w:t>
            </w:r>
          </w:p>
        </w:tc>
        <w:tc>
          <w:tcPr>
            <w:tcW w:w="386" w:type="pct"/>
            <w:tcBorders>
              <w:top w:val="nil"/>
              <w:left w:val="nil"/>
              <w:bottom w:val="nil"/>
              <w:right w:val="nil"/>
            </w:tcBorders>
            <w:shd w:val="clear" w:color="auto" w:fill="auto"/>
            <w:vAlign w:val="center"/>
            <w:hideMark/>
          </w:tcPr>
          <w:p w14:paraId="17865639" w14:textId="77777777" w:rsidR="00D77ACD" w:rsidRPr="00D77ACD" w:rsidRDefault="00D35452" w:rsidP="004038BF">
            <w:pPr>
              <w:spacing w:line="240" w:lineRule="auto"/>
              <w:jc w:val="center"/>
              <w:rPr>
                <w:rFonts w:eastAsia="Times New Roman" w:cs="Times New Roman"/>
                <w:color w:val="000000"/>
                <w:sz w:val="20"/>
                <w:szCs w:val="20"/>
              </w:rPr>
            </w:pPr>
            <w:r>
              <w:rPr>
                <w:rFonts w:eastAsia="Times New Roman" w:cs="Times New Roman"/>
                <w:color w:val="000000"/>
                <w:sz w:val="20"/>
                <w:szCs w:val="20"/>
              </w:rPr>
              <w:t>3.94</w:t>
            </w:r>
          </w:p>
        </w:tc>
        <w:tc>
          <w:tcPr>
            <w:tcW w:w="418" w:type="pct"/>
            <w:tcBorders>
              <w:top w:val="nil"/>
              <w:left w:val="double" w:sz="6" w:space="0" w:color="auto"/>
              <w:bottom w:val="nil"/>
              <w:right w:val="nil"/>
            </w:tcBorders>
            <w:shd w:val="clear" w:color="auto" w:fill="auto"/>
            <w:vAlign w:val="center"/>
            <w:hideMark/>
          </w:tcPr>
          <w:p w14:paraId="17A68E78"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6BB44930"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vAlign w:val="center"/>
            <w:hideMark/>
          </w:tcPr>
          <w:p w14:paraId="7E68AE18"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vAlign w:val="center"/>
            <w:hideMark/>
          </w:tcPr>
          <w:p w14:paraId="10EBD212"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685DEA31"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4C627F73" w14:textId="77777777" w:rsidR="00D77ACD" w:rsidRPr="00D77ACD" w:rsidRDefault="00D77ACD" w:rsidP="00D77ACD">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$150,000-$199,999 </w:t>
            </w:r>
          </w:p>
        </w:tc>
        <w:tc>
          <w:tcPr>
            <w:tcW w:w="440" w:type="pct"/>
            <w:tcBorders>
              <w:top w:val="nil"/>
              <w:left w:val="nil"/>
              <w:bottom w:val="nil"/>
              <w:right w:val="nil"/>
            </w:tcBorders>
            <w:shd w:val="clear" w:color="auto" w:fill="auto"/>
            <w:vAlign w:val="center"/>
            <w:hideMark/>
          </w:tcPr>
          <w:p w14:paraId="79C0389D" w14:textId="77777777" w:rsidR="00D77ACD" w:rsidRPr="00D77ACD" w:rsidRDefault="00D77ACD"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bottom w:val="nil"/>
              <w:right w:val="double" w:sz="6" w:space="0" w:color="auto"/>
            </w:tcBorders>
            <w:shd w:val="clear" w:color="auto" w:fill="auto"/>
            <w:vAlign w:val="center"/>
            <w:hideMark/>
          </w:tcPr>
          <w:p w14:paraId="5E48D712" w14:textId="77777777" w:rsidR="00D77ACD" w:rsidRPr="00D77ACD" w:rsidRDefault="00D77ACD"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bottom w:val="nil"/>
              <w:right w:val="nil"/>
            </w:tcBorders>
            <w:shd w:val="clear" w:color="auto" w:fill="auto"/>
            <w:vAlign w:val="center"/>
            <w:hideMark/>
          </w:tcPr>
          <w:p w14:paraId="2B6FA714" w14:textId="77777777" w:rsidR="00D77ACD" w:rsidRPr="00D77ACD" w:rsidRDefault="00D35452" w:rsidP="004038BF">
            <w:pPr>
              <w:spacing w:line="240" w:lineRule="auto"/>
              <w:jc w:val="center"/>
              <w:rPr>
                <w:rFonts w:eastAsia="Times New Roman" w:cs="Times New Roman"/>
                <w:color w:val="000000"/>
                <w:sz w:val="20"/>
                <w:szCs w:val="20"/>
              </w:rPr>
            </w:pPr>
            <w:r>
              <w:rPr>
                <w:rFonts w:eastAsia="Times New Roman" w:cs="Times New Roman"/>
                <w:color w:val="000000"/>
                <w:sz w:val="20"/>
                <w:szCs w:val="20"/>
              </w:rPr>
              <w:t>0.6</w:t>
            </w:r>
            <w:r w:rsidR="00D77ACD" w:rsidRPr="00D77ACD">
              <w:rPr>
                <w:rFonts w:eastAsia="Times New Roman" w:cs="Times New Roman"/>
                <w:color w:val="000000"/>
                <w:sz w:val="20"/>
                <w:szCs w:val="20"/>
              </w:rPr>
              <w:t>6</w:t>
            </w:r>
            <w:r>
              <w:rPr>
                <w:rFonts w:eastAsia="Times New Roman" w:cs="Times New Roman"/>
                <w:color w:val="000000"/>
                <w:sz w:val="20"/>
                <w:szCs w:val="20"/>
              </w:rPr>
              <w:t>8</w:t>
            </w:r>
          </w:p>
        </w:tc>
        <w:tc>
          <w:tcPr>
            <w:tcW w:w="386" w:type="pct"/>
            <w:tcBorders>
              <w:top w:val="nil"/>
              <w:left w:val="nil"/>
              <w:bottom w:val="nil"/>
              <w:right w:val="nil"/>
            </w:tcBorders>
            <w:shd w:val="clear" w:color="auto" w:fill="auto"/>
            <w:vAlign w:val="center"/>
            <w:hideMark/>
          </w:tcPr>
          <w:p w14:paraId="7569866D" w14:textId="77777777" w:rsidR="00D77ACD" w:rsidRPr="00D77ACD" w:rsidRDefault="00D35452" w:rsidP="004038BF">
            <w:pPr>
              <w:spacing w:line="240" w:lineRule="auto"/>
              <w:jc w:val="center"/>
              <w:rPr>
                <w:rFonts w:eastAsia="Times New Roman" w:cs="Times New Roman"/>
                <w:color w:val="000000"/>
                <w:sz w:val="20"/>
                <w:szCs w:val="20"/>
              </w:rPr>
            </w:pPr>
            <w:r>
              <w:rPr>
                <w:rFonts w:eastAsia="Times New Roman" w:cs="Times New Roman"/>
                <w:color w:val="000000"/>
                <w:sz w:val="20"/>
                <w:szCs w:val="20"/>
              </w:rPr>
              <w:t>5.27</w:t>
            </w:r>
          </w:p>
        </w:tc>
        <w:tc>
          <w:tcPr>
            <w:tcW w:w="418" w:type="pct"/>
            <w:tcBorders>
              <w:top w:val="nil"/>
              <w:left w:val="double" w:sz="6" w:space="0" w:color="auto"/>
              <w:bottom w:val="nil"/>
              <w:right w:val="nil"/>
            </w:tcBorders>
            <w:shd w:val="clear" w:color="auto" w:fill="auto"/>
            <w:vAlign w:val="center"/>
            <w:hideMark/>
          </w:tcPr>
          <w:p w14:paraId="6C56ED78"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bottom w:val="nil"/>
              <w:right w:val="double" w:sz="6" w:space="0" w:color="auto"/>
            </w:tcBorders>
            <w:shd w:val="clear" w:color="auto" w:fill="auto"/>
            <w:vAlign w:val="center"/>
            <w:hideMark/>
          </w:tcPr>
          <w:p w14:paraId="5DE107C2" w14:textId="77777777" w:rsidR="00D77ACD" w:rsidRPr="00D77ACD" w:rsidRDefault="00D77ACD" w:rsidP="004842BF">
            <w:pPr>
              <w:tabs>
                <w:tab w:val="decimal" w:pos="30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top w:val="nil"/>
              <w:left w:val="nil"/>
              <w:bottom w:val="nil"/>
              <w:right w:val="nil"/>
            </w:tcBorders>
            <w:shd w:val="clear" w:color="auto" w:fill="auto"/>
            <w:vAlign w:val="center"/>
            <w:hideMark/>
          </w:tcPr>
          <w:p w14:paraId="1CF37E5C"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vAlign w:val="center"/>
            <w:hideMark/>
          </w:tcPr>
          <w:p w14:paraId="444363F1" w14:textId="77777777" w:rsidR="00D77ACD" w:rsidRPr="00D77ACD" w:rsidRDefault="00D77ACD" w:rsidP="004038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1A3FD2D7" w14:textId="77777777" w:rsidTr="005D6BB5">
        <w:trPr>
          <w:trHeight w:val="288"/>
          <w:jc w:val="center"/>
        </w:trPr>
        <w:tc>
          <w:tcPr>
            <w:tcW w:w="1680" w:type="pct"/>
            <w:tcBorders>
              <w:top w:val="nil"/>
              <w:left w:val="double" w:sz="6" w:space="0" w:color="auto"/>
              <w:bottom w:val="nil"/>
              <w:right w:val="double" w:sz="6" w:space="0" w:color="auto"/>
            </w:tcBorders>
            <w:shd w:val="clear" w:color="auto" w:fill="auto"/>
            <w:vAlign w:val="center"/>
            <w:hideMark/>
          </w:tcPr>
          <w:p w14:paraId="75EE4B3D" w14:textId="77777777" w:rsidR="00D35452" w:rsidRPr="00D77ACD" w:rsidRDefault="00D35452" w:rsidP="00D35452">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$200,000 or more</w:t>
            </w:r>
          </w:p>
        </w:tc>
        <w:tc>
          <w:tcPr>
            <w:tcW w:w="440" w:type="pct"/>
            <w:tcBorders>
              <w:top w:val="nil"/>
              <w:left w:val="nil"/>
              <w:bottom w:val="nil"/>
              <w:right w:val="nil"/>
            </w:tcBorders>
            <w:shd w:val="clear" w:color="auto" w:fill="auto"/>
            <w:vAlign w:val="center"/>
            <w:hideMark/>
          </w:tcPr>
          <w:p w14:paraId="51C96383" w14:textId="77777777" w:rsidR="00D35452" w:rsidRPr="00D77ACD" w:rsidRDefault="00D35452"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0.2</w:t>
            </w:r>
            <w:r>
              <w:rPr>
                <w:rFonts w:eastAsia="Times New Roman" w:cs="Times New Roman"/>
                <w:color w:val="000000"/>
                <w:sz w:val="20"/>
                <w:szCs w:val="20"/>
              </w:rPr>
              <w:t>59</w:t>
            </w:r>
          </w:p>
        </w:tc>
        <w:tc>
          <w:tcPr>
            <w:tcW w:w="411" w:type="pct"/>
            <w:tcBorders>
              <w:top w:val="nil"/>
              <w:left w:val="nil"/>
              <w:bottom w:val="nil"/>
              <w:right w:val="double" w:sz="6" w:space="0" w:color="auto"/>
            </w:tcBorders>
            <w:shd w:val="clear" w:color="auto" w:fill="auto"/>
            <w:vAlign w:val="center"/>
            <w:hideMark/>
          </w:tcPr>
          <w:p w14:paraId="35FB7846" w14:textId="77777777" w:rsidR="00D35452" w:rsidRPr="00D77ACD" w:rsidRDefault="00D35452"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2.</w:t>
            </w:r>
            <w:r>
              <w:rPr>
                <w:rFonts w:eastAsia="Times New Roman" w:cs="Times New Roman"/>
                <w:color w:val="000000"/>
                <w:sz w:val="20"/>
                <w:szCs w:val="20"/>
              </w:rPr>
              <w:t>55</w:t>
            </w:r>
          </w:p>
        </w:tc>
        <w:tc>
          <w:tcPr>
            <w:tcW w:w="466" w:type="pct"/>
            <w:tcBorders>
              <w:top w:val="nil"/>
              <w:left w:val="nil"/>
              <w:bottom w:val="nil"/>
              <w:right w:val="nil"/>
            </w:tcBorders>
            <w:shd w:val="clear" w:color="auto" w:fill="auto"/>
            <w:vAlign w:val="center"/>
            <w:hideMark/>
          </w:tcPr>
          <w:p w14:paraId="0B41ED8D"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0</w:t>
            </w:r>
            <w:r>
              <w:rPr>
                <w:rFonts w:eastAsia="Times New Roman" w:cs="Times New Roman"/>
                <w:color w:val="000000"/>
                <w:sz w:val="20"/>
                <w:szCs w:val="20"/>
              </w:rPr>
              <w:t>.803</w:t>
            </w:r>
          </w:p>
        </w:tc>
        <w:tc>
          <w:tcPr>
            <w:tcW w:w="386" w:type="pct"/>
            <w:tcBorders>
              <w:top w:val="nil"/>
              <w:left w:val="nil"/>
              <w:bottom w:val="nil"/>
              <w:right w:val="nil"/>
            </w:tcBorders>
            <w:shd w:val="clear" w:color="auto" w:fill="auto"/>
            <w:vAlign w:val="center"/>
            <w:hideMark/>
          </w:tcPr>
          <w:p w14:paraId="7B42DEB6" w14:textId="77777777" w:rsidR="00D35452" w:rsidRPr="00D77ACD"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5.98</w:t>
            </w:r>
          </w:p>
        </w:tc>
        <w:tc>
          <w:tcPr>
            <w:tcW w:w="418" w:type="pct"/>
            <w:tcBorders>
              <w:top w:val="nil"/>
              <w:left w:val="double" w:sz="6" w:space="0" w:color="auto"/>
              <w:bottom w:val="nil"/>
              <w:right w:val="nil"/>
            </w:tcBorders>
            <w:shd w:val="clear" w:color="auto" w:fill="auto"/>
            <w:vAlign w:val="center"/>
            <w:hideMark/>
          </w:tcPr>
          <w:p w14:paraId="4F66D790"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Pr>
                <w:rFonts w:eastAsia="Times New Roman" w:cs="Times New Roman"/>
                <w:color w:val="000000"/>
                <w:sz w:val="20"/>
                <w:szCs w:val="20"/>
              </w:rPr>
              <w:t>0.257</w:t>
            </w:r>
          </w:p>
        </w:tc>
        <w:tc>
          <w:tcPr>
            <w:tcW w:w="386" w:type="pct"/>
            <w:tcBorders>
              <w:top w:val="nil"/>
              <w:left w:val="nil"/>
              <w:bottom w:val="nil"/>
              <w:right w:val="double" w:sz="6" w:space="0" w:color="auto"/>
            </w:tcBorders>
            <w:shd w:val="clear" w:color="auto" w:fill="auto"/>
            <w:vAlign w:val="center"/>
            <w:hideMark/>
          </w:tcPr>
          <w:p w14:paraId="37689B6F"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2.</w:t>
            </w:r>
            <w:r>
              <w:rPr>
                <w:rFonts w:eastAsia="Times New Roman" w:cs="Times New Roman"/>
                <w:color w:val="000000"/>
                <w:sz w:val="20"/>
                <w:szCs w:val="20"/>
              </w:rPr>
              <w:t>61</w:t>
            </w:r>
          </w:p>
        </w:tc>
        <w:tc>
          <w:tcPr>
            <w:tcW w:w="421" w:type="pct"/>
            <w:tcBorders>
              <w:top w:val="nil"/>
              <w:left w:val="nil"/>
              <w:bottom w:val="nil"/>
              <w:right w:val="nil"/>
            </w:tcBorders>
            <w:shd w:val="clear" w:color="auto" w:fill="auto"/>
            <w:noWrap/>
            <w:vAlign w:val="center"/>
            <w:hideMark/>
          </w:tcPr>
          <w:p w14:paraId="431FCF49"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bottom w:val="nil"/>
              <w:right w:val="double" w:sz="6" w:space="0" w:color="auto"/>
            </w:tcBorders>
            <w:shd w:val="clear" w:color="auto" w:fill="auto"/>
            <w:noWrap/>
            <w:vAlign w:val="center"/>
            <w:hideMark/>
          </w:tcPr>
          <w:p w14:paraId="365FF4D1"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D77ACD" w14:paraId="60E9193D" w14:textId="77777777" w:rsidTr="005D6BB5">
        <w:trPr>
          <w:trHeight w:val="528"/>
          <w:jc w:val="center"/>
        </w:trPr>
        <w:tc>
          <w:tcPr>
            <w:tcW w:w="1680" w:type="pct"/>
            <w:tcBorders>
              <w:top w:val="nil"/>
              <w:left w:val="double" w:sz="6" w:space="0" w:color="auto"/>
              <w:bottom w:val="nil"/>
              <w:right w:val="double" w:sz="6" w:space="0" w:color="auto"/>
            </w:tcBorders>
            <w:shd w:val="clear" w:color="auto" w:fill="auto"/>
            <w:vAlign w:val="center"/>
            <w:hideMark/>
          </w:tcPr>
          <w:p w14:paraId="1D883E93" w14:textId="77777777" w:rsidR="00D35452" w:rsidRPr="00D77ACD" w:rsidRDefault="00D35452" w:rsidP="00D35452">
            <w:pPr>
              <w:spacing w:line="240" w:lineRule="auto"/>
              <w:jc w:val="left"/>
              <w:rPr>
                <w:rFonts w:eastAsia="Times New Roman" w:cs="Times New Roman"/>
                <w:b/>
                <w:bCs/>
                <w:color w:val="000000"/>
                <w:sz w:val="20"/>
                <w:szCs w:val="20"/>
              </w:rPr>
            </w:pPr>
            <w:r w:rsidRPr="00D77ACD">
              <w:rPr>
                <w:rFonts w:eastAsia="Times New Roman" w:cs="Times New Roman"/>
                <w:b/>
                <w:bCs/>
                <w:color w:val="000000"/>
                <w:sz w:val="20"/>
                <w:szCs w:val="20"/>
              </w:rPr>
              <w:t>Household composition (multi-worker and single person)</w:t>
            </w:r>
          </w:p>
        </w:tc>
        <w:tc>
          <w:tcPr>
            <w:tcW w:w="440" w:type="pct"/>
            <w:tcBorders>
              <w:top w:val="nil"/>
              <w:left w:val="nil"/>
              <w:bottom w:val="nil"/>
              <w:right w:val="nil"/>
            </w:tcBorders>
            <w:shd w:val="clear" w:color="auto" w:fill="auto"/>
            <w:vAlign w:val="center"/>
            <w:hideMark/>
          </w:tcPr>
          <w:p w14:paraId="0ED55749" w14:textId="77777777" w:rsidR="00D35452" w:rsidRPr="00D77ACD" w:rsidRDefault="00D35452" w:rsidP="004842BF">
            <w:pPr>
              <w:tabs>
                <w:tab w:val="left" w:pos="535"/>
                <w:tab w:val="left" w:pos="666"/>
              </w:tabs>
              <w:spacing w:line="240" w:lineRule="auto"/>
              <w:jc w:val="center"/>
              <w:rPr>
                <w:rFonts w:eastAsia="Times New Roman" w:cs="Times New Roman"/>
                <w:b/>
                <w:bCs/>
                <w:color w:val="000000"/>
                <w:sz w:val="20"/>
                <w:szCs w:val="20"/>
              </w:rPr>
            </w:pPr>
          </w:p>
        </w:tc>
        <w:tc>
          <w:tcPr>
            <w:tcW w:w="411" w:type="pct"/>
            <w:tcBorders>
              <w:top w:val="nil"/>
              <w:left w:val="nil"/>
              <w:bottom w:val="nil"/>
              <w:right w:val="double" w:sz="6" w:space="0" w:color="auto"/>
            </w:tcBorders>
            <w:shd w:val="clear" w:color="auto" w:fill="auto"/>
            <w:vAlign w:val="center"/>
            <w:hideMark/>
          </w:tcPr>
          <w:p w14:paraId="298242BE" w14:textId="77777777" w:rsidR="00D35452" w:rsidRPr="00D77ACD" w:rsidRDefault="00D35452" w:rsidP="004842BF">
            <w:pPr>
              <w:spacing w:line="240" w:lineRule="auto"/>
              <w:jc w:val="center"/>
              <w:rPr>
                <w:rFonts w:eastAsia="Times New Roman" w:cs="Times New Roman"/>
                <w:b/>
                <w:bCs/>
                <w:color w:val="000000"/>
                <w:sz w:val="20"/>
                <w:szCs w:val="20"/>
              </w:rPr>
            </w:pPr>
          </w:p>
        </w:tc>
        <w:tc>
          <w:tcPr>
            <w:tcW w:w="466" w:type="pct"/>
            <w:tcBorders>
              <w:top w:val="nil"/>
              <w:left w:val="nil"/>
              <w:bottom w:val="nil"/>
              <w:right w:val="nil"/>
            </w:tcBorders>
            <w:shd w:val="clear" w:color="auto" w:fill="auto"/>
            <w:vAlign w:val="center"/>
            <w:hideMark/>
          </w:tcPr>
          <w:p w14:paraId="054747D9" w14:textId="77777777" w:rsidR="00D35452" w:rsidRPr="00D77ACD" w:rsidRDefault="00D35452" w:rsidP="00D35452">
            <w:pPr>
              <w:spacing w:line="240" w:lineRule="auto"/>
              <w:jc w:val="center"/>
              <w:rPr>
                <w:rFonts w:eastAsia="Times New Roman" w:cs="Times New Roman"/>
                <w:b/>
                <w:bCs/>
                <w:color w:val="000000"/>
                <w:sz w:val="20"/>
                <w:szCs w:val="20"/>
              </w:rPr>
            </w:pPr>
          </w:p>
        </w:tc>
        <w:tc>
          <w:tcPr>
            <w:tcW w:w="386" w:type="pct"/>
            <w:tcBorders>
              <w:top w:val="nil"/>
              <w:left w:val="nil"/>
              <w:bottom w:val="nil"/>
              <w:right w:val="nil"/>
            </w:tcBorders>
            <w:shd w:val="clear" w:color="auto" w:fill="auto"/>
            <w:vAlign w:val="center"/>
            <w:hideMark/>
          </w:tcPr>
          <w:p w14:paraId="1A9BF4A0" w14:textId="77777777" w:rsidR="00D35452" w:rsidRPr="00D77ACD" w:rsidRDefault="00D35452" w:rsidP="00D35452">
            <w:pPr>
              <w:spacing w:line="240" w:lineRule="auto"/>
              <w:jc w:val="center"/>
              <w:rPr>
                <w:rFonts w:eastAsia="Times New Roman" w:cs="Times New Roman"/>
                <w:sz w:val="20"/>
                <w:szCs w:val="20"/>
              </w:rPr>
            </w:pPr>
          </w:p>
        </w:tc>
        <w:tc>
          <w:tcPr>
            <w:tcW w:w="418" w:type="pct"/>
            <w:tcBorders>
              <w:top w:val="nil"/>
              <w:left w:val="double" w:sz="6" w:space="0" w:color="auto"/>
              <w:bottom w:val="nil"/>
              <w:right w:val="nil"/>
            </w:tcBorders>
            <w:shd w:val="clear" w:color="auto" w:fill="auto"/>
            <w:vAlign w:val="center"/>
            <w:hideMark/>
          </w:tcPr>
          <w:p w14:paraId="6C0458B7"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p>
        </w:tc>
        <w:tc>
          <w:tcPr>
            <w:tcW w:w="386" w:type="pct"/>
            <w:tcBorders>
              <w:top w:val="nil"/>
              <w:left w:val="nil"/>
              <w:bottom w:val="nil"/>
              <w:right w:val="double" w:sz="6" w:space="0" w:color="auto"/>
            </w:tcBorders>
            <w:shd w:val="clear" w:color="auto" w:fill="auto"/>
            <w:vAlign w:val="center"/>
            <w:hideMark/>
          </w:tcPr>
          <w:p w14:paraId="7DCC6654"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p>
        </w:tc>
        <w:tc>
          <w:tcPr>
            <w:tcW w:w="421" w:type="pct"/>
            <w:tcBorders>
              <w:top w:val="nil"/>
              <w:left w:val="nil"/>
              <w:right w:val="nil"/>
            </w:tcBorders>
            <w:shd w:val="clear" w:color="auto" w:fill="auto"/>
            <w:noWrap/>
            <w:vAlign w:val="center"/>
          </w:tcPr>
          <w:p w14:paraId="257E9C7A" w14:textId="77777777" w:rsidR="00D35452" w:rsidRPr="00D77ACD" w:rsidRDefault="00D35452" w:rsidP="00D35452">
            <w:pPr>
              <w:spacing w:line="240" w:lineRule="auto"/>
              <w:jc w:val="center"/>
              <w:rPr>
                <w:rFonts w:eastAsia="Times New Roman" w:cs="Times New Roman"/>
                <w:color w:val="000000"/>
                <w:sz w:val="20"/>
                <w:szCs w:val="20"/>
              </w:rPr>
            </w:pPr>
          </w:p>
        </w:tc>
        <w:tc>
          <w:tcPr>
            <w:tcW w:w="392" w:type="pct"/>
            <w:tcBorders>
              <w:top w:val="nil"/>
              <w:left w:val="nil"/>
              <w:right w:val="double" w:sz="6" w:space="0" w:color="auto"/>
            </w:tcBorders>
            <w:shd w:val="clear" w:color="auto" w:fill="auto"/>
            <w:noWrap/>
            <w:vAlign w:val="center"/>
          </w:tcPr>
          <w:p w14:paraId="0545C6D2" w14:textId="77777777" w:rsidR="00D35452" w:rsidRPr="00D77ACD" w:rsidRDefault="00D35452" w:rsidP="00D35452">
            <w:pPr>
              <w:spacing w:line="240" w:lineRule="auto"/>
              <w:jc w:val="center"/>
              <w:rPr>
                <w:rFonts w:eastAsia="Times New Roman" w:cs="Times New Roman"/>
                <w:color w:val="000000"/>
                <w:sz w:val="20"/>
                <w:szCs w:val="20"/>
              </w:rPr>
            </w:pPr>
          </w:p>
        </w:tc>
      </w:tr>
      <w:tr w:rsidR="005D6BB5" w:rsidRPr="00D77ACD" w14:paraId="35AC792F" w14:textId="77777777" w:rsidTr="005D6BB5">
        <w:trPr>
          <w:trHeight w:val="300"/>
          <w:jc w:val="center"/>
        </w:trPr>
        <w:tc>
          <w:tcPr>
            <w:tcW w:w="1680" w:type="pct"/>
            <w:tcBorders>
              <w:top w:val="nil"/>
              <w:left w:val="double" w:sz="6" w:space="0" w:color="auto"/>
              <w:right w:val="double" w:sz="6" w:space="0" w:color="auto"/>
            </w:tcBorders>
            <w:shd w:val="clear" w:color="auto" w:fill="auto"/>
            <w:vAlign w:val="center"/>
            <w:hideMark/>
          </w:tcPr>
          <w:p w14:paraId="697A26C7" w14:textId="77777777" w:rsidR="00D35452" w:rsidRPr="00D77ACD" w:rsidRDefault="00D35452" w:rsidP="00D35452">
            <w:pPr>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 xml:space="preserve"> Single worker multi-person </w:t>
            </w:r>
          </w:p>
        </w:tc>
        <w:tc>
          <w:tcPr>
            <w:tcW w:w="440" w:type="pct"/>
            <w:tcBorders>
              <w:top w:val="nil"/>
              <w:left w:val="nil"/>
              <w:right w:val="nil"/>
            </w:tcBorders>
            <w:shd w:val="clear" w:color="auto" w:fill="auto"/>
            <w:vAlign w:val="center"/>
            <w:hideMark/>
          </w:tcPr>
          <w:p w14:paraId="0E2E9688" w14:textId="77777777" w:rsidR="00D35452" w:rsidRPr="00D77ACD" w:rsidRDefault="00D35452"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left w:val="nil"/>
              <w:right w:val="double" w:sz="6" w:space="0" w:color="auto"/>
            </w:tcBorders>
            <w:shd w:val="clear" w:color="auto" w:fill="auto"/>
            <w:vAlign w:val="center"/>
            <w:hideMark/>
          </w:tcPr>
          <w:p w14:paraId="2C51AB03" w14:textId="77777777" w:rsidR="00D35452" w:rsidRPr="00D77ACD" w:rsidRDefault="00D35452"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top w:val="nil"/>
              <w:left w:val="nil"/>
              <w:right w:val="nil"/>
            </w:tcBorders>
            <w:shd w:val="clear" w:color="auto" w:fill="auto"/>
            <w:vAlign w:val="center"/>
            <w:hideMark/>
          </w:tcPr>
          <w:p w14:paraId="541A5021" w14:textId="77777777" w:rsidR="00D35452" w:rsidRPr="00D77ACD" w:rsidRDefault="00D35452" w:rsidP="00D35452">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top w:val="nil"/>
              <w:left w:val="nil"/>
              <w:right w:val="nil"/>
            </w:tcBorders>
            <w:shd w:val="clear" w:color="auto" w:fill="auto"/>
            <w:vAlign w:val="center"/>
            <w:hideMark/>
          </w:tcPr>
          <w:p w14:paraId="1080EB1E"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top w:val="nil"/>
              <w:left w:val="double" w:sz="6" w:space="0" w:color="auto"/>
              <w:right w:val="nil"/>
            </w:tcBorders>
            <w:shd w:val="clear" w:color="auto" w:fill="auto"/>
            <w:vAlign w:val="center"/>
            <w:hideMark/>
          </w:tcPr>
          <w:p w14:paraId="3CC88B4E"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-0.</w:t>
            </w:r>
            <w:r>
              <w:rPr>
                <w:rFonts w:eastAsia="Times New Roman" w:cs="Times New Roman"/>
                <w:color w:val="000000"/>
                <w:sz w:val="20"/>
                <w:szCs w:val="20"/>
              </w:rPr>
              <w:t>209</w:t>
            </w:r>
          </w:p>
        </w:tc>
        <w:tc>
          <w:tcPr>
            <w:tcW w:w="386" w:type="pct"/>
            <w:tcBorders>
              <w:top w:val="nil"/>
              <w:left w:val="nil"/>
              <w:right w:val="double" w:sz="6" w:space="0" w:color="auto"/>
            </w:tcBorders>
            <w:shd w:val="clear" w:color="auto" w:fill="auto"/>
            <w:vAlign w:val="center"/>
            <w:hideMark/>
          </w:tcPr>
          <w:p w14:paraId="74950C05" w14:textId="77777777" w:rsidR="00D35452" w:rsidRPr="00D77ACD" w:rsidRDefault="00D35452" w:rsidP="004842BF">
            <w:pPr>
              <w:tabs>
                <w:tab w:val="decimal" w:pos="306"/>
              </w:tabs>
              <w:spacing w:line="240" w:lineRule="auto"/>
              <w:jc w:val="left"/>
              <w:rPr>
                <w:rFonts w:eastAsia="Times New Roman" w:cs="Times New Roman"/>
                <w:color w:val="000000"/>
                <w:sz w:val="20"/>
                <w:szCs w:val="20"/>
              </w:rPr>
            </w:pPr>
            <w:r w:rsidRPr="00D77ACD">
              <w:rPr>
                <w:rFonts w:eastAsia="Times New Roman" w:cs="Times New Roman"/>
                <w:color w:val="000000"/>
                <w:sz w:val="20"/>
                <w:szCs w:val="20"/>
              </w:rPr>
              <w:t>-2.</w:t>
            </w:r>
            <w:r>
              <w:rPr>
                <w:rFonts w:eastAsia="Times New Roman" w:cs="Times New Roman"/>
                <w:color w:val="000000"/>
                <w:sz w:val="20"/>
                <w:szCs w:val="20"/>
              </w:rPr>
              <w:t>07</w:t>
            </w:r>
          </w:p>
        </w:tc>
        <w:tc>
          <w:tcPr>
            <w:tcW w:w="421" w:type="pct"/>
            <w:tcBorders>
              <w:top w:val="nil"/>
              <w:left w:val="nil"/>
              <w:right w:val="nil"/>
            </w:tcBorders>
            <w:shd w:val="clear" w:color="auto" w:fill="auto"/>
            <w:vAlign w:val="center"/>
            <w:hideMark/>
          </w:tcPr>
          <w:p w14:paraId="14FB101C"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92" w:type="pct"/>
            <w:tcBorders>
              <w:top w:val="nil"/>
              <w:left w:val="nil"/>
              <w:right w:val="double" w:sz="6" w:space="0" w:color="auto"/>
            </w:tcBorders>
            <w:shd w:val="clear" w:color="auto" w:fill="auto"/>
            <w:vAlign w:val="center"/>
            <w:hideMark/>
          </w:tcPr>
          <w:p w14:paraId="7EA5B20C" w14:textId="77777777" w:rsidR="00D35452" w:rsidRPr="00D77ACD" w:rsidRDefault="00D35452" w:rsidP="00D35452">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r>
      <w:tr w:rsidR="005D6BB5" w:rsidRPr="004337C4" w14:paraId="0E276011" w14:textId="77777777" w:rsidTr="005D6BB5">
        <w:trPr>
          <w:trHeight w:val="288"/>
          <w:jc w:val="center"/>
        </w:trPr>
        <w:tc>
          <w:tcPr>
            <w:tcW w:w="1680" w:type="pct"/>
            <w:tcBorders>
              <w:left w:val="double" w:sz="6" w:space="0" w:color="auto"/>
              <w:right w:val="double" w:sz="6" w:space="0" w:color="auto"/>
            </w:tcBorders>
            <w:shd w:val="clear" w:color="auto" w:fill="auto"/>
            <w:vAlign w:val="center"/>
          </w:tcPr>
          <w:p w14:paraId="34B1DF9C" w14:textId="77777777" w:rsidR="006F57DC" w:rsidRPr="006403FD" w:rsidRDefault="006F57DC" w:rsidP="006F57DC">
            <w:pPr>
              <w:spacing w:line="240" w:lineRule="auto"/>
              <w:jc w:val="left"/>
              <w:rPr>
                <w:rFonts w:eastAsia="Times New Roman" w:cs="Times New Roman"/>
                <w:b/>
                <w:color w:val="000000"/>
                <w:sz w:val="20"/>
                <w:szCs w:val="20"/>
              </w:rPr>
            </w:pPr>
            <w:r w:rsidRPr="006403FD">
              <w:rPr>
                <w:rFonts w:eastAsia="Times New Roman" w:cs="Times New Roman"/>
                <w:b/>
                <w:color w:val="000000"/>
                <w:sz w:val="20"/>
                <w:szCs w:val="20"/>
              </w:rPr>
              <w:t>Correlation</w:t>
            </w:r>
            <w:r>
              <w:rPr>
                <w:rFonts w:eastAsia="Times New Roman" w:cs="Times New Roman"/>
                <w:b/>
                <w:color w:val="000000"/>
                <w:sz w:val="20"/>
                <w:szCs w:val="20"/>
              </w:rPr>
              <w:t>s</w:t>
            </w:r>
            <w:r w:rsidRPr="006403FD">
              <w:rPr>
                <w:rFonts w:eastAsia="Times New Roman" w:cs="Times New Roman"/>
                <w:b/>
                <w:color w:val="000000"/>
                <w:sz w:val="20"/>
                <w:szCs w:val="20"/>
              </w:rPr>
              <w:t xml:space="preserve"> between latent variables</w:t>
            </w:r>
          </w:p>
        </w:tc>
        <w:tc>
          <w:tcPr>
            <w:tcW w:w="440" w:type="pct"/>
            <w:tcBorders>
              <w:left w:val="double" w:sz="6" w:space="0" w:color="auto"/>
            </w:tcBorders>
            <w:shd w:val="clear" w:color="auto" w:fill="auto"/>
            <w:noWrap/>
            <w:vAlign w:val="center"/>
          </w:tcPr>
          <w:p w14:paraId="26DC2DDA" w14:textId="77777777" w:rsidR="006F57DC" w:rsidRPr="004337C4" w:rsidRDefault="006F57DC" w:rsidP="004842BF">
            <w:pPr>
              <w:spacing w:line="240" w:lineRule="auto"/>
              <w:jc w:val="center"/>
              <w:rPr>
                <w:rFonts w:eastAsia="Times New Roman" w:cs="Times New Roman"/>
                <w:color w:val="000000"/>
                <w:sz w:val="20"/>
                <w:szCs w:val="20"/>
              </w:rPr>
            </w:pPr>
          </w:p>
        </w:tc>
        <w:tc>
          <w:tcPr>
            <w:tcW w:w="411" w:type="pct"/>
            <w:tcBorders>
              <w:right w:val="double" w:sz="6" w:space="0" w:color="auto"/>
            </w:tcBorders>
            <w:shd w:val="clear" w:color="auto" w:fill="auto"/>
            <w:noWrap/>
            <w:vAlign w:val="center"/>
          </w:tcPr>
          <w:p w14:paraId="67D7D74A" w14:textId="77777777" w:rsidR="006F57DC" w:rsidRPr="004337C4" w:rsidRDefault="006F57DC" w:rsidP="004842BF">
            <w:pPr>
              <w:spacing w:line="240" w:lineRule="auto"/>
              <w:jc w:val="center"/>
              <w:rPr>
                <w:rFonts w:eastAsia="Times New Roman" w:cs="Times New Roman"/>
                <w:color w:val="000000"/>
                <w:sz w:val="20"/>
                <w:szCs w:val="20"/>
              </w:rPr>
            </w:pPr>
          </w:p>
        </w:tc>
        <w:tc>
          <w:tcPr>
            <w:tcW w:w="466" w:type="pct"/>
            <w:tcBorders>
              <w:left w:val="double" w:sz="6" w:space="0" w:color="auto"/>
            </w:tcBorders>
            <w:vAlign w:val="center"/>
          </w:tcPr>
          <w:p w14:paraId="5E6B1C94" w14:textId="77777777" w:rsidR="006F57DC" w:rsidRPr="004337C4" w:rsidRDefault="006F57DC" w:rsidP="006F57DC">
            <w:pPr>
              <w:spacing w:line="240" w:lineRule="auto"/>
              <w:jc w:val="center"/>
              <w:rPr>
                <w:rFonts w:eastAsia="Times New Roman" w:cs="Times New Roman"/>
                <w:color w:val="000000"/>
                <w:sz w:val="20"/>
                <w:szCs w:val="20"/>
              </w:rPr>
            </w:pPr>
          </w:p>
        </w:tc>
        <w:tc>
          <w:tcPr>
            <w:tcW w:w="386" w:type="pct"/>
            <w:tcBorders>
              <w:right w:val="double" w:sz="6" w:space="0" w:color="auto"/>
            </w:tcBorders>
            <w:vAlign w:val="center"/>
          </w:tcPr>
          <w:p w14:paraId="4E344CC8" w14:textId="77777777" w:rsidR="006F57DC" w:rsidRPr="004337C4" w:rsidRDefault="006F57DC" w:rsidP="006F57DC">
            <w:pPr>
              <w:spacing w:line="240" w:lineRule="auto"/>
              <w:jc w:val="center"/>
              <w:rPr>
                <w:rFonts w:eastAsia="Times New Roman" w:cs="Times New Roman"/>
                <w:color w:val="000000"/>
                <w:sz w:val="20"/>
                <w:szCs w:val="20"/>
              </w:rPr>
            </w:pPr>
          </w:p>
        </w:tc>
        <w:tc>
          <w:tcPr>
            <w:tcW w:w="418" w:type="pct"/>
            <w:tcBorders>
              <w:left w:val="double" w:sz="6" w:space="0" w:color="auto"/>
            </w:tcBorders>
            <w:vAlign w:val="center"/>
          </w:tcPr>
          <w:p w14:paraId="47726787" w14:textId="77777777" w:rsidR="006F57DC" w:rsidRPr="004337C4" w:rsidRDefault="006F57DC" w:rsidP="006F57DC">
            <w:pPr>
              <w:spacing w:line="240" w:lineRule="auto"/>
              <w:jc w:val="center"/>
              <w:rPr>
                <w:rFonts w:eastAsia="Times New Roman" w:cs="Times New Roman"/>
                <w:color w:val="000000"/>
                <w:sz w:val="20"/>
                <w:szCs w:val="20"/>
              </w:rPr>
            </w:pPr>
          </w:p>
        </w:tc>
        <w:tc>
          <w:tcPr>
            <w:tcW w:w="386" w:type="pct"/>
            <w:tcBorders>
              <w:right w:val="double" w:sz="6" w:space="0" w:color="auto"/>
            </w:tcBorders>
            <w:vAlign w:val="center"/>
          </w:tcPr>
          <w:p w14:paraId="0AFA7BD7" w14:textId="77777777" w:rsidR="006F57DC" w:rsidRPr="004337C4" w:rsidRDefault="006F57DC" w:rsidP="006F57DC">
            <w:pPr>
              <w:spacing w:line="240" w:lineRule="auto"/>
              <w:jc w:val="center"/>
              <w:rPr>
                <w:rFonts w:eastAsia="Times New Roman" w:cs="Times New Roman"/>
                <w:color w:val="000000"/>
                <w:sz w:val="20"/>
                <w:szCs w:val="20"/>
              </w:rPr>
            </w:pPr>
          </w:p>
        </w:tc>
        <w:tc>
          <w:tcPr>
            <w:tcW w:w="421" w:type="pct"/>
            <w:tcBorders>
              <w:left w:val="double" w:sz="6" w:space="0" w:color="auto"/>
            </w:tcBorders>
            <w:vAlign w:val="center"/>
          </w:tcPr>
          <w:p w14:paraId="466D99C2" w14:textId="77777777" w:rsidR="006F57DC" w:rsidRPr="004337C4" w:rsidRDefault="006F57DC" w:rsidP="006F57DC">
            <w:pPr>
              <w:spacing w:line="240" w:lineRule="auto"/>
              <w:jc w:val="center"/>
              <w:rPr>
                <w:rFonts w:eastAsia="Times New Roman" w:cs="Times New Roman"/>
                <w:color w:val="000000"/>
                <w:sz w:val="20"/>
                <w:szCs w:val="20"/>
              </w:rPr>
            </w:pPr>
          </w:p>
        </w:tc>
        <w:tc>
          <w:tcPr>
            <w:tcW w:w="392" w:type="pct"/>
            <w:tcBorders>
              <w:right w:val="double" w:sz="6" w:space="0" w:color="auto"/>
            </w:tcBorders>
            <w:vAlign w:val="center"/>
          </w:tcPr>
          <w:p w14:paraId="75B07938" w14:textId="77777777" w:rsidR="006F57DC" w:rsidRPr="004337C4" w:rsidRDefault="006F57DC" w:rsidP="006F57DC">
            <w:pPr>
              <w:spacing w:line="240" w:lineRule="auto"/>
              <w:jc w:val="center"/>
              <w:rPr>
                <w:rFonts w:eastAsia="Times New Roman" w:cs="Times New Roman"/>
                <w:color w:val="000000"/>
                <w:sz w:val="20"/>
                <w:szCs w:val="20"/>
              </w:rPr>
            </w:pPr>
          </w:p>
        </w:tc>
      </w:tr>
      <w:tr w:rsidR="005D6BB5" w:rsidRPr="004337C4" w14:paraId="66622E83" w14:textId="77777777" w:rsidTr="005D6BB5">
        <w:trPr>
          <w:trHeight w:val="288"/>
          <w:jc w:val="center"/>
        </w:trPr>
        <w:tc>
          <w:tcPr>
            <w:tcW w:w="1680" w:type="pct"/>
            <w:tcBorders>
              <w:left w:val="double" w:sz="6" w:space="0" w:color="auto"/>
              <w:bottom w:val="nil"/>
              <w:right w:val="double" w:sz="6" w:space="0" w:color="auto"/>
            </w:tcBorders>
            <w:shd w:val="clear" w:color="auto" w:fill="auto"/>
            <w:vAlign w:val="center"/>
          </w:tcPr>
          <w:p w14:paraId="179D366F" w14:textId="77777777" w:rsidR="006F57DC" w:rsidRPr="004337C4" w:rsidRDefault="006F57DC" w:rsidP="006F57DC">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Privacy-sensitivity </w:t>
            </w:r>
          </w:p>
        </w:tc>
        <w:tc>
          <w:tcPr>
            <w:tcW w:w="440" w:type="pct"/>
            <w:tcBorders>
              <w:left w:val="double" w:sz="6" w:space="0" w:color="auto"/>
              <w:bottom w:val="nil"/>
            </w:tcBorders>
            <w:shd w:val="clear" w:color="auto" w:fill="auto"/>
            <w:noWrap/>
            <w:vAlign w:val="center"/>
          </w:tcPr>
          <w:p w14:paraId="053DF407" w14:textId="77777777" w:rsidR="006F57DC" w:rsidRPr="004337C4" w:rsidRDefault="00C27435" w:rsidP="004842BF">
            <w:pPr>
              <w:spacing w:line="240" w:lineRule="auto"/>
              <w:jc w:val="center"/>
              <w:rPr>
                <w:rFonts w:eastAsia="Times New Roman" w:cs="Times New Roman"/>
                <w:color w:val="000000"/>
                <w:sz w:val="20"/>
                <w:szCs w:val="20"/>
              </w:rPr>
            </w:pPr>
            <w:r>
              <w:rPr>
                <w:rFonts w:eastAsia="Times New Roman" w:cs="Times New Roman"/>
                <w:color w:val="000000"/>
                <w:sz w:val="20"/>
                <w:szCs w:val="20"/>
              </w:rPr>
              <w:t>1.000</w:t>
            </w:r>
          </w:p>
        </w:tc>
        <w:tc>
          <w:tcPr>
            <w:tcW w:w="411" w:type="pct"/>
            <w:tcBorders>
              <w:bottom w:val="nil"/>
              <w:right w:val="double" w:sz="6" w:space="0" w:color="auto"/>
            </w:tcBorders>
            <w:shd w:val="clear" w:color="auto" w:fill="auto"/>
            <w:noWrap/>
            <w:vAlign w:val="center"/>
          </w:tcPr>
          <w:p w14:paraId="34C770C2" w14:textId="77777777" w:rsidR="006F57DC" w:rsidRPr="004337C4" w:rsidRDefault="00C27435" w:rsidP="004842BF">
            <w:pPr>
              <w:spacing w:line="240" w:lineRule="auto"/>
              <w:jc w:val="center"/>
              <w:rPr>
                <w:rFonts w:eastAsia="Times New Roman" w:cs="Times New Roman"/>
                <w:color w:val="000000"/>
                <w:sz w:val="20"/>
                <w:szCs w:val="20"/>
              </w:rPr>
            </w:pPr>
            <w:r>
              <w:rPr>
                <w:rFonts w:eastAsia="Times New Roman" w:cs="Times New Roman"/>
                <w:color w:val="000000"/>
                <w:sz w:val="20"/>
                <w:szCs w:val="20"/>
              </w:rPr>
              <w:t>n/a</w:t>
            </w:r>
          </w:p>
        </w:tc>
        <w:tc>
          <w:tcPr>
            <w:tcW w:w="466" w:type="pct"/>
            <w:tcBorders>
              <w:left w:val="double" w:sz="6" w:space="0" w:color="auto"/>
            </w:tcBorders>
            <w:vAlign w:val="center"/>
          </w:tcPr>
          <w:p w14:paraId="623D8F80" w14:textId="77777777" w:rsidR="006F57DC" w:rsidRPr="004337C4" w:rsidRDefault="006F57DC" w:rsidP="006F57DC">
            <w:pPr>
              <w:spacing w:line="240" w:lineRule="auto"/>
              <w:jc w:val="center"/>
              <w:rPr>
                <w:rFonts w:eastAsia="Times New Roman" w:cs="Times New Roman"/>
                <w:color w:val="000000"/>
                <w:sz w:val="20"/>
                <w:szCs w:val="20"/>
              </w:rPr>
            </w:pPr>
          </w:p>
        </w:tc>
        <w:tc>
          <w:tcPr>
            <w:tcW w:w="386" w:type="pct"/>
            <w:tcBorders>
              <w:right w:val="double" w:sz="6" w:space="0" w:color="auto"/>
            </w:tcBorders>
            <w:vAlign w:val="center"/>
          </w:tcPr>
          <w:p w14:paraId="6EB71736" w14:textId="77777777" w:rsidR="006F57DC" w:rsidRPr="004337C4" w:rsidRDefault="006F57DC" w:rsidP="006F57DC">
            <w:pPr>
              <w:spacing w:line="240" w:lineRule="auto"/>
              <w:jc w:val="center"/>
              <w:rPr>
                <w:rFonts w:eastAsia="Times New Roman" w:cs="Times New Roman"/>
                <w:color w:val="000000"/>
                <w:sz w:val="20"/>
                <w:szCs w:val="20"/>
              </w:rPr>
            </w:pPr>
          </w:p>
        </w:tc>
        <w:tc>
          <w:tcPr>
            <w:tcW w:w="418" w:type="pct"/>
            <w:tcBorders>
              <w:left w:val="double" w:sz="6" w:space="0" w:color="auto"/>
            </w:tcBorders>
            <w:vAlign w:val="center"/>
          </w:tcPr>
          <w:p w14:paraId="01025A2C" w14:textId="77777777" w:rsidR="006F57DC" w:rsidRPr="004337C4" w:rsidRDefault="006F57DC" w:rsidP="006F57DC">
            <w:pPr>
              <w:spacing w:line="240" w:lineRule="auto"/>
              <w:jc w:val="center"/>
              <w:rPr>
                <w:rFonts w:eastAsia="Times New Roman" w:cs="Times New Roman"/>
                <w:color w:val="000000"/>
                <w:sz w:val="20"/>
                <w:szCs w:val="20"/>
              </w:rPr>
            </w:pPr>
          </w:p>
        </w:tc>
        <w:tc>
          <w:tcPr>
            <w:tcW w:w="386" w:type="pct"/>
            <w:tcBorders>
              <w:right w:val="double" w:sz="6" w:space="0" w:color="auto"/>
            </w:tcBorders>
            <w:vAlign w:val="center"/>
          </w:tcPr>
          <w:p w14:paraId="5249FEA8" w14:textId="77777777" w:rsidR="006F57DC" w:rsidRPr="004337C4" w:rsidRDefault="006F57DC" w:rsidP="006F57DC">
            <w:pPr>
              <w:spacing w:line="240" w:lineRule="auto"/>
              <w:jc w:val="center"/>
              <w:rPr>
                <w:rFonts w:eastAsia="Times New Roman" w:cs="Times New Roman"/>
                <w:color w:val="000000"/>
                <w:sz w:val="20"/>
                <w:szCs w:val="20"/>
              </w:rPr>
            </w:pPr>
          </w:p>
        </w:tc>
        <w:tc>
          <w:tcPr>
            <w:tcW w:w="421" w:type="pct"/>
            <w:tcBorders>
              <w:left w:val="double" w:sz="6" w:space="0" w:color="auto"/>
            </w:tcBorders>
            <w:vAlign w:val="center"/>
          </w:tcPr>
          <w:p w14:paraId="7BBB6778" w14:textId="77777777" w:rsidR="006F57DC" w:rsidRPr="004337C4" w:rsidRDefault="006F57DC" w:rsidP="006F57DC">
            <w:pPr>
              <w:spacing w:line="240" w:lineRule="auto"/>
              <w:jc w:val="center"/>
              <w:rPr>
                <w:rFonts w:eastAsia="Times New Roman" w:cs="Times New Roman"/>
                <w:color w:val="000000"/>
                <w:sz w:val="20"/>
                <w:szCs w:val="20"/>
              </w:rPr>
            </w:pPr>
          </w:p>
        </w:tc>
        <w:tc>
          <w:tcPr>
            <w:tcW w:w="392" w:type="pct"/>
            <w:tcBorders>
              <w:right w:val="double" w:sz="6" w:space="0" w:color="auto"/>
            </w:tcBorders>
            <w:vAlign w:val="center"/>
          </w:tcPr>
          <w:p w14:paraId="5F7D563C" w14:textId="77777777" w:rsidR="006F57DC" w:rsidRPr="004337C4" w:rsidRDefault="006F57DC" w:rsidP="006F57DC">
            <w:pPr>
              <w:spacing w:line="240" w:lineRule="auto"/>
              <w:jc w:val="center"/>
              <w:rPr>
                <w:rFonts w:eastAsia="Times New Roman" w:cs="Times New Roman"/>
                <w:color w:val="000000"/>
                <w:sz w:val="20"/>
                <w:szCs w:val="20"/>
              </w:rPr>
            </w:pPr>
          </w:p>
        </w:tc>
      </w:tr>
      <w:tr w:rsidR="005D6BB5" w:rsidRPr="004337C4" w14:paraId="29C751E2" w14:textId="77777777" w:rsidTr="005D6BB5">
        <w:trPr>
          <w:trHeight w:val="288"/>
          <w:jc w:val="center"/>
        </w:trPr>
        <w:tc>
          <w:tcPr>
            <w:tcW w:w="1680" w:type="pct"/>
            <w:tcBorders>
              <w:top w:val="nil"/>
              <w:left w:val="double" w:sz="6" w:space="0" w:color="auto"/>
              <w:right w:val="double" w:sz="6" w:space="0" w:color="auto"/>
            </w:tcBorders>
            <w:shd w:val="clear" w:color="auto" w:fill="auto"/>
            <w:vAlign w:val="center"/>
          </w:tcPr>
          <w:p w14:paraId="5F9F34F3" w14:textId="77777777" w:rsidR="00D35452" w:rsidRPr="004337C4" w:rsidRDefault="00D35452" w:rsidP="00D35452">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Tech-savviness </w:t>
            </w:r>
          </w:p>
        </w:tc>
        <w:tc>
          <w:tcPr>
            <w:tcW w:w="440" w:type="pct"/>
            <w:tcBorders>
              <w:top w:val="nil"/>
              <w:left w:val="double" w:sz="6" w:space="0" w:color="auto"/>
            </w:tcBorders>
            <w:shd w:val="clear" w:color="auto" w:fill="auto"/>
            <w:noWrap/>
            <w:vAlign w:val="center"/>
          </w:tcPr>
          <w:p w14:paraId="79BF348D" w14:textId="77777777" w:rsidR="00D35452" w:rsidRPr="00D77ACD" w:rsidRDefault="00D35452"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right w:val="double" w:sz="6" w:space="0" w:color="auto"/>
            </w:tcBorders>
            <w:shd w:val="clear" w:color="auto" w:fill="auto"/>
            <w:noWrap/>
            <w:vAlign w:val="center"/>
          </w:tcPr>
          <w:p w14:paraId="3750031A" w14:textId="77777777" w:rsidR="00D35452" w:rsidRPr="00D77ACD" w:rsidRDefault="00D35452"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left w:val="double" w:sz="6" w:space="0" w:color="auto"/>
            </w:tcBorders>
            <w:vAlign w:val="center"/>
          </w:tcPr>
          <w:p w14:paraId="1393DC48" w14:textId="77777777" w:rsidR="00D35452" w:rsidRPr="004337C4"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1.000</w:t>
            </w:r>
          </w:p>
        </w:tc>
        <w:tc>
          <w:tcPr>
            <w:tcW w:w="386" w:type="pct"/>
            <w:tcBorders>
              <w:right w:val="double" w:sz="6" w:space="0" w:color="auto"/>
            </w:tcBorders>
            <w:vAlign w:val="center"/>
          </w:tcPr>
          <w:p w14:paraId="2A7675D9" w14:textId="77777777" w:rsidR="00D35452" w:rsidRPr="004337C4" w:rsidRDefault="00D35452" w:rsidP="00D35452">
            <w:pPr>
              <w:spacing w:line="240" w:lineRule="auto"/>
              <w:jc w:val="center"/>
              <w:rPr>
                <w:rFonts w:eastAsia="Times New Roman" w:cs="Times New Roman"/>
                <w:color w:val="000000"/>
                <w:sz w:val="20"/>
                <w:szCs w:val="20"/>
              </w:rPr>
            </w:pPr>
            <w:r>
              <w:rPr>
                <w:rFonts w:eastAsia="Times New Roman" w:cs="Times New Roman"/>
                <w:color w:val="000000"/>
                <w:sz w:val="20"/>
                <w:szCs w:val="20"/>
              </w:rPr>
              <w:t>n/a</w:t>
            </w:r>
          </w:p>
        </w:tc>
        <w:tc>
          <w:tcPr>
            <w:tcW w:w="418" w:type="pct"/>
            <w:tcBorders>
              <w:left w:val="double" w:sz="6" w:space="0" w:color="auto"/>
            </w:tcBorders>
            <w:vAlign w:val="center"/>
          </w:tcPr>
          <w:p w14:paraId="1D93C872" w14:textId="77777777" w:rsidR="00D35452" w:rsidRPr="004337C4" w:rsidRDefault="00D35452" w:rsidP="00D35452">
            <w:pPr>
              <w:spacing w:line="240" w:lineRule="auto"/>
              <w:jc w:val="center"/>
              <w:rPr>
                <w:rFonts w:eastAsia="Times New Roman" w:cs="Times New Roman"/>
                <w:color w:val="000000"/>
                <w:sz w:val="20"/>
                <w:szCs w:val="20"/>
              </w:rPr>
            </w:pPr>
          </w:p>
        </w:tc>
        <w:tc>
          <w:tcPr>
            <w:tcW w:w="386" w:type="pct"/>
            <w:tcBorders>
              <w:right w:val="double" w:sz="6" w:space="0" w:color="auto"/>
            </w:tcBorders>
            <w:vAlign w:val="center"/>
          </w:tcPr>
          <w:p w14:paraId="497D833F" w14:textId="77777777" w:rsidR="00D35452" w:rsidRPr="004337C4" w:rsidRDefault="00D35452" w:rsidP="00D35452">
            <w:pPr>
              <w:spacing w:line="240" w:lineRule="auto"/>
              <w:jc w:val="center"/>
              <w:rPr>
                <w:rFonts w:eastAsia="Times New Roman" w:cs="Times New Roman"/>
                <w:color w:val="000000"/>
                <w:sz w:val="20"/>
                <w:szCs w:val="20"/>
              </w:rPr>
            </w:pPr>
          </w:p>
        </w:tc>
        <w:tc>
          <w:tcPr>
            <w:tcW w:w="421" w:type="pct"/>
            <w:tcBorders>
              <w:left w:val="double" w:sz="6" w:space="0" w:color="auto"/>
            </w:tcBorders>
            <w:vAlign w:val="center"/>
          </w:tcPr>
          <w:p w14:paraId="6F20ECD0" w14:textId="77777777" w:rsidR="00D35452" w:rsidRPr="004337C4" w:rsidRDefault="00D35452" w:rsidP="00D35452">
            <w:pPr>
              <w:spacing w:line="240" w:lineRule="auto"/>
              <w:jc w:val="center"/>
              <w:rPr>
                <w:rFonts w:eastAsia="Times New Roman" w:cs="Times New Roman"/>
                <w:color w:val="000000"/>
                <w:sz w:val="20"/>
                <w:szCs w:val="20"/>
              </w:rPr>
            </w:pPr>
          </w:p>
        </w:tc>
        <w:tc>
          <w:tcPr>
            <w:tcW w:w="392" w:type="pct"/>
            <w:tcBorders>
              <w:right w:val="double" w:sz="6" w:space="0" w:color="auto"/>
            </w:tcBorders>
            <w:vAlign w:val="center"/>
          </w:tcPr>
          <w:p w14:paraId="5D29DB1A" w14:textId="77777777" w:rsidR="00D35452" w:rsidRPr="004337C4" w:rsidRDefault="00D35452" w:rsidP="00D35452">
            <w:pPr>
              <w:spacing w:line="240" w:lineRule="auto"/>
              <w:jc w:val="center"/>
              <w:rPr>
                <w:rFonts w:eastAsia="Times New Roman" w:cs="Times New Roman"/>
                <w:color w:val="000000"/>
                <w:sz w:val="20"/>
                <w:szCs w:val="20"/>
              </w:rPr>
            </w:pPr>
          </w:p>
        </w:tc>
      </w:tr>
      <w:tr w:rsidR="005D6BB5" w:rsidRPr="004337C4" w14:paraId="01B17C5A" w14:textId="77777777" w:rsidTr="005D6BB5">
        <w:trPr>
          <w:trHeight w:val="288"/>
          <w:jc w:val="center"/>
        </w:trPr>
        <w:tc>
          <w:tcPr>
            <w:tcW w:w="1680" w:type="pct"/>
            <w:tcBorders>
              <w:top w:val="nil"/>
              <w:left w:val="double" w:sz="6" w:space="0" w:color="auto"/>
              <w:right w:val="double" w:sz="6" w:space="0" w:color="auto"/>
            </w:tcBorders>
            <w:shd w:val="clear" w:color="auto" w:fill="auto"/>
            <w:vAlign w:val="center"/>
          </w:tcPr>
          <w:p w14:paraId="5E9D11FB" w14:textId="77777777" w:rsidR="0083498A" w:rsidRPr="004337C4" w:rsidRDefault="0083498A" w:rsidP="0083498A">
            <w:pPr>
              <w:spacing w:line="240" w:lineRule="auto"/>
              <w:jc w:val="left"/>
              <w:rPr>
                <w:rFonts w:eastAsia="Times New Roman" w:cs="Times New Roman"/>
                <w:color w:val="000000"/>
                <w:sz w:val="20"/>
                <w:szCs w:val="20"/>
              </w:rPr>
            </w:pPr>
            <w:r>
              <w:rPr>
                <w:rFonts w:eastAsia="Times New Roman" w:cs="Times New Roman"/>
                <w:color w:val="000000"/>
                <w:sz w:val="20"/>
                <w:szCs w:val="20"/>
              </w:rPr>
              <w:t>VSLP</w:t>
            </w:r>
          </w:p>
        </w:tc>
        <w:tc>
          <w:tcPr>
            <w:tcW w:w="440" w:type="pct"/>
            <w:tcBorders>
              <w:top w:val="nil"/>
              <w:left w:val="double" w:sz="6" w:space="0" w:color="auto"/>
            </w:tcBorders>
            <w:shd w:val="clear" w:color="auto" w:fill="auto"/>
            <w:noWrap/>
            <w:vAlign w:val="center"/>
          </w:tcPr>
          <w:p w14:paraId="4AC7C3F1" w14:textId="77777777" w:rsidR="0083498A" w:rsidRPr="00D77ACD" w:rsidRDefault="0083498A" w:rsidP="004842BF">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1" w:type="pct"/>
            <w:tcBorders>
              <w:top w:val="nil"/>
              <w:right w:val="double" w:sz="6" w:space="0" w:color="auto"/>
            </w:tcBorders>
            <w:shd w:val="clear" w:color="auto" w:fill="auto"/>
            <w:noWrap/>
            <w:vAlign w:val="center"/>
          </w:tcPr>
          <w:p w14:paraId="6CB4D4C2" w14:textId="77777777" w:rsidR="0083498A" w:rsidRPr="00D77ACD" w:rsidRDefault="0083498A" w:rsidP="004842BF">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66" w:type="pct"/>
            <w:tcBorders>
              <w:left w:val="double" w:sz="6" w:space="0" w:color="auto"/>
            </w:tcBorders>
            <w:vAlign w:val="center"/>
          </w:tcPr>
          <w:p w14:paraId="7052F901"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0.360</w:t>
            </w:r>
          </w:p>
        </w:tc>
        <w:tc>
          <w:tcPr>
            <w:tcW w:w="386" w:type="pct"/>
            <w:tcBorders>
              <w:right w:val="double" w:sz="6" w:space="0" w:color="auto"/>
            </w:tcBorders>
            <w:vAlign w:val="center"/>
          </w:tcPr>
          <w:p w14:paraId="3A27962C"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2.48</w:t>
            </w:r>
          </w:p>
        </w:tc>
        <w:tc>
          <w:tcPr>
            <w:tcW w:w="418" w:type="pct"/>
            <w:tcBorders>
              <w:left w:val="double" w:sz="6" w:space="0" w:color="auto"/>
            </w:tcBorders>
            <w:vAlign w:val="center"/>
          </w:tcPr>
          <w:p w14:paraId="1BB8E4BD"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1.000</w:t>
            </w:r>
          </w:p>
        </w:tc>
        <w:tc>
          <w:tcPr>
            <w:tcW w:w="386" w:type="pct"/>
            <w:tcBorders>
              <w:right w:val="double" w:sz="6" w:space="0" w:color="auto"/>
            </w:tcBorders>
            <w:vAlign w:val="center"/>
          </w:tcPr>
          <w:p w14:paraId="1F2BD677"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n/a</w:t>
            </w:r>
          </w:p>
        </w:tc>
        <w:tc>
          <w:tcPr>
            <w:tcW w:w="421" w:type="pct"/>
            <w:tcBorders>
              <w:left w:val="double" w:sz="6" w:space="0" w:color="auto"/>
            </w:tcBorders>
            <w:vAlign w:val="center"/>
          </w:tcPr>
          <w:p w14:paraId="6FCF68B9" w14:textId="77777777" w:rsidR="0083498A" w:rsidRPr="004337C4" w:rsidRDefault="0083498A" w:rsidP="0083498A">
            <w:pPr>
              <w:spacing w:line="240" w:lineRule="auto"/>
              <w:jc w:val="center"/>
              <w:rPr>
                <w:rFonts w:eastAsia="Times New Roman" w:cs="Times New Roman"/>
                <w:color w:val="000000"/>
                <w:sz w:val="20"/>
                <w:szCs w:val="20"/>
              </w:rPr>
            </w:pPr>
          </w:p>
        </w:tc>
        <w:tc>
          <w:tcPr>
            <w:tcW w:w="392" w:type="pct"/>
            <w:tcBorders>
              <w:right w:val="double" w:sz="6" w:space="0" w:color="auto"/>
            </w:tcBorders>
            <w:vAlign w:val="center"/>
          </w:tcPr>
          <w:p w14:paraId="02F164B7" w14:textId="77777777" w:rsidR="0083498A" w:rsidRPr="004337C4" w:rsidRDefault="0083498A" w:rsidP="0083498A">
            <w:pPr>
              <w:spacing w:line="240" w:lineRule="auto"/>
              <w:jc w:val="center"/>
              <w:rPr>
                <w:rFonts w:eastAsia="Times New Roman" w:cs="Times New Roman"/>
                <w:color w:val="000000"/>
                <w:sz w:val="20"/>
                <w:szCs w:val="20"/>
              </w:rPr>
            </w:pPr>
          </w:p>
        </w:tc>
      </w:tr>
      <w:tr w:rsidR="005D6BB5" w:rsidRPr="004337C4" w14:paraId="337B9918" w14:textId="77777777" w:rsidTr="005D6BB5">
        <w:trPr>
          <w:trHeight w:val="288"/>
          <w:jc w:val="center"/>
        </w:trPr>
        <w:tc>
          <w:tcPr>
            <w:tcW w:w="1680" w:type="pct"/>
            <w:tcBorders>
              <w:top w:val="nil"/>
              <w:left w:val="double" w:sz="6" w:space="0" w:color="auto"/>
              <w:bottom w:val="double" w:sz="6" w:space="0" w:color="auto"/>
              <w:right w:val="double" w:sz="6" w:space="0" w:color="auto"/>
            </w:tcBorders>
            <w:shd w:val="clear" w:color="auto" w:fill="auto"/>
            <w:vAlign w:val="center"/>
          </w:tcPr>
          <w:p w14:paraId="10FC4132" w14:textId="77777777" w:rsidR="0083498A" w:rsidRPr="004337C4" w:rsidRDefault="0083498A" w:rsidP="0083498A">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GLP </w:t>
            </w:r>
          </w:p>
        </w:tc>
        <w:tc>
          <w:tcPr>
            <w:tcW w:w="440" w:type="pct"/>
            <w:tcBorders>
              <w:top w:val="nil"/>
              <w:left w:val="double" w:sz="6" w:space="0" w:color="auto"/>
              <w:bottom w:val="double" w:sz="6" w:space="0" w:color="auto"/>
            </w:tcBorders>
            <w:shd w:val="clear" w:color="auto" w:fill="auto"/>
            <w:noWrap/>
            <w:vAlign w:val="center"/>
          </w:tcPr>
          <w:p w14:paraId="385DE3FE" w14:textId="77777777" w:rsidR="0083498A" w:rsidRPr="004337C4" w:rsidRDefault="00631849" w:rsidP="004842BF">
            <w:pPr>
              <w:spacing w:line="240" w:lineRule="auto"/>
              <w:jc w:val="center"/>
              <w:rPr>
                <w:rFonts w:eastAsia="Times New Roman" w:cs="Times New Roman"/>
                <w:color w:val="000000"/>
                <w:sz w:val="20"/>
                <w:szCs w:val="20"/>
              </w:rPr>
            </w:pPr>
            <w:r>
              <w:rPr>
                <w:rFonts w:eastAsia="Times New Roman" w:cs="Times New Roman"/>
                <w:color w:val="000000"/>
                <w:sz w:val="20"/>
                <w:szCs w:val="20"/>
              </w:rPr>
              <w:t>-</w:t>
            </w:r>
            <w:r w:rsidR="0083498A">
              <w:rPr>
                <w:rFonts w:eastAsia="Times New Roman" w:cs="Times New Roman"/>
                <w:color w:val="000000"/>
                <w:sz w:val="20"/>
                <w:szCs w:val="20"/>
              </w:rPr>
              <w:t>0.465</w:t>
            </w:r>
          </w:p>
        </w:tc>
        <w:tc>
          <w:tcPr>
            <w:tcW w:w="411" w:type="pct"/>
            <w:tcBorders>
              <w:top w:val="nil"/>
              <w:bottom w:val="double" w:sz="6" w:space="0" w:color="auto"/>
              <w:right w:val="double" w:sz="6" w:space="0" w:color="auto"/>
            </w:tcBorders>
            <w:shd w:val="clear" w:color="auto" w:fill="auto"/>
            <w:noWrap/>
            <w:vAlign w:val="center"/>
          </w:tcPr>
          <w:p w14:paraId="05004869" w14:textId="77777777" w:rsidR="0083498A" w:rsidRPr="004337C4" w:rsidRDefault="0083498A" w:rsidP="004842BF">
            <w:pPr>
              <w:spacing w:line="240" w:lineRule="auto"/>
              <w:jc w:val="center"/>
              <w:rPr>
                <w:rFonts w:eastAsia="Times New Roman" w:cs="Times New Roman"/>
                <w:color w:val="000000"/>
                <w:sz w:val="20"/>
                <w:szCs w:val="20"/>
              </w:rPr>
            </w:pPr>
            <w:r>
              <w:rPr>
                <w:rFonts w:eastAsia="Times New Roman" w:cs="Times New Roman"/>
                <w:color w:val="000000"/>
                <w:sz w:val="20"/>
                <w:szCs w:val="20"/>
              </w:rPr>
              <w:t>-2.01</w:t>
            </w:r>
          </w:p>
        </w:tc>
        <w:tc>
          <w:tcPr>
            <w:tcW w:w="466" w:type="pct"/>
            <w:tcBorders>
              <w:left w:val="double" w:sz="6" w:space="0" w:color="auto"/>
              <w:bottom w:val="double" w:sz="6" w:space="0" w:color="auto"/>
            </w:tcBorders>
            <w:vAlign w:val="center"/>
          </w:tcPr>
          <w:p w14:paraId="76E689D5" w14:textId="77777777" w:rsidR="0083498A" w:rsidRPr="00D77ACD" w:rsidRDefault="0083498A" w:rsidP="0083498A">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bottom w:val="double" w:sz="6" w:space="0" w:color="auto"/>
              <w:right w:val="double" w:sz="6" w:space="0" w:color="auto"/>
            </w:tcBorders>
            <w:vAlign w:val="center"/>
          </w:tcPr>
          <w:p w14:paraId="0542983C" w14:textId="77777777" w:rsidR="0083498A" w:rsidRPr="00D77ACD" w:rsidRDefault="0083498A" w:rsidP="0083498A">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18" w:type="pct"/>
            <w:tcBorders>
              <w:left w:val="double" w:sz="6" w:space="0" w:color="auto"/>
              <w:bottom w:val="double" w:sz="6" w:space="0" w:color="auto"/>
            </w:tcBorders>
            <w:vAlign w:val="center"/>
          </w:tcPr>
          <w:p w14:paraId="66D6DFFB" w14:textId="77777777" w:rsidR="0083498A" w:rsidRPr="00D77ACD" w:rsidRDefault="0083498A" w:rsidP="0083498A">
            <w:pPr>
              <w:tabs>
                <w:tab w:val="left" w:pos="535"/>
                <w:tab w:val="left" w:pos="666"/>
              </w:tabs>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386" w:type="pct"/>
            <w:tcBorders>
              <w:bottom w:val="double" w:sz="6" w:space="0" w:color="auto"/>
              <w:right w:val="double" w:sz="6" w:space="0" w:color="auto"/>
            </w:tcBorders>
            <w:vAlign w:val="center"/>
          </w:tcPr>
          <w:p w14:paraId="5C5B8423" w14:textId="77777777" w:rsidR="0083498A" w:rsidRPr="00D77ACD" w:rsidRDefault="0083498A" w:rsidP="0083498A">
            <w:pPr>
              <w:spacing w:line="240" w:lineRule="auto"/>
              <w:jc w:val="center"/>
              <w:rPr>
                <w:rFonts w:eastAsia="Times New Roman" w:cs="Times New Roman"/>
                <w:color w:val="000000"/>
                <w:sz w:val="20"/>
                <w:szCs w:val="20"/>
              </w:rPr>
            </w:pPr>
            <w:r w:rsidRPr="00D77ACD">
              <w:rPr>
                <w:rFonts w:eastAsia="Times New Roman" w:cs="Times New Roman"/>
                <w:color w:val="000000"/>
                <w:sz w:val="20"/>
                <w:szCs w:val="20"/>
              </w:rPr>
              <w:t>--</w:t>
            </w:r>
          </w:p>
        </w:tc>
        <w:tc>
          <w:tcPr>
            <w:tcW w:w="421" w:type="pct"/>
            <w:tcBorders>
              <w:left w:val="double" w:sz="6" w:space="0" w:color="auto"/>
              <w:bottom w:val="double" w:sz="6" w:space="0" w:color="auto"/>
            </w:tcBorders>
            <w:vAlign w:val="center"/>
          </w:tcPr>
          <w:p w14:paraId="3DE91865"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1.000</w:t>
            </w:r>
          </w:p>
        </w:tc>
        <w:tc>
          <w:tcPr>
            <w:tcW w:w="392" w:type="pct"/>
            <w:tcBorders>
              <w:bottom w:val="double" w:sz="6" w:space="0" w:color="auto"/>
              <w:right w:val="double" w:sz="6" w:space="0" w:color="auto"/>
            </w:tcBorders>
            <w:vAlign w:val="center"/>
          </w:tcPr>
          <w:p w14:paraId="3259A0D3" w14:textId="77777777" w:rsidR="0083498A" w:rsidRPr="004337C4" w:rsidRDefault="0083498A" w:rsidP="0083498A">
            <w:pPr>
              <w:spacing w:line="240" w:lineRule="auto"/>
              <w:jc w:val="center"/>
              <w:rPr>
                <w:rFonts w:eastAsia="Times New Roman" w:cs="Times New Roman"/>
                <w:color w:val="000000"/>
                <w:sz w:val="20"/>
                <w:szCs w:val="20"/>
              </w:rPr>
            </w:pPr>
            <w:r>
              <w:rPr>
                <w:rFonts w:eastAsia="Times New Roman" w:cs="Times New Roman"/>
                <w:color w:val="000000"/>
                <w:sz w:val="20"/>
                <w:szCs w:val="20"/>
              </w:rPr>
              <w:t>n/a</w:t>
            </w:r>
          </w:p>
        </w:tc>
      </w:tr>
    </w:tbl>
    <w:p w14:paraId="27ACEA6A" w14:textId="60505D8A" w:rsidR="00C524CF" w:rsidRPr="009263FC" w:rsidRDefault="00C524CF" w:rsidP="005D6BB5">
      <w:pPr>
        <w:spacing w:line="240" w:lineRule="auto"/>
        <w:ind w:left="180"/>
        <w:jc w:val="left"/>
        <w:rPr>
          <w:sz w:val="18"/>
          <w:szCs w:val="18"/>
        </w:rPr>
      </w:pPr>
      <w:r w:rsidRPr="009263FC">
        <w:rPr>
          <w:sz w:val="18"/>
          <w:szCs w:val="18"/>
        </w:rPr>
        <w:t>“--”</w:t>
      </w:r>
      <w:r w:rsidRPr="009263FC">
        <w:rPr>
          <w:b/>
          <w:sz w:val="18"/>
          <w:szCs w:val="18"/>
        </w:rPr>
        <w:t xml:space="preserve"> </w:t>
      </w:r>
      <w:r w:rsidR="00F13ABD">
        <w:rPr>
          <w:b/>
          <w:sz w:val="18"/>
          <w:szCs w:val="18"/>
        </w:rPr>
        <w:t xml:space="preserve">= </w:t>
      </w:r>
      <w:r w:rsidRPr="009263FC">
        <w:rPr>
          <w:sz w:val="18"/>
          <w:szCs w:val="18"/>
        </w:rPr>
        <w:t>not statistically significan</w:t>
      </w:r>
      <w:r w:rsidR="00631849">
        <w:rPr>
          <w:sz w:val="18"/>
          <w:szCs w:val="18"/>
        </w:rPr>
        <w:t xml:space="preserve">tly </w:t>
      </w:r>
      <w:r w:rsidRPr="009263FC">
        <w:rPr>
          <w:sz w:val="18"/>
          <w:szCs w:val="18"/>
        </w:rPr>
        <w:t>different from zero at the 90% level of confidence and removed</w:t>
      </w:r>
      <w:r>
        <w:rPr>
          <w:sz w:val="18"/>
          <w:szCs w:val="18"/>
        </w:rPr>
        <w:t xml:space="preserve"> from the specification</w:t>
      </w:r>
      <w:r w:rsidRPr="009263FC">
        <w:rPr>
          <w:sz w:val="18"/>
          <w:szCs w:val="18"/>
        </w:rPr>
        <w:t>.</w:t>
      </w:r>
    </w:p>
    <w:p w14:paraId="2FA99CEE" w14:textId="3F4C5A9A" w:rsidR="00712AB4" w:rsidRDefault="00712AB4" w:rsidP="005D6BB5">
      <w:pPr>
        <w:spacing w:line="240" w:lineRule="auto"/>
        <w:ind w:left="180"/>
        <w:jc w:val="left"/>
        <w:rPr>
          <w:sz w:val="18"/>
          <w:szCs w:val="18"/>
        </w:rPr>
      </w:pPr>
      <w:r w:rsidRPr="000C71E9">
        <w:rPr>
          <w:sz w:val="18"/>
          <w:szCs w:val="18"/>
        </w:rPr>
        <w:t xml:space="preserve">“n/a” </w:t>
      </w:r>
      <w:r w:rsidR="009E3B28">
        <w:rPr>
          <w:sz w:val="18"/>
          <w:szCs w:val="18"/>
        </w:rPr>
        <w:t xml:space="preserve">= </w:t>
      </w:r>
      <w:r w:rsidRPr="000C71E9">
        <w:rPr>
          <w:sz w:val="18"/>
          <w:szCs w:val="18"/>
        </w:rPr>
        <w:t>not applicable</w:t>
      </w:r>
    </w:p>
    <w:p w14:paraId="44D7B9FF" w14:textId="77777777" w:rsidR="005D6BB5" w:rsidRDefault="005D6BB5" w:rsidP="005D6BB5">
      <w:pPr>
        <w:spacing w:line="240" w:lineRule="auto"/>
        <w:jc w:val="left"/>
        <w:rPr>
          <w:b/>
        </w:rPr>
        <w:sectPr w:rsidR="005D6BB5" w:rsidSect="005D6BB5">
          <w:pgSz w:w="12240" w:h="15840"/>
          <w:pgMar w:top="1440" w:right="1440" w:bottom="1440" w:left="1440" w:header="720" w:footer="720" w:gutter="0"/>
          <w:cols w:space="720"/>
          <w:docGrid w:linePitch="360"/>
        </w:sectPr>
      </w:pPr>
    </w:p>
    <w:p w14:paraId="319AC0E8" w14:textId="126EEF1C" w:rsidR="00C524CF" w:rsidRPr="005D6BB5" w:rsidRDefault="00C524CF" w:rsidP="00FC5290">
      <w:pPr>
        <w:spacing w:after="120" w:line="240" w:lineRule="auto"/>
        <w:jc w:val="center"/>
        <w:rPr>
          <w:b/>
          <w:color w:val="FF0000"/>
        </w:rPr>
      </w:pPr>
      <w:r>
        <w:rPr>
          <w:b/>
        </w:rPr>
        <w:lastRenderedPageBreak/>
        <w:t xml:space="preserve">Table </w:t>
      </w:r>
      <w:r w:rsidR="00D522A8">
        <w:rPr>
          <w:b/>
        </w:rPr>
        <w:t>5</w:t>
      </w:r>
      <w:r w:rsidR="002A1D88">
        <w:rPr>
          <w:b/>
        </w:rPr>
        <w:t>.</w:t>
      </w:r>
      <w:r>
        <w:rPr>
          <w:b/>
        </w:rPr>
        <w:t xml:space="preserve"> Results of the </w:t>
      </w:r>
      <w:r w:rsidR="00B077E6">
        <w:rPr>
          <w:b/>
        </w:rPr>
        <w:t xml:space="preserve">residential location, </w:t>
      </w:r>
      <w:r>
        <w:rPr>
          <w:b/>
        </w:rPr>
        <w:t>vehicle availability, ride-hailing experience, and ride-hailing frequency model components</w:t>
      </w:r>
    </w:p>
    <w:tbl>
      <w:tblPr>
        <w:tblW w:w="5000" w:type="pct"/>
        <w:tblLayout w:type="fixed"/>
        <w:tblCellMar>
          <w:left w:w="29" w:type="dxa"/>
          <w:right w:w="29" w:type="dxa"/>
        </w:tblCellMar>
        <w:tblLook w:val="04A0" w:firstRow="1" w:lastRow="0" w:firstColumn="1" w:lastColumn="0" w:noHBand="0" w:noVBand="1"/>
      </w:tblPr>
      <w:tblGrid>
        <w:gridCol w:w="2629"/>
        <w:gridCol w:w="680"/>
        <w:gridCol w:w="592"/>
        <w:gridCol w:w="594"/>
        <w:gridCol w:w="592"/>
        <w:gridCol w:w="680"/>
        <w:gridCol w:w="672"/>
        <w:gridCol w:w="712"/>
        <w:gridCol w:w="546"/>
        <w:gridCol w:w="704"/>
        <w:gridCol w:w="625"/>
        <w:gridCol w:w="14"/>
        <w:gridCol w:w="631"/>
        <w:gridCol w:w="611"/>
      </w:tblGrid>
      <w:tr w:rsidR="007B564A" w:rsidRPr="000C71E9" w14:paraId="6CBE0D14" w14:textId="77777777" w:rsidTr="00FC5290">
        <w:trPr>
          <w:trHeight w:val="20"/>
        </w:trPr>
        <w:tc>
          <w:tcPr>
            <w:tcW w:w="263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8E74DCA" w14:textId="77777777" w:rsidR="007B564A" w:rsidRPr="000C71E9" w:rsidRDefault="007B564A" w:rsidP="00417E9A">
            <w:pPr>
              <w:spacing w:line="240" w:lineRule="auto"/>
              <w:jc w:val="center"/>
              <w:rPr>
                <w:rFonts w:eastAsia="Times New Roman" w:cs="Times New Roman"/>
                <w:b/>
                <w:bCs/>
                <w:color w:val="000000"/>
                <w:sz w:val="20"/>
                <w:szCs w:val="20"/>
              </w:rPr>
            </w:pPr>
            <w:r w:rsidRPr="000C71E9">
              <w:rPr>
                <w:rFonts w:eastAsia="Times New Roman" w:cs="Times New Roman"/>
                <w:b/>
                <w:bCs/>
                <w:color w:val="000000"/>
                <w:sz w:val="20"/>
                <w:szCs w:val="20"/>
              </w:rPr>
              <w:t>Variables (base category)</w:t>
            </w:r>
          </w:p>
        </w:tc>
        <w:tc>
          <w:tcPr>
            <w:tcW w:w="2466" w:type="dxa"/>
            <w:gridSpan w:val="4"/>
            <w:tcBorders>
              <w:top w:val="double" w:sz="6" w:space="0" w:color="auto"/>
              <w:left w:val="nil"/>
              <w:bottom w:val="double" w:sz="6" w:space="0" w:color="auto"/>
              <w:right w:val="double" w:sz="6" w:space="0" w:color="auto"/>
            </w:tcBorders>
          </w:tcPr>
          <w:p w14:paraId="7C9FF920" w14:textId="77777777" w:rsidR="00417E9A" w:rsidRDefault="007B564A" w:rsidP="000C71E9">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Residential location </w:t>
            </w:r>
          </w:p>
          <w:p w14:paraId="20252A0D" w14:textId="209B2836" w:rsidR="007B564A" w:rsidRPr="000C71E9" w:rsidRDefault="007B564A" w:rsidP="00417E9A">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(base: </w:t>
            </w:r>
            <w:r w:rsidR="00631849">
              <w:rPr>
                <w:rFonts w:eastAsia="Times New Roman" w:cs="Times New Roman"/>
                <w:b/>
                <w:bCs/>
                <w:color w:val="000000"/>
                <w:sz w:val="20"/>
                <w:szCs w:val="20"/>
              </w:rPr>
              <w:t>S</w:t>
            </w:r>
            <w:r>
              <w:rPr>
                <w:rFonts w:eastAsia="Times New Roman" w:cs="Times New Roman"/>
                <w:b/>
                <w:bCs/>
                <w:color w:val="000000"/>
                <w:sz w:val="20"/>
                <w:szCs w:val="20"/>
              </w:rPr>
              <w:t>uburb</w:t>
            </w:r>
            <w:r w:rsidR="00631849">
              <w:rPr>
                <w:rFonts w:eastAsia="Times New Roman" w:cs="Times New Roman"/>
                <w:b/>
                <w:bCs/>
                <w:color w:val="000000"/>
                <w:sz w:val="20"/>
                <w:szCs w:val="20"/>
              </w:rPr>
              <w:t>an</w:t>
            </w:r>
            <w:r>
              <w:rPr>
                <w:rFonts w:eastAsia="Times New Roman" w:cs="Times New Roman"/>
                <w:b/>
                <w:bCs/>
                <w:color w:val="000000"/>
                <w:sz w:val="20"/>
                <w:szCs w:val="20"/>
              </w:rPr>
              <w:t>)</w:t>
            </w:r>
          </w:p>
        </w:tc>
        <w:tc>
          <w:tcPr>
            <w:tcW w:w="1356" w:type="dxa"/>
            <w:gridSpan w:val="2"/>
            <w:tcBorders>
              <w:top w:val="double" w:sz="6" w:space="0" w:color="auto"/>
              <w:left w:val="double" w:sz="6" w:space="0" w:color="auto"/>
              <w:bottom w:val="double" w:sz="6" w:space="0" w:color="auto"/>
              <w:right w:val="nil"/>
            </w:tcBorders>
            <w:shd w:val="clear" w:color="auto" w:fill="auto"/>
            <w:vAlign w:val="center"/>
            <w:hideMark/>
          </w:tcPr>
          <w:p w14:paraId="4CCAFE14" w14:textId="77777777" w:rsidR="007B564A" w:rsidRPr="000C71E9" w:rsidRDefault="007B564A" w:rsidP="000C71E9">
            <w:pPr>
              <w:spacing w:line="240" w:lineRule="auto"/>
              <w:jc w:val="center"/>
              <w:rPr>
                <w:rFonts w:eastAsia="Times New Roman" w:cs="Times New Roman"/>
                <w:b/>
                <w:bCs/>
                <w:color w:val="000000"/>
                <w:sz w:val="20"/>
                <w:szCs w:val="20"/>
              </w:rPr>
            </w:pPr>
            <w:r w:rsidRPr="000C71E9">
              <w:rPr>
                <w:rFonts w:eastAsia="Times New Roman" w:cs="Times New Roman"/>
                <w:b/>
                <w:bCs/>
                <w:color w:val="000000"/>
                <w:sz w:val="20"/>
                <w:szCs w:val="20"/>
              </w:rPr>
              <w:t>Vehicle availability</w:t>
            </w:r>
          </w:p>
        </w:tc>
        <w:tc>
          <w:tcPr>
            <w:tcW w:w="2595"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22821870" w14:textId="77777777" w:rsidR="00417E9A" w:rsidRDefault="007B564A" w:rsidP="000C71E9">
            <w:pPr>
              <w:spacing w:line="240" w:lineRule="auto"/>
              <w:jc w:val="center"/>
              <w:rPr>
                <w:rFonts w:eastAsia="Times New Roman" w:cs="Times New Roman"/>
                <w:b/>
                <w:bCs/>
                <w:color w:val="000000"/>
                <w:sz w:val="20"/>
                <w:szCs w:val="20"/>
              </w:rPr>
            </w:pPr>
            <w:r w:rsidRPr="000C71E9">
              <w:rPr>
                <w:rFonts w:eastAsia="Times New Roman" w:cs="Times New Roman"/>
                <w:b/>
                <w:bCs/>
                <w:color w:val="000000"/>
                <w:sz w:val="20"/>
                <w:szCs w:val="20"/>
              </w:rPr>
              <w:t xml:space="preserve">Ride-hailing experience </w:t>
            </w:r>
          </w:p>
          <w:p w14:paraId="73F04BFD" w14:textId="77777777" w:rsidR="007B564A" w:rsidRPr="000C71E9" w:rsidRDefault="007B564A" w:rsidP="000C71E9">
            <w:pPr>
              <w:spacing w:line="240" w:lineRule="auto"/>
              <w:jc w:val="center"/>
              <w:rPr>
                <w:rFonts w:eastAsia="Times New Roman" w:cs="Times New Roman"/>
                <w:b/>
                <w:bCs/>
                <w:color w:val="000000"/>
                <w:sz w:val="20"/>
                <w:szCs w:val="20"/>
              </w:rPr>
            </w:pPr>
            <w:r w:rsidRPr="000C71E9">
              <w:rPr>
                <w:rFonts w:eastAsia="Times New Roman" w:cs="Times New Roman"/>
                <w:b/>
                <w:bCs/>
                <w:color w:val="000000"/>
                <w:sz w:val="20"/>
                <w:szCs w:val="20"/>
              </w:rPr>
              <w:t>(base: none)</w:t>
            </w:r>
          </w:p>
        </w:tc>
        <w:tc>
          <w:tcPr>
            <w:tcW w:w="1260" w:type="dxa"/>
            <w:gridSpan w:val="3"/>
            <w:tcBorders>
              <w:top w:val="double" w:sz="6" w:space="0" w:color="auto"/>
              <w:left w:val="nil"/>
              <w:bottom w:val="double" w:sz="6" w:space="0" w:color="auto"/>
              <w:right w:val="double" w:sz="6" w:space="0" w:color="000000"/>
            </w:tcBorders>
            <w:shd w:val="clear" w:color="auto" w:fill="auto"/>
            <w:vAlign w:val="center"/>
            <w:hideMark/>
          </w:tcPr>
          <w:p w14:paraId="64A017CD" w14:textId="77777777" w:rsidR="007B564A" w:rsidRPr="000C71E9" w:rsidRDefault="007B564A" w:rsidP="000C71E9">
            <w:pPr>
              <w:spacing w:line="240" w:lineRule="auto"/>
              <w:jc w:val="center"/>
              <w:rPr>
                <w:rFonts w:eastAsia="Times New Roman" w:cs="Times New Roman"/>
                <w:b/>
                <w:bCs/>
                <w:color w:val="000000"/>
                <w:sz w:val="20"/>
                <w:szCs w:val="20"/>
              </w:rPr>
            </w:pPr>
            <w:r w:rsidRPr="000C71E9">
              <w:rPr>
                <w:rFonts w:eastAsia="Times New Roman" w:cs="Times New Roman"/>
                <w:b/>
                <w:bCs/>
                <w:color w:val="000000"/>
                <w:sz w:val="20"/>
                <w:szCs w:val="20"/>
              </w:rPr>
              <w:t>Ride-hailing frequency</w:t>
            </w:r>
          </w:p>
        </w:tc>
      </w:tr>
      <w:tr w:rsidR="00417E9A" w:rsidRPr="000C71E9" w14:paraId="128E9E54" w14:textId="77777777" w:rsidTr="00FC5290">
        <w:trPr>
          <w:trHeight w:val="20"/>
        </w:trPr>
        <w:tc>
          <w:tcPr>
            <w:tcW w:w="2639" w:type="dxa"/>
            <w:vMerge/>
            <w:tcBorders>
              <w:top w:val="double" w:sz="6" w:space="0" w:color="auto"/>
              <w:left w:val="double" w:sz="6" w:space="0" w:color="auto"/>
              <w:bottom w:val="double" w:sz="6" w:space="0" w:color="000000"/>
              <w:right w:val="double" w:sz="6" w:space="0" w:color="auto"/>
            </w:tcBorders>
            <w:vAlign w:val="center"/>
            <w:hideMark/>
          </w:tcPr>
          <w:p w14:paraId="5208B0E6" w14:textId="77777777" w:rsidR="00417E9A" w:rsidRPr="000C71E9" w:rsidRDefault="00417E9A" w:rsidP="007B564A">
            <w:pPr>
              <w:spacing w:line="240" w:lineRule="auto"/>
              <w:jc w:val="left"/>
              <w:rPr>
                <w:rFonts w:eastAsia="Times New Roman" w:cs="Times New Roman"/>
                <w:b/>
                <w:bCs/>
                <w:color w:val="000000"/>
                <w:sz w:val="20"/>
                <w:szCs w:val="20"/>
              </w:rPr>
            </w:pPr>
          </w:p>
        </w:tc>
        <w:tc>
          <w:tcPr>
            <w:tcW w:w="1276" w:type="dxa"/>
            <w:gridSpan w:val="2"/>
            <w:tcBorders>
              <w:top w:val="double" w:sz="6" w:space="0" w:color="auto"/>
              <w:left w:val="nil"/>
              <w:right w:val="nil"/>
            </w:tcBorders>
            <w:vAlign w:val="center"/>
          </w:tcPr>
          <w:p w14:paraId="3277527A" w14:textId="77777777" w:rsidR="00417E9A" w:rsidRPr="000C71E9" w:rsidRDefault="00417E9A" w:rsidP="007B564A">
            <w:pPr>
              <w:spacing w:line="240" w:lineRule="auto"/>
              <w:jc w:val="center"/>
              <w:rPr>
                <w:rFonts w:eastAsia="Times New Roman" w:cs="Times New Roman"/>
                <w:color w:val="000000"/>
                <w:sz w:val="20"/>
                <w:szCs w:val="20"/>
              </w:rPr>
            </w:pPr>
            <w:r>
              <w:rPr>
                <w:rFonts w:eastAsia="Times New Roman" w:cs="Times New Roman"/>
                <w:color w:val="000000"/>
                <w:sz w:val="20"/>
                <w:szCs w:val="20"/>
              </w:rPr>
              <w:t>Rural</w:t>
            </w:r>
          </w:p>
        </w:tc>
        <w:tc>
          <w:tcPr>
            <w:tcW w:w="1190" w:type="dxa"/>
            <w:gridSpan w:val="2"/>
            <w:tcBorders>
              <w:top w:val="double" w:sz="6" w:space="0" w:color="auto"/>
              <w:left w:val="nil"/>
              <w:right w:val="double" w:sz="6" w:space="0" w:color="auto"/>
            </w:tcBorders>
          </w:tcPr>
          <w:p w14:paraId="26A3F3E1" w14:textId="64D3B19C" w:rsidR="00417E9A" w:rsidRPr="000C71E9" w:rsidRDefault="00631849" w:rsidP="007B564A">
            <w:pPr>
              <w:spacing w:line="240" w:lineRule="auto"/>
              <w:jc w:val="center"/>
              <w:rPr>
                <w:rFonts w:eastAsia="Times New Roman" w:cs="Times New Roman"/>
                <w:color w:val="000000"/>
                <w:sz w:val="20"/>
                <w:szCs w:val="20"/>
              </w:rPr>
            </w:pPr>
            <w:r>
              <w:rPr>
                <w:rFonts w:eastAsia="Times New Roman" w:cs="Times New Roman"/>
                <w:color w:val="000000"/>
                <w:sz w:val="20"/>
                <w:szCs w:val="20"/>
              </w:rPr>
              <w:t>Urban</w:t>
            </w:r>
          </w:p>
        </w:tc>
        <w:tc>
          <w:tcPr>
            <w:tcW w:w="1356" w:type="dxa"/>
            <w:gridSpan w:val="2"/>
            <w:tcBorders>
              <w:top w:val="nil"/>
              <w:left w:val="double" w:sz="6" w:space="0" w:color="auto"/>
              <w:bottom w:val="nil"/>
              <w:right w:val="nil"/>
            </w:tcBorders>
            <w:shd w:val="clear" w:color="auto" w:fill="auto"/>
            <w:noWrap/>
            <w:vAlign w:val="bottom"/>
            <w:hideMark/>
          </w:tcPr>
          <w:p w14:paraId="7ACFC53E" w14:textId="77777777" w:rsidR="00417E9A" w:rsidRPr="000C71E9" w:rsidRDefault="00417E9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(ordinal)</w:t>
            </w:r>
          </w:p>
        </w:tc>
        <w:tc>
          <w:tcPr>
            <w:tcW w:w="1262" w:type="dxa"/>
            <w:gridSpan w:val="2"/>
            <w:tcBorders>
              <w:top w:val="double" w:sz="6" w:space="0" w:color="auto"/>
              <w:left w:val="double" w:sz="6" w:space="0" w:color="auto"/>
              <w:bottom w:val="nil"/>
              <w:right w:val="nil"/>
            </w:tcBorders>
            <w:shd w:val="clear" w:color="auto" w:fill="auto"/>
            <w:vAlign w:val="center"/>
            <w:hideMark/>
          </w:tcPr>
          <w:p w14:paraId="0FCED8CF" w14:textId="77777777" w:rsidR="00417E9A" w:rsidRPr="000C71E9" w:rsidRDefault="00417E9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Private only</w:t>
            </w:r>
          </w:p>
        </w:tc>
        <w:tc>
          <w:tcPr>
            <w:tcW w:w="1347" w:type="dxa"/>
            <w:gridSpan w:val="3"/>
            <w:tcBorders>
              <w:top w:val="double" w:sz="6" w:space="0" w:color="auto"/>
              <w:left w:val="nil"/>
              <w:bottom w:val="nil"/>
              <w:right w:val="double" w:sz="6" w:space="0" w:color="000000"/>
            </w:tcBorders>
            <w:shd w:val="clear" w:color="auto" w:fill="auto"/>
            <w:vAlign w:val="center"/>
            <w:hideMark/>
          </w:tcPr>
          <w:p w14:paraId="0D60254A" w14:textId="77777777" w:rsidR="00417E9A" w:rsidRPr="000C71E9" w:rsidRDefault="00417E9A" w:rsidP="007B564A">
            <w:pPr>
              <w:spacing w:line="240" w:lineRule="auto"/>
              <w:jc w:val="center"/>
              <w:rPr>
                <w:rFonts w:eastAsia="Times New Roman" w:cs="Times New Roman"/>
                <w:color w:val="000000"/>
                <w:sz w:val="20"/>
                <w:szCs w:val="20"/>
              </w:rPr>
            </w:pPr>
            <w:r>
              <w:rPr>
                <w:rFonts w:eastAsia="Times New Roman" w:cs="Times New Roman"/>
                <w:color w:val="000000"/>
                <w:sz w:val="20"/>
                <w:szCs w:val="20"/>
              </w:rPr>
              <w:t xml:space="preserve">Pooled </w:t>
            </w:r>
          </w:p>
        </w:tc>
        <w:tc>
          <w:tcPr>
            <w:tcW w:w="1246" w:type="dxa"/>
            <w:gridSpan w:val="2"/>
            <w:tcBorders>
              <w:top w:val="nil"/>
              <w:left w:val="nil"/>
              <w:bottom w:val="nil"/>
              <w:right w:val="double" w:sz="6" w:space="0" w:color="000000"/>
            </w:tcBorders>
            <w:shd w:val="clear" w:color="auto" w:fill="auto"/>
            <w:noWrap/>
            <w:vAlign w:val="bottom"/>
            <w:hideMark/>
          </w:tcPr>
          <w:p w14:paraId="3C83422D" w14:textId="77777777" w:rsidR="00417E9A" w:rsidRPr="000C71E9" w:rsidRDefault="00417E9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(ordinal)</w:t>
            </w:r>
          </w:p>
        </w:tc>
      </w:tr>
      <w:tr w:rsidR="00FC5290" w:rsidRPr="000C71E9" w14:paraId="53515933" w14:textId="77777777" w:rsidTr="00FC5290">
        <w:trPr>
          <w:trHeight w:val="20"/>
        </w:trPr>
        <w:tc>
          <w:tcPr>
            <w:tcW w:w="2639" w:type="dxa"/>
            <w:vMerge/>
            <w:tcBorders>
              <w:top w:val="double" w:sz="6" w:space="0" w:color="auto"/>
              <w:left w:val="double" w:sz="6" w:space="0" w:color="auto"/>
              <w:bottom w:val="double" w:sz="6" w:space="0" w:color="000000"/>
              <w:right w:val="double" w:sz="6" w:space="0" w:color="auto"/>
            </w:tcBorders>
            <w:vAlign w:val="center"/>
            <w:hideMark/>
          </w:tcPr>
          <w:p w14:paraId="045CB82A" w14:textId="77777777" w:rsidR="007B564A" w:rsidRPr="000C71E9" w:rsidRDefault="007B564A" w:rsidP="007B564A">
            <w:pPr>
              <w:spacing w:line="240" w:lineRule="auto"/>
              <w:jc w:val="left"/>
              <w:rPr>
                <w:rFonts w:eastAsia="Times New Roman" w:cs="Times New Roman"/>
                <w:b/>
                <w:bCs/>
                <w:color w:val="000000"/>
                <w:sz w:val="20"/>
                <w:szCs w:val="20"/>
              </w:rPr>
            </w:pPr>
          </w:p>
        </w:tc>
        <w:tc>
          <w:tcPr>
            <w:tcW w:w="682" w:type="dxa"/>
            <w:tcBorders>
              <w:left w:val="nil"/>
              <w:bottom w:val="double" w:sz="6" w:space="0" w:color="auto"/>
              <w:right w:val="nil"/>
            </w:tcBorders>
            <w:vAlign w:val="center"/>
          </w:tcPr>
          <w:p w14:paraId="7411C6D9" w14:textId="77777777" w:rsidR="007B564A" w:rsidRPr="000C71E9" w:rsidRDefault="007B564A" w:rsidP="00417E9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594" w:type="dxa"/>
            <w:tcBorders>
              <w:left w:val="nil"/>
              <w:bottom w:val="double" w:sz="6" w:space="0" w:color="auto"/>
              <w:right w:val="nil"/>
            </w:tcBorders>
            <w:vAlign w:val="center"/>
          </w:tcPr>
          <w:p w14:paraId="69065762" w14:textId="77777777" w:rsidR="007B564A" w:rsidRPr="000C71E9" w:rsidRDefault="007B564A" w:rsidP="00417E9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c>
          <w:tcPr>
            <w:tcW w:w="596" w:type="dxa"/>
            <w:tcBorders>
              <w:left w:val="nil"/>
              <w:bottom w:val="double" w:sz="6" w:space="0" w:color="auto"/>
              <w:right w:val="nil"/>
            </w:tcBorders>
            <w:vAlign w:val="center"/>
          </w:tcPr>
          <w:p w14:paraId="335341D0" w14:textId="77777777" w:rsidR="007B564A" w:rsidRPr="000C71E9" w:rsidRDefault="007B564A" w:rsidP="00417E9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594" w:type="dxa"/>
            <w:tcBorders>
              <w:left w:val="nil"/>
              <w:bottom w:val="double" w:sz="6" w:space="0" w:color="auto"/>
              <w:right w:val="double" w:sz="6" w:space="0" w:color="auto"/>
            </w:tcBorders>
            <w:vAlign w:val="center"/>
          </w:tcPr>
          <w:p w14:paraId="1C10A208" w14:textId="77777777" w:rsidR="007B564A" w:rsidRPr="000C71E9" w:rsidRDefault="007B564A" w:rsidP="00417E9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c>
          <w:tcPr>
            <w:tcW w:w="682" w:type="dxa"/>
            <w:tcBorders>
              <w:top w:val="nil"/>
              <w:left w:val="double" w:sz="6" w:space="0" w:color="auto"/>
              <w:bottom w:val="double" w:sz="6" w:space="0" w:color="auto"/>
              <w:right w:val="nil"/>
            </w:tcBorders>
            <w:shd w:val="clear" w:color="auto" w:fill="auto"/>
            <w:vAlign w:val="center"/>
            <w:hideMark/>
          </w:tcPr>
          <w:p w14:paraId="4524BBBD"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674" w:type="dxa"/>
            <w:tcBorders>
              <w:top w:val="nil"/>
              <w:left w:val="nil"/>
              <w:bottom w:val="double" w:sz="6" w:space="0" w:color="auto"/>
              <w:right w:val="nil"/>
            </w:tcBorders>
            <w:shd w:val="clear" w:color="auto" w:fill="auto"/>
            <w:vAlign w:val="center"/>
            <w:hideMark/>
          </w:tcPr>
          <w:p w14:paraId="2D43094B"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c>
          <w:tcPr>
            <w:tcW w:w="714" w:type="dxa"/>
            <w:tcBorders>
              <w:top w:val="nil"/>
              <w:left w:val="double" w:sz="6" w:space="0" w:color="auto"/>
              <w:bottom w:val="double" w:sz="6" w:space="0" w:color="auto"/>
              <w:right w:val="nil"/>
            </w:tcBorders>
            <w:shd w:val="clear" w:color="auto" w:fill="auto"/>
            <w:vAlign w:val="center"/>
            <w:hideMark/>
          </w:tcPr>
          <w:p w14:paraId="7FC84E98"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548" w:type="dxa"/>
            <w:tcBorders>
              <w:top w:val="nil"/>
              <w:left w:val="nil"/>
              <w:bottom w:val="double" w:sz="6" w:space="0" w:color="auto"/>
              <w:right w:val="nil"/>
            </w:tcBorders>
            <w:shd w:val="clear" w:color="auto" w:fill="auto"/>
            <w:vAlign w:val="center"/>
            <w:hideMark/>
          </w:tcPr>
          <w:p w14:paraId="427C20F1"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c>
          <w:tcPr>
            <w:tcW w:w="706" w:type="dxa"/>
            <w:tcBorders>
              <w:top w:val="nil"/>
              <w:left w:val="nil"/>
              <w:bottom w:val="double" w:sz="6" w:space="0" w:color="auto"/>
              <w:right w:val="nil"/>
            </w:tcBorders>
            <w:shd w:val="clear" w:color="auto" w:fill="auto"/>
            <w:vAlign w:val="center"/>
            <w:hideMark/>
          </w:tcPr>
          <w:p w14:paraId="2F08A3FB"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641" w:type="dxa"/>
            <w:gridSpan w:val="2"/>
            <w:tcBorders>
              <w:top w:val="nil"/>
              <w:left w:val="nil"/>
              <w:bottom w:val="double" w:sz="6" w:space="0" w:color="auto"/>
              <w:right w:val="double" w:sz="6" w:space="0" w:color="auto"/>
            </w:tcBorders>
            <w:shd w:val="clear" w:color="auto" w:fill="auto"/>
            <w:vAlign w:val="center"/>
            <w:hideMark/>
          </w:tcPr>
          <w:p w14:paraId="79879345"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c>
          <w:tcPr>
            <w:tcW w:w="633" w:type="dxa"/>
            <w:tcBorders>
              <w:top w:val="nil"/>
              <w:left w:val="nil"/>
              <w:bottom w:val="double" w:sz="6" w:space="0" w:color="auto"/>
              <w:right w:val="nil"/>
            </w:tcBorders>
            <w:shd w:val="clear" w:color="auto" w:fill="auto"/>
            <w:vAlign w:val="center"/>
            <w:hideMark/>
          </w:tcPr>
          <w:p w14:paraId="6129BC05"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Coeff.</w:t>
            </w:r>
          </w:p>
        </w:tc>
        <w:tc>
          <w:tcPr>
            <w:tcW w:w="613" w:type="dxa"/>
            <w:tcBorders>
              <w:top w:val="nil"/>
              <w:left w:val="nil"/>
              <w:bottom w:val="double" w:sz="6" w:space="0" w:color="auto"/>
              <w:right w:val="double" w:sz="6" w:space="0" w:color="auto"/>
            </w:tcBorders>
            <w:shd w:val="clear" w:color="auto" w:fill="auto"/>
            <w:vAlign w:val="center"/>
            <w:hideMark/>
          </w:tcPr>
          <w:p w14:paraId="191EF2B2" w14:textId="77777777" w:rsidR="007B564A" w:rsidRPr="000C71E9" w:rsidRDefault="007B564A" w:rsidP="007B564A">
            <w:pPr>
              <w:spacing w:line="240" w:lineRule="auto"/>
              <w:jc w:val="center"/>
              <w:rPr>
                <w:rFonts w:eastAsia="Times New Roman" w:cs="Times New Roman"/>
                <w:color w:val="000000"/>
                <w:sz w:val="20"/>
                <w:szCs w:val="20"/>
              </w:rPr>
            </w:pPr>
            <w:r w:rsidRPr="000C71E9">
              <w:rPr>
                <w:rFonts w:eastAsia="Times New Roman" w:cs="Times New Roman"/>
                <w:color w:val="000000"/>
                <w:sz w:val="20"/>
                <w:szCs w:val="20"/>
              </w:rPr>
              <w:t>t-stat</w:t>
            </w:r>
          </w:p>
        </w:tc>
      </w:tr>
      <w:tr w:rsidR="00FC5290" w:rsidRPr="000C71E9" w14:paraId="0FBDE337" w14:textId="77777777" w:rsidTr="00FC5290">
        <w:trPr>
          <w:trHeight w:val="230"/>
        </w:trPr>
        <w:tc>
          <w:tcPr>
            <w:tcW w:w="2639" w:type="dxa"/>
            <w:tcBorders>
              <w:top w:val="nil"/>
              <w:left w:val="double" w:sz="6" w:space="0" w:color="auto"/>
              <w:bottom w:val="nil"/>
              <w:right w:val="nil"/>
            </w:tcBorders>
            <w:shd w:val="clear" w:color="auto" w:fill="auto"/>
            <w:noWrap/>
            <w:vAlign w:val="center"/>
          </w:tcPr>
          <w:p w14:paraId="72D7DEC1" w14:textId="77777777" w:rsidR="007B564A" w:rsidRPr="00FC5290" w:rsidRDefault="007B564A" w:rsidP="007B564A">
            <w:pPr>
              <w:spacing w:line="240" w:lineRule="auto"/>
              <w:jc w:val="left"/>
              <w:rPr>
                <w:rFonts w:eastAsia="Times New Roman" w:cs="Times New Roman"/>
                <w:i/>
                <w:iCs/>
                <w:color w:val="000000"/>
                <w:sz w:val="20"/>
                <w:szCs w:val="20"/>
              </w:rPr>
            </w:pPr>
            <w:r w:rsidRPr="00FC5290">
              <w:rPr>
                <w:rFonts w:eastAsia="Times New Roman" w:cs="Times New Roman"/>
                <w:i/>
                <w:iCs/>
                <w:color w:val="000000"/>
                <w:sz w:val="20"/>
                <w:szCs w:val="20"/>
              </w:rPr>
              <w:t>Latent variables</w:t>
            </w:r>
          </w:p>
        </w:tc>
        <w:tc>
          <w:tcPr>
            <w:tcW w:w="682" w:type="dxa"/>
            <w:tcBorders>
              <w:top w:val="double" w:sz="6" w:space="0" w:color="auto"/>
              <w:left w:val="double" w:sz="6" w:space="0" w:color="auto"/>
            </w:tcBorders>
            <w:vAlign w:val="center"/>
          </w:tcPr>
          <w:p w14:paraId="5E897B29" w14:textId="77777777" w:rsidR="007B564A" w:rsidRPr="00FC5290" w:rsidRDefault="007B564A" w:rsidP="00FC5290">
            <w:pPr>
              <w:spacing w:line="240" w:lineRule="auto"/>
              <w:jc w:val="right"/>
              <w:rPr>
                <w:rFonts w:eastAsia="Times New Roman" w:cs="Times New Roman"/>
                <w:color w:val="000000"/>
                <w:sz w:val="20"/>
                <w:szCs w:val="20"/>
              </w:rPr>
            </w:pPr>
          </w:p>
        </w:tc>
        <w:tc>
          <w:tcPr>
            <w:tcW w:w="594" w:type="dxa"/>
            <w:tcBorders>
              <w:top w:val="double" w:sz="6" w:space="0" w:color="auto"/>
            </w:tcBorders>
            <w:vAlign w:val="center"/>
          </w:tcPr>
          <w:p w14:paraId="5B46C735" w14:textId="77777777" w:rsidR="007B564A" w:rsidRPr="00FC5290" w:rsidRDefault="007B564A" w:rsidP="00FC5290">
            <w:pPr>
              <w:spacing w:line="240" w:lineRule="auto"/>
              <w:jc w:val="right"/>
              <w:rPr>
                <w:rFonts w:eastAsia="Times New Roman" w:cs="Times New Roman"/>
                <w:color w:val="000000"/>
                <w:sz w:val="20"/>
                <w:szCs w:val="20"/>
              </w:rPr>
            </w:pPr>
          </w:p>
        </w:tc>
        <w:tc>
          <w:tcPr>
            <w:tcW w:w="596" w:type="dxa"/>
            <w:tcBorders>
              <w:top w:val="double" w:sz="6" w:space="0" w:color="auto"/>
            </w:tcBorders>
            <w:vAlign w:val="center"/>
          </w:tcPr>
          <w:p w14:paraId="45552AFF" w14:textId="77777777" w:rsidR="007B564A" w:rsidRPr="00FC5290" w:rsidRDefault="007B564A" w:rsidP="00FC5290">
            <w:pPr>
              <w:spacing w:line="240" w:lineRule="auto"/>
              <w:jc w:val="right"/>
              <w:rPr>
                <w:rFonts w:eastAsia="Times New Roman" w:cs="Times New Roman"/>
                <w:color w:val="000000"/>
                <w:sz w:val="20"/>
                <w:szCs w:val="20"/>
              </w:rPr>
            </w:pPr>
          </w:p>
        </w:tc>
        <w:tc>
          <w:tcPr>
            <w:tcW w:w="594" w:type="dxa"/>
            <w:tcBorders>
              <w:top w:val="double" w:sz="6" w:space="0" w:color="auto"/>
              <w:right w:val="double" w:sz="6" w:space="0" w:color="auto"/>
            </w:tcBorders>
            <w:vAlign w:val="center"/>
          </w:tcPr>
          <w:p w14:paraId="6F5F644E" w14:textId="77777777" w:rsidR="007B564A" w:rsidRPr="00FC5290" w:rsidRDefault="007B564A" w:rsidP="00FC5290">
            <w:pPr>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tcPr>
          <w:p w14:paraId="39980537" w14:textId="77777777" w:rsidR="007B564A" w:rsidRPr="00FC5290" w:rsidRDefault="007B564A" w:rsidP="00FC5290">
            <w:pPr>
              <w:tabs>
                <w:tab w:val="decimal" w:pos="246"/>
              </w:tabs>
              <w:spacing w:line="240" w:lineRule="auto"/>
              <w:jc w:val="right"/>
              <w:rPr>
                <w:rFonts w:eastAsia="Times New Roman" w:cs="Times New Roman"/>
                <w:color w:val="000000"/>
                <w:sz w:val="20"/>
                <w:szCs w:val="20"/>
              </w:rPr>
            </w:pPr>
          </w:p>
        </w:tc>
        <w:tc>
          <w:tcPr>
            <w:tcW w:w="674" w:type="dxa"/>
            <w:tcBorders>
              <w:top w:val="nil"/>
              <w:left w:val="nil"/>
              <w:bottom w:val="nil"/>
              <w:right w:val="nil"/>
            </w:tcBorders>
            <w:shd w:val="clear" w:color="auto" w:fill="auto"/>
            <w:noWrap/>
            <w:vAlign w:val="center"/>
          </w:tcPr>
          <w:p w14:paraId="180CD2A5" w14:textId="77777777" w:rsidR="007B564A" w:rsidRPr="00FC5290" w:rsidRDefault="007B564A" w:rsidP="00FC5290">
            <w:pPr>
              <w:tabs>
                <w:tab w:val="decimal" w:pos="246"/>
              </w:tabs>
              <w:spacing w:line="240" w:lineRule="auto"/>
              <w:jc w:val="right"/>
              <w:rPr>
                <w:rFonts w:eastAsia="Times New Roman" w:cs="Times New Roman"/>
                <w:color w:val="000000"/>
                <w:sz w:val="20"/>
                <w:szCs w:val="20"/>
              </w:rPr>
            </w:pPr>
          </w:p>
        </w:tc>
        <w:tc>
          <w:tcPr>
            <w:tcW w:w="714" w:type="dxa"/>
            <w:tcBorders>
              <w:top w:val="nil"/>
              <w:left w:val="double" w:sz="6" w:space="0" w:color="auto"/>
              <w:bottom w:val="nil"/>
              <w:right w:val="nil"/>
            </w:tcBorders>
            <w:shd w:val="clear" w:color="auto" w:fill="auto"/>
            <w:noWrap/>
            <w:vAlign w:val="center"/>
          </w:tcPr>
          <w:p w14:paraId="3EF9B83E" w14:textId="77777777" w:rsidR="007B564A" w:rsidRPr="00FC5290" w:rsidRDefault="007B564A" w:rsidP="00FC5290">
            <w:pPr>
              <w:spacing w:line="240" w:lineRule="auto"/>
              <w:jc w:val="right"/>
              <w:rPr>
                <w:rFonts w:eastAsia="Times New Roman" w:cs="Times New Roman"/>
                <w:color w:val="000000"/>
                <w:sz w:val="20"/>
                <w:szCs w:val="20"/>
              </w:rPr>
            </w:pPr>
          </w:p>
        </w:tc>
        <w:tc>
          <w:tcPr>
            <w:tcW w:w="548" w:type="dxa"/>
            <w:tcBorders>
              <w:top w:val="nil"/>
              <w:left w:val="nil"/>
              <w:bottom w:val="nil"/>
              <w:right w:val="nil"/>
            </w:tcBorders>
            <w:shd w:val="clear" w:color="auto" w:fill="auto"/>
            <w:noWrap/>
            <w:vAlign w:val="center"/>
          </w:tcPr>
          <w:p w14:paraId="0D1DF420" w14:textId="77777777" w:rsidR="007B564A" w:rsidRPr="00FC5290" w:rsidRDefault="007B564A" w:rsidP="00FC5290">
            <w:pPr>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tcPr>
          <w:p w14:paraId="512B1BAF" w14:textId="77777777" w:rsidR="007B564A" w:rsidRPr="00FC5290" w:rsidRDefault="007B564A" w:rsidP="00FC5290">
            <w:pPr>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tcPr>
          <w:p w14:paraId="7DD1DAEB" w14:textId="77777777" w:rsidR="007B564A" w:rsidRPr="00FC5290" w:rsidRDefault="007B564A" w:rsidP="00FC5290">
            <w:pPr>
              <w:spacing w:line="240" w:lineRule="auto"/>
              <w:jc w:val="right"/>
              <w:rPr>
                <w:rFonts w:eastAsia="Times New Roman" w:cs="Times New Roman"/>
                <w:color w:val="000000"/>
                <w:sz w:val="20"/>
                <w:szCs w:val="20"/>
              </w:rPr>
            </w:pPr>
          </w:p>
        </w:tc>
        <w:tc>
          <w:tcPr>
            <w:tcW w:w="633" w:type="dxa"/>
            <w:tcBorders>
              <w:top w:val="nil"/>
              <w:left w:val="nil"/>
              <w:bottom w:val="nil"/>
              <w:right w:val="nil"/>
            </w:tcBorders>
            <w:shd w:val="clear" w:color="auto" w:fill="auto"/>
            <w:noWrap/>
            <w:vAlign w:val="center"/>
          </w:tcPr>
          <w:p w14:paraId="76C85B1C" w14:textId="77777777" w:rsidR="007B564A" w:rsidRPr="00FC5290" w:rsidRDefault="007B564A" w:rsidP="00FC5290">
            <w:pPr>
              <w:tabs>
                <w:tab w:val="decimal" w:pos="282"/>
              </w:tabs>
              <w:spacing w:line="240" w:lineRule="auto"/>
              <w:jc w:val="center"/>
              <w:rPr>
                <w:rFonts w:eastAsia="Times New Roman" w:cs="Times New Roman"/>
                <w:color w:val="000000"/>
                <w:sz w:val="20"/>
                <w:szCs w:val="20"/>
              </w:rPr>
            </w:pPr>
          </w:p>
        </w:tc>
        <w:tc>
          <w:tcPr>
            <w:tcW w:w="613" w:type="dxa"/>
            <w:tcBorders>
              <w:top w:val="nil"/>
              <w:left w:val="nil"/>
              <w:bottom w:val="nil"/>
              <w:right w:val="double" w:sz="6" w:space="0" w:color="auto"/>
            </w:tcBorders>
            <w:shd w:val="clear" w:color="auto" w:fill="auto"/>
            <w:noWrap/>
            <w:vAlign w:val="center"/>
          </w:tcPr>
          <w:p w14:paraId="7F5C372E" w14:textId="77777777" w:rsidR="007B564A" w:rsidRPr="00FC5290" w:rsidRDefault="007B564A" w:rsidP="00FC5290">
            <w:pPr>
              <w:tabs>
                <w:tab w:val="decimal" w:pos="282"/>
              </w:tabs>
              <w:spacing w:line="240" w:lineRule="auto"/>
              <w:jc w:val="center"/>
              <w:rPr>
                <w:rFonts w:eastAsia="Times New Roman" w:cs="Times New Roman"/>
                <w:color w:val="000000"/>
                <w:sz w:val="20"/>
                <w:szCs w:val="20"/>
              </w:rPr>
            </w:pPr>
          </w:p>
        </w:tc>
      </w:tr>
      <w:tr w:rsidR="00FC5290" w:rsidRPr="000C71E9" w14:paraId="61D51C26" w14:textId="77777777" w:rsidTr="00FC5290">
        <w:trPr>
          <w:trHeight w:val="230"/>
        </w:trPr>
        <w:tc>
          <w:tcPr>
            <w:tcW w:w="2639" w:type="dxa"/>
            <w:tcBorders>
              <w:top w:val="nil"/>
              <w:left w:val="double" w:sz="6" w:space="0" w:color="auto"/>
              <w:bottom w:val="nil"/>
              <w:right w:val="nil"/>
            </w:tcBorders>
            <w:shd w:val="clear" w:color="auto" w:fill="auto"/>
            <w:noWrap/>
            <w:vAlign w:val="center"/>
          </w:tcPr>
          <w:p w14:paraId="02C26011"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Privacy-sensitivity</w:t>
            </w:r>
          </w:p>
        </w:tc>
        <w:tc>
          <w:tcPr>
            <w:tcW w:w="682" w:type="dxa"/>
            <w:tcBorders>
              <w:left w:val="double" w:sz="6" w:space="0" w:color="auto"/>
            </w:tcBorders>
            <w:vAlign w:val="center"/>
          </w:tcPr>
          <w:p w14:paraId="75EC30A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01139DFD"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68A0AE2D"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7746E82F"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tcPr>
          <w:p w14:paraId="764657B2"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w:t>
            </w:r>
            <w:r w:rsidR="00466DE6" w:rsidRPr="00FC5290">
              <w:rPr>
                <w:rFonts w:eastAsia="Times New Roman" w:cs="Times New Roman"/>
                <w:sz w:val="20"/>
                <w:szCs w:val="20"/>
              </w:rPr>
              <w:t>405</w:t>
            </w:r>
          </w:p>
        </w:tc>
        <w:tc>
          <w:tcPr>
            <w:tcW w:w="674" w:type="dxa"/>
            <w:tcBorders>
              <w:top w:val="nil"/>
              <w:left w:val="nil"/>
              <w:bottom w:val="nil"/>
              <w:right w:val="nil"/>
            </w:tcBorders>
            <w:shd w:val="clear" w:color="auto" w:fill="auto"/>
            <w:noWrap/>
            <w:vAlign w:val="center"/>
          </w:tcPr>
          <w:p w14:paraId="039F34FD" w14:textId="77777777" w:rsidR="000C5906" w:rsidRPr="00FC5290" w:rsidRDefault="00466DE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2.25</w:t>
            </w:r>
          </w:p>
        </w:tc>
        <w:tc>
          <w:tcPr>
            <w:tcW w:w="714" w:type="dxa"/>
            <w:tcBorders>
              <w:top w:val="nil"/>
              <w:left w:val="double" w:sz="6" w:space="0" w:color="auto"/>
              <w:bottom w:val="nil"/>
              <w:right w:val="nil"/>
            </w:tcBorders>
            <w:shd w:val="clear" w:color="auto" w:fill="auto"/>
            <w:noWrap/>
            <w:vAlign w:val="center"/>
          </w:tcPr>
          <w:p w14:paraId="0DC081FD"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tcPr>
          <w:p w14:paraId="2D47839B"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tcPr>
          <w:p w14:paraId="2B9089BB"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-0.4</w:t>
            </w:r>
            <w:r w:rsidR="00140446" w:rsidRPr="00FC5290">
              <w:rPr>
                <w:rFonts w:eastAsia="Times New Roman" w:cs="Times New Roman"/>
                <w:sz w:val="20"/>
                <w:szCs w:val="20"/>
              </w:rPr>
              <w:t>22</w:t>
            </w:r>
          </w:p>
        </w:tc>
        <w:tc>
          <w:tcPr>
            <w:tcW w:w="641" w:type="dxa"/>
            <w:gridSpan w:val="2"/>
            <w:tcBorders>
              <w:top w:val="nil"/>
              <w:left w:val="nil"/>
              <w:bottom w:val="nil"/>
              <w:right w:val="double" w:sz="6" w:space="0" w:color="auto"/>
            </w:tcBorders>
            <w:shd w:val="clear" w:color="auto" w:fill="auto"/>
            <w:noWrap/>
            <w:vAlign w:val="center"/>
          </w:tcPr>
          <w:p w14:paraId="63009C27"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-1.95</w:t>
            </w:r>
          </w:p>
        </w:tc>
        <w:tc>
          <w:tcPr>
            <w:tcW w:w="633" w:type="dxa"/>
            <w:tcBorders>
              <w:top w:val="nil"/>
              <w:left w:val="nil"/>
              <w:bottom w:val="nil"/>
              <w:right w:val="nil"/>
            </w:tcBorders>
            <w:shd w:val="clear" w:color="auto" w:fill="auto"/>
            <w:noWrap/>
            <w:vAlign w:val="center"/>
          </w:tcPr>
          <w:p w14:paraId="2973807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tcPr>
          <w:p w14:paraId="4F1488E8"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6143D3BA" w14:textId="77777777" w:rsidTr="00FC5290">
        <w:trPr>
          <w:trHeight w:val="230"/>
        </w:trPr>
        <w:tc>
          <w:tcPr>
            <w:tcW w:w="2639" w:type="dxa"/>
            <w:tcBorders>
              <w:top w:val="nil"/>
              <w:left w:val="double" w:sz="6" w:space="0" w:color="auto"/>
              <w:bottom w:val="nil"/>
              <w:right w:val="nil"/>
            </w:tcBorders>
            <w:shd w:val="clear" w:color="auto" w:fill="auto"/>
            <w:noWrap/>
            <w:vAlign w:val="center"/>
          </w:tcPr>
          <w:p w14:paraId="47A5BEE9"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Tech-savviness</w:t>
            </w:r>
          </w:p>
        </w:tc>
        <w:tc>
          <w:tcPr>
            <w:tcW w:w="682" w:type="dxa"/>
            <w:tcBorders>
              <w:left w:val="double" w:sz="6" w:space="0" w:color="auto"/>
            </w:tcBorders>
            <w:vAlign w:val="center"/>
          </w:tcPr>
          <w:p w14:paraId="3C99DA12"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-0.142</w:t>
            </w:r>
          </w:p>
        </w:tc>
        <w:tc>
          <w:tcPr>
            <w:tcW w:w="594" w:type="dxa"/>
            <w:vAlign w:val="center"/>
          </w:tcPr>
          <w:p w14:paraId="754FADD1"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-3.51</w:t>
            </w:r>
          </w:p>
        </w:tc>
        <w:tc>
          <w:tcPr>
            <w:tcW w:w="596" w:type="dxa"/>
            <w:vAlign w:val="center"/>
          </w:tcPr>
          <w:p w14:paraId="0CCC1D7F"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0D943A4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tcPr>
          <w:p w14:paraId="0A8C5E8F"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-0.12</w:t>
            </w:r>
            <w:r w:rsidR="00466DE6" w:rsidRPr="00FC5290">
              <w:rPr>
                <w:rFonts w:eastAsia="Times New Roman" w:cs="Times New Roman"/>
                <w:sz w:val="20"/>
                <w:szCs w:val="20"/>
              </w:rPr>
              <w:t>4</w:t>
            </w:r>
          </w:p>
        </w:tc>
        <w:tc>
          <w:tcPr>
            <w:tcW w:w="674" w:type="dxa"/>
            <w:tcBorders>
              <w:top w:val="nil"/>
              <w:left w:val="nil"/>
              <w:bottom w:val="nil"/>
              <w:right w:val="nil"/>
            </w:tcBorders>
            <w:shd w:val="clear" w:color="auto" w:fill="auto"/>
            <w:noWrap/>
            <w:vAlign w:val="center"/>
          </w:tcPr>
          <w:p w14:paraId="4614403B"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-2.</w:t>
            </w:r>
            <w:r w:rsidR="00466DE6" w:rsidRPr="00FC5290">
              <w:rPr>
                <w:rFonts w:eastAsia="Times New Roman" w:cs="Times New Roman"/>
                <w:sz w:val="20"/>
                <w:szCs w:val="20"/>
              </w:rPr>
              <w:t>54</w:t>
            </w:r>
          </w:p>
        </w:tc>
        <w:tc>
          <w:tcPr>
            <w:tcW w:w="714" w:type="dxa"/>
            <w:tcBorders>
              <w:top w:val="nil"/>
              <w:left w:val="double" w:sz="6" w:space="0" w:color="auto"/>
              <w:bottom w:val="nil"/>
              <w:right w:val="nil"/>
            </w:tcBorders>
            <w:shd w:val="clear" w:color="auto" w:fill="auto"/>
            <w:noWrap/>
            <w:vAlign w:val="center"/>
          </w:tcPr>
          <w:p w14:paraId="11F0FEB0"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0.2</w:t>
            </w:r>
            <w:r w:rsidR="00945BC9" w:rsidRPr="00FC5290">
              <w:rPr>
                <w:rFonts w:eastAsia="Times New Roman" w:cs="Times New Roman"/>
                <w:sz w:val="20"/>
                <w:szCs w:val="20"/>
              </w:rPr>
              <w:t>51</w:t>
            </w:r>
          </w:p>
        </w:tc>
        <w:tc>
          <w:tcPr>
            <w:tcW w:w="548" w:type="dxa"/>
            <w:tcBorders>
              <w:top w:val="nil"/>
              <w:left w:val="nil"/>
              <w:bottom w:val="nil"/>
              <w:right w:val="nil"/>
            </w:tcBorders>
            <w:shd w:val="clear" w:color="auto" w:fill="auto"/>
            <w:noWrap/>
            <w:vAlign w:val="center"/>
          </w:tcPr>
          <w:p w14:paraId="656764F3"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2.61</w:t>
            </w:r>
          </w:p>
        </w:tc>
        <w:tc>
          <w:tcPr>
            <w:tcW w:w="706" w:type="dxa"/>
            <w:tcBorders>
              <w:top w:val="nil"/>
              <w:left w:val="nil"/>
              <w:bottom w:val="nil"/>
              <w:right w:val="nil"/>
            </w:tcBorders>
            <w:shd w:val="clear" w:color="auto" w:fill="auto"/>
            <w:noWrap/>
            <w:vAlign w:val="center"/>
          </w:tcPr>
          <w:p w14:paraId="4A98B543"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w:t>
            </w:r>
            <w:r w:rsidR="00140446" w:rsidRPr="00FC5290">
              <w:rPr>
                <w:rFonts w:eastAsia="Times New Roman" w:cs="Times New Roman"/>
                <w:sz w:val="20"/>
                <w:szCs w:val="20"/>
              </w:rPr>
              <w:t>165</w:t>
            </w:r>
          </w:p>
        </w:tc>
        <w:tc>
          <w:tcPr>
            <w:tcW w:w="641" w:type="dxa"/>
            <w:gridSpan w:val="2"/>
            <w:tcBorders>
              <w:top w:val="nil"/>
              <w:left w:val="nil"/>
              <w:bottom w:val="nil"/>
              <w:right w:val="double" w:sz="6" w:space="0" w:color="auto"/>
            </w:tcBorders>
            <w:shd w:val="clear" w:color="auto" w:fill="auto"/>
            <w:noWrap/>
            <w:vAlign w:val="center"/>
          </w:tcPr>
          <w:p w14:paraId="5F6EB643"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1.8</w:t>
            </w:r>
            <w:r w:rsidR="001C7321" w:rsidRPr="00FC5290">
              <w:rPr>
                <w:rFonts w:eastAsia="Times New Roman" w:cs="Times New Roman"/>
                <w:sz w:val="20"/>
                <w:szCs w:val="20"/>
              </w:rPr>
              <w:t>0</w:t>
            </w:r>
          </w:p>
        </w:tc>
        <w:tc>
          <w:tcPr>
            <w:tcW w:w="633" w:type="dxa"/>
            <w:tcBorders>
              <w:top w:val="nil"/>
              <w:left w:val="nil"/>
              <w:bottom w:val="nil"/>
              <w:right w:val="nil"/>
            </w:tcBorders>
            <w:shd w:val="clear" w:color="auto" w:fill="auto"/>
            <w:noWrap/>
            <w:vAlign w:val="center"/>
          </w:tcPr>
          <w:p w14:paraId="355309E6"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tcPr>
          <w:p w14:paraId="4DAF8310"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1E86016C" w14:textId="77777777" w:rsidTr="00FC5290">
        <w:trPr>
          <w:trHeight w:val="230"/>
        </w:trPr>
        <w:tc>
          <w:tcPr>
            <w:tcW w:w="2639" w:type="dxa"/>
            <w:tcBorders>
              <w:top w:val="nil"/>
              <w:left w:val="double" w:sz="6" w:space="0" w:color="auto"/>
              <w:bottom w:val="nil"/>
              <w:right w:val="nil"/>
            </w:tcBorders>
            <w:shd w:val="clear" w:color="auto" w:fill="auto"/>
            <w:noWrap/>
            <w:vAlign w:val="center"/>
          </w:tcPr>
          <w:p w14:paraId="021E7B63" w14:textId="77777777" w:rsidR="00466DE6" w:rsidRPr="00FC5290" w:rsidRDefault="00466DE6" w:rsidP="00466DE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VSLP</w:t>
            </w:r>
          </w:p>
        </w:tc>
        <w:tc>
          <w:tcPr>
            <w:tcW w:w="682" w:type="dxa"/>
            <w:tcBorders>
              <w:left w:val="double" w:sz="6" w:space="0" w:color="auto"/>
            </w:tcBorders>
            <w:vAlign w:val="center"/>
          </w:tcPr>
          <w:p w14:paraId="66703F42" w14:textId="77777777" w:rsidR="00466DE6" w:rsidRPr="00FC5290" w:rsidRDefault="00466DE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7B37ACF4" w14:textId="77777777" w:rsidR="00466DE6" w:rsidRPr="00FC5290" w:rsidRDefault="00466DE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21F305A7" w14:textId="77777777" w:rsidR="00466DE6" w:rsidRPr="00FC5290" w:rsidRDefault="00466DE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0.081</w:t>
            </w:r>
          </w:p>
        </w:tc>
        <w:tc>
          <w:tcPr>
            <w:tcW w:w="594" w:type="dxa"/>
            <w:tcBorders>
              <w:right w:val="double" w:sz="6" w:space="0" w:color="auto"/>
            </w:tcBorders>
            <w:vAlign w:val="center"/>
          </w:tcPr>
          <w:p w14:paraId="032C98A3" w14:textId="77777777" w:rsidR="00466DE6" w:rsidRPr="00FC5290" w:rsidRDefault="00466DE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1.79</w:t>
            </w:r>
          </w:p>
        </w:tc>
        <w:tc>
          <w:tcPr>
            <w:tcW w:w="682" w:type="dxa"/>
            <w:tcBorders>
              <w:top w:val="nil"/>
              <w:left w:val="double" w:sz="6" w:space="0" w:color="auto"/>
              <w:bottom w:val="nil"/>
              <w:right w:val="nil"/>
            </w:tcBorders>
            <w:shd w:val="clear" w:color="auto" w:fill="auto"/>
            <w:noWrap/>
            <w:vAlign w:val="center"/>
          </w:tcPr>
          <w:p w14:paraId="60E844D5" w14:textId="77777777" w:rsidR="00466DE6" w:rsidRPr="00FC5290" w:rsidRDefault="00466DE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tcPr>
          <w:p w14:paraId="49A5923F" w14:textId="77777777" w:rsidR="00466DE6" w:rsidRPr="00FC5290" w:rsidRDefault="00466DE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tcPr>
          <w:p w14:paraId="6FE856D2" w14:textId="77777777" w:rsidR="00466DE6" w:rsidRPr="00FC5290" w:rsidRDefault="00466DE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0.068</w:t>
            </w:r>
          </w:p>
        </w:tc>
        <w:tc>
          <w:tcPr>
            <w:tcW w:w="548" w:type="dxa"/>
            <w:tcBorders>
              <w:top w:val="nil"/>
              <w:left w:val="nil"/>
              <w:bottom w:val="nil"/>
              <w:right w:val="nil"/>
            </w:tcBorders>
            <w:shd w:val="clear" w:color="auto" w:fill="auto"/>
            <w:noWrap/>
            <w:vAlign w:val="center"/>
          </w:tcPr>
          <w:p w14:paraId="3F57B19F" w14:textId="77777777" w:rsidR="00466DE6" w:rsidRPr="00FC5290" w:rsidRDefault="00466DE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1.68</w:t>
            </w:r>
          </w:p>
        </w:tc>
        <w:tc>
          <w:tcPr>
            <w:tcW w:w="706" w:type="dxa"/>
            <w:tcBorders>
              <w:top w:val="nil"/>
              <w:left w:val="nil"/>
              <w:bottom w:val="nil"/>
              <w:right w:val="nil"/>
            </w:tcBorders>
            <w:shd w:val="clear" w:color="auto" w:fill="auto"/>
            <w:noWrap/>
            <w:vAlign w:val="center"/>
          </w:tcPr>
          <w:p w14:paraId="2245FA01" w14:textId="77777777" w:rsidR="00466DE6" w:rsidRPr="00FC5290" w:rsidRDefault="00466DE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0.271</w:t>
            </w:r>
          </w:p>
        </w:tc>
        <w:tc>
          <w:tcPr>
            <w:tcW w:w="641" w:type="dxa"/>
            <w:gridSpan w:val="2"/>
            <w:tcBorders>
              <w:top w:val="nil"/>
              <w:left w:val="nil"/>
              <w:bottom w:val="nil"/>
              <w:right w:val="double" w:sz="6" w:space="0" w:color="auto"/>
            </w:tcBorders>
            <w:shd w:val="clear" w:color="auto" w:fill="auto"/>
            <w:noWrap/>
            <w:vAlign w:val="center"/>
          </w:tcPr>
          <w:p w14:paraId="7194B8A6" w14:textId="77777777" w:rsidR="00466DE6" w:rsidRPr="00FC5290" w:rsidRDefault="00466DE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1.8</w:t>
            </w:r>
            <w:r w:rsidR="001C7321" w:rsidRPr="00FC5290">
              <w:rPr>
                <w:rFonts w:eastAsia="Times New Roman" w:cs="Times New Roman"/>
                <w:sz w:val="20"/>
                <w:szCs w:val="20"/>
              </w:rPr>
              <w:t>3</w:t>
            </w:r>
          </w:p>
        </w:tc>
        <w:tc>
          <w:tcPr>
            <w:tcW w:w="633" w:type="dxa"/>
            <w:tcBorders>
              <w:top w:val="nil"/>
              <w:left w:val="nil"/>
              <w:bottom w:val="nil"/>
              <w:right w:val="nil"/>
            </w:tcBorders>
            <w:shd w:val="clear" w:color="auto" w:fill="auto"/>
            <w:noWrap/>
            <w:vAlign w:val="center"/>
          </w:tcPr>
          <w:p w14:paraId="717CB2A9" w14:textId="77777777" w:rsidR="00466DE6" w:rsidRPr="00FC5290" w:rsidRDefault="00466DE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0.166</w:t>
            </w:r>
          </w:p>
        </w:tc>
        <w:tc>
          <w:tcPr>
            <w:tcW w:w="613" w:type="dxa"/>
            <w:tcBorders>
              <w:top w:val="nil"/>
              <w:left w:val="nil"/>
              <w:bottom w:val="nil"/>
              <w:right w:val="double" w:sz="6" w:space="0" w:color="auto"/>
            </w:tcBorders>
            <w:shd w:val="clear" w:color="auto" w:fill="auto"/>
            <w:noWrap/>
            <w:vAlign w:val="center"/>
          </w:tcPr>
          <w:p w14:paraId="57DEEF0F" w14:textId="77777777" w:rsidR="00466DE6" w:rsidRPr="00FC5290" w:rsidRDefault="00466DE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2.17</w:t>
            </w:r>
          </w:p>
        </w:tc>
      </w:tr>
      <w:tr w:rsidR="00FC5290" w:rsidRPr="000C71E9" w14:paraId="2F8AD6CF" w14:textId="77777777" w:rsidTr="00FC5290">
        <w:trPr>
          <w:trHeight w:val="230"/>
        </w:trPr>
        <w:tc>
          <w:tcPr>
            <w:tcW w:w="2639" w:type="dxa"/>
            <w:tcBorders>
              <w:top w:val="nil"/>
              <w:left w:val="double" w:sz="6" w:space="0" w:color="auto"/>
              <w:bottom w:val="nil"/>
              <w:right w:val="nil"/>
            </w:tcBorders>
            <w:shd w:val="clear" w:color="auto" w:fill="auto"/>
            <w:noWrap/>
            <w:vAlign w:val="center"/>
          </w:tcPr>
          <w:p w14:paraId="15F14016" w14:textId="77777777" w:rsidR="00F27729" w:rsidRPr="00FC5290" w:rsidRDefault="00F27729" w:rsidP="00F27729">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GLP</w:t>
            </w:r>
          </w:p>
        </w:tc>
        <w:tc>
          <w:tcPr>
            <w:tcW w:w="682" w:type="dxa"/>
            <w:tcBorders>
              <w:left w:val="double" w:sz="6" w:space="0" w:color="auto"/>
            </w:tcBorders>
            <w:vAlign w:val="center"/>
          </w:tcPr>
          <w:p w14:paraId="63345A24" w14:textId="77777777" w:rsidR="00F27729" w:rsidRPr="00FC5290" w:rsidRDefault="00F2772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-0.376</w:t>
            </w:r>
          </w:p>
        </w:tc>
        <w:tc>
          <w:tcPr>
            <w:tcW w:w="594" w:type="dxa"/>
            <w:vAlign w:val="center"/>
          </w:tcPr>
          <w:p w14:paraId="6A730239" w14:textId="77777777" w:rsidR="00F27729" w:rsidRPr="00FC5290" w:rsidRDefault="00F2772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-1.89</w:t>
            </w:r>
          </w:p>
        </w:tc>
        <w:tc>
          <w:tcPr>
            <w:tcW w:w="596" w:type="dxa"/>
            <w:vAlign w:val="center"/>
          </w:tcPr>
          <w:p w14:paraId="59293B2B" w14:textId="77777777" w:rsidR="00F27729" w:rsidRPr="00FC5290" w:rsidRDefault="00F2772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0.203</w:t>
            </w:r>
          </w:p>
        </w:tc>
        <w:tc>
          <w:tcPr>
            <w:tcW w:w="594" w:type="dxa"/>
            <w:tcBorders>
              <w:right w:val="double" w:sz="6" w:space="0" w:color="auto"/>
            </w:tcBorders>
            <w:vAlign w:val="center"/>
          </w:tcPr>
          <w:p w14:paraId="1DCFC122" w14:textId="77777777" w:rsidR="00F27729" w:rsidRPr="00FC5290" w:rsidRDefault="00F2772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1.85</w:t>
            </w:r>
          </w:p>
        </w:tc>
        <w:tc>
          <w:tcPr>
            <w:tcW w:w="682" w:type="dxa"/>
            <w:tcBorders>
              <w:top w:val="nil"/>
              <w:left w:val="double" w:sz="6" w:space="0" w:color="auto"/>
              <w:bottom w:val="nil"/>
              <w:right w:val="nil"/>
            </w:tcBorders>
            <w:shd w:val="clear" w:color="auto" w:fill="auto"/>
            <w:noWrap/>
            <w:vAlign w:val="center"/>
          </w:tcPr>
          <w:p w14:paraId="4630E707" w14:textId="77777777" w:rsidR="00F27729" w:rsidRPr="00FC5290" w:rsidRDefault="00F27729"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tcPr>
          <w:p w14:paraId="5D1BE1CA" w14:textId="77777777" w:rsidR="00F27729" w:rsidRPr="00FC5290" w:rsidRDefault="00F27729"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tcPr>
          <w:p w14:paraId="11B1F1F4" w14:textId="77777777" w:rsidR="00F27729" w:rsidRPr="00FC5290" w:rsidRDefault="00F2772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tcPr>
          <w:p w14:paraId="729BE2DF" w14:textId="77777777" w:rsidR="00F27729" w:rsidRPr="00FC5290" w:rsidRDefault="00F2772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tcPr>
          <w:p w14:paraId="615B7EEB" w14:textId="77777777" w:rsidR="00F27729" w:rsidRPr="00FC5290" w:rsidRDefault="00F2772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tcPr>
          <w:p w14:paraId="0E20EB98" w14:textId="77777777" w:rsidR="00F27729" w:rsidRPr="00FC5290" w:rsidRDefault="00F2772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tcPr>
          <w:p w14:paraId="1FFAE11D" w14:textId="77777777" w:rsidR="00F27729" w:rsidRPr="00FC5290" w:rsidRDefault="00F27729"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tcPr>
          <w:p w14:paraId="769AE688" w14:textId="77777777" w:rsidR="00F27729" w:rsidRPr="00FC5290" w:rsidRDefault="00F27729"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541CBB8D"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7C5F9026" w14:textId="77777777" w:rsidR="000C5906" w:rsidRPr="00FC5290" w:rsidRDefault="000C5906" w:rsidP="000C5906">
            <w:pPr>
              <w:spacing w:line="240" w:lineRule="auto"/>
              <w:jc w:val="left"/>
              <w:rPr>
                <w:rFonts w:eastAsia="Times New Roman" w:cs="Times New Roman"/>
                <w:i/>
                <w:iCs/>
                <w:color w:val="000000"/>
                <w:sz w:val="20"/>
                <w:szCs w:val="20"/>
              </w:rPr>
            </w:pPr>
            <w:r w:rsidRPr="00FC5290">
              <w:rPr>
                <w:rFonts w:eastAsia="Times New Roman" w:cs="Times New Roman"/>
                <w:i/>
                <w:iCs/>
                <w:color w:val="000000"/>
                <w:sz w:val="20"/>
                <w:szCs w:val="20"/>
              </w:rPr>
              <w:t>Exogenous effects</w:t>
            </w:r>
          </w:p>
        </w:tc>
        <w:tc>
          <w:tcPr>
            <w:tcW w:w="682" w:type="dxa"/>
            <w:tcBorders>
              <w:left w:val="double" w:sz="6" w:space="0" w:color="auto"/>
            </w:tcBorders>
            <w:vAlign w:val="center"/>
          </w:tcPr>
          <w:p w14:paraId="7929F08C"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58FE16A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26B8F9BD"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21518A0C"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5029C5A6"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6D906298"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572353A2"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014C55C8"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68838AA8"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196B474C"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439ADBA4"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c>
          <w:tcPr>
            <w:tcW w:w="613" w:type="dxa"/>
            <w:tcBorders>
              <w:top w:val="nil"/>
              <w:left w:val="nil"/>
              <w:bottom w:val="nil"/>
              <w:right w:val="double" w:sz="6" w:space="0" w:color="auto"/>
            </w:tcBorders>
            <w:shd w:val="clear" w:color="auto" w:fill="auto"/>
            <w:noWrap/>
            <w:vAlign w:val="center"/>
            <w:hideMark/>
          </w:tcPr>
          <w:p w14:paraId="26E902CA"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r>
      <w:tr w:rsidR="00FC5290" w:rsidRPr="000C71E9" w14:paraId="38F7019A"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6D53E497" w14:textId="53F91CCB" w:rsidR="000C5906" w:rsidRPr="00FC5290" w:rsidRDefault="00EB5D49" w:rsidP="000C5906">
            <w:pPr>
              <w:spacing w:line="240" w:lineRule="auto"/>
              <w:jc w:val="left"/>
              <w:rPr>
                <w:rFonts w:eastAsia="Times New Roman" w:cs="Times New Roman"/>
                <w:b/>
                <w:bCs/>
                <w:color w:val="000000"/>
                <w:sz w:val="20"/>
                <w:szCs w:val="20"/>
              </w:rPr>
            </w:pPr>
            <w:r>
              <w:rPr>
                <w:rFonts w:eastAsia="Times New Roman" w:cs="Times New Roman"/>
                <w:b/>
                <w:bCs/>
                <w:color w:val="000000"/>
                <w:sz w:val="20"/>
                <w:szCs w:val="20"/>
              </w:rPr>
              <w:t>Age (</w:t>
            </w:r>
            <w:r w:rsidR="000C5906" w:rsidRPr="00FC5290">
              <w:rPr>
                <w:rFonts w:eastAsia="Times New Roman" w:cs="Times New Roman"/>
                <w:b/>
                <w:bCs/>
                <w:color w:val="000000"/>
                <w:sz w:val="20"/>
                <w:szCs w:val="20"/>
              </w:rPr>
              <w:t>65 years</w:t>
            </w:r>
            <w:r>
              <w:rPr>
                <w:rFonts w:eastAsia="Times New Roman" w:cs="Times New Roman"/>
                <w:b/>
                <w:bCs/>
                <w:color w:val="000000"/>
                <w:sz w:val="20"/>
                <w:szCs w:val="20"/>
              </w:rPr>
              <w:t xml:space="preserve"> or more</w:t>
            </w:r>
            <w:r w:rsidR="000C5906" w:rsidRPr="00FC5290">
              <w:rPr>
                <w:rFonts w:eastAsia="Times New Roman" w:cs="Times New Roman"/>
                <w:b/>
                <w:bCs/>
                <w:color w:val="000000"/>
                <w:sz w:val="20"/>
                <w:szCs w:val="20"/>
              </w:rPr>
              <w:t>)</w:t>
            </w:r>
          </w:p>
        </w:tc>
        <w:tc>
          <w:tcPr>
            <w:tcW w:w="682" w:type="dxa"/>
            <w:tcBorders>
              <w:left w:val="double" w:sz="6" w:space="0" w:color="auto"/>
            </w:tcBorders>
            <w:vAlign w:val="center"/>
          </w:tcPr>
          <w:p w14:paraId="467562ED"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2060F17F"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421D4EFB"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796BD5B6"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38F2A1DA"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4F37F00D"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300103FB"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3202852F"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25BC1D1D"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3CB5AE7D"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20F3B9CB"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c>
          <w:tcPr>
            <w:tcW w:w="613" w:type="dxa"/>
            <w:tcBorders>
              <w:top w:val="nil"/>
              <w:left w:val="nil"/>
              <w:bottom w:val="nil"/>
              <w:right w:val="double" w:sz="6" w:space="0" w:color="auto"/>
            </w:tcBorders>
            <w:shd w:val="clear" w:color="auto" w:fill="auto"/>
            <w:noWrap/>
            <w:vAlign w:val="center"/>
            <w:hideMark/>
          </w:tcPr>
          <w:p w14:paraId="412B660E"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r>
      <w:tr w:rsidR="00FC5290" w:rsidRPr="000C71E9" w14:paraId="1444FE13"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7705349A" w14:textId="3F6239EC" w:rsidR="000C5906" w:rsidRPr="00FC5290" w:rsidRDefault="00EB5D49" w:rsidP="00EB5D49">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18-</w:t>
            </w:r>
            <w:r w:rsidR="000C5906" w:rsidRPr="00FC5290">
              <w:rPr>
                <w:rFonts w:eastAsia="Times New Roman" w:cs="Times New Roman"/>
                <w:color w:val="000000"/>
                <w:sz w:val="20"/>
                <w:szCs w:val="20"/>
              </w:rPr>
              <w:t>34</w:t>
            </w:r>
          </w:p>
        </w:tc>
        <w:tc>
          <w:tcPr>
            <w:tcW w:w="682" w:type="dxa"/>
            <w:tcBorders>
              <w:left w:val="double" w:sz="6" w:space="0" w:color="auto"/>
            </w:tcBorders>
            <w:vAlign w:val="center"/>
          </w:tcPr>
          <w:p w14:paraId="1DBFF8F9"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-0.789</w:t>
            </w:r>
          </w:p>
        </w:tc>
        <w:tc>
          <w:tcPr>
            <w:tcW w:w="594" w:type="dxa"/>
            <w:vAlign w:val="center"/>
          </w:tcPr>
          <w:p w14:paraId="68BF3A34"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-4.54</w:t>
            </w:r>
          </w:p>
        </w:tc>
        <w:tc>
          <w:tcPr>
            <w:tcW w:w="596" w:type="dxa"/>
            <w:vAlign w:val="center"/>
          </w:tcPr>
          <w:p w14:paraId="0B28BD41"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0.657</w:t>
            </w:r>
          </w:p>
        </w:tc>
        <w:tc>
          <w:tcPr>
            <w:tcW w:w="594" w:type="dxa"/>
            <w:tcBorders>
              <w:right w:val="double" w:sz="6" w:space="0" w:color="auto"/>
            </w:tcBorders>
            <w:vAlign w:val="center"/>
          </w:tcPr>
          <w:p w14:paraId="34F10A5B"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4.57</w:t>
            </w:r>
          </w:p>
        </w:tc>
        <w:tc>
          <w:tcPr>
            <w:tcW w:w="682" w:type="dxa"/>
            <w:tcBorders>
              <w:top w:val="nil"/>
              <w:left w:val="double" w:sz="6" w:space="0" w:color="auto"/>
              <w:bottom w:val="nil"/>
              <w:right w:val="nil"/>
            </w:tcBorders>
            <w:shd w:val="clear" w:color="auto" w:fill="auto"/>
            <w:noWrap/>
            <w:vAlign w:val="center"/>
            <w:hideMark/>
          </w:tcPr>
          <w:p w14:paraId="1E271130"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5BCB26E4"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1B9FEB79"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0.73</w:t>
            </w:r>
            <w:r w:rsidR="00945BC9" w:rsidRPr="00FC5290">
              <w:rPr>
                <w:rFonts w:eastAsia="Times New Roman" w:cs="Times New Roman"/>
                <w:sz w:val="20"/>
                <w:szCs w:val="20"/>
              </w:rPr>
              <w:t>9</w:t>
            </w:r>
          </w:p>
        </w:tc>
        <w:tc>
          <w:tcPr>
            <w:tcW w:w="548" w:type="dxa"/>
            <w:tcBorders>
              <w:top w:val="nil"/>
              <w:left w:val="nil"/>
              <w:bottom w:val="nil"/>
              <w:right w:val="nil"/>
            </w:tcBorders>
            <w:shd w:val="clear" w:color="auto" w:fill="auto"/>
            <w:noWrap/>
            <w:vAlign w:val="center"/>
            <w:hideMark/>
          </w:tcPr>
          <w:p w14:paraId="611930FC"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6.97</w:t>
            </w:r>
          </w:p>
        </w:tc>
        <w:tc>
          <w:tcPr>
            <w:tcW w:w="706" w:type="dxa"/>
            <w:tcBorders>
              <w:top w:val="nil"/>
              <w:left w:val="nil"/>
              <w:bottom w:val="nil"/>
              <w:right w:val="nil"/>
            </w:tcBorders>
            <w:shd w:val="clear" w:color="auto" w:fill="auto"/>
            <w:noWrap/>
            <w:vAlign w:val="center"/>
            <w:hideMark/>
          </w:tcPr>
          <w:p w14:paraId="1E791DF3"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w:t>
            </w:r>
            <w:r w:rsidR="00945BC9" w:rsidRPr="00FC5290">
              <w:rPr>
                <w:rFonts w:eastAsia="Times New Roman" w:cs="Times New Roman"/>
                <w:sz w:val="20"/>
                <w:szCs w:val="20"/>
              </w:rPr>
              <w:t>677</w:t>
            </w:r>
          </w:p>
        </w:tc>
        <w:tc>
          <w:tcPr>
            <w:tcW w:w="641" w:type="dxa"/>
            <w:gridSpan w:val="2"/>
            <w:tcBorders>
              <w:top w:val="nil"/>
              <w:left w:val="nil"/>
              <w:bottom w:val="nil"/>
              <w:right w:val="double" w:sz="6" w:space="0" w:color="auto"/>
            </w:tcBorders>
            <w:shd w:val="clear" w:color="auto" w:fill="auto"/>
            <w:noWrap/>
            <w:vAlign w:val="center"/>
            <w:hideMark/>
          </w:tcPr>
          <w:p w14:paraId="277EA40F"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2.</w:t>
            </w:r>
            <w:r w:rsidR="00945BC9" w:rsidRPr="00FC5290">
              <w:rPr>
                <w:rFonts w:eastAsia="Times New Roman" w:cs="Times New Roman"/>
                <w:sz w:val="20"/>
                <w:szCs w:val="20"/>
              </w:rPr>
              <w:t>72</w:t>
            </w:r>
          </w:p>
        </w:tc>
        <w:tc>
          <w:tcPr>
            <w:tcW w:w="633" w:type="dxa"/>
            <w:tcBorders>
              <w:top w:val="nil"/>
              <w:left w:val="nil"/>
              <w:bottom w:val="nil"/>
              <w:right w:val="nil"/>
            </w:tcBorders>
            <w:shd w:val="clear" w:color="auto" w:fill="auto"/>
            <w:noWrap/>
            <w:vAlign w:val="center"/>
            <w:hideMark/>
          </w:tcPr>
          <w:p w14:paraId="40689071"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067A1359"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558AA142"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5D3CFFB" w14:textId="0B882DB2" w:rsidR="000C5906" w:rsidRPr="00FC5290" w:rsidRDefault="00EB5D49" w:rsidP="00EB5D49">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35-</w:t>
            </w:r>
            <w:r w:rsidR="000C5906" w:rsidRPr="00FC5290">
              <w:rPr>
                <w:rFonts w:eastAsia="Times New Roman" w:cs="Times New Roman"/>
                <w:color w:val="000000"/>
                <w:sz w:val="20"/>
                <w:szCs w:val="20"/>
              </w:rPr>
              <w:t>44</w:t>
            </w:r>
          </w:p>
        </w:tc>
        <w:tc>
          <w:tcPr>
            <w:tcW w:w="682" w:type="dxa"/>
            <w:tcBorders>
              <w:left w:val="double" w:sz="6" w:space="0" w:color="auto"/>
            </w:tcBorders>
            <w:vAlign w:val="center"/>
          </w:tcPr>
          <w:p w14:paraId="19DEA90D"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0E081B89"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68151901"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0C6D2B16"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531A97CC"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3E3E5EC7"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79C6C0D2"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0.5</w:t>
            </w:r>
            <w:r w:rsidR="00945BC9" w:rsidRPr="00FC5290">
              <w:rPr>
                <w:rFonts w:eastAsia="Times New Roman" w:cs="Times New Roman"/>
                <w:sz w:val="20"/>
                <w:szCs w:val="20"/>
              </w:rPr>
              <w:t>08</w:t>
            </w:r>
          </w:p>
        </w:tc>
        <w:tc>
          <w:tcPr>
            <w:tcW w:w="548" w:type="dxa"/>
            <w:tcBorders>
              <w:top w:val="nil"/>
              <w:left w:val="nil"/>
              <w:bottom w:val="nil"/>
              <w:right w:val="nil"/>
            </w:tcBorders>
            <w:shd w:val="clear" w:color="auto" w:fill="auto"/>
            <w:noWrap/>
            <w:vAlign w:val="center"/>
            <w:hideMark/>
          </w:tcPr>
          <w:p w14:paraId="58E031E6"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7.93</w:t>
            </w:r>
          </w:p>
        </w:tc>
        <w:tc>
          <w:tcPr>
            <w:tcW w:w="706" w:type="dxa"/>
            <w:tcBorders>
              <w:top w:val="nil"/>
              <w:left w:val="nil"/>
              <w:bottom w:val="nil"/>
              <w:right w:val="nil"/>
            </w:tcBorders>
            <w:shd w:val="clear" w:color="auto" w:fill="auto"/>
            <w:noWrap/>
            <w:vAlign w:val="center"/>
            <w:hideMark/>
          </w:tcPr>
          <w:p w14:paraId="2BE716E7"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w:t>
            </w:r>
            <w:r w:rsidR="00945BC9" w:rsidRPr="00FC5290">
              <w:rPr>
                <w:rFonts w:eastAsia="Times New Roman" w:cs="Times New Roman"/>
                <w:sz w:val="20"/>
                <w:szCs w:val="20"/>
              </w:rPr>
              <w:t>432</w:t>
            </w:r>
          </w:p>
        </w:tc>
        <w:tc>
          <w:tcPr>
            <w:tcW w:w="641" w:type="dxa"/>
            <w:gridSpan w:val="2"/>
            <w:tcBorders>
              <w:top w:val="nil"/>
              <w:left w:val="nil"/>
              <w:bottom w:val="nil"/>
              <w:right w:val="double" w:sz="6" w:space="0" w:color="auto"/>
            </w:tcBorders>
            <w:shd w:val="clear" w:color="auto" w:fill="auto"/>
            <w:noWrap/>
            <w:vAlign w:val="center"/>
            <w:hideMark/>
          </w:tcPr>
          <w:p w14:paraId="5B66674B"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1.90</w:t>
            </w:r>
          </w:p>
        </w:tc>
        <w:tc>
          <w:tcPr>
            <w:tcW w:w="633" w:type="dxa"/>
            <w:tcBorders>
              <w:top w:val="nil"/>
              <w:left w:val="nil"/>
              <w:bottom w:val="nil"/>
              <w:right w:val="nil"/>
            </w:tcBorders>
            <w:shd w:val="clear" w:color="auto" w:fill="auto"/>
            <w:noWrap/>
            <w:vAlign w:val="center"/>
            <w:hideMark/>
          </w:tcPr>
          <w:p w14:paraId="02959E1D"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40DF674C"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5B7AA6FD"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425938DE" w14:textId="09F7B038" w:rsidR="000C5906" w:rsidRPr="00FC5290" w:rsidRDefault="00EB5D49" w:rsidP="00EB5D49">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45-</w:t>
            </w:r>
            <w:r w:rsidR="000C5906" w:rsidRPr="00FC5290">
              <w:rPr>
                <w:rFonts w:eastAsia="Times New Roman" w:cs="Times New Roman"/>
                <w:color w:val="000000"/>
                <w:sz w:val="20"/>
                <w:szCs w:val="20"/>
              </w:rPr>
              <w:t>54</w:t>
            </w:r>
          </w:p>
        </w:tc>
        <w:tc>
          <w:tcPr>
            <w:tcW w:w="682" w:type="dxa"/>
            <w:tcBorders>
              <w:left w:val="double" w:sz="6" w:space="0" w:color="auto"/>
            </w:tcBorders>
            <w:vAlign w:val="center"/>
          </w:tcPr>
          <w:p w14:paraId="73E778F5"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121846D1"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4861847C"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60246A9A"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701A82D0"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441962D8"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1CF1C6EC"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0.2</w:t>
            </w:r>
            <w:r w:rsidR="00945BC9" w:rsidRPr="00FC5290">
              <w:rPr>
                <w:rFonts w:eastAsia="Times New Roman" w:cs="Times New Roman"/>
                <w:sz w:val="20"/>
                <w:szCs w:val="20"/>
              </w:rPr>
              <w:t>13</w:t>
            </w:r>
          </w:p>
        </w:tc>
        <w:tc>
          <w:tcPr>
            <w:tcW w:w="548" w:type="dxa"/>
            <w:tcBorders>
              <w:top w:val="nil"/>
              <w:left w:val="nil"/>
              <w:bottom w:val="nil"/>
              <w:right w:val="nil"/>
            </w:tcBorders>
            <w:shd w:val="clear" w:color="auto" w:fill="auto"/>
            <w:noWrap/>
            <w:vAlign w:val="center"/>
            <w:hideMark/>
          </w:tcPr>
          <w:p w14:paraId="02690608"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3.83</w:t>
            </w:r>
          </w:p>
        </w:tc>
        <w:tc>
          <w:tcPr>
            <w:tcW w:w="706" w:type="dxa"/>
            <w:tcBorders>
              <w:top w:val="nil"/>
              <w:left w:val="nil"/>
              <w:bottom w:val="nil"/>
              <w:right w:val="nil"/>
            </w:tcBorders>
            <w:shd w:val="clear" w:color="auto" w:fill="auto"/>
            <w:noWrap/>
            <w:vAlign w:val="center"/>
            <w:hideMark/>
          </w:tcPr>
          <w:p w14:paraId="12192086"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w:t>
            </w:r>
            <w:r w:rsidR="00945BC9" w:rsidRPr="00FC5290">
              <w:rPr>
                <w:rFonts w:eastAsia="Times New Roman" w:cs="Times New Roman"/>
                <w:sz w:val="20"/>
                <w:szCs w:val="20"/>
              </w:rPr>
              <w:t>326</w:t>
            </w:r>
          </w:p>
        </w:tc>
        <w:tc>
          <w:tcPr>
            <w:tcW w:w="641" w:type="dxa"/>
            <w:gridSpan w:val="2"/>
            <w:tcBorders>
              <w:top w:val="nil"/>
              <w:left w:val="nil"/>
              <w:bottom w:val="nil"/>
              <w:right w:val="double" w:sz="6" w:space="0" w:color="auto"/>
            </w:tcBorders>
            <w:shd w:val="clear" w:color="auto" w:fill="auto"/>
            <w:noWrap/>
            <w:vAlign w:val="center"/>
            <w:hideMark/>
          </w:tcPr>
          <w:p w14:paraId="69017053"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1.85</w:t>
            </w:r>
          </w:p>
        </w:tc>
        <w:tc>
          <w:tcPr>
            <w:tcW w:w="633" w:type="dxa"/>
            <w:tcBorders>
              <w:top w:val="nil"/>
              <w:left w:val="nil"/>
              <w:bottom w:val="nil"/>
              <w:right w:val="nil"/>
            </w:tcBorders>
            <w:shd w:val="clear" w:color="auto" w:fill="auto"/>
            <w:noWrap/>
            <w:vAlign w:val="center"/>
            <w:hideMark/>
          </w:tcPr>
          <w:p w14:paraId="773F011B"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471A6AA9"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4AEC8BD6"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B6530B3" w14:textId="27BDC669" w:rsidR="000C5906" w:rsidRPr="00FC5290" w:rsidRDefault="00EB5D49" w:rsidP="00EB5D49">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55-</w:t>
            </w:r>
            <w:r w:rsidR="000C5906" w:rsidRPr="00FC5290">
              <w:rPr>
                <w:rFonts w:eastAsia="Times New Roman" w:cs="Times New Roman"/>
                <w:color w:val="000000"/>
                <w:sz w:val="20"/>
                <w:szCs w:val="20"/>
              </w:rPr>
              <w:t xml:space="preserve">64      </w:t>
            </w:r>
          </w:p>
        </w:tc>
        <w:tc>
          <w:tcPr>
            <w:tcW w:w="682" w:type="dxa"/>
            <w:tcBorders>
              <w:left w:val="double" w:sz="6" w:space="0" w:color="auto"/>
            </w:tcBorders>
            <w:vAlign w:val="center"/>
          </w:tcPr>
          <w:p w14:paraId="4409EF03"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4C23117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7861F81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61777FD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4070541D"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3057C3CA"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31FEDB66"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w:t>
            </w:r>
            <w:r w:rsidR="00945BC9" w:rsidRPr="00FC5290">
              <w:rPr>
                <w:rFonts w:eastAsia="Times New Roman" w:cs="Times New Roman"/>
                <w:sz w:val="20"/>
                <w:szCs w:val="20"/>
              </w:rPr>
              <w:t>61</w:t>
            </w:r>
          </w:p>
        </w:tc>
        <w:tc>
          <w:tcPr>
            <w:tcW w:w="548" w:type="dxa"/>
            <w:tcBorders>
              <w:top w:val="nil"/>
              <w:left w:val="nil"/>
              <w:bottom w:val="nil"/>
              <w:right w:val="nil"/>
            </w:tcBorders>
            <w:shd w:val="clear" w:color="auto" w:fill="auto"/>
            <w:noWrap/>
            <w:vAlign w:val="center"/>
            <w:hideMark/>
          </w:tcPr>
          <w:p w14:paraId="1933A8AE"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2.99</w:t>
            </w:r>
          </w:p>
        </w:tc>
        <w:tc>
          <w:tcPr>
            <w:tcW w:w="706" w:type="dxa"/>
            <w:tcBorders>
              <w:top w:val="nil"/>
              <w:left w:val="nil"/>
              <w:bottom w:val="nil"/>
              <w:right w:val="nil"/>
            </w:tcBorders>
            <w:shd w:val="clear" w:color="auto" w:fill="auto"/>
            <w:noWrap/>
            <w:vAlign w:val="center"/>
            <w:hideMark/>
          </w:tcPr>
          <w:p w14:paraId="6DDADFC5"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hideMark/>
          </w:tcPr>
          <w:p w14:paraId="00C76A21"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7D3F1447"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77F9F302"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4EE49192"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6FBD712C" w14:textId="7099A8FD" w:rsidR="000C5906" w:rsidRPr="00FC5290" w:rsidRDefault="00E45E48" w:rsidP="000C5906">
            <w:pPr>
              <w:spacing w:line="240" w:lineRule="auto"/>
              <w:jc w:val="left"/>
              <w:rPr>
                <w:rFonts w:eastAsia="Times New Roman" w:cs="Times New Roman"/>
                <w:b/>
                <w:bCs/>
                <w:color w:val="000000"/>
                <w:sz w:val="20"/>
                <w:szCs w:val="20"/>
              </w:rPr>
            </w:pPr>
            <w:r>
              <w:rPr>
                <w:rFonts w:eastAsia="Times New Roman" w:cs="Times New Roman"/>
                <w:b/>
                <w:bCs/>
                <w:color w:val="000000"/>
                <w:sz w:val="20"/>
                <w:szCs w:val="20"/>
              </w:rPr>
              <w:t>E</w:t>
            </w:r>
            <w:r w:rsidRPr="00E45E48">
              <w:rPr>
                <w:rFonts w:eastAsia="Times New Roman" w:cs="Times New Roman"/>
                <w:b/>
                <w:bCs/>
                <w:color w:val="000000"/>
                <w:sz w:val="20"/>
                <w:szCs w:val="20"/>
              </w:rPr>
              <w:t>thnicity</w:t>
            </w:r>
            <w:r w:rsidRPr="00D77ACD">
              <w:rPr>
                <w:rFonts w:eastAsia="Times New Roman" w:cs="Times New Roman"/>
                <w:b/>
                <w:bCs/>
                <w:color w:val="000000"/>
                <w:sz w:val="20"/>
                <w:szCs w:val="20"/>
              </w:rPr>
              <w:t xml:space="preserve"> (other </w:t>
            </w:r>
            <w:r w:rsidRPr="00E45E48">
              <w:rPr>
                <w:rFonts w:eastAsia="Times New Roman" w:cs="Times New Roman"/>
                <w:b/>
                <w:bCs/>
                <w:color w:val="000000"/>
                <w:sz w:val="20"/>
                <w:szCs w:val="20"/>
              </w:rPr>
              <w:t>ethnicit</w:t>
            </w:r>
            <w:r>
              <w:rPr>
                <w:rFonts w:eastAsia="Times New Roman" w:cs="Times New Roman"/>
                <w:b/>
                <w:bCs/>
                <w:color w:val="000000"/>
                <w:sz w:val="20"/>
                <w:szCs w:val="20"/>
              </w:rPr>
              <w:t>ies</w:t>
            </w:r>
            <w:r w:rsidRPr="00D77ACD">
              <w:rPr>
                <w:rFonts w:eastAsia="Times New Roman" w:cs="Times New Roman"/>
                <w:b/>
                <w:bCs/>
                <w:color w:val="000000"/>
                <w:sz w:val="20"/>
                <w:szCs w:val="20"/>
              </w:rPr>
              <w:t>)</w:t>
            </w:r>
          </w:p>
        </w:tc>
        <w:tc>
          <w:tcPr>
            <w:tcW w:w="682" w:type="dxa"/>
            <w:tcBorders>
              <w:left w:val="double" w:sz="6" w:space="0" w:color="auto"/>
            </w:tcBorders>
            <w:vAlign w:val="center"/>
          </w:tcPr>
          <w:p w14:paraId="51AB9C6B"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p>
        </w:tc>
        <w:tc>
          <w:tcPr>
            <w:tcW w:w="594" w:type="dxa"/>
            <w:vAlign w:val="center"/>
          </w:tcPr>
          <w:p w14:paraId="3F9CA364"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p>
        </w:tc>
        <w:tc>
          <w:tcPr>
            <w:tcW w:w="596" w:type="dxa"/>
            <w:vAlign w:val="center"/>
          </w:tcPr>
          <w:p w14:paraId="77350A1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p>
        </w:tc>
        <w:tc>
          <w:tcPr>
            <w:tcW w:w="594" w:type="dxa"/>
            <w:tcBorders>
              <w:right w:val="double" w:sz="6" w:space="0" w:color="auto"/>
            </w:tcBorders>
            <w:vAlign w:val="center"/>
          </w:tcPr>
          <w:p w14:paraId="48D1219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1A02AD32" w14:textId="77777777" w:rsidR="000C5906" w:rsidRPr="00FC5290" w:rsidRDefault="000C5906" w:rsidP="00FC5290">
            <w:pPr>
              <w:tabs>
                <w:tab w:val="decimal" w:pos="246"/>
              </w:tabs>
              <w:spacing w:line="240" w:lineRule="auto"/>
              <w:jc w:val="center"/>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73BB1CFF" w14:textId="77777777" w:rsidR="000C5906" w:rsidRPr="00FC5290" w:rsidRDefault="000C5906" w:rsidP="00FC5290">
            <w:pPr>
              <w:tabs>
                <w:tab w:val="decimal" w:pos="246"/>
              </w:tabs>
              <w:spacing w:line="240" w:lineRule="auto"/>
              <w:jc w:val="center"/>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6C544790"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784A52EC"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565C326D"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2A0761D5"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7840E0DF"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6BFFC990"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5DFB7DEA"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1B17C69"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Non-Hispanic White</w:t>
            </w:r>
          </w:p>
        </w:tc>
        <w:tc>
          <w:tcPr>
            <w:tcW w:w="682" w:type="dxa"/>
            <w:tcBorders>
              <w:left w:val="double" w:sz="6" w:space="0" w:color="auto"/>
            </w:tcBorders>
            <w:vAlign w:val="center"/>
          </w:tcPr>
          <w:p w14:paraId="00FE90FB"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410C8F93"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19ECE28E"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2FBC32F6"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61FBC4E2"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12BCF0D0"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756F25D0"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hideMark/>
          </w:tcPr>
          <w:p w14:paraId="440A9CFD"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hideMark/>
          </w:tcPr>
          <w:p w14:paraId="66357CA3"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w:t>
            </w:r>
            <w:r w:rsidR="00945BC9" w:rsidRPr="00FC5290">
              <w:rPr>
                <w:rFonts w:eastAsia="Times New Roman" w:cs="Times New Roman"/>
                <w:sz w:val="20"/>
                <w:szCs w:val="20"/>
              </w:rPr>
              <w:t>48</w:t>
            </w:r>
          </w:p>
        </w:tc>
        <w:tc>
          <w:tcPr>
            <w:tcW w:w="641" w:type="dxa"/>
            <w:gridSpan w:val="2"/>
            <w:tcBorders>
              <w:top w:val="nil"/>
              <w:left w:val="nil"/>
              <w:bottom w:val="nil"/>
              <w:right w:val="double" w:sz="6" w:space="0" w:color="auto"/>
            </w:tcBorders>
            <w:shd w:val="clear" w:color="auto" w:fill="auto"/>
            <w:noWrap/>
            <w:vAlign w:val="center"/>
            <w:hideMark/>
          </w:tcPr>
          <w:p w14:paraId="2CFB542E"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w:t>
            </w:r>
            <w:r w:rsidR="00945BC9" w:rsidRPr="00FC5290">
              <w:rPr>
                <w:rFonts w:eastAsia="Times New Roman" w:cs="Times New Roman"/>
                <w:sz w:val="20"/>
                <w:szCs w:val="20"/>
              </w:rPr>
              <w:t>1.87</w:t>
            </w:r>
          </w:p>
        </w:tc>
        <w:tc>
          <w:tcPr>
            <w:tcW w:w="633" w:type="dxa"/>
            <w:tcBorders>
              <w:top w:val="nil"/>
              <w:left w:val="nil"/>
              <w:bottom w:val="nil"/>
              <w:right w:val="nil"/>
            </w:tcBorders>
            <w:shd w:val="clear" w:color="auto" w:fill="auto"/>
            <w:noWrap/>
            <w:vAlign w:val="center"/>
            <w:hideMark/>
          </w:tcPr>
          <w:p w14:paraId="40D92FD1"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670C4D39"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40B15A41"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141A5DAA" w14:textId="3BF54B50" w:rsidR="000C5906" w:rsidRPr="00FC5290" w:rsidRDefault="000C5906" w:rsidP="00FC49CC">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Education (</w:t>
            </w:r>
            <w:r w:rsidR="00EB5D49">
              <w:rPr>
                <w:rFonts w:eastAsia="Times New Roman" w:cs="Times New Roman"/>
                <w:b/>
                <w:bCs/>
                <w:color w:val="000000"/>
                <w:sz w:val="20"/>
                <w:szCs w:val="20"/>
              </w:rPr>
              <w:t>less than</w:t>
            </w:r>
            <w:r w:rsidR="00FC49CC" w:rsidRPr="00FC5290">
              <w:rPr>
                <w:rFonts w:eastAsia="Times New Roman" w:cs="Times New Roman"/>
                <w:b/>
                <w:bCs/>
                <w:color w:val="000000"/>
                <w:sz w:val="20"/>
                <w:szCs w:val="20"/>
              </w:rPr>
              <w:t xml:space="preserve"> </w:t>
            </w:r>
            <w:r w:rsidRPr="00FC5290">
              <w:rPr>
                <w:rFonts w:eastAsia="Times New Roman" w:cs="Times New Roman"/>
                <w:b/>
                <w:bCs/>
                <w:color w:val="000000"/>
                <w:sz w:val="20"/>
                <w:szCs w:val="20"/>
              </w:rPr>
              <w:t>undergraduate degree)</w:t>
            </w:r>
          </w:p>
        </w:tc>
        <w:tc>
          <w:tcPr>
            <w:tcW w:w="682" w:type="dxa"/>
            <w:tcBorders>
              <w:left w:val="double" w:sz="6" w:space="0" w:color="auto"/>
            </w:tcBorders>
            <w:vAlign w:val="center"/>
          </w:tcPr>
          <w:p w14:paraId="52880C90"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4856C6E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441A7167"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457D4732"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72212DA4"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7DE0DCAB"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367E8222"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2E532F7D"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48519FC8"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7E6B9F88"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01D4297C"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43481DF0"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386DD45D"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6EE046D4"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Graduate degree </w:t>
            </w:r>
          </w:p>
        </w:tc>
        <w:tc>
          <w:tcPr>
            <w:tcW w:w="682" w:type="dxa"/>
            <w:tcBorders>
              <w:left w:val="double" w:sz="6" w:space="0" w:color="auto"/>
            </w:tcBorders>
            <w:vAlign w:val="center"/>
          </w:tcPr>
          <w:p w14:paraId="2D0A1D5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781462DA"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412133A4"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31C6EA8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37200F9D"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6403DA51"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02DB3EEE"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hideMark/>
          </w:tcPr>
          <w:p w14:paraId="3009DA59"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hideMark/>
          </w:tcPr>
          <w:p w14:paraId="050A506B"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w:t>
            </w:r>
            <w:r w:rsidR="00945BC9" w:rsidRPr="00FC5290">
              <w:rPr>
                <w:rFonts w:eastAsia="Times New Roman" w:cs="Times New Roman"/>
                <w:sz w:val="20"/>
                <w:szCs w:val="20"/>
              </w:rPr>
              <w:t>8</w:t>
            </w:r>
            <w:r w:rsidRPr="00FC5290">
              <w:rPr>
                <w:rFonts w:eastAsia="Times New Roman" w:cs="Times New Roman"/>
                <w:sz w:val="20"/>
                <w:szCs w:val="20"/>
              </w:rPr>
              <w:t>6</w:t>
            </w:r>
          </w:p>
        </w:tc>
        <w:tc>
          <w:tcPr>
            <w:tcW w:w="641" w:type="dxa"/>
            <w:gridSpan w:val="2"/>
            <w:tcBorders>
              <w:top w:val="nil"/>
              <w:left w:val="nil"/>
              <w:bottom w:val="nil"/>
              <w:right w:val="double" w:sz="6" w:space="0" w:color="auto"/>
            </w:tcBorders>
            <w:shd w:val="clear" w:color="auto" w:fill="auto"/>
            <w:noWrap/>
            <w:vAlign w:val="center"/>
            <w:hideMark/>
          </w:tcPr>
          <w:p w14:paraId="77BBD94E"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4</w:t>
            </w:r>
            <w:r w:rsidR="000C5906" w:rsidRPr="00FC5290">
              <w:rPr>
                <w:rFonts w:eastAsia="Times New Roman" w:cs="Times New Roman"/>
                <w:sz w:val="20"/>
                <w:szCs w:val="20"/>
              </w:rPr>
              <w:t>.</w:t>
            </w:r>
            <w:r w:rsidRPr="00FC5290">
              <w:rPr>
                <w:rFonts w:eastAsia="Times New Roman" w:cs="Times New Roman"/>
                <w:sz w:val="20"/>
                <w:szCs w:val="20"/>
              </w:rPr>
              <w:t>5</w:t>
            </w:r>
            <w:r w:rsidR="000C5906" w:rsidRPr="00FC5290">
              <w:rPr>
                <w:rFonts w:eastAsia="Times New Roman" w:cs="Times New Roman"/>
                <w:sz w:val="20"/>
                <w:szCs w:val="20"/>
              </w:rPr>
              <w:t>4</w:t>
            </w:r>
          </w:p>
        </w:tc>
        <w:tc>
          <w:tcPr>
            <w:tcW w:w="633" w:type="dxa"/>
            <w:tcBorders>
              <w:top w:val="nil"/>
              <w:left w:val="nil"/>
              <w:bottom w:val="nil"/>
              <w:right w:val="nil"/>
            </w:tcBorders>
            <w:shd w:val="clear" w:color="auto" w:fill="auto"/>
            <w:noWrap/>
            <w:vAlign w:val="center"/>
            <w:hideMark/>
          </w:tcPr>
          <w:p w14:paraId="7C8C8DA1"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372242E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48269549"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6878C6F4" w14:textId="77777777" w:rsidR="000C5906" w:rsidRPr="00FC5290" w:rsidRDefault="000C5906" w:rsidP="000C5906">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Employment (full-time)</w:t>
            </w:r>
          </w:p>
        </w:tc>
        <w:tc>
          <w:tcPr>
            <w:tcW w:w="682" w:type="dxa"/>
            <w:tcBorders>
              <w:left w:val="double" w:sz="6" w:space="0" w:color="auto"/>
            </w:tcBorders>
            <w:vAlign w:val="center"/>
          </w:tcPr>
          <w:p w14:paraId="7C75704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40624F3B"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16865DAF"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3BC4AE7C"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03668F76"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109A4F21"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0ADA4D61"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73D7320A"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21A7A57E"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37848FFE"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7394C61B"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2D80FAE9"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7AA5673F"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B39E6CB"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Part-time employee</w:t>
            </w:r>
          </w:p>
        </w:tc>
        <w:tc>
          <w:tcPr>
            <w:tcW w:w="682" w:type="dxa"/>
            <w:tcBorders>
              <w:left w:val="double" w:sz="6" w:space="0" w:color="auto"/>
            </w:tcBorders>
            <w:vAlign w:val="center"/>
          </w:tcPr>
          <w:p w14:paraId="4757A1FC"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07EE08C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51D39807"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0.369</w:t>
            </w:r>
          </w:p>
        </w:tc>
        <w:tc>
          <w:tcPr>
            <w:tcW w:w="594" w:type="dxa"/>
            <w:tcBorders>
              <w:right w:val="double" w:sz="6" w:space="0" w:color="auto"/>
            </w:tcBorders>
            <w:vAlign w:val="center"/>
          </w:tcPr>
          <w:p w14:paraId="3D7C274D"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9799</w:t>
            </w:r>
          </w:p>
        </w:tc>
        <w:tc>
          <w:tcPr>
            <w:tcW w:w="682" w:type="dxa"/>
            <w:tcBorders>
              <w:top w:val="nil"/>
              <w:left w:val="double" w:sz="6" w:space="0" w:color="auto"/>
              <w:bottom w:val="nil"/>
              <w:right w:val="nil"/>
            </w:tcBorders>
            <w:shd w:val="clear" w:color="auto" w:fill="auto"/>
            <w:noWrap/>
            <w:vAlign w:val="center"/>
            <w:hideMark/>
          </w:tcPr>
          <w:p w14:paraId="5EFC77E2"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168FFAD0"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2C95ABA5"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-0.13</w:t>
            </w:r>
            <w:r w:rsidR="00945BC9" w:rsidRPr="00FC5290">
              <w:rPr>
                <w:rFonts w:eastAsia="Times New Roman" w:cs="Times New Roman"/>
                <w:sz w:val="20"/>
                <w:szCs w:val="20"/>
              </w:rPr>
              <w:t>5</w:t>
            </w:r>
          </w:p>
        </w:tc>
        <w:tc>
          <w:tcPr>
            <w:tcW w:w="548" w:type="dxa"/>
            <w:tcBorders>
              <w:top w:val="nil"/>
              <w:left w:val="nil"/>
              <w:bottom w:val="nil"/>
              <w:right w:val="nil"/>
            </w:tcBorders>
            <w:shd w:val="clear" w:color="auto" w:fill="auto"/>
            <w:noWrap/>
            <w:vAlign w:val="center"/>
            <w:hideMark/>
          </w:tcPr>
          <w:p w14:paraId="04E6A79F"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-2.</w:t>
            </w:r>
            <w:r w:rsidR="00945BC9" w:rsidRPr="00FC5290">
              <w:rPr>
                <w:rFonts w:eastAsia="Times New Roman" w:cs="Times New Roman"/>
                <w:sz w:val="20"/>
                <w:szCs w:val="20"/>
              </w:rPr>
              <w:t>71</w:t>
            </w:r>
          </w:p>
        </w:tc>
        <w:tc>
          <w:tcPr>
            <w:tcW w:w="706" w:type="dxa"/>
            <w:tcBorders>
              <w:top w:val="nil"/>
              <w:left w:val="nil"/>
              <w:bottom w:val="nil"/>
              <w:right w:val="nil"/>
            </w:tcBorders>
            <w:shd w:val="clear" w:color="auto" w:fill="auto"/>
            <w:noWrap/>
            <w:vAlign w:val="center"/>
            <w:hideMark/>
          </w:tcPr>
          <w:p w14:paraId="1FB9279A"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hideMark/>
          </w:tcPr>
          <w:p w14:paraId="1D30F233"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79C84B4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13FD6200"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52921A26"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676E681" w14:textId="77777777" w:rsidR="00945BC9" w:rsidRPr="00FC5290" w:rsidRDefault="00945BC9" w:rsidP="00945BC9">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Self-employed</w:t>
            </w:r>
          </w:p>
        </w:tc>
        <w:tc>
          <w:tcPr>
            <w:tcW w:w="682" w:type="dxa"/>
            <w:tcBorders>
              <w:left w:val="double" w:sz="6" w:space="0" w:color="auto"/>
            </w:tcBorders>
            <w:vAlign w:val="center"/>
          </w:tcPr>
          <w:p w14:paraId="0A75BE34" w14:textId="77777777" w:rsidR="00945BC9" w:rsidRPr="00FC5290" w:rsidRDefault="00945BC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0.188</w:t>
            </w:r>
          </w:p>
        </w:tc>
        <w:tc>
          <w:tcPr>
            <w:tcW w:w="594" w:type="dxa"/>
            <w:vAlign w:val="center"/>
          </w:tcPr>
          <w:p w14:paraId="620E9479" w14:textId="77777777" w:rsidR="00945BC9" w:rsidRPr="00FC5290" w:rsidRDefault="00945BC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3.04</w:t>
            </w:r>
          </w:p>
        </w:tc>
        <w:tc>
          <w:tcPr>
            <w:tcW w:w="596" w:type="dxa"/>
            <w:vAlign w:val="center"/>
          </w:tcPr>
          <w:p w14:paraId="6462E003" w14:textId="77777777" w:rsidR="00945BC9" w:rsidRPr="00FC5290" w:rsidRDefault="00945BC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0.242</w:t>
            </w:r>
          </w:p>
        </w:tc>
        <w:tc>
          <w:tcPr>
            <w:tcW w:w="594" w:type="dxa"/>
            <w:tcBorders>
              <w:right w:val="double" w:sz="6" w:space="0" w:color="auto"/>
            </w:tcBorders>
            <w:vAlign w:val="center"/>
          </w:tcPr>
          <w:p w14:paraId="4038CF2C" w14:textId="77777777" w:rsidR="00945BC9" w:rsidRPr="00FC5290" w:rsidRDefault="00945BC9"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7.42</w:t>
            </w:r>
          </w:p>
        </w:tc>
        <w:tc>
          <w:tcPr>
            <w:tcW w:w="682" w:type="dxa"/>
            <w:tcBorders>
              <w:top w:val="nil"/>
              <w:left w:val="double" w:sz="6" w:space="0" w:color="auto"/>
              <w:bottom w:val="nil"/>
              <w:right w:val="nil"/>
            </w:tcBorders>
            <w:shd w:val="clear" w:color="auto" w:fill="auto"/>
            <w:noWrap/>
            <w:vAlign w:val="center"/>
            <w:hideMark/>
          </w:tcPr>
          <w:p w14:paraId="5E709D08" w14:textId="77777777" w:rsidR="00945BC9" w:rsidRPr="00FC5290" w:rsidRDefault="00945BC9"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214511C7" w14:textId="77777777" w:rsidR="00945BC9" w:rsidRPr="00FC5290" w:rsidRDefault="00945BC9"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71C7B8E9" w14:textId="77777777" w:rsidR="00945BC9" w:rsidRPr="00FC5290" w:rsidRDefault="00945BC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hideMark/>
          </w:tcPr>
          <w:p w14:paraId="160DB6A3" w14:textId="77777777" w:rsidR="00945BC9" w:rsidRPr="00FC5290" w:rsidRDefault="00945BC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hideMark/>
          </w:tcPr>
          <w:p w14:paraId="27244596" w14:textId="77777777" w:rsidR="00945BC9" w:rsidRPr="00FC5290" w:rsidRDefault="00945BC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hideMark/>
          </w:tcPr>
          <w:p w14:paraId="358E5213" w14:textId="77777777" w:rsidR="00945BC9" w:rsidRPr="00FC5290" w:rsidRDefault="00945BC9"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2FEF80CA" w14:textId="77777777" w:rsidR="00945BC9" w:rsidRPr="00FC5290" w:rsidRDefault="00945BC9"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122C8FB7" w14:textId="77777777" w:rsidR="00945BC9" w:rsidRPr="00FC5290" w:rsidRDefault="00945BC9"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1B12CBE1"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4A020643" w14:textId="77777777" w:rsidR="000C5906" w:rsidRPr="00FC5290" w:rsidRDefault="000C5906" w:rsidP="000C5906">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 xml:space="preserve">Household income </w:t>
            </w:r>
          </w:p>
        </w:tc>
        <w:tc>
          <w:tcPr>
            <w:tcW w:w="682" w:type="dxa"/>
            <w:tcBorders>
              <w:left w:val="double" w:sz="6" w:space="0" w:color="auto"/>
            </w:tcBorders>
            <w:vAlign w:val="center"/>
          </w:tcPr>
          <w:p w14:paraId="4AB705B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6A6415D9"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1CA71F25"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526284D7"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288F0100"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11262F20"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00EA951A"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4266BBF2"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7A4500EA"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4440F9AF"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0BB77EFA"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198EEC7A"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168733CD"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B243C1F" w14:textId="454BE0F1" w:rsidR="000C5906" w:rsidRPr="00FC5290" w:rsidRDefault="00EB5D49" w:rsidP="000C5906">
            <w:pPr>
              <w:spacing w:line="240" w:lineRule="auto"/>
              <w:jc w:val="left"/>
              <w:rPr>
                <w:rFonts w:eastAsia="Times New Roman" w:cs="Times New Roman"/>
                <w:b/>
                <w:bCs/>
                <w:color w:val="000000"/>
                <w:sz w:val="20"/>
                <w:szCs w:val="20"/>
              </w:rPr>
            </w:pPr>
            <w:r>
              <w:rPr>
                <w:rFonts w:eastAsia="Times New Roman" w:cs="Times New Roman"/>
                <w:b/>
                <w:bCs/>
                <w:color w:val="000000"/>
                <w:sz w:val="20"/>
                <w:szCs w:val="20"/>
              </w:rPr>
              <w:t>(Under</w:t>
            </w:r>
            <w:r w:rsidR="000C5906" w:rsidRPr="00FC5290">
              <w:rPr>
                <w:rFonts w:eastAsia="Times New Roman" w:cs="Times New Roman"/>
                <w:b/>
                <w:bCs/>
                <w:color w:val="000000"/>
                <w:sz w:val="20"/>
                <w:szCs w:val="20"/>
              </w:rPr>
              <w:t xml:space="preserve"> $100,000)</w:t>
            </w:r>
          </w:p>
        </w:tc>
        <w:tc>
          <w:tcPr>
            <w:tcW w:w="682" w:type="dxa"/>
            <w:tcBorders>
              <w:left w:val="double" w:sz="6" w:space="0" w:color="auto"/>
            </w:tcBorders>
            <w:vAlign w:val="center"/>
          </w:tcPr>
          <w:p w14:paraId="782352B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7E2A28EC"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3270E723"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305FF7D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6CB4C46E"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6DE0A66C"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5E5D5DD1"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3EE4FA03"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71580BD2"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59CA631C"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444911B2"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4238C26A"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009E8510"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5BDB0A66"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$100,000-$149,999 </w:t>
            </w:r>
          </w:p>
        </w:tc>
        <w:tc>
          <w:tcPr>
            <w:tcW w:w="682" w:type="dxa"/>
            <w:tcBorders>
              <w:left w:val="double" w:sz="6" w:space="0" w:color="auto"/>
            </w:tcBorders>
            <w:vAlign w:val="center"/>
          </w:tcPr>
          <w:p w14:paraId="7D2ADD77"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707F2C71"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59D8E1F6"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70617E65"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673AD556"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0.519</w:t>
            </w:r>
          </w:p>
        </w:tc>
        <w:tc>
          <w:tcPr>
            <w:tcW w:w="674" w:type="dxa"/>
            <w:tcBorders>
              <w:top w:val="nil"/>
              <w:left w:val="nil"/>
              <w:bottom w:val="nil"/>
              <w:right w:val="nil"/>
            </w:tcBorders>
            <w:shd w:val="clear" w:color="auto" w:fill="auto"/>
            <w:noWrap/>
            <w:vAlign w:val="center"/>
            <w:hideMark/>
          </w:tcPr>
          <w:p w14:paraId="57172CC4"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6.1</w:t>
            </w:r>
            <w:r w:rsidR="00F27729" w:rsidRPr="00FC5290">
              <w:rPr>
                <w:rFonts w:eastAsia="Times New Roman" w:cs="Times New Roman"/>
                <w:sz w:val="20"/>
                <w:szCs w:val="20"/>
              </w:rPr>
              <w:t>6</w:t>
            </w:r>
          </w:p>
        </w:tc>
        <w:tc>
          <w:tcPr>
            <w:tcW w:w="714" w:type="dxa"/>
            <w:tcBorders>
              <w:top w:val="nil"/>
              <w:left w:val="double" w:sz="6" w:space="0" w:color="auto"/>
              <w:bottom w:val="nil"/>
              <w:right w:val="nil"/>
            </w:tcBorders>
            <w:shd w:val="clear" w:color="auto" w:fill="auto"/>
            <w:noWrap/>
            <w:vAlign w:val="center"/>
            <w:hideMark/>
          </w:tcPr>
          <w:p w14:paraId="2F1D43F4"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0.3</w:t>
            </w:r>
            <w:r w:rsidR="00945BC9" w:rsidRPr="00FC5290">
              <w:rPr>
                <w:rFonts w:eastAsia="Times New Roman" w:cs="Times New Roman"/>
                <w:sz w:val="20"/>
                <w:szCs w:val="20"/>
              </w:rPr>
              <w:t>26</w:t>
            </w:r>
          </w:p>
        </w:tc>
        <w:tc>
          <w:tcPr>
            <w:tcW w:w="548" w:type="dxa"/>
            <w:tcBorders>
              <w:top w:val="nil"/>
              <w:left w:val="nil"/>
              <w:bottom w:val="nil"/>
              <w:right w:val="nil"/>
            </w:tcBorders>
            <w:shd w:val="clear" w:color="auto" w:fill="auto"/>
            <w:noWrap/>
            <w:vAlign w:val="center"/>
            <w:hideMark/>
          </w:tcPr>
          <w:p w14:paraId="10C4BEEF"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6.67</w:t>
            </w:r>
          </w:p>
        </w:tc>
        <w:tc>
          <w:tcPr>
            <w:tcW w:w="706" w:type="dxa"/>
            <w:tcBorders>
              <w:top w:val="nil"/>
              <w:left w:val="nil"/>
              <w:bottom w:val="nil"/>
              <w:right w:val="nil"/>
            </w:tcBorders>
            <w:shd w:val="clear" w:color="auto" w:fill="auto"/>
            <w:noWrap/>
            <w:vAlign w:val="center"/>
            <w:hideMark/>
          </w:tcPr>
          <w:p w14:paraId="66DDA1C0"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hideMark/>
          </w:tcPr>
          <w:p w14:paraId="5F93352A"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2D6B741C"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0E522693"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6980AA67"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5C635801"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$150,000-$199,999 </w:t>
            </w:r>
          </w:p>
        </w:tc>
        <w:tc>
          <w:tcPr>
            <w:tcW w:w="682" w:type="dxa"/>
            <w:tcBorders>
              <w:left w:val="double" w:sz="6" w:space="0" w:color="auto"/>
            </w:tcBorders>
            <w:vAlign w:val="center"/>
          </w:tcPr>
          <w:p w14:paraId="6A340A1C"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-0.106</w:t>
            </w:r>
          </w:p>
        </w:tc>
        <w:tc>
          <w:tcPr>
            <w:tcW w:w="594" w:type="dxa"/>
            <w:vAlign w:val="center"/>
          </w:tcPr>
          <w:p w14:paraId="6974C11E"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-2.87</w:t>
            </w:r>
          </w:p>
        </w:tc>
        <w:tc>
          <w:tcPr>
            <w:tcW w:w="596" w:type="dxa"/>
            <w:vAlign w:val="center"/>
          </w:tcPr>
          <w:p w14:paraId="3F2179C9"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0249DE5A"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66E3DD5D"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0.519</w:t>
            </w:r>
          </w:p>
        </w:tc>
        <w:tc>
          <w:tcPr>
            <w:tcW w:w="674" w:type="dxa"/>
            <w:tcBorders>
              <w:top w:val="nil"/>
              <w:left w:val="nil"/>
              <w:bottom w:val="nil"/>
              <w:right w:val="nil"/>
            </w:tcBorders>
            <w:shd w:val="clear" w:color="auto" w:fill="auto"/>
            <w:noWrap/>
            <w:vAlign w:val="center"/>
            <w:hideMark/>
          </w:tcPr>
          <w:p w14:paraId="4EB01B3E"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6.1</w:t>
            </w:r>
            <w:r w:rsidR="00F27729" w:rsidRPr="00FC5290">
              <w:rPr>
                <w:rFonts w:eastAsia="Times New Roman" w:cs="Times New Roman"/>
                <w:sz w:val="20"/>
                <w:szCs w:val="20"/>
              </w:rPr>
              <w:t>6</w:t>
            </w:r>
          </w:p>
        </w:tc>
        <w:tc>
          <w:tcPr>
            <w:tcW w:w="714" w:type="dxa"/>
            <w:tcBorders>
              <w:top w:val="nil"/>
              <w:left w:val="double" w:sz="6" w:space="0" w:color="auto"/>
              <w:bottom w:val="nil"/>
              <w:right w:val="nil"/>
            </w:tcBorders>
            <w:shd w:val="clear" w:color="auto" w:fill="auto"/>
            <w:noWrap/>
            <w:vAlign w:val="center"/>
            <w:hideMark/>
          </w:tcPr>
          <w:p w14:paraId="5511FDED"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0.54</w:t>
            </w:r>
            <w:r w:rsidR="00945BC9" w:rsidRPr="00FC5290">
              <w:rPr>
                <w:rFonts w:eastAsia="Times New Roman" w:cs="Times New Roman"/>
                <w:sz w:val="20"/>
                <w:szCs w:val="20"/>
              </w:rPr>
              <w:t>6</w:t>
            </w:r>
          </w:p>
        </w:tc>
        <w:tc>
          <w:tcPr>
            <w:tcW w:w="548" w:type="dxa"/>
            <w:tcBorders>
              <w:top w:val="nil"/>
              <w:left w:val="nil"/>
              <w:bottom w:val="nil"/>
              <w:right w:val="nil"/>
            </w:tcBorders>
            <w:shd w:val="clear" w:color="auto" w:fill="auto"/>
            <w:noWrap/>
            <w:vAlign w:val="center"/>
            <w:hideMark/>
          </w:tcPr>
          <w:p w14:paraId="2E475639"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w:t>
            </w:r>
            <w:r w:rsidR="00945BC9" w:rsidRPr="00FC5290">
              <w:rPr>
                <w:rFonts w:eastAsia="Times New Roman" w:cs="Times New Roman"/>
                <w:sz w:val="20"/>
                <w:szCs w:val="20"/>
              </w:rPr>
              <w:t>1.39</w:t>
            </w:r>
          </w:p>
        </w:tc>
        <w:tc>
          <w:tcPr>
            <w:tcW w:w="706" w:type="dxa"/>
            <w:tcBorders>
              <w:top w:val="nil"/>
              <w:left w:val="nil"/>
              <w:bottom w:val="nil"/>
              <w:right w:val="nil"/>
            </w:tcBorders>
            <w:shd w:val="clear" w:color="auto" w:fill="auto"/>
            <w:noWrap/>
            <w:vAlign w:val="center"/>
            <w:hideMark/>
          </w:tcPr>
          <w:p w14:paraId="01C39C7B"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w:t>
            </w:r>
            <w:r w:rsidR="00945BC9" w:rsidRPr="00FC5290">
              <w:rPr>
                <w:rFonts w:eastAsia="Times New Roman" w:cs="Times New Roman"/>
                <w:sz w:val="20"/>
                <w:szCs w:val="20"/>
              </w:rPr>
              <w:t>46</w:t>
            </w:r>
          </w:p>
        </w:tc>
        <w:tc>
          <w:tcPr>
            <w:tcW w:w="641" w:type="dxa"/>
            <w:gridSpan w:val="2"/>
            <w:tcBorders>
              <w:top w:val="nil"/>
              <w:left w:val="nil"/>
              <w:bottom w:val="nil"/>
              <w:right w:val="double" w:sz="6" w:space="0" w:color="auto"/>
            </w:tcBorders>
            <w:shd w:val="clear" w:color="auto" w:fill="auto"/>
            <w:noWrap/>
            <w:vAlign w:val="center"/>
            <w:hideMark/>
          </w:tcPr>
          <w:p w14:paraId="4856D102"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1.85</w:t>
            </w:r>
          </w:p>
        </w:tc>
        <w:tc>
          <w:tcPr>
            <w:tcW w:w="633" w:type="dxa"/>
            <w:tcBorders>
              <w:top w:val="nil"/>
              <w:left w:val="nil"/>
              <w:bottom w:val="nil"/>
              <w:right w:val="nil"/>
            </w:tcBorders>
            <w:shd w:val="clear" w:color="auto" w:fill="auto"/>
            <w:noWrap/>
            <w:vAlign w:val="center"/>
            <w:hideMark/>
          </w:tcPr>
          <w:p w14:paraId="459D07A8"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343B7EE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0B4E3D79"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81611A1"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$200,000 or more</w:t>
            </w:r>
          </w:p>
        </w:tc>
        <w:tc>
          <w:tcPr>
            <w:tcW w:w="682" w:type="dxa"/>
            <w:tcBorders>
              <w:left w:val="double" w:sz="6" w:space="0" w:color="auto"/>
            </w:tcBorders>
            <w:vAlign w:val="center"/>
          </w:tcPr>
          <w:p w14:paraId="51AF09A8"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-0.106</w:t>
            </w:r>
          </w:p>
        </w:tc>
        <w:tc>
          <w:tcPr>
            <w:tcW w:w="594" w:type="dxa"/>
            <w:vAlign w:val="center"/>
          </w:tcPr>
          <w:p w14:paraId="43124667"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-2.87</w:t>
            </w:r>
          </w:p>
        </w:tc>
        <w:tc>
          <w:tcPr>
            <w:tcW w:w="596" w:type="dxa"/>
            <w:vAlign w:val="center"/>
          </w:tcPr>
          <w:p w14:paraId="2F23A520"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05828FF3"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7CD91026"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w:t>
            </w:r>
            <w:r w:rsidR="00F27729" w:rsidRPr="00FC5290">
              <w:rPr>
                <w:rFonts w:eastAsia="Times New Roman" w:cs="Times New Roman"/>
                <w:sz w:val="20"/>
                <w:szCs w:val="20"/>
              </w:rPr>
              <w:t>883</w:t>
            </w:r>
          </w:p>
        </w:tc>
        <w:tc>
          <w:tcPr>
            <w:tcW w:w="674" w:type="dxa"/>
            <w:tcBorders>
              <w:top w:val="nil"/>
              <w:left w:val="nil"/>
              <w:bottom w:val="nil"/>
              <w:right w:val="nil"/>
            </w:tcBorders>
            <w:shd w:val="clear" w:color="auto" w:fill="auto"/>
            <w:noWrap/>
            <w:vAlign w:val="center"/>
            <w:hideMark/>
          </w:tcPr>
          <w:p w14:paraId="2E4D8ED2"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7.2</w:t>
            </w:r>
            <w:r w:rsidR="00F27729" w:rsidRPr="00FC5290">
              <w:rPr>
                <w:rFonts w:eastAsia="Times New Roman" w:cs="Times New Roman"/>
                <w:sz w:val="20"/>
                <w:szCs w:val="20"/>
              </w:rPr>
              <w:t>7</w:t>
            </w:r>
          </w:p>
        </w:tc>
        <w:tc>
          <w:tcPr>
            <w:tcW w:w="714" w:type="dxa"/>
            <w:tcBorders>
              <w:top w:val="nil"/>
              <w:left w:val="double" w:sz="6" w:space="0" w:color="auto"/>
              <w:bottom w:val="nil"/>
              <w:right w:val="nil"/>
            </w:tcBorders>
            <w:shd w:val="clear" w:color="auto" w:fill="auto"/>
            <w:noWrap/>
            <w:vAlign w:val="center"/>
            <w:hideMark/>
          </w:tcPr>
          <w:p w14:paraId="706CE26E"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0.9</w:t>
            </w:r>
            <w:r w:rsidR="00945BC9" w:rsidRPr="00FC5290">
              <w:rPr>
                <w:rFonts w:eastAsia="Times New Roman" w:cs="Times New Roman"/>
                <w:sz w:val="20"/>
                <w:szCs w:val="20"/>
              </w:rPr>
              <w:t>13</w:t>
            </w:r>
          </w:p>
        </w:tc>
        <w:tc>
          <w:tcPr>
            <w:tcW w:w="548" w:type="dxa"/>
            <w:tcBorders>
              <w:top w:val="nil"/>
              <w:left w:val="nil"/>
              <w:bottom w:val="nil"/>
              <w:right w:val="nil"/>
            </w:tcBorders>
            <w:shd w:val="clear" w:color="auto" w:fill="auto"/>
            <w:noWrap/>
            <w:vAlign w:val="center"/>
            <w:hideMark/>
          </w:tcPr>
          <w:p w14:paraId="1C37957E"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w:t>
            </w:r>
            <w:r w:rsidR="00945BC9" w:rsidRPr="00FC5290">
              <w:rPr>
                <w:rFonts w:eastAsia="Times New Roman" w:cs="Times New Roman"/>
                <w:sz w:val="20"/>
                <w:szCs w:val="20"/>
              </w:rPr>
              <w:t>5</w:t>
            </w:r>
            <w:r w:rsidRPr="00FC5290">
              <w:rPr>
                <w:rFonts w:eastAsia="Times New Roman" w:cs="Times New Roman"/>
                <w:sz w:val="20"/>
                <w:szCs w:val="20"/>
              </w:rPr>
              <w:t>.</w:t>
            </w:r>
            <w:r w:rsidR="00945BC9" w:rsidRPr="00FC5290">
              <w:rPr>
                <w:rFonts w:eastAsia="Times New Roman" w:cs="Times New Roman"/>
                <w:sz w:val="20"/>
                <w:szCs w:val="20"/>
              </w:rPr>
              <w:t>35</w:t>
            </w:r>
          </w:p>
        </w:tc>
        <w:tc>
          <w:tcPr>
            <w:tcW w:w="706" w:type="dxa"/>
            <w:tcBorders>
              <w:top w:val="nil"/>
              <w:left w:val="nil"/>
              <w:bottom w:val="nil"/>
              <w:right w:val="nil"/>
            </w:tcBorders>
            <w:shd w:val="clear" w:color="auto" w:fill="auto"/>
            <w:noWrap/>
            <w:vAlign w:val="center"/>
            <w:hideMark/>
          </w:tcPr>
          <w:p w14:paraId="1B6EBC3F"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0.434</w:t>
            </w:r>
          </w:p>
        </w:tc>
        <w:tc>
          <w:tcPr>
            <w:tcW w:w="641" w:type="dxa"/>
            <w:gridSpan w:val="2"/>
            <w:tcBorders>
              <w:top w:val="nil"/>
              <w:left w:val="nil"/>
              <w:bottom w:val="nil"/>
              <w:right w:val="double" w:sz="6" w:space="0" w:color="auto"/>
            </w:tcBorders>
            <w:shd w:val="clear" w:color="auto" w:fill="auto"/>
            <w:noWrap/>
            <w:vAlign w:val="center"/>
            <w:hideMark/>
          </w:tcPr>
          <w:p w14:paraId="02387C94"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1.96</w:t>
            </w:r>
          </w:p>
        </w:tc>
        <w:tc>
          <w:tcPr>
            <w:tcW w:w="633" w:type="dxa"/>
            <w:tcBorders>
              <w:top w:val="nil"/>
              <w:left w:val="nil"/>
              <w:bottom w:val="nil"/>
              <w:right w:val="nil"/>
            </w:tcBorders>
            <w:shd w:val="clear" w:color="auto" w:fill="auto"/>
            <w:noWrap/>
            <w:vAlign w:val="center"/>
            <w:hideMark/>
          </w:tcPr>
          <w:p w14:paraId="4C0FFC60"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w:t>
            </w:r>
            <w:r w:rsidR="00F27729" w:rsidRPr="00FC5290">
              <w:rPr>
                <w:rFonts w:eastAsia="Times New Roman" w:cs="Times New Roman"/>
                <w:sz w:val="20"/>
                <w:szCs w:val="20"/>
              </w:rPr>
              <w:t>427</w:t>
            </w:r>
          </w:p>
        </w:tc>
        <w:tc>
          <w:tcPr>
            <w:tcW w:w="613" w:type="dxa"/>
            <w:tcBorders>
              <w:top w:val="nil"/>
              <w:left w:val="nil"/>
              <w:bottom w:val="nil"/>
              <w:right w:val="double" w:sz="6" w:space="0" w:color="auto"/>
            </w:tcBorders>
            <w:shd w:val="clear" w:color="auto" w:fill="auto"/>
            <w:noWrap/>
            <w:vAlign w:val="center"/>
            <w:hideMark/>
          </w:tcPr>
          <w:p w14:paraId="1C51DB14" w14:textId="77777777" w:rsidR="000C5906" w:rsidRPr="00FC5290" w:rsidRDefault="00F27729"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3.37</w:t>
            </w:r>
          </w:p>
        </w:tc>
      </w:tr>
      <w:tr w:rsidR="00FC5290" w:rsidRPr="000C71E9" w14:paraId="3185C0BE"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53990F11" w14:textId="77777777" w:rsidR="000C5906" w:rsidRPr="00FC5290" w:rsidRDefault="000C5906" w:rsidP="000C5906">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Household composition (multi-worker)</w:t>
            </w:r>
          </w:p>
        </w:tc>
        <w:tc>
          <w:tcPr>
            <w:tcW w:w="682" w:type="dxa"/>
            <w:tcBorders>
              <w:left w:val="double" w:sz="6" w:space="0" w:color="auto"/>
            </w:tcBorders>
            <w:vAlign w:val="center"/>
          </w:tcPr>
          <w:p w14:paraId="31E3DD49"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vAlign w:val="center"/>
          </w:tcPr>
          <w:p w14:paraId="0DAD18C2"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6" w:type="dxa"/>
            <w:vAlign w:val="center"/>
          </w:tcPr>
          <w:p w14:paraId="449B78C8"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1B75743D"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03F90B00"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0427B361" w14:textId="77777777" w:rsidR="000C5906" w:rsidRPr="00FC5290" w:rsidRDefault="000C5906" w:rsidP="00FC5290">
            <w:pPr>
              <w:tabs>
                <w:tab w:val="decimal" w:pos="246"/>
              </w:tabs>
              <w:spacing w:line="240" w:lineRule="auto"/>
              <w:jc w:val="right"/>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02194272"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1E16B75A"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6884CA6B"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495649BB" w14:textId="77777777" w:rsidR="000C5906" w:rsidRPr="00FC5290" w:rsidRDefault="000C5906" w:rsidP="00FC5290">
            <w:pPr>
              <w:tabs>
                <w:tab w:val="decimal" w:pos="150"/>
              </w:tabs>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0E576321"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49829472"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0989F987"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733FFF01"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Single person </w:t>
            </w:r>
          </w:p>
        </w:tc>
        <w:tc>
          <w:tcPr>
            <w:tcW w:w="682" w:type="dxa"/>
            <w:tcBorders>
              <w:left w:val="double" w:sz="6" w:space="0" w:color="auto"/>
            </w:tcBorders>
            <w:vAlign w:val="center"/>
          </w:tcPr>
          <w:p w14:paraId="7926BC3A"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-0.106</w:t>
            </w:r>
          </w:p>
        </w:tc>
        <w:tc>
          <w:tcPr>
            <w:tcW w:w="594" w:type="dxa"/>
            <w:vAlign w:val="center"/>
          </w:tcPr>
          <w:p w14:paraId="5E0FE871"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-2.52</w:t>
            </w:r>
          </w:p>
        </w:tc>
        <w:tc>
          <w:tcPr>
            <w:tcW w:w="596" w:type="dxa"/>
            <w:vAlign w:val="center"/>
          </w:tcPr>
          <w:p w14:paraId="23551C22"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0.189</w:t>
            </w:r>
          </w:p>
        </w:tc>
        <w:tc>
          <w:tcPr>
            <w:tcW w:w="594" w:type="dxa"/>
            <w:tcBorders>
              <w:right w:val="double" w:sz="6" w:space="0" w:color="auto"/>
            </w:tcBorders>
            <w:vAlign w:val="center"/>
          </w:tcPr>
          <w:p w14:paraId="1324F91B" w14:textId="77777777" w:rsidR="000C5906" w:rsidRPr="00FC5290" w:rsidRDefault="000C5906" w:rsidP="00FC5290">
            <w:pPr>
              <w:tabs>
                <w:tab w:val="decimal" w:pos="150"/>
              </w:tabs>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3.74</w:t>
            </w:r>
          </w:p>
        </w:tc>
        <w:tc>
          <w:tcPr>
            <w:tcW w:w="682" w:type="dxa"/>
            <w:tcBorders>
              <w:top w:val="nil"/>
              <w:left w:val="double" w:sz="6" w:space="0" w:color="auto"/>
              <w:bottom w:val="nil"/>
              <w:right w:val="nil"/>
            </w:tcBorders>
            <w:shd w:val="clear" w:color="auto" w:fill="auto"/>
            <w:noWrap/>
            <w:vAlign w:val="center"/>
            <w:hideMark/>
          </w:tcPr>
          <w:p w14:paraId="0C752F7E"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0.5</w:t>
            </w:r>
            <w:r w:rsidR="00F27729" w:rsidRPr="00FC5290">
              <w:rPr>
                <w:rFonts w:eastAsia="Times New Roman" w:cs="Times New Roman"/>
                <w:sz w:val="20"/>
                <w:szCs w:val="20"/>
              </w:rPr>
              <w:t>32</w:t>
            </w:r>
          </w:p>
        </w:tc>
        <w:tc>
          <w:tcPr>
            <w:tcW w:w="674" w:type="dxa"/>
            <w:tcBorders>
              <w:top w:val="nil"/>
              <w:left w:val="nil"/>
              <w:bottom w:val="nil"/>
              <w:right w:val="nil"/>
            </w:tcBorders>
            <w:shd w:val="clear" w:color="auto" w:fill="auto"/>
            <w:noWrap/>
            <w:vAlign w:val="center"/>
            <w:hideMark/>
          </w:tcPr>
          <w:p w14:paraId="06ABAE79"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6.</w:t>
            </w:r>
            <w:r w:rsidR="00F27729" w:rsidRPr="00FC5290">
              <w:rPr>
                <w:rFonts w:eastAsia="Times New Roman" w:cs="Times New Roman"/>
                <w:sz w:val="20"/>
                <w:szCs w:val="20"/>
              </w:rPr>
              <w:t>22</w:t>
            </w:r>
          </w:p>
        </w:tc>
        <w:tc>
          <w:tcPr>
            <w:tcW w:w="714" w:type="dxa"/>
            <w:tcBorders>
              <w:top w:val="nil"/>
              <w:left w:val="double" w:sz="6" w:space="0" w:color="auto"/>
              <w:bottom w:val="nil"/>
              <w:right w:val="nil"/>
            </w:tcBorders>
            <w:shd w:val="clear" w:color="auto" w:fill="auto"/>
            <w:noWrap/>
            <w:vAlign w:val="center"/>
            <w:hideMark/>
          </w:tcPr>
          <w:p w14:paraId="03510631"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0.3</w:t>
            </w:r>
            <w:r w:rsidR="00945BC9" w:rsidRPr="00FC5290">
              <w:rPr>
                <w:rFonts w:eastAsia="Times New Roman" w:cs="Times New Roman"/>
                <w:sz w:val="20"/>
                <w:szCs w:val="20"/>
              </w:rPr>
              <w:t>86</w:t>
            </w:r>
          </w:p>
        </w:tc>
        <w:tc>
          <w:tcPr>
            <w:tcW w:w="548" w:type="dxa"/>
            <w:tcBorders>
              <w:top w:val="nil"/>
              <w:left w:val="nil"/>
              <w:bottom w:val="nil"/>
              <w:right w:val="nil"/>
            </w:tcBorders>
            <w:shd w:val="clear" w:color="auto" w:fill="auto"/>
            <w:noWrap/>
            <w:vAlign w:val="center"/>
            <w:hideMark/>
          </w:tcPr>
          <w:p w14:paraId="56673C0C" w14:textId="77777777" w:rsidR="000C5906" w:rsidRPr="00FC5290" w:rsidRDefault="00945BC9"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8.50</w:t>
            </w:r>
          </w:p>
        </w:tc>
        <w:tc>
          <w:tcPr>
            <w:tcW w:w="706" w:type="dxa"/>
            <w:tcBorders>
              <w:top w:val="nil"/>
              <w:left w:val="nil"/>
              <w:bottom w:val="nil"/>
              <w:right w:val="nil"/>
            </w:tcBorders>
            <w:shd w:val="clear" w:color="auto" w:fill="auto"/>
            <w:noWrap/>
            <w:vAlign w:val="center"/>
            <w:hideMark/>
          </w:tcPr>
          <w:p w14:paraId="517785AE"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hideMark/>
          </w:tcPr>
          <w:p w14:paraId="71505593" w14:textId="77777777" w:rsidR="000C5906" w:rsidRPr="00FC5290" w:rsidRDefault="000C5906" w:rsidP="00FC5290">
            <w:pPr>
              <w:tabs>
                <w:tab w:val="decimal" w:pos="150"/>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31EFE1C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5AB5BFBF"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3D1DBF1C"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D365C2E"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Single worker multi-person </w:t>
            </w:r>
          </w:p>
        </w:tc>
        <w:tc>
          <w:tcPr>
            <w:tcW w:w="682" w:type="dxa"/>
            <w:tcBorders>
              <w:left w:val="double" w:sz="6" w:space="0" w:color="auto"/>
            </w:tcBorders>
            <w:vAlign w:val="center"/>
          </w:tcPr>
          <w:p w14:paraId="797B03A9"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vAlign w:val="center"/>
          </w:tcPr>
          <w:p w14:paraId="7F485803"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6" w:type="dxa"/>
            <w:vAlign w:val="center"/>
          </w:tcPr>
          <w:p w14:paraId="15656168"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594" w:type="dxa"/>
            <w:tcBorders>
              <w:right w:val="double" w:sz="6" w:space="0" w:color="auto"/>
            </w:tcBorders>
            <w:vAlign w:val="center"/>
          </w:tcPr>
          <w:p w14:paraId="6D567F10" w14:textId="77777777" w:rsidR="000C5906" w:rsidRPr="00FC5290" w:rsidRDefault="000C5906" w:rsidP="00FC5290">
            <w:pPr>
              <w:tabs>
                <w:tab w:val="decimal" w:pos="150"/>
              </w:tabs>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w:t>
            </w:r>
          </w:p>
        </w:tc>
        <w:tc>
          <w:tcPr>
            <w:tcW w:w="682" w:type="dxa"/>
            <w:tcBorders>
              <w:top w:val="nil"/>
              <w:left w:val="double" w:sz="6" w:space="0" w:color="auto"/>
              <w:bottom w:val="nil"/>
              <w:right w:val="nil"/>
            </w:tcBorders>
            <w:shd w:val="clear" w:color="auto" w:fill="auto"/>
            <w:noWrap/>
            <w:vAlign w:val="center"/>
            <w:hideMark/>
          </w:tcPr>
          <w:p w14:paraId="2A557011"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1.6</w:t>
            </w:r>
            <w:r w:rsidR="00F27729" w:rsidRPr="00FC5290">
              <w:rPr>
                <w:rFonts w:eastAsia="Times New Roman" w:cs="Times New Roman"/>
                <w:sz w:val="20"/>
                <w:szCs w:val="20"/>
              </w:rPr>
              <w:t>38</w:t>
            </w:r>
          </w:p>
        </w:tc>
        <w:tc>
          <w:tcPr>
            <w:tcW w:w="674" w:type="dxa"/>
            <w:tcBorders>
              <w:top w:val="nil"/>
              <w:left w:val="nil"/>
              <w:bottom w:val="nil"/>
              <w:right w:val="nil"/>
            </w:tcBorders>
            <w:shd w:val="clear" w:color="auto" w:fill="auto"/>
            <w:noWrap/>
            <w:vAlign w:val="center"/>
            <w:hideMark/>
          </w:tcPr>
          <w:p w14:paraId="2AB8FB58"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15.</w:t>
            </w:r>
            <w:r w:rsidR="00F27729" w:rsidRPr="00FC5290">
              <w:rPr>
                <w:rFonts w:eastAsia="Times New Roman" w:cs="Times New Roman"/>
                <w:sz w:val="20"/>
                <w:szCs w:val="20"/>
              </w:rPr>
              <w:t>94</w:t>
            </w:r>
          </w:p>
        </w:tc>
        <w:tc>
          <w:tcPr>
            <w:tcW w:w="714" w:type="dxa"/>
            <w:tcBorders>
              <w:top w:val="nil"/>
              <w:left w:val="double" w:sz="6" w:space="0" w:color="auto"/>
              <w:bottom w:val="nil"/>
              <w:right w:val="nil"/>
            </w:tcBorders>
            <w:shd w:val="clear" w:color="auto" w:fill="auto"/>
            <w:noWrap/>
            <w:vAlign w:val="center"/>
            <w:hideMark/>
          </w:tcPr>
          <w:p w14:paraId="158F172B"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-0.1</w:t>
            </w:r>
            <w:r w:rsidR="00945BC9" w:rsidRPr="00FC5290">
              <w:rPr>
                <w:rFonts w:eastAsia="Times New Roman" w:cs="Times New Roman"/>
                <w:sz w:val="20"/>
                <w:szCs w:val="20"/>
              </w:rPr>
              <w:t>76</w:t>
            </w:r>
          </w:p>
        </w:tc>
        <w:tc>
          <w:tcPr>
            <w:tcW w:w="548" w:type="dxa"/>
            <w:tcBorders>
              <w:top w:val="nil"/>
              <w:left w:val="nil"/>
              <w:bottom w:val="nil"/>
              <w:right w:val="nil"/>
            </w:tcBorders>
            <w:shd w:val="clear" w:color="auto" w:fill="auto"/>
            <w:noWrap/>
            <w:vAlign w:val="center"/>
            <w:hideMark/>
          </w:tcPr>
          <w:p w14:paraId="2D7888F1"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w:t>
            </w:r>
            <w:r w:rsidR="00945BC9" w:rsidRPr="00FC5290">
              <w:rPr>
                <w:rFonts w:eastAsia="Times New Roman" w:cs="Times New Roman"/>
                <w:sz w:val="20"/>
                <w:szCs w:val="20"/>
              </w:rPr>
              <w:t>2.94</w:t>
            </w:r>
          </w:p>
        </w:tc>
        <w:tc>
          <w:tcPr>
            <w:tcW w:w="706" w:type="dxa"/>
            <w:tcBorders>
              <w:top w:val="nil"/>
              <w:left w:val="nil"/>
              <w:bottom w:val="nil"/>
              <w:right w:val="nil"/>
            </w:tcBorders>
            <w:shd w:val="clear" w:color="auto" w:fill="auto"/>
            <w:noWrap/>
            <w:vAlign w:val="center"/>
            <w:hideMark/>
          </w:tcPr>
          <w:p w14:paraId="042A417F"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-0.</w:t>
            </w:r>
            <w:r w:rsidR="00945BC9" w:rsidRPr="00FC5290">
              <w:rPr>
                <w:rFonts w:eastAsia="Times New Roman" w:cs="Times New Roman"/>
                <w:sz w:val="20"/>
                <w:szCs w:val="20"/>
              </w:rPr>
              <w:t>243</w:t>
            </w:r>
          </w:p>
        </w:tc>
        <w:tc>
          <w:tcPr>
            <w:tcW w:w="641" w:type="dxa"/>
            <w:gridSpan w:val="2"/>
            <w:tcBorders>
              <w:top w:val="nil"/>
              <w:left w:val="nil"/>
              <w:bottom w:val="nil"/>
              <w:right w:val="double" w:sz="6" w:space="0" w:color="auto"/>
            </w:tcBorders>
            <w:shd w:val="clear" w:color="auto" w:fill="auto"/>
            <w:noWrap/>
            <w:vAlign w:val="center"/>
            <w:hideMark/>
          </w:tcPr>
          <w:p w14:paraId="641F6499" w14:textId="77777777" w:rsidR="000C5906" w:rsidRPr="00FC5290" w:rsidRDefault="000C5906" w:rsidP="00FC5290">
            <w:pPr>
              <w:tabs>
                <w:tab w:val="decimal" w:pos="150"/>
              </w:tabs>
              <w:spacing w:line="240" w:lineRule="auto"/>
              <w:jc w:val="right"/>
              <w:rPr>
                <w:rFonts w:eastAsia="Times New Roman" w:cs="Times New Roman"/>
                <w:sz w:val="20"/>
                <w:szCs w:val="20"/>
              </w:rPr>
            </w:pPr>
            <w:r w:rsidRPr="00FC5290">
              <w:rPr>
                <w:rFonts w:eastAsia="Times New Roman" w:cs="Times New Roman"/>
                <w:sz w:val="20"/>
                <w:szCs w:val="20"/>
              </w:rPr>
              <w:t>-</w:t>
            </w:r>
            <w:r w:rsidR="00945BC9" w:rsidRPr="00FC5290">
              <w:rPr>
                <w:rFonts w:eastAsia="Times New Roman" w:cs="Times New Roman"/>
                <w:sz w:val="20"/>
                <w:szCs w:val="20"/>
              </w:rPr>
              <w:t>2.25</w:t>
            </w:r>
          </w:p>
        </w:tc>
        <w:tc>
          <w:tcPr>
            <w:tcW w:w="633" w:type="dxa"/>
            <w:tcBorders>
              <w:top w:val="nil"/>
              <w:left w:val="nil"/>
              <w:bottom w:val="nil"/>
              <w:right w:val="nil"/>
            </w:tcBorders>
            <w:shd w:val="clear" w:color="auto" w:fill="auto"/>
            <w:noWrap/>
            <w:vAlign w:val="center"/>
            <w:hideMark/>
          </w:tcPr>
          <w:p w14:paraId="23633C04"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310237A7"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0F5317C0"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9396CEA" w14:textId="77777777" w:rsidR="000C5906" w:rsidRPr="00FC5290" w:rsidRDefault="000C5906" w:rsidP="000C5906">
            <w:pPr>
              <w:spacing w:line="240" w:lineRule="auto"/>
              <w:jc w:val="left"/>
              <w:rPr>
                <w:rFonts w:eastAsia="Times New Roman" w:cs="Times New Roman"/>
                <w:i/>
                <w:iCs/>
                <w:color w:val="000000"/>
                <w:sz w:val="20"/>
                <w:szCs w:val="20"/>
              </w:rPr>
            </w:pPr>
            <w:r w:rsidRPr="00FC5290">
              <w:rPr>
                <w:rFonts w:eastAsia="Times New Roman" w:cs="Times New Roman"/>
                <w:i/>
                <w:iCs/>
                <w:color w:val="000000"/>
                <w:sz w:val="20"/>
                <w:szCs w:val="20"/>
              </w:rPr>
              <w:t>Endogenous effects</w:t>
            </w:r>
          </w:p>
        </w:tc>
        <w:tc>
          <w:tcPr>
            <w:tcW w:w="682" w:type="dxa"/>
            <w:tcBorders>
              <w:left w:val="double" w:sz="6" w:space="0" w:color="auto"/>
            </w:tcBorders>
            <w:vAlign w:val="center"/>
          </w:tcPr>
          <w:p w14:paraId="6B141B61" w14:textId="77777777" w:rsidR="000C5906" w:rsidRPr="00FC5290" w:rsidRDefault="000C5906" w:rsidP="00FC5290">
            <w:pPr>
              <w:spacing w:line="240" w:lineRule="auto"/>
              <w:jc w:val="right"/>
              <w:rPr>
                <w:rFonts w:eastAsia="Times New Roman" w:cs="Times New Roman"/>
                <w:color w:val="000000"/>
                <w:sz w:val="20"/>
                <w:szCs w:val="20"/>
              </w:rPr>
            </w:pPr>
          </w:p>
        </w:tc>
        <w:tc>
          <w:tcPr>
            <w:tcW w:w="594" w:type="dxa"/>
            <w:vAlign w:val="center"/>
          </w:tcPr>
          <w:p w14:paraId="7D6B584A" w14:textId="77777777" w:rsidR="000C5906" w:rsidRPr="00FC5290" w:rsidRDefault="000C5906" w:rsidP="00FC5290">
            <w:pPr>
              <w:spacing w:line="240" w:lineRule="auto"/>
              <w:jc w:val="right"/>
              <w:rPr>
                <w:rFonts w:eastAsia="Times New Roman" w:cs="Times New Roman"/>
                <w:color w:val="000000"/>
                <w:sz w:val="20"/>
                <w:szCs w:val="20"/>
              </w:rPr>
            </w:pPr>
          </w:p>
        </w:tc>
        <w:tc>
          <w:tcPr>
            <w:tcW w:w="596" w:type="dxa"/>
            <w:vAlign w:val="center"/>
          </w:tcPr>
          <w:p w14:paraId="1A26F90F" w14:textId="77777777" w:rsidR="000C5906" w:rsidRPr="00FC5290" w:rsidRDefault="000C5906" w:rsidP="00FC5290">
            <w:pPr>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642D76C2" w14:textId="77777777" w:rsidR="000C5906" w:rsidRPr="00FC5290" w:rsidRDefault="000C5906" w:rsidP="00FC5290">
            <w:pPr>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3F31E72A"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674" w:type="dxa"/>
            <w:tcBorders>
              <w:top w:val="nil"/>
              <w:left w:val="nil"/>
              <w:bottom w:val="nil"/>
              <w:right w:val="nil"/>
            </w:tcBorders>
            <w:shd w:val="clear" w:color="auto" w:fill="auto"/>
            <w:noWrap/>
            <w:vAlign w:val="center"/>
            <w:hideMark/>
          </w:tcPr>
          <w:p w14:paraId="787E054E"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714" w:type="dxa"/>
            <w:tcBorders>
              <w:top w:val="nil"/>
              <w:left w:val="double" w:sz="6" w:space="0" w:color="auto"/>
              <w:bottom w:val="nil"/>
              <w:right w:val="nil"/>
            </w:tcBorders>
            <w:shd w:val="clear" w:color="auto" w:fill="auto"/>
            <w:noWrap/>
            <w:vAlign w:val="center"/>
            <w:hideMark/>
          </w:tcPr>
          <w:p w14:paraId="159E7361" w14:textId="77777777" w:rsidR="000C5906" w:rsidRPr="00FC5290" w:rsidRDefault="000C5906" w:rsidP="00FC5290">
            <w:pPr>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7ABD1565" w14:textId="77777777" w:rsidR="000C5906" w:rsidRPr="00FC5290" w:rsidRDefault="000C5906" w:rsidP="00FC5290">
            <w:pPr>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42EAB6A2" w14:textId="77777777" w:rsidR="000C5906" w:rsidRPr="00FC5290" w:rsidRDefault="000C5906" w:rsidP="00FC5290">
            <w:pPr>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416D30E7" w14:textId="77777777" w:rsidR="000C5906" w:rsidRPr="00FC5290" w:rsidRDefault="000C5906" w:rsidP="00FC5290">
            <w:pPr>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14F9F5C6"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c>
          <w:tcPr>
            <w:tcW w:w="613" w:type="dxa"/>
            <w:tcBorders>
              <w:top w:val="nil"/>
              <w:left w:val="nil"/>
              <w:bottom w:val="nil"/>
              <w:right w:val="double" w:sz="6" w:space="0" w:color="auto"/>
            </w:tcBorders>
            <w:shd w:val="clear" w:color="auto" w:fill="auto"/>
            <w:noWrap/>
            <w:vAlign w:val="center"/>
            <w:hideMark/>
          </w:tcPr>
          <w:p w14:paraId="545656F7" w14:textId="77777777" w:rsidR="000C5906" w:rsidRPr="00FC5290" w:rsidRDefault="000C5906" w:rsidP="00FC5290">
            <w:pPr>
              <w:tabs>
                <w:tab w:val="decimal" w:pos="282"/>
              </w:tabs>
              <w:spacing w:line="240" w:lineRule="auto"/>
              <w:jc w:val="center"/>
              <w:rPr>
                <w:rFonts w:eastAsia="Times New Roman" w:cs="Times New Roman"/>
                <w:color w:val="943634" w:themeColor="accent2" w:themeShade="BF"/>
                <w:sz w:val="20"/>
                <w:szCs w:val="20"/>
              </w:rPr>
            </w:pPr>
          </w:p>
        </w:tc>
      </w:tr>
      <w:tr w:rsidR="00FC5290" w:rsidRPr="000C71E9" w14:paraId="0EB29544"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1C2E850" w14:textId="0792D60B" w:rsidR="000C5906" w:rsidRPr="00FC5290" w:rsidRDefault="000C5906" w:rsidP="000C5906">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 xml:space="preserve">Residential location </w:t>
            </w:r>
            <w:r w:rsidR="00631849" w:rsidRPr="00FC5290">
              <w:rPr>
                <w:rFonts w:eastAsia="Times New Roman" w:cs="Times New Roman"/>
                <w:b/>
                <w:bCs/>
                <w:color w:val="000000"/>
                <w:sz w:val="20"/>
                <w:szCs w:val="20"/>
              </w:rPr>
              <w:t>(rural</w:t>
            </w:r>
            <w:r w:rsidRPr="00FC5290">
              <w:rPr>
                <w:rFonts w:eastAsia="Times New Roman" w:cs="Times New Roman"/>
                <w:b/>
                <w:bCs/>
                <w:color w:val="000000"/>
                <w:sz w:val="20"/>
                <w:szCs w:val="20"/>
              </w:rPr>
              <w:t>)</w:t>
            </w:r>
          </w:p>
        </w:tc>
        <w:tc>
          <w:tcPr>
            <w:tcW w:w="682" w:type="dxa"/>
            <w:tcBorders>
              <w:left w:val="double" w:sz="6" w:space="0" w:color="auto"/>
            </w:tcBorders>
            <w:vAlign w:val="center"/>
          </w:tcPr>
          <w:p w14:paraId="2D56E416" w14:textId="77777777" w:rsidR="000C5906" w:rsidRPr="00FC5290" w:rsidRDefault="000C5906" w:rsidP="00FC5290">
            <w:pPr>
              <w:spacing w:line="240" w:lineRule="auto"/>
              <w:jc w:val="right"/>
              <w:rPr>
                <w:rFonts w:eastAsia="Times New Roman" w:cs="Times New Roman"/>
                <w:color w:val="000000"/>
                <w:sz w:val="20"/>
                <w:szCs w:val="20"/>
              </w:rPr>
            </w:pPr>
          </w:p>
        </w:tc>
        <w:tc>
          <w:tcPr>
            <w:tcW w:w="594" w:type="dxa"/>
            <w:vAlign w:val="center"/>
          </w:tcPr>
          <w:p w14:paraId="7978DB1C" w14:textId="77777777" w:rsidR="000C5906" w:rsidRPr="00FC5290" w:rsidRDefault="000C5906" w:rsidP="00FC5290">
            <w:pPr>
              <w:spacing w:line="240" w:lineRule="auto"/>
              <w:jc w:val="right"/>
              <w:rPr>
                <w:rFonts w:eastAsia="Times New Roman" w:cs="Times New Roman"/>
                <w:color w:val="000000"/>
                <w:sz w:val="20"/>
                <w:szCs w:val="20"/>
              </w:rPr>
            </w:pPr>
          </w:p>
        </w:tc>
        <w:tc>
          <w:tcPr>
            <w:tcW w:w="596" w:type="dxa"/>
            <w:vAlign w:val="center"/>
          </w:tcPr>
          <w:p w14:paraId="2C7ABE14" w14:textId="77777777" w:rsidR="000C5906" w:rsidRPr="00FC5290" w:rsidRDefault="000C5906" w:rsidP="00FC5290">
            <w:pPr>
              <w:spacing w:line="240" w:lineRule="auto"/>
              <w:jc w:val="right"/>
              <w:rPr>
                <w:rFonts w:eastAsia="Times New Roman" w:cs="Times New Roman"/>
                <w:color w:val="000000"/>
                <w:sz w:val="20"/>
                <w:szCs w:val="20"/>
              </w:rPr>
            </w:pPr>
          </w:p>
        </w:tc>
        <w:tc>
          <w:tcPr>
            <w:tcW w:w="594" w:type="dxa"/>
            <w:tcBorders>
              <w:right w:val="double" w:sz="6" w:space="0" w:color="auto"/>
            </w:tcBorders>
            <w:vAlign w:val="center"/>
          </w:tcPr>
          <w:p w14:paraId="7BDAD74F" w14:textId="77777777" w:rsidR="000C5906" w:rsidRPr="00FC5290" w:rsidRDefault="000C5906" w:rsidP="00FC5290">
            <w:pPr>
              <w:spacing w:line="240" w:lineRule="auto"/>
              <w:jc w:val="right"/>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1582EDEF"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674" w:type="dxa"/>
            <w:tcBorders>
              <w:top w:val="nil"/>
              <w:left w:val="nil"/>
              <w:bottom w:val="nil"/>
              <w:right w:val="nil"/>
            </w:tcBorders>
            <w:shd w:val="clear" w:color="auto" w:fill="auto"/>
            <w:noWrap/>
            <w:vAlign w:val="center"/>
            <w:hideMark/>
          </w:tcPr>
          <w:p w14:paraId="5AEEA398"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714" w:type="dxa"/>
            <w:tcBorders>
              <w:top w:val="nil"/>
              <w:left w:val="double" w:sz="6" w:space="0" w:color="auto"/>
              <w:bottom w:val="nil"/>
              <w:right w:val="nil"/>
            </w:tcBorders>
            <w:shd w:val="clear" w:color="auto" w:fill="auto"/>
            <w:noWrap/>
            <w:vAlign w:val="center"/>
            <w:hideMark/>
          </w:tcPr>
          <w:p w14:paraId="1006D9C9" w14:textId="77777777" w:rsidR="000C5906" w:rsidRPr="00FC5290" w:rsidRDefault="000C5906" w:rsidP="00FC5290">
            <w:pPr>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hideMark/>
          </w:tcPr>
          <w:p w14:paraId="71DDA625" w14:textId="77777777" w:rsidR="000C5906" w:rsidRPr="00FC5290" w:rsidRDefault="000C5906" w:rsidP="00FC5290">
            <w:pPr>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hideMark/>
          </w:tcPr>
          <w:p w14:paraId="5F3BC723" w14:textId="77777777" w:rsidR="000C5906" w:rsidRPr="00FC5290" w:rsidRDefault="000C5906" w:rsidP="00FC5290">
            <w:pPr>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1353608F" w14:textId="77777777" w:rsidR="000C5906" w:rsidRPr="00FC5290" w:rsidRDefault="000C5906" w:rsidP="00FC5290">
            <w:pPr>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00AC156F" w14:textId="77777777" w:rsidR="000C5906" w:rsidRPr="00FC5290" w:rsidRDefault="000C5906" w:rsidP="00FC5290">
            <w:pPr>
              <w:tabs>
                <w:tab w:val="decimal" w:pos="282"/>
              </w:tabs>
              <w:spacing w:line="240" w:lineRule="auto"/>
              <w:jc w:val="center"/>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64BF01BD" w14:textId="77777777" w:rsidR="000C5906" w:rsidRPr="00FC5290" w:rsidRDefault="000C5906" w:rsidP="00FC5290">
            <w:pPr>
              <w:tabs>
                <w:tab w:val="decimal" w:pos="282"/>
              </w:tabs>
              <w:spacing w:line="240" w:lineRule="auto"/>
              <w:jc w:val="center"/>
              <w:rPr>
                <w:rFonts w:eastAsia="Times New Roman" w:cs="Times New Roman"/>
                <w:sz w:val="20"/>
                <w:szCs w:val="20"/>
              </w:rPr>
            </w:pPr>
          </w:p>
        </w:tc>
      </w:tr>
      <w:tr w:rsidR="00FC5290" w:rsidRPr="000C71E9" w14:paraId="0402D81B"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74151C54" w14:textId="026B0ADB"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Suburb</w:t>
            </w:r>
            <w:r w:rsidR="00631849" w:rsidRPr="00FC5290">
              <w:rPr>
                <w:rFonts w:eastAsia="Times New Roman" w:cs="Times New Roman"/>
                <w:color w:val="000000"/>
                <w:sz w:val="20"/>
                <w:szCs w:val="20"/>
              </w:rPr>
              <w:t>an</w:t>
            </w:r>
          </w:p>
        </w:tc>
        <w:tc>
          <w:tcPr>
            <w:tcW w:w="682" w:type="dxa"/>
            <w:tcBorders>
              <w:left w:val="double" w:sz="6" w:space="0" w:color="auto"/>
            </w:tcBorders>
            <w:vAlign w:val="center"/>
          </w:tcPr>
          <w:p w14:paraId="68ECBF6B"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5D786448"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6EABF406"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55BD6A29"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hideMark/>
          </w:tcPr>
          <w:p w14:paraId="5E9E9AF5"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74" w:type="dxa"/>
            <w:tcBorders>
              <w:top w:val="nil"/>
              <w:left w:val="nil"/>
              <w:bottom w:val="nil"/>
              <w:right w:val="nil"/>
            </w:tcBorders>
            <w:shd w:val="clear" w:color="auto" w:fill="auto"/>
            <w:noWrap/>
            <w:vAlign w:val="center"/>
            <w:hideMark/>
          </w:tcPr>
          <w:p w14:paraId="05AB90B5" w14:textId="77777777" w:rsidR="000C5906" w:rsidRPr="00FC5290" w:rsidRDefault="000C5906" w:rsidP="00FC5290">
            <w:pPr>
              <w:tabs>
                <w:tab w:val="decimal" w:pos="246"/>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714" w:type="dxa"/>
            <w:tcBorders>
              <w:top w:val="nil"/>
              <w:left w:val="double" w:sz="6" w:space="0" w:color="auto"/>
              <w:bottom w:val="nil"/>
              <w:right w:val="nil"/>
            </w:tcBorders>
            <w:shd w:val="clear" w:color="auto" w:fill="auto"/>
            <w:noWrap/>
            <w:vAlign w:val="center"/>
            <w:hideMark/>
          </w:tcPr>
          <w:p w14:paraId="21DB3238"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0.3</w:t>
            </w:r>
            <w:r w:rsidR="00945BC9" w:rsidRPr="00FC5290">
              <w:rPr>
                <w:rFonts w:eastAsia="Times New Roman" w:cs="Times New Roman"/>
                <w:sz w:val="20"/>
                <w:szCs w:val="20"/>
              </w:rPr>
              <w:t>32</w:t>
            </w:r>
          </w:p>
        </w:tc>
        <w:tc>
          <w:tcPr>
            <w:tcW w:w="548" w:type="dxa"/>
            <w:tcBorders>
              <w:top w:val="nil"/>
              <w:left w:val="nil"/>
              <w:bottom w:val="nil"/>
              <w:right w:val="nil"/>
            </w:tcBorders>
            <w:shd w:val="clear" w:color="auto" w:fill="auto"/>
            <w:noWrap/>
            <w:vAlign w:val="center"/>
            <w:hideMark/>
          </w:tcPr>
          <w:p w14:paraId="7122463D"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2.03</w:t>
            </w:r>
          </w:p>
        </w:tc>
        <w:tc>
          <w:tcPr>
            <w:tcW w:w="706" w:type="dxa"/>
            <w:tcBorders>
              <w:top w:val="nil"/>
              <w:left w:val="nil"/>
              <w:bottom w:val="nil"/>
              <w:right w:val="nil"/>
            </w:tcBorders>
            <w:shd w:val="clear" w:color="auto" w:fill="auto"/>
            <w:noWrap/>
            <w:vAlign w:val="center"/>
            <w:hideMark/>
          </w:tcPr>
          <w:p w14:paraId="4AED7F55"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0.3</w:t>
            </w:r>
            <w:r w:rsidR="00945BC9" w:rsidRPr="00FC5290">
              <w:rPr>
                <w:rFonts w:eastAsia="Times New Roman" w:cs="Times New Roman"/>
                <w:sz w:val="20"/>
                <w:szCs w:val="20"/>
              </w:rPr>
              <w:t>92</w:t>
            </w:r>
          </w:p>
        </w:tc>
        <w:tc>
          <w:tcPr>
            <w:tcW w:w="641" w:type="dxa"/>
            <w:gridSpan w:val="2"/>
            <w:tcBorders>
              <w:top w:val="nil"/>
              <w:left w:val="nil"/>
              <w:bottom w:val="nil"/>
              <w:right w:val="double" w:sz="6" w:space="0" w:color="auto"/>
            </w:tcBorders>
            <w:shd w:val="clear" w:color="auto" w:fill="auto"/>
            <w:noWrap/>
            <w:vAlign w:val="center"/>
            <w:hideMark/>
          </w:tcPr>
          <w:p w14:paraId="143AAC62"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1.93</w:t>
            </w:r>
          </w:p>
        </w:tc>
        <w:tc>
          <w:tcPr>
            <w:tcW w:w="633" w:type="dxa"/>
            <w:tcBorders>
              <w:top w:val="nil"/>
              <w:left w:val="nil"/>
              <w:bottom w:val="nil"/>
              <w:right w:val="nil"/>
            </w:tcBorders>
            <w:shd w:val="clear" w:color="auto" w:fill="auto"/>
            <w:noWrap/>
            <w:vAlign w:val="center"/>
            <w:hideMark/>
          </w:tcPr>
          <w:p w14:paraId="29F3F08A"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c>
          <w:tcPr>
            <w:tcW w:w="613" w:type="dxa"/>
            <w:tcBorders>
              <w:top w:val="nil"/>
              <w:left w:val="nil"/>
              <w:bottom w:val="nil"/>
              <w:right w:val="double" w:sz="6" w:space="0" w:color="auto"/>
            </w:tcBorders>
            <w:shd w:val="clear" w:color="auto" w:fill="auto"/>
            <w:noWrap/>
            <w:vAlign w:val="center"/>
            <w:hideMark/>
          </w:tcPr>
          <w:p w14:paraId="0E5F95CF" w14:textId="77777777" w:rsidR="000C5906" w:rsidRPr="00FC5290" w:rsidRDefault="000C5906" w:rsidP="00FC5290">
            <w:pPr>
              <w:tabs>
                <w:tab w:val="decimal" w:pos="282"/>
              </w:tabs>
              <w:spacing w:line="240" w:lineRule="auto"/>
              <w:jc w:val="center"/>
              <w:rPr>
                <w:rFonts w:eastAsia="Times New Roman" w:cs="Times New Roman"/>
                <w:sz w:val="20"/>
                <w:szCs w:val="20"/>
              </w:rPr>
            </w:pPr>
            <w:r w:rsidRPr="00FC5290">
              <w:rPr>
                <w:rFonts w:eastAsia="Times New Roman" w:cs="Times New Roman"/>
                <w:sz w:val="20"/>
                <w:szCs w:val="20"/>
              </w:rPr>
              <w:t>--</w:t>
            </w:r>
          </w:p>
        </w:tc>
      </w:tr>
      <w:tr w:rsidR="00FC5290" w:rsidRPr="000C71E9" w14:paraId="60724C8F"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7C29363B" w14:textId="070D6DE0"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w:t>
            </w:r>
            <w:r w:rsidR="00631849" w:rsidRPr="00FC5290">
              <w:rPr>
                <w:rFonts w:eastAsia="Times New Roman" w:cs="Times New Roman"/>
                <w:color w:val="000000"/>
                <w:sz w:val="20"/>
                <w:szCs w:val="20"/>
              </w:rPr>
              <w:t>U</w:t>
            </w:r>
            <w:r w:rsidRPr="00FC5290">
              <w:rPr>
                <w:rFonts w:eastAsia="Times New Roman" w:cs="Times New Roman"/>
                <w:color w:val="000000"/>
                <w:sz w:val="20"/>
                <w:szCs w:val="20"/>
              </w:rPr>
              <w:t>rban</w:t>
            </w:r>
          </w:p>
        </w:tc>
        <w:tc>
          <w:tcPr>
            <w:tcW w:w="682" w:type="dxa"/>
            <w:tcBorders>
              <w:left w:val="double" w:sz="6" w:space="0" w:color="auto"/>
            </w:tcBorders>
            <w:vAlign w:val="center"/>
          </w:tcPr>
          <w:p w14:paraId="54127F00"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649F0FB8"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452AF530"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1C0D0922"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hideMark/>
          </w:tcPr>
          <w:p w14:paraId="3B2416E6"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-0.17</w:t>
            </w:r>
            <w:r w:rsidR="00F27729" w:rsidRPr="00FC5290">
              <w:rPr>
                <w:rFonts w:eastAsia="Times New Roman" w:cs="Times New Roman"/>
                <w:sz w:val="20"/>
                <w:szCs w:val="20"/>
              </w:rPr>
              <w:t>5</w:t>
            </w:r>
          </w:p>
        </w:tc>
        <w:tc>
          <w:tcPr>
            <w:tcW w:w="674" w:type="dxa"/>
            <w:tcBorders>
              <w:top w:val="nil"/>
              <w:left w:val="nil"/>
              <w:bottom w:val="nil"/>
              <w:right w:val="nil"/>
            </w:tcBorders>
            <w:shd w:val="clear" w:color="auto" w:fill="auto"/>
            <w:noWrap/>
            <w:vAlign w:val="center"/>
            <w:hideMark/>
          </w:tcPr>
          <w:p w14:paraId="728F3C36"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-2.</w:t>
            </w:r>
            <w:r w:rsidR="00F27729" w:rsidRPr="00FC5290">
              <w:rPr>
                <w:rFonts w:eastAsia="Times New Roman" w:cs="Times New Roman"/>
                <w:sz w:val="20"/>
                <w:szCs w:val="20"/>
              </w:rPr>
              <w:t>23</w:t>
            </w:r>
          </w:p>
        </w:tc>
        <w:tc>
          <w:tcPr>
            <w:tcW w:w="714" w:type="dxa"/>
            <w:tcBorders>
              <w:top w:val="nil"/>
              <w:left w:val="double" w:sz="6" w:space="0" w:color="auto"/>
              <w:bottom w:val="nil"/>
              <w:right w:val="nil"/>
            </w:tcBorders>
            <w:shd w:val="clear" w:color="auto" w:fill="auto"/>
            <w:noWrap/>
            <w:vAlign w:val="center"/>
            <w:hideMark/>
          </w:tcPr>
          <w:p w14:paraId="7C05C878"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0.6</w:t>
            </w:r>
            <w:r w:rsidR="00945BC9" w:rsidRPr="00FC5290">
              <w:rPr>
                <w:rFonts w:eastAsia="Times New Roman" w:cs="Times New Roman"/>
                <w:sz w:val="20"/>
                <w:szCs w:val="20"/>
              </w:rPr>
              <w:t>68</w:t>
            </w:r>
          </w:p>
        </w:tc>
        <w:tc>
          <w:tcPr>
            <w:tcW w:w="548" w:type="dxa"/>
            <w:tcBorders>
              <w:top w:val="nil"/>
              <w:left w:val="nil"/>
              <w:bottom w:val="nil"/>
              <w:right w:val="nil"/>
            </w:tcBorders>
            <w:shd w:val="clear" w:color="auto" w:fill="auto"/>
            <w:noWrap/>
            <w:vAlign w:val="center"/>
            <w:hideMark/>
          </w:tcPr>
          <w:p w14:paraId="04E89052"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4.24</w:t>
            </w:r>
          </w:p>
        </w:tc>
        <w:tc>
          <w:tcPr>
            <w:tcW w:w="706" w:type="dxa"/>
            <w:tcBorders>
              <w:top w:val="nil"/>
              <w:left w:val="nil"/>
              <w:bottom w:val="nil"/>
              <w:right w:val="nil"/>
            </w:tcBorders>
            <w:shd w:val="clear" w:color="auto" w:fill="auto"/>
            <w:noWrap/>
            <w:vAlign w:val="center"/>
            <w:hideMark/>
          </w:tcPr>
          <w:p w14:paraId="68F53C7B"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0.777</w:t>
            </w:r>
          </w:p>
        </w:tc>
        <w:tc>
          <w:tcPr>
            <w:tcW w:w="641" w:type="dxa"/>
            <w:gridSpan w:val="2"/>
            <w:tcBorders>
              <w:top w:val="nil"/>
              <w:left w:val="nil"/>
              <w:bottom w:val="nil"/>
              <w:right w:val="double" w:sz="6" w:space="0" w:color="auto"/>
            </w:tcBorders>
            <w:shd w:val="clear" w:color="auto" w:fill="auto"/>
            <w:noWrap/>
            <w:vAlign w:val="center"/>
            <w:hideMark/>
          </w:tcPr>
          <w:p w14:paraId="231E1859"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4.50</w:t>
            </w:r>
          </w:p>
        </w:tc>
        <w:tc>
          <w:tcPr>
            <w:tcW w:w="633" w:type="dxa"/>
            <w:tcBorders>
              <w:top w:val="nil"/>
              <w:left w:val="nil"/>
              <w:bottom w:val="nil"/>
              <w:right w:val="nil"/>
            </w:tcBorders>
            <w:shd w:val="clear" w:color="auto" w:fill="auto"/>
            <w:noWrap/>
            <w:vAlign w:val="center"/>
            <w:hideMark/>
          </w:tcPr>
          <w:p w14:paraId="5498C3C1"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w:t>
            </w:r>
            <w:r w:rsidR="00F27729" w:rsidRPr="00FC5290">
              <w:rPr>
                <w:rFonts w:eastAsia="Times New Roman" w:cs="Times New Roman"/>
                <w:sz w:val="20"/>
                <w:szCs w:val="20"/>
              </w:rPr>
              <w:t>190</w:t>
            </w:r>
          </w:p>
        </w:tc>
        <w:tc>
          <w:tcPr>
            <w:tcW w:w="613" w:type="dxa"/>
            <w:tcBorders>
              <w:top w:val="nil"/>
              <w:left w:val="nil"/>
              <w:bottom w:val="nil"/>
              <w:right w:val="double" w:sz="6" w:space="0" w:color="auto"/>
            </w:tcBorders>
            <w:shd w:val="clear" w:color="auto" w:fill="auto"/>
            <w:noWrap/>
            <w:vAlign w:val="center"/>
            <w:hideMark/>
          </w:tcPr>
          <w:p w14:paraId="039AB083"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w:t>
            </w:r>
            <w:r w:rsidR="00F27729" w:rsidRPr="00FC5290">
              <w:rPr>
                <w:rFonts w:eastAsia="Times New Roman" w:cs="Times New Roman"/>
                <w:sz w:val="20"/>
                <w:szCs w:val="20"/>
              </w:rPr>
              <w:t>74</w:t>
            </w:r>
          </w:p>
        </w:tc>
      </w:tr>
      <w:tr w:rsidR="00FC5290" w:rsidRPr="000C71E9" w14:paraId="21834827"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1BEFE1EB" w14:textId="4D7409A5" w:rsidR="000C5906" w:rsidRPr="00FC5290" w:rsidRDefault="00EB5D49" w:rsidP="000C5906">
            <w:pPr>
              <w:spacing w:line="240" w:lineRule="auto"/>
              <w:jc w:val="left"/>
              <w:rPr>
                <w:rFonts w:eastAsia="Times New Roman" w:cs="Times New Roman"/>
                <w:b/>
                <w:bCs/>
                <w:color w:val="000000"/>
                <w:sz w:val="20"/>
                <w:szCs w:val="20"/>
              </w:rPr>
            </w:pPr>
            <w:r>
              <w:rPr>
                <w:rFonts w:eastAsia="Times New Roman" w:cs="Times New Roman"/>
                <w:b/>
                <w:bCs/>
                <w:color w:val="000000"/>
                <w:sz w:val="20"/>
                <w:szCs w:val="20"/>
              </w:rPr>
              <w:t>Vehicle availability (less than</w:t>
            </w:r>
            <w:r w:rsidR="000C5906" w:rsidRPr="00FC5290">
              <w:rPr>
                <w:rFonts w:eastAsia="Times New Roman" w:cs="Times New Roman"/>
                <w:b/>
                <w:bCs/>
                <w:color w:val="000000"/>
                <w:sz w:val="20"/>
                <w:szCs w:val="20"/>
              </w:rPr>
              <w:t xml:space="preserve"> 1 per worker)</w:t>
            </w:r>
          </w:p>
        </w:tc>
        <w:tc>
          <w:tcPr>
            <w:tcW w:w="682" w:type="dxa"/>
            <w:tcBorders>
              <w:left w:val="double" w:sz="6" w:space="0" w:color="auto"/>
            </w:tcBorders>
            <w:vAlign w:val="center"/>
          </w:tcPr>
          <w:p w14:paraId="5CBAB149"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vAlign w:val="center"/>
          </w:tcPr>
          <w:p w14:paraId="01303137" w14:textId="77777777" w:rsidR="000C5906" w:rsidRPr="00FC5290" w:rsidRDefault="000C5906" w:rsidP="00FC5290">
            <w:pPr>
              <w:spacing w:line="240" w:lineRule="auto"/>
              <w:jc w:val="center"/>
              <w:rPr>
                <w:rFonts w:eastAsia="Times New Roman" w:cs="Times New Roman"/>
                <w:color w:val="000000"/>
                <w:sz w:val="20"/>
                <w:szCs w:val="20"/>
              </w:rPr>
            </w:pPr>
          </w:p>
        </w:tc>
        <w:tc>
          <w:tcPr>
            <w:tcW w:w="596" w:type="dxa"/>
            <w:vAlign w:val="center"/>
          </w:tcPr>
          <w:p w14:paraId="30DCA97A"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tcBorders>
              <w:right w:val="double" w:sz="6" w:space="0" w:color="auto"/>
            </w:tcBorders>
            <w:vAlign w:val="center"/>
          </w:tcPr>
          <w:p w14:paraId="1C5E8464" w14:textId="77777777" w:rsidR="000C5906" w:rsidRPr="00FC5290" w:rsidRDefault="000C5906" w:rsidP="00FC5290">
            <w:pPr>
              <w:spacing w:line="240" w:lineRule="auto"/>
              <w:jc w:val="center"/>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7109B1DA"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674" w:type="dxa"/>
            <w:tcBorders>
              <w:top w:val="nil"/>
              <w:left w:val="nil"/>
              <w:bottom w:val="nil"/>
              <w:right w:val="nil"/>
            </w:tcBorders>
            <w:shd w:val="clear" w:color="auto" w:fill="auto"/>
            <w:noWrap/>
            <w:vAlign w:val="center"/>
            <w:hideMark/>
          </w:tcPr>
          <w:p w14:paraId="1BF8DF43"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714" w:type="dxa"/>
            <w:tcBorders>
              <w:top w:val="nil"/>
              <w:left w:val="double" w:sz="6" w:space="0" w:color="auto"/>
              <w:bottom w:val="nil"/>
              <w:right w:val="nil"/>
            </w:tcBorders>
            <w:shd w:val="clear" w:color="auto" w:fill="auto"/>
            <w:noWrap/>
            <w:vAlign w:val="center"/>
          </w:tcPr>
          <w:p w14:paraId="3599CE27" w14:textId="77777777" w:rsidR="000C5906" w:rsidRPr="00FC5290" w:rsidRDefault="000C5906" w:rsidP="00FC5290">
            <w:pPr>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tcPr>
          <w:p w14:paraId="68868C93" w14:textId="77777777" w:rsidR="000C5906" w:rsidRPr="00FC5290" w:rsidRDefault="000C5906" w:rsidP="00FC5290">
            <w:pPr>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tcPr>
          <w:p w14:paraId="0CCBDE83" w14:textId="77777777" w:rsidR="000C5906" w:rsidRPr="00FC5290" w:rsidRDefault="000C5906" w:rsidP="00FC5290">
            <w:pPr>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tcPr>
          <w:p w14:paraId="04240BC7" w14:textId="77777777" w:rsidR="000C5906" w:rsidRPr="00FC5290" w:rsidRDefault="000C5906" w:rsidP="00FC5290">
            <w:pPr>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hideMark/>
          </w:tcPr>
          <w:p w14:paraId="75E49001" w14:textId="77777777" w:rsidR="000C5906" w:rsidRPr="00FC5290" w:rsidRDefault="000C5906" w:rsidP="00FC5290">
            <w:pPr>
              <w:tabs>
                <w:tab w:val="decimal" w:pos="282"/>
              </w:tabs>
              <w:spacing w:line="240" w:lineRule="auto"/>
              <w:jc w:val="right"/>
              <w:rPr>
                <w:rFonts w:eastAsia="Times New Roman" w:cs="Times New Roman"/>
                <w:color w:val="943634" w:themeColor="accent2" w:themeShade="BF"/>
                <w:sz w:val="20"/>
                <w:szCs w:val="20"/>
              </w:rPr>
            </w:pPr>
          </w:p>
        </w:tc>
        <w:tc>
          <w:tcPr>
            <w:tcW w:w="613" w:type="dxa"/>
            <w:tcBorders>
              <w:top w:val="nil"/>
              <w:left w:val="nil"/>
              <w:bottom w:val="nil"/>
              <w:right w:val="double" w:sz="6" w:space="0" w:color="auto"/>
            </w:tcBorders>
            <w:shd w:val="clear" w:color="auto" w:fill="auto"/>
            <w:noWrap/>
            <w:vAlign w:val="center"/>
            <w:hideMark/>
          </w:tcPr>
          <w:p w14:paraId="5C7577D7" w14:textId="77777777" w:rsidR="000C5906" w:rsidRPr="00FC5290" w:rsidRDefault="000C5906" w:rsidP="00FC5290">
            <w:pPr>
              <w:tabs>
                <w:tab w:val="decimal" w:pos="282"/>
              </w:tabs>
              <w:spacing w:line="240" w:lineRule="auto"/>
              <w:jc w:val="right"/>
              <w:rPr>
                <w:rFonts w:eastAsia="Times New Roman" w:cs="Times New Roman"/>
                <w:color w:val="943634" w:themeColor="accent2" w:themeShade="BF"/>
                <w:sz w:val="20"/>
                <w:szCs w:val="20"/>
              </w:rPr>
            </w:pPr>
          </w:p>
        </w:tc>
      </w:tr>
      <w:tr w:rsidR="00FC5290" w:rsidRPr="000C71E9" w14:paraId="2CDACF81"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4473B9DD"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1 per worker</w:t>
            </w:r>
          </w:p>
        </w:tc>
        <w:tc>
          <w:tcPr>
            <w:tcW w:w="682" w:type="dxa"/>
            <w:tcBorders>
              <w:left w:val="double" w:sz="6" w:space="0" w:color="auto"/>
            </w:tcBorders>
            <w:vAlign w:val="center"/>
          </w:tcPr>
          <w:p w14:paraId="26AE27E2"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023CBF5B"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6F85A6A6"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75572F08"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hideMark/>
          </w:tcPr>
          <w:p w14:paraId="2CB43913"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74" w:type="dxa"/>
            <w:tcBorders>
              <w:top w:val="nil"/>
              <w:left w:val="nil"/>
              <w:bottom w:val="nil"/>
              <w:right w:val="nil"/>
            </w:tcBorders>
            <w:shd w:val="clear" w:color="auto" w:fill="auto"/>
            <w:noWrap/>
            <w:vAlign w:val="center"/>
            <w:hideMark/>
          </w:tcPr>
          <w:p w14:paraId="18FE486D"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14" w:type="dxa"/>
            <w:tcBorders>
              <w:top w:val="nil"/>
              <w:left w:val="double" w:sz="6" w:space="0" w:color="auto"/>
              <w:bottom w:val="nil"/>
              <w:right w:val="nil"/>
            </w:tcBorders>
            <w:shd w:val="clear" w:color="auto" w:fill="auto"/>
            <w:noWrap/>
            <w:vAlign w:val="center"/>
          </w:tcPr>
          <w:p w14:paraId="6E2D2BC0"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w:t>
            </w:r>
          </w:p>
        </w:tc>
        <w:tc>
          <w:tcPr>
            <w:tcW w:w="548" w:type="dxa"/>
            <w:tcBorders>
              <w:top w:val="nil"/>
              <w:left w:val="nil"/>
              <w:bottom w:val="nil"/>
              <w:right w:val="nil"/>
            </w:tcBorders>
            <w:shd w:val="clear" w:color="auto" w:fill="auto"/>
            <w:noWrap/>
            <w:vAlign w:val="center"/>
          </w:tcPr>
          <w:p w14:paraId="55F460C1"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w:t>
            </w:r>
          </w:p>
        </w:tc>
        <w:tc>
          <w:tcPr>
            <w:tcW w:w="706" w:type="dxa"/>
            <w:tcBorders>
              <w:top w:val="nil"/>
              <w:left w:val="nil"/>
              <w:bottom w:val="nil"/>
              <w:right w:val="nil"/>
            </w:tcBorders>
            <w:shd w:val="clear" w:color="auto" w:fill="auto"/>
            <w:noWrap/>
            <w:vAlign w:val="center"/>
          </w:tcPr>
          <w:p w14:paraId="1B30BDA2"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w:t>
            </w:r>
          </w:p>
        </w:tc>
        <w:tc>
          <w:tcPr>
            <w:tcW w:w="641" w:type="dxa"/>
            <w:gridSpan w:val="2"/>
            <w:tcBorders>
              <w:top w:val="nil"/>
              <w:left w:val="nil"/>
              <w:bottom w:val="nil"/>
              <w:right w:val="double" w:sz="6" w:space="0" w:color="auto"/>
            </w:tcBorders>
            <w:shd w:val="clear" w:color="auto" w:fill="auto"/>
            <w:noWrap/>
            <w:vAlign w:val="center"/>
          </w:tcPr>
          <w:p w14:paraId="37E7AA72"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w:t>
            </w:r>
          </w:p>
        </w:tc>
        <w:tc>
          <w:tcPr>
            <w:tcW w:w="633" w:type="dxa"/>
            <w:tcBorders>
              <w:top w:val="nil"/>
              <w:left w:val="nil"/>
              <w:bottom w:val="nil"/>
              <w:right w:val="nil"/>
            </w:tcBorders>
            <w:shd w:val="clear" w:color="auto" w:fill="auto"/>
            <w:noWrap/>
            <w:vAlign w:val="center"/>
            <w:hideMark/>
          </w:tcPr>
          <w:p w14:paraId="4D82B2E7"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-0.2</w:t>
            </w:r>
            <w:r w:rsidR="00F27729" w:rsidRPr="00FC5290">
              <w:rPr>
                <w:rFonts w:eastAsia="Times New Roman" w:cs="Times New Roman"/>
                <w:sz w:val="20"/>
                <w:szCs w:val="20"/>
              </w:rPr>
              <w:t>39</w:t>
            </w:r>
          </w:p>
        </w:tc>
        <w:tc>
          <w:tcPr>
            <w:tcW w:w="613" w:type="dxa"/>
            <w:tcBorders>
              <w:top w:val="nil"/>
              <w:left w:val="nil"/>
              <w:bottom w:val="nil"/>
              <w:right w:val="double" w:sz="6" w:space="0" w:color="auto"/>
            </w:tcBorders>
            <w:shd w:val="clear" w:color="auto" w:fill="auto"/>
            <w:noWrap/>
            <w:vAlign w:val="center"/>
            <w:hideMark/>
          </w:tcPr>
          <w:p w14:paraId="2A161971"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-1.79</w:t>
            </w:r>
          </w:p>
        </w:tc>
      </w:tr>
      <w:tr w:rsidR="00FC5290" w:rsidRPr="000C71E9" w14:paraId="7622F175"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61575E54" w14:textId="40687F8A" w:rsidR="000C5906" w:rsidRPr="00FC5290" w:rsidRDefault="00EB5D49" w:rsidP="000C5906">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 More than</w:t>
            </w:r>
            <w:r w:rsidR="000C5906" w:rsidRPr="00FC5290">
              <w:rPr>
                <w:rFonts w:eastAsia="Times New Roman" w:cs="Times New Roman"/>
                <w:color w:val="000000"/>
                <w:sz w:val="20"/>
                <w:szCs w:val="20"/>
              </w:rPr>
              <w:t xml:space="preserve"> 1 per worker</w:t>
            </w:r>
          </w:p>
        </w:tc>
        <w:tc>
          <w:tcPr>
            <w:tcW w:w="682" w:type="dxa"/>
            <w:tcBorders>
              <w:left w:val="double" w:sz="6" w:space="0" w:color="auto"/>
            </w:tcBorders>
            <w:vAlign w:val="center"/>
          </w:tcPr>
          <w:p w14:paraId="6FCAADE1"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4D7D8A1F"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6428AAFD"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0734A30D"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hideMark/>
          </w:tcPr>
          <w:p w14:paraId="095FD5DC"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74" w:type="dxa"/>
            <w:tcBorders>
              <w:top w:val="nil"/>
              <w:left w:val="nil"/>
              <w:bottom w:val="nil"/>
              <w:right w:val="nil"/>
            </w:tcBorders>
            <w:shd w:val="clear" w:color="auto" w:fill="auto"/>
            <w:noWrap/>
            <w:vAlign w:val="center"/>
            <w:hideMark/>
          </w:tcPr>
          <w:p w14:paraId="3C9C0BE0"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14" w:type="dxa"/>
            <w:tcBorders>
              <w:top w:val="nil"/>
              <w:left w:val="double" w:sz="6" w:space="0" w:color="auto"/>
              <w:bottom w:val="nil"/>
              <w:right w:val="nil"/>
            </w:tcBorders>
            <w:shd w:val="clear" w:color="auto" w:fill="auto"/>
            <w:noWrap/>
            <w:vAlign w:val="center"/>
            <w:hideMark/>
          </w:tcPr>
          <w:p w14:paraId="498057A2"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0.0</w:t>
            </w:r>
            <w:r w:rsidR="00945BC9" w:rsidRPr="00FC5290">
              <w:rPr>
                <w:rFonts w:eastAsia="Times New Roman" w:cs="Times New Roman"/>
                <w:sz w:val="20"/>
                <w:szCs w:val="20"/>
              </w:rPr>
              <w:t>84</w:t>
            </w:r>
          </w:p>
        </w:tc>
        <w:tc>
          <w:tcPr>
            <w:tcW w:w="548" w:type="dxa"/>
            <w:tcBorders>
              <w:top w:val="nil"/>
              <w:left w:val="nil"/>
              <w:bottom w:val="nil"/>
              <w:right w:val="nil"/>
            </w:tcBorders>
            <w:shd w:val="clear" w:color="auto" w:fill="auto"/>
            <w:noWrap/>
            <w:vAlign w:val="center"/>
            <w:hideMark/>
          </w:tcPr>
          <w:p w14:paraId="5BAEB1B9"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2.30</w:t>
            </w:r>
          </w:p>
        </w:tc>
        <w:tc>
          <w:tcPr>
            <w:tcW w:w="706" w:type="dxa"/>
            <w:tcBorders>
              <w:top w:val="nil"/>
              <w:left w:val="nil"/>
              <w:bottom w:val="nil"/>
              <w:right w:val="nil"/>
            </w:tcBorders>
            <w:shd w:val="clear" w:color="auto" w:fill="auto"/>
            <w:noWrap/>
            <w:vAlign w:val="center"/>
            <w:hideMark/>
          </w:tcPr>
          <w:p w14:paraId="57E4F82C"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0.18</w:t>
            </w:r>
            <w:r w:rsidR="00945BC9" w:rsidRPr="00FC5290">
              <w:rPr>
                <w:rFonts w:eastAsia="Times New Roman" w:cs="Times New Roman"/>
                <w:sz w:val="20"/>
                <w:szCs w:val="20"/>
              </w:rPr>
              <w:t>3</w:t>
            </w:r>
          </w:p>
        </w:tc>
        <w:tc>
          <w:tcPr>
            <w:tcW w:w="641" w:type="dxa"/>
            <w:gridSpan w:val="2"/>
            <w:tcBorders>
              <w:top w:val="nil"/>
              <w:left w:val="nil"/>
              <w:bottom w:val="nil"/>
              <w:right w:val="double" w:sz="6" w:space="0" w:color="auto"/>
            </w:tcBorders>
            <w:shd w:val="clear" w:color="auto" w:fill="auto"/>
            <w:noWrap/>
            <w:vAlign w:val="center"/>
            <w:hideMark/>
          </w:tcPr>
          <w:p w14:paraId="06119464" w14:textId="77777777" w:rsidR="000C5906" w:rsidRPr="00FC5290" w:rsidRDefault="00945BC9" w:rsidP="00FC5290">
            <w:pPr>
              <w:spacing w:line="240" w:lineRule="auto"/>
              <w:jc w:val="right"/>
              <w:rPr>
                <w:rFonts w:eastAsia="Times New Roman" w:cs="Times New Roman"/>
                <w:sz w:val="20"/>
                <w:szCs w:val="20"/>
              </w:rPr>
            </w:pPr>
            <w:r w:rsidRPr="00FC5290">
              <w:rPr>
                <w:rFonts w:eastAsia="Times New Roman" w:cs="Times New Roman"/>
                <w:sz w:val="20"/>
                <w:szCs w:val="20"/>
              </w:rPr>
              <w:t>4.70</w:t>
            </w:r>
          </w:p>
        </w:tc>
        <w:tc>
          <w:tcPr>
            <w:tcW w:w="633" w:type="dxa"/>
            <w:tcBorders>
              <w:top w:val="nil"/>
              <w:left w:val="nil"/>
              <w:bottom w:val="nil"/>
              <w:right w:val="nil"/>
            </w:tcBorders>
            <w:shd w:val="clear" w:color="auto" w:fill="auto"/>
            <w:noWrap/>
            <w:vAlign w:val="center"/>
            <w:hideMark/>
          </w:tcPr>
          <w:p w14:paraId="6B768316"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-0.2</w:t>
            </w:r>
            <w:r w:rsidR="00F27729" w:rsidRPr="00FC5290">
              <w:rPr>
                <w:rFonts w:eastAsia="Times New Roman" w:cs="Times New Roman"/>
                <w:sz w:val="20"/>
                <w:szCs w:val="20"/>
              </w:rPr>
              <w:t>39</w:t>
            </w:r>
          </w:p>
        </w:tc>
        <w:tc>
          <w:tcPr>
            <w:tcW w:w="613" w:type="dxa"/>
            <w:tcBorders>
              <w:top w:val="nil"/>
              <w:left w:val="nil"/>
              <w:bottom w:val="nil"/>
              <w:right w:val="double" w:sz="6" w:space="0" w:color="auto"/>
            </w:tcBorders>
            <w:shd w:val="clear" w:color="auto" w:fill="auto"/>
            <w:noWrap/>
            <w:vAlign w:val="center"/>
            <w:hideMark/>
          </w:tcPr>
          <w:p w14:paraId="3C8FDD20"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-1.79</w:t>
            </w:r>
          </w:p>
        </w:tc>
      </w:tr>
      <w:tr w:rsidR="00FC5290" w:rsidRPr="000C71E9" w14:paraId="2592BAA3"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359617BB" w14:textId="77777777" w:rsidR="000C5906" w:rsidRPr="00FC5290" w:rsidRDefault="000C5906" w:rsidP="000C5906">
            <w:pPr>
              <w:spacing w:line="240" w:lineRule="auto"/>
              <w:jc w:val="left"/>
              <w:rPr>
                <w:rFonts w:eastAsia="Times New Roman" w:cs="Times New Roman"/>
                <w:b/>
                <w:bCs/>
                <w:color w:val="000000"/>
                <w:sz w:val="20"/>
                <w:szCs w:val="20"/>
              </w:rPr>
            </w:pPr>
            <w:r w:rsidRPr="00FC5290">
              <w:rPr>
                <w:rFonts w:eastAsia="Times New Roman" w:cs="Times New Roman"/>
                <w:b/>
                <w:bCs/>
                <w:color w:val="000000"/>
                <w:sz w:val="20"/>
                <w:szCs w:val="20"/>
              </w:rPr>
              <w:t>Pooled ride-hailing user (no)</w:t>
            </w:r>
          </w:p>
        </w:tc>
        <w:tc>
          <w:tcPr>
            <w:tcW w:w="682" w:type="dxa"/>
            <w:tcBorders>
              <w:left w:val="double" w:sz="6" w:space="0" w:color="auto"/>
            </w:tcBorders>
            <w:vAlign w:val="center"/>
          </w:tcPr>
          <w:p w14:paraId="5A192F15"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vAlign w:val="center"/>
          </w:tcPr>
          <w:p w14:paraId="133023C8" w14:textId="77777777" w:rsidR="000C5906" w:rsidRPr="00FC5290" w:rsidRDefault="000C5906" w:rsidP="00FC5290">
            <w:pPr>
              <w:spacing w:line="240" w:lineRule="auto"/>
              <w:jc w:val="center"/>
              <w:rPr>
                <w:rFonts w:eastAsia="Times New Roman" w:cs="Times New Roman"/>
                <w:color w:val="000000"/>
                <w:sz w:val="20"/>
                <w:szCs w:val="20"/>
              </w:rPr>
            </w:pPr>
          </w:p>
        </w:tc>
        <w:tc>
          <w:tcPr>
            <w:tcW w:w="596" w:type="dxa"/>
            <w:vAlign w:val="center"/>
          </w:tcPr>
          <w:p w14:paraId="38D95964"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tcBorders>
              <w:right w:val="double" w:sz="6" w:space="0" w:color="auto"/>
            </w:tcBorders>
            <w:vAlign w:val="center"/>
          </w:tcPr>
          <w:p w14:paraId="054731D7" w14:textId="77777777" w:rsidR="000C5906" w:rsidRPr="00FC5290" w:rsidRDefault="000C5906" w:rsidP="00FC5290">
            <w:pPr>
              <w:spacing w:line="240" w:lineRule="auto"/>
              <w:jc w:val="center"/>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hideMark/>
          </w:tcPr>
          <w:p w14:paraId="174FB6C9" w14:textId="77777777" w:rsidR="000C5906" w:rsidRPr="00FC5290" w:rsidRDefault="000C5906" w:rsidP="00FC5290">
            <w:pPr>
              <w:spacing w:line="240" w:lineRule="auto"/>
              <w:jc w:val="center"/>
              <w:rPr>
                <w:rFonts w:eastAsia="Times New Roman" w:cs="Times New Roman"/>
                <w:sz w:val="20"/>
                <w:szCs w:val="20"/>
              </w:rPr>
            </w:pPr>
          </w:p>
        </w:tc>
        <w:tc>
          <w:tcPr>
            <w:tcW w:w="674" w:type="dxa"/>
            <w:tcBorders>
              <w:top w:val="nil"/>
              <w:left w:val="nil"/>
              <w:bottom w:val="nil"/>
              <w:right w:val="nil"/>
            </w:tcBorders>
            <w:shd w:val="clear" w:color="auto" w:fill="auto"/>
            <w:noWrap/>
            <w:vAlign w:val="center"/>
            <w:hideMark/>
          </w:tcPr>
          <w:p w14:paraId="682400E7" w14:textId="77777777" w:rsidR="000C5906" w:rsidRPr="00FC5290" w:rsidRDefault="000C5906" w:rsidP="00FC5290">
            <w:pPr>
              <w:spacing w:line="240" w:lineRule="auto"/>
              <w:jc w:val="center"/>
              <w:rPr>
                <w:rFonts w:eastAsia="Times New Roman" w:cs="Times New Roman"/>
                <w:sz w:val="20"/>
                <w:szCs w:val="20"/>
              </w:rPr>
            </w:pPr>
          </w:p>
        </w:tc>
        <w:tc>
          <w:tcPr>
            <w:tcW w:w="714" w:type="dxa"/>
            <w:tcBorders>
              <w:top w:val="nil"/>
              <w:left w:val="double" w:sz="6" w:space="0" w:color="auto"/>
              <w:bottom w:val="nil"/>
              <w:right w:val="nil"/>
            </w:tcBorders>
            <w:shd w:val="clear" w:color="auto" w:fill="auto"/>
            <w:noWrap/>
            <w:vAlign w:val="center"/>
            <w:hideMark/>
          </w:tcPr>
          <w:p w14:paraId="48438D7C"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548" w:type="dxa"/>
            <w:tcBorders>
              <w:top w:val="nil"/>
              <w:left w:val="nil"/>
              <w:bottom w:val="nil"/>
              <w:right w:val="nil"/>
            </w:tcBorders>
            <w:shd w:val="clear" w:color="auto" w:fill="auto"/>
            <w:noWrap/>
            <w:vAlign w:val="center"/>
            <w:hideMark/>
          </w:tcPr>
          <w:p w14:paraId="6297B9A4"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706" w:type="dxa"/>
            <w:tcBorders>
              <w:top w:val="nil"/>
              <w:left w:val="nil"/>
              <w:bottom w:val="nil"/>
              <w:right w:val="nil"/>
            </w:tcBorders>
            <w:shd w:val="clear" w:color="auto" w:fill="auto"/>
            <w:noWrap/>
            <w:vAlign w:val="center"/>
            <w:hideMark/>
          </w:tcPr>
          <w:p w14:paraId="71B9C27C"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641" w:type="dxa"/>
            <w:gridSpan w:val="2"/>
            <w:tcBorders>
              <w:top w:val="nil"/>
              <w:left w:val="nil"/>
              <w:bottom w:val="nil"/>
              <w:right w:val="double" w:sz="6" w:space="0" w:color="auto"/>
            </w:tcBorders>
            <w:shd w:val="clear" w:color="auto" w:fill="auto"/>
            <w:noWrap/>
            <w:vAlign w:val="center"/>
            <w:hideMark/>
          </w:tcPr>
          <w:p w14:paraId="7E66FD30" w14:textId="77777777" w:rsidR="000C5906" w:rsidRPr="00FC5290" w:rsidRDefault="000C5906" w:rsidP="00FC5290">
            <w:pPr>
              <w:spacing w:line="240" w:lineRule="auto"/>
              <w:jc w:val="right"/>
              <w:rPr>
                <w:rFonts w:eastAsia="Times New Roman" w:cs="Times New Roman"/>
                <w:color w:val="943634" w:themeColor="accent2" w:themeShade="BF"/>
                <w:sz w:val="20"/>
                <w:szCs w:val="20"/>
              </w:rPr>
            </w:pPr>
          </w:p>
        </w:tc>
        <w:tc>
          <w:tcPr>
            <w:tcW w:w="633" w:type="dxa"/>
            <w:tcBorders>
              <w:top w:val="nil"/>
              <w:left w:val="nil"/>
              <w:bottom w:val="nil"/>
              <w:right w:val="nil"/>
            </w:tcBorders>
            <w:shd w:val="clear" w:color="auto" w:fill="auto"/>
            <w:noWrap/>
            <w:vAlign w:val="center"/>
            <w:hideMark/>
          </w:tcPr>
          <w:p w14:paraId="500C1B3D" w14:textId="77777777" w:rsidR="000C5906" w:rsidRPr="00FC5290" w:rsidRDefault="000C5906" w:rsidP="00FC5290">
            <w:pPr>
              <w:tabs>
                <w:tab w:val="decimal" w:pos="282"/>
              </w:tabs>
              <w:spacing w:line="240" w:lineRule="auto"/>
              <w:jc w:val="right"/>
              <w:rPr>
                <w:rFonts w:eastAsia="Times New Roman" w:cs="Times New Roman"/>
                <w:sz w:val="20"/>
                <w:szCs w:val="20"/>
              </w:rPr>
            </w:pPr>
          </w:p>
        </w:tc>
        <w:tc>
          <w:tcPr>
            <w:tcW w:w="613" w:type="dxa"/>
            <w:tcBorders>
              <w:top w:val="nil"/>
              <w:left w:val="nil"/>
              <w:bottom w:val="nil"/>
              <w:right w:val="double" w:sz="6" w:space="0" w:color="auto"/>
            </w:tcBorders>
            <w:shd w:val="clear" w:color="auto" w:fill="auto"/>
            <w:noWrap/>
            <w:vAlign w:val="center"/>
            <w:hideMark/>
          </w:tcPr>
          <w:p w14:paraId="7B7DD649" w14:textId="77777777" w:rsidR="000C5906" w:rsidRPr="00FC5290" w:rsidRDefault="000C5906" w:rsidP="00FC5290">
            <w:pPr>
              <w:tabs>
                <w:tab w:val="decimal" w:pos="282"/>
              </w:tabs>
              <w:spacing w:line="240" w:lineRule="auto"/>
              <w:jc w:val="right"/>
              <w:rPr>
                <w:rFonts w:eastAsia="Times New Roman" w:cs="Times New Roman"/>
                <w:sz w:val="20"/>
                <w:szCs w:val="20"/>
              </w:rPr>
            </w:pPr>
          </w:p>
        </w:tc>
      </w:tr>
      <w:tr w:rsidR="00FC5290" w:rsidRPr="000C71E9" w14:paraId="7E53F01F" w14:textId="77777777" w:rsidTr="00FC5290">
        <w:trPr>
          <w:trHeight w:val="230"/>
        </w:trPr>
        <w:tc>
          <w:tcPr>
            <w:tcW w:w="2639" w:type="dxa"/>
            <w:tcBorders>
              <w:top w:val="nil"/>
              <w:left w:val="double" w:sz="6" w:space="0" w:color="auto"/>
              <w:bottom w:val="nil"/>
              <w:right w:val="nil"/>
            </w:tcBorders>
            <w:shd w:val="clear" w:color="auto" w:fill="auto"/>
            <w:vAlign w:val="center"/>
            <w:hideMark/>
          </w:tcPr>
          <w:p w14:paraId="090ECC78"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Yes</w:t>
            </w:r>
          </w:p>
        </w:tc>
        <w:tc>
          <w:tcPr>
            <w:tcW w:w="682" w:type="dxa"/>
            <w:tcBorders>
              <w:left w:val="double" w:sz="6" w:space="0" w:color="auto"/>
            </w:tcBorders>
            <w:vAlign w:val="center"/>
          </w:tcPr>
          <w:p w14:paraId="17C6D57D"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41F8D13C"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017FC6D0"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1DFACF23"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hideMark/>
          </w:tcPr>
          <w:p w14:paraId="39E946AF"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74" w:type="dxa"/>
            <w:tcBorders>
              <w:top w:val="nil"/>
              <w:left w:val="nil"/>
              <w:bottom w:val="nil"/>
              <w:right w:val="nil"/>
            </w:tcBorders>
            <w:shd w:val="clear" w:color="auto" w:fill="auto"/>
            <w:noWrap/>
            <w:vAlign w:val="center"/>
            <w:hideMark/>
          </w:tcPr>
          <w:p w14:paraId="45498C2A"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14" w:type="dxa"/>
            <w:tcBorders>
              <w:top w:val="nil"/>
              <w:left w:val="double" w:sz="6" w:space="0" w:color="auto"/>
              <w:bottom w:val="nil"/>
              <w:right w:val="nil"/>
            </w:tcBorders>
            <w:shd w:val="clear" w:color="auto" w:fill="auto"/>
            <w:noWrap/>
            <w:vAlign w:val="center"/>
            <w:hideMark/>
          </w:tcPr>
          <w:p w14:paraId="31930EA9"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548" w:type="dxa"/>
            <w:tcBorders>
              <w:top w:val="nil"/>
              <w:left w:val="nil"/>
              <w:bottom w:val="nil"/>
              <w:right w:val="nil"/>
            </w:tcBorders>
            <w:shd w:val="clear" w:color="auto" w:fill="auto"/>
            <w:noWrap/>
            <w:vAlign w:val="center"/>
            <w:hideMark/>
          </w:tcPr>
          <w:p w14:paraId="71A63658"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06" w:type="dxa"/>
            <w:tcBorders>
              <w:top w:val="nil"/>
              <w:left w:val="nil"/>
              <w:bottom w:val="nil"/>
              <w:right w:val="nil"/>
            </w:tcBorders>
            <w:shd w:val="clear" w:color="auto" w:fill="auto"/>
            <w:noWrap/>
            <w:vAlign w:val="center"/>
            <w:hideMark/>
          </w:tcPr>
          <w:p w14:paraId="107FBCB7"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41" w:type="dxa"/>
            <w:gridSpan w:val="2"/>
            <w:tcBorders>
              <w:top w:val="nil"/>
              <w:left w:val="nil"/>
              <w:bottom w:val="nil"/>
              <w:right w:val="double" w:sz="6" w:space="0" w:color="auto"/>
            </w:tcBorders>
            <w:shd w:val="clear" w:color="auto" w:fill="auto"/>
            <w:noWrap/>
            <w:vAlign w:val="center"/>
            <w:hideMark/>
          </w:tcPr>
          <w:p w14:paraId="0F777DF1"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33" w:type="dxa"/>
            <w:tcBorders>
              <w:top w:val="nil"/>
              <w:left w:val="nil"/>
              <w:bottom w:val="nil"/>
              <w:right w:val="nil"/>
            </w:tcBorders>
            <w:shd w:val="clear" w:color="auto" w:fill="auto"/>
            <w:noWrap/>
            <w:vAlign w:val="center"/>
            <w:hideMark/>
          </w:tcPr>
          <w:p w14:paraId="762748A2"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0.65</w:t>
            </w:r>
            <w:r w:rsidR="00F27729" w:rsidRPr="00FC5290">
              <w:rPr>
                <w:rFonts w:eastAsia="Times New Roman" w:cs="Times New Roman"/>
                <w:sz w:val="20"/>
                <w:szCs w:val="20"/>
              </w:rPr>
              <w:t>5</w:t>
            </w:r>
          </w:p>
        </w:tc>
        <w:tc>
          <w:tcPr>
            <w:tcW w:w="613" w:type="dxa"/>
            <w:tcBorders>
              <w:top w:val="nil"/>
              <w:left w:val="nil"/>
              <w:bottom w:val="nil"/>
              <w:right w:val="double" w:sz="6" w:space="0" w:color="auto"/>
            </w:tcBorders>
            <w:shd w:val="clear" w:color="auto" w:fill="auto"/>
            <w:noWrap/>
            <w:vAlign w:val="center"/>
            <w:hideMark/>
          </w:tcPr>
          <w:p w14:paraId="5C1A76FF"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4.</w:t>
            </w:r>
            <w:r w:rsidR="00F27729" w:rsidRPr="00FC5290">
              <w:rPr>
                <w:rFonts w:eastAsia="Times New Roman" w:cs="Times New Roman"/>
                <w:sz w:val="20"/>
                <w:szCs w:val="20"/>
              </w:rPr>
              <w:t>80</w:t>
            </w:r>
          </w:p>
        </w:tc>
      </w:tr>
      <w:tr w:rsidR="00FC5290" w:rsidRPr="000C71E9" w14:paraId="3997EA8D" w14:textId="77777777" w:rsidTr="00FC5290">
        <w:trPr>
          <w:trHeight w:val="230"/>
        </w:trPr>
        <w:tc>
          <w:tcPr>
            <w:tcW w:w="2639" w:type="dxa"/>
            <w:tcBorders>
              <w:top w:val="nil"/>
              <w:left w:val="double" w:sz="6" w:space="0" w:color="auto"/>
              <w:bottom w:val="nil"/>
              <w:right w:val="nil"/>
            </w:tcBorders>
            <w:shd w:val="clear" w:color="auto" w:fill="auto"/>
            <w:vAlign w:val="center"/>
          </w:tcPr>
          <w:p w14:paraId="752FCD25" w14:textId="77777777" w:rsidR="000C5906" w:rsidRPr="00FC5290" w:rsidRDefault="000C5906" w:rsidP="000C5906">
            <w:pPr>
              <w:spacing w:line="240" w:lineRule="auto"/>
              <w:jc w:val="left"/>
              <w:rPr>
                <w:rFonts w:eastAsia="Times New Roman" w:cs="Times New Roman"/>
                <w:b/>
                <w:color w:val="000000"/>
                <w:sz w:val="20"/>
                <w:szCs w:val="20"/>
              </w:rPr>
            </w:pPr>
            <w:r w:rsidRPr="00FC5290">
              <w:rPr>
                <w:rFonts w:eastAsia="Times New Roman" w:cs="Times New Roman"/>
                <w:b/>
                <w:color w:val="000000"/>
                <w:sz w:val="20"/>
                <w:szCs w:val="20"/>
              </w:rPr>
              <w:t>Constant</w:t>
            </w:r>
          </w:p>
        </w:tc>
        <w:tc>
          <w:tcPr>
            <w:tcW w:w="682" w:type="dxa"/>
            <w:tcBorders>
              <w:left w:val="double" w:sz="6" w:space="0" w:color="auto"/>
            </w:tcBorders>
            <w:vAlign w:val="center"/>
          </w:tcPr>
          <w:p w14:paraId="45DDF642" w14:textId="77777777" w:rsidR="000C5906" w:rsidRPr="00FC5290" w:rsidRDefault="000C5906" w:rsidP="00FC5290">
            <w:pPr>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-0.759</w:t>
            </w:r>
          </w:p>
        </w:tc>
        <w:tc>
          <w:tcPr>
            <w:tcW w:w="594" w:type="dxa"/>
            <w:vAlign w:val="center"/>
          </w:tcPr>
          <w:p w14:paraId="6F3D1884" w14:textId="77777777" w:rsidR="000C5906" w:rsidRPr="00FC5290" w:rsidRDefault="000C5906" w:rsidP="00FC5290">
            <w:pPr>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-2.24</w:t>
            </w:r>
          </w:p>
        </w:tc>
        <w:tc>
          <w:tcPr>
            <w:tcW w:w="596" w:type="dxa"/>
            <w:vAlign w:val="center"/>
          </w:tcPr>
          <w:p w14:paraId="15E2784A" w14:textId="77777777" w:rsidR="000C5906" w:rsidRPr="00FC5290" w:rsidRDefault="000C5906" w:rsidP="00FC5290">
            <w:pPr>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-0.876</w:t>
            </w:r>
          </w:p>
        </w:tc>
        <w:tc>
          <w:tcPr>
            <w:tcW w:w="594" w:type="dxa"/>
            <w:tcBorders>
              <w:right w:val="double" w:sz="6" w:space="0" w:color="auto"/>
            </w:tcBorders>
            <w:vAlign w:val="center"/>
          </w:tcPr>
          <w:p w14:paraId="2C2D7DEF" w14:textId="77777777" w:rsidR="000C5906" w:rsidRPr="00FC5290" w:rsidRDefault="000C5906" w:rsidP="00FC5290">
            <w:pPr>
              <w:spacing w:line="240" w:lineRule="auto"/>
              <w:jc w:val="right"/>
              <w:rPr>
                <w:rFonts w:eastAsia="Times New Roman" w:cs="Times New Roman"/>
                <w:color w:val="000000"/>
                <w:sz w:val="20"/>
                <w:szCs w:val="20"/>
              </w:rPr>
            </w:pPr>
            <w:r w:rsidRPr="00FC5290">
              <w:rPr>
                <w:rFonts w:eastAsia="Times New Roman" w:cs="Times New Roman"/>
                <w:color w:val="000000"/>
                <w:sz w:val="20"/>
                <w:szCs w:val="20"/>
              </w:rPr>
              <w:t>-4.47</w:t>
            </w:r>
          </w:p>
        </w:tc>
        <w:tc>
          <w:tcPr>
            <w:tcW w:w="682" w:type="dxa"/>
            <w:tcBorders>
              <w:top w:val="nil"/>
              <w:left w:val="double" w:sz="6" w:space="0" w:color="auto"/>
              <w:bottom w:val="nil"/>
              <w:right w:val="nil"/>
            </w:tcBorders>
            <w:shd w:val="clear" w:color="auto" w:fill="auto"/>
            <w:noWrap/>
            <w:vAlign w:val="center"/>
          </w:tcPr>
          <w:p w14:paraId="68450580" w14:textId="77777777" w:rsidR="000C5906" w:rsidRPr="00FC5290" w:rsidRDefault="00F27729"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0.680</w:t>
            </w:r>
          </w:p>
        </w:tc>
        <w:tc>
          <w:tcPr>
            <w:tcW w:w="674" w:type="dxa"/>
            <w:tcBorders>
              <w:top w:val="nil"/>
              <w:left w:val="nil"/>
              <w:bottom w:val="nil"/>
              <w:right w:val="double" w:sz="6" w:space="0" w:color="auto"/>
            </w:tcBorders>
            <w:shd w:val="clear" w:color="auto" w:fill="auto"/>
            <w:noWrap/>
            <w:vAlign w:val="center"/>
          </w:tcPr>
          <w:p w14:paraId="3AF0EADF"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7.</w:t>
            </w:r>
            <w:r w:rsidR="00F27729" w:rsidRPr="00FC5290">
              <w:rPr>
                <w:rFonts w:eastAsia="Times New Roman" w:cs="Times New Roman"/>
                <w:sz w:val="20"/>
                <w:szCs w:val="20"/>
              </w:rPr>
              <w:t>88</w:t>
            </w:r>
          </w:p>
        </w:tc>
        <w:tc>
          <w:tcPr>
            <w:tcW w:w="714" w:type="dxa"/>
            <w:tcBorders>
              <w:top w:val="nil"/>
              <w:left w:val="nil"/>
              <w:bottom w:val="nil"/>
              <w:right w:val="nil"/>
            </w:tcBorders>
            <w:shd w:val="clear" w:color="auto" w:fill="auto"/>
            <w:noWrap/>
            <w:vAlign w:val="center"/>
          </w:tcPr>
          <w:p w14:paraId="476F5204"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-1.</w:t>
            </w:r>
            <w:r w:rsidR="00945BC9" w:rsidRPr="00FC5290">
              <w:rPr>
                <w:rFonts w:eastAsia="Times New Roman" w:cs="Times New Roman"/>
                <w:sz w:val="20"/>
                <w:szCs w:val="20"/>
              </w:rPr>
              <w:t>172</w:t>
            </w:r>
          </w:p>
        </w:tc>
        <w:tc>
          <w:tcPr>
            <w:tcW w:w="548" w:type="dxa"/>
            <w:tcBorders>
              <w:top w:val="nil"/>
              <w:left w:val="nil"/>
              <w:bottom w:val="nil"/>
              <w:right w:val="nil"/>
            </w:tcBorders>
            <w:shd w:val="clear" w:color="auto" w:fill="auto"/>
            <w:noWrap/>
            <w:vAlign w:val="center"/>
          </w:tcPr>
          <w:p w14:paraId="14AA379A"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w:t>
            </w:r>
            <w:r w:rsidR="00945BC9" w:rsidRPr="00FC5290">
              <w:rPr>
                <w:rFonts w:eastAsia="Times New Roman" w:cs="Times New Roman"/>
                <w:sz w:val="20"/>
                <w:szCs w:val="20"/>
              </w:rPr>
              <w:t>4.73</w:t>
            </w:r>
          </w:p>
        </w:tc>
        <w:tc>
          <w:tcPr>
            <w:tcW w:w="706" w:type="dxa"/>
            <w:tcBorders>
              <w:top w:val="nil"/>
              <w:left w:val="nil"/>
              <w:bottom w:val="nil"/>
              <w:right w:val="nil"/>
            </w:tcBorders>
            <w:shd w:val="clear" w:color="auto" w:fill="auto"/>
            <w:noWrap/>
            <w:vAlign w:val="center"/>
          </w:tcPr>
          <w:p w14:paraId="6123C1BF"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-1.7</w:t>
            </w:r>
            <w:r w:rsidR="00945BC9" w:rsidRPr="00FC5290">
              <w:rPr>
                <w:rFonts w:eastAsia="Times New Roman" w:cs="Times New Roman"/>
                <w:sz w:val="20"/>
                <w:szCs w:val="20"/>
              </w:rPr>
              <w:t>02</w:t>
            </w:r>
          </w:p>
        </w:tc>
        <w:tc>
          <w:tcPr>
            <w:tcW w:w="641" w:type="dxa"/>
            <w:gridSpan w:val="2"/>
            <w:tcBorders>
              <w:top w:val="nil"/>
              <w:left w:val="nil"/>
              <w:bottom w:val="nil"/>
              <w:right w:val="double" w:sz="6" w:space="0" w:color="auto"/>
            </w:tcBorders>
            <w:shd w:val="clear" w:color="auto" w:fill="auto"/>
            <w:noWrap/>
            <w:vAlign w:val="center"/>
          </w:tcPr>
          <w:p w14:paraId="33CC9C12" w14:textId="77777777" w:rsidR="000C5906" w:rsidRPr="00FC5290" w:rsidRDefault="000C5906" w:rsidP="00FC5290">
            <w:pPr>
              <w:spacing w:line="240" w:lineRule="auto"/>
              <w:jc w:val="right"/>
              <w:rPr>
                <w:rFonts w:eastAsia="Times New Roman" w:cs="Times New Roman"/>
                <w:sz w:val="20"/>
                <w:szCs w:val="20"/>
              </w:rPr>
            </w:pPr>
            <w:r w:rsidRPr="00FC5290">
              <w:rPr>
                <w:rFonts w:eastAsia="Times New Roman" w:cs="Times New Roman"/>
                <w:sz w:val="20"/>
                <w:szCs w:val="20"/>
              </w:rPr>
              <w:t>-</w:t>
            </w:r>
            <w:r w:rsidR="00945BC9" w:rsidRPr="00FC5290">
              <w:rPr>
                <w:rFonts w:eastAsia="Times New Roman" w:cs="Times New Roman"/>
                <w:sz w:val="20"/>
                <w:szCs w:val="20"/>
              </w:rPr>
              <w:t>8.26</w:t>
            </w:r>
          </w:p>
        </w:tc>
        <w:tc>
          <w:tcPr>
            <w:tcW w:w="633" w:type="dxa"/>
            <w:tcBorders>
              <w:top w:val="nil"/>
              <w:left w:val="nil"/>
              <w:bottom w:val="nil"/>
              <w:right w:val="nil"/>
            </w:tcBorders>
            <w:shd w:val="clear" w:color="auto" w:fill="auto"/>
            <w:noWrap/>
            <w:vAlign w:val="center"/>
          </w:tcPr>
          <w:p w14:paraId="4B8C36A8"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0.2</w:t>
            </w:r>
            <w:r w:rsidR="00F27729" w:rsidRPr="00FC5290">
              <w:rPr>
                <w:rFonts w:eastAsia="Times New Roman" w:cs="Times New Roman"/>
                <w:sz w:val="20"/>
                <w:szCs w:val="20"/>
              </w:rPr>
              <w:t>4</w:t>
            </w:r>
            <w:r w:rsidRPr="00FC5290">
              <w:rPr>
                <w:rFonts w:eastAsia="Times New Roman" w:cs="Times New Roman"/>
                <w:sz w:val="20"/>
                <w:szCs w:val="20"/>
              </w:rPr>
              <w:t>6</w:t>
            </w:r>
          </w:p>
        </w:tc>
        <w:tc>
          <w:tcPr>
            <w:tcW w:w="613" w:type="dxa"/>
            <w:tcBorders>
              <w:top w:val="nil"/>
              <w:left w:val="nil"/>
              <w:bottom w:val="nil"/>
              <w:right w:val="double" w:sz="6" w:space="0" w:color="auto"/>
            </w:tcBorders>
            <w:shd w:val="clear" w:color="auto" w:fill="auto"/>
            <w:noWrap/>
            <w:vAlign w:val="center"/>
          </w:tcPr>
          <w:p w14:paraId="5D1995E2" w14:textId="77777777" w:rsidR="000C5906" w:rsidRPr="00FC5290" w:rsidRDefault="000C5906" w:rsidP="00FC5290">
            <w:pPr>
              <w:tabs>
                <w:tab w:val="decimal" w:pos="282"/>
              </w:tabs>
              <w:spacing w:line="240" w:lineRule="auto"/>
              <w:ind w:right="-89"/>
              <w:jc w:val="right"/>
              <w:rPr>
                <w:rFonts w:eastAsia="Times New Roman" w:cs="Times New Roman"/>
                <w:sz w:val="20"/>
                <w:szCs w:val="20"/>
              </w:rPr>
            </w:pPr>
            <w:r w:rsidRPr="00FC5290">
              <w:rPr>
                <w:rFonts w:eastAsia="Times New Roman" w:cs="Times New Roman"/>
                <w:sz w:val="20"/>
                <w:szCs w:val="20"/>
              </w:rPr>
              <w:t>1.</w:t>
            </w:r>
            <w:r w:rsidR="00F27729" w:rsidRPr="00FC5290">
              <w:rPr>
                <w:rFonts w:eastAsia="Times New Roman" w:cs="Times New Roman"/>
                <w:sz w:val="20"/>
                <w:szCs w:val="20"/>
              </w:rPr>
              <w:t>64</w:t>
            </w:r>
          </w:p>
        </w:tc>
      </w:tr>
      <w:tr w:rsidR="00FC5290" w:rsidRPr="000C71E9" w14:paraId="3E987BD5" w14:textId="77777777" w:rsidTr="00FC5290">
        <w:trPr>
          <w:trHeight w:val="230"/>
        </w:trPr>
        <w:tc>
          <w:tcPr>
            <w:tcW w:w="2639" w:type="dxa"/>
            <w:tcBorders>
              <w:top w:val="nil"/>
              <w:left w:val="double" w:sz="6" w:space="0" w:color="auto"/>
              <w:bottom w:val="nil"/>
              <w:right w:val="nil"/>
            </w:tcBorders>
            <w:shd w:val="clear" w:color="auto" w:fill="auto"/>
            <w:vAlign w:val="bottom"/>
          </w:tcPr>
          <w:p w14:paraId="140DE8D6" w14:textId="77777777" w:rsidR="000C5906" w:rsidRPr="00FC5290" w:rsidRDefault="000C5906" w:rsidP="000C5906">
            <w:pPr>
              <w:spacing w:line="240" w:lineRule="auto"/>
              <w:jc w:val="left"/>
              <w:rPr>
                <w:rFonts w:eastAsia="Times New Roman" w:cs="Times New Roman"/>
                <w:i/>
                <w:color w:val="000000"/>
                <w:sz w:val="20"/>
                <w:szCs w:val="20"/>
              </w:rPr>
            </w:pPr>
            <w:r w:rsidRPr="00FC5290">
              <w:rPr>
                <w:rFonts w:eastAsia="Times New Roman" w:cs="Times New Roman"/>
                <w:i/>
                <w:color w:val="000000"/>
                <w:sz w:val="20"/>
                <w:szCs w:val="20"/>
              </w:rPr>
              <w:t>Thresholds</w:t>
            </w:r>
          </w:p>
        </w:tc>
        <w:tc>
          <w:tcPr>
            <w:tcW w:w="682" w:type="dxa"/>
            <w:tcBorders>
              <w:left w:val="double" w:sz="6" w:space="0" w:color="auto"/>
            </w:tcBorders>
            <w:vAlign w:val="center"/>
          </w:tcPr>
          <w:p w14:paraId="74AA0366"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vAlign w:val="center"/>
          </w:tcPr>
          <w:p w14:paraId="39515FF5" w14:textId="77777777" w:rsidR="000C5906" w:rsidRPr="00FC5290" w:rsidRDefault="000C5906" w:rsidP="00FC5290">
            <w:pPr>
              <w:spacing w:line="240" w:lineRule="auto"/>
              <w:jc w:val="center"/>
              <w:rPr>
                <w:rFonts w:eastAsia="Times New Roman" w:cs="Times New Roman"/>
                <w:color w:val="000000"/>
                <w:sz w:val="20"/>
                <w:szCs w:val="20"/>
              </w:rPr>
            </w:pPr>
          </w:p>
        </w:tc>
        <w:tc>
          <w:tcPr>
            <w:tcW w:w="596" w:type="dxa"/>
            <w:vAlign w:val="center"/>
          </w:tcPr>
          <w:p w14:paraId="01DB163F" w14:textId="77777777" w:rsidR="000C5906" w:rsidRPr="00FC5290" w:rsidRDefault="000C5906" w:rsidP="00FC5290">
            <w:pPr>
              <w:spacing w:line="240" w:lineRule="auto"/>
              <w:jc w:val="center"/>
              <w:rPr>
                <w:rFonts w:eastAsia="Times New Roman" w:cs="Times New Roman"/>
                <w:color w:val="000000"/>
                <w:sz w:val="20"/>
                <w:szCs w:val="20"/>
              </w:rPr>
            </w:pPr>
          </w:p>
        </w:tc>
        <w:tc>
          <w:tcPr>
            <w:tcW w:w="594" w:type="dxa"/>
            <w:tcBorders>
              <w:right w:val="double" w:sz="6" w:space="0" w:color="auto"/>
            </w:tcBorders>
            <w:vAlign w:val="center"/>
          </w:tcPr>
          <w:p w14:paraId="4CF11300" w14:textId="77777777" w:rsidR="000C5906" w:rsidRPr="00FC5290" w:rsidRDefault="000C5906" w:rsidP="00FC5290">
            <w:pPr>
              <w:spacing w:line="240" w:lineRule="auto"/>
              <w:jc w:val="center"/>
              <w:rPr>
                <w:rFonts w:eastAsia="Times New Roman" w:cs="Times New Roman"/>
                <w:color w:val="000000"/>
                <w:sz w:val="20"/>
                <w:szCs w:val="20"/>
              </w:rPr>
            </w:pPr>
          </w:p>
        </w:tc>
        <w:tc>
          <w:tcPr>
            <w:tcW w:w="682" w:type="dxa"/>
            <w:tcBorders>
              <w:top w:val="nil"/>
              <w:left w:val="double" w:sz="6" w:space="0" w:color="auto"/>
              <w:bottom w:val="nil"/>
              <w:right w:val="nil"/>
            </w:tcBorders>
            <w:shd w:val="clear" w:color="auto" w:fill="auto"/>
            <w:noWrap/>
            <w:vAlign w:val="center"/>
          </w:tcPr>
          <w:p w14:paraId="5772D5F8"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674" w:type="dxa"/>
            <w:tcBorders>
              <w:top w:val="nil"/>
              <w:left w:val="nil"/>
              <w:bottom w:val="nil"/>
              <w:right w:val="double" w:sz="6" w:space="0" w:color="auto"/>
            </w:tcBorders>
            <w:shd w:val="clear" w:color="auto" w:fill="auto"/>
            <w:noWrap/>
            <w:vAlign w:val="center"/>
          </w:tcPr>
          <w:p w14:paraId="6B877C4F" w14:textId="77777777" w:rsidR="000C5906" w:rsidRPr="00FC5290" w:rsidRDefault="000C5906" w:rsidP="00FC5290">
            <w:pPr>
              <w:tabs>
                <w:tab w:val="decimal" w:pos="246"/>
              </w:tabs>
              <w:spacing w:line="240" w:lineRule="auto"/>
              <w:jc w:val="right"/>
              <w:rPr>
                <w:rFonts w:eastAsia="Times New Roman" w:cs="Times New Roman"/>
                <w:color w:val="943634" w:themeColor="accent2" w:themeShade="BF"/>
                <w:sz w:val="20"/>
                <w:szCs w:val="20"/>
              </w:rPr>
            </w:pPr>
          </w:p>
        </w:tc>
        <w:tc>
          <w:tcPr>
            <w:tcW w:w="714" w:type="dxa"/>
            <w:tcBorders>
              <w:top w:val="nil"/>
              <w:left w:val="nil"/>
              <w:bottom w:val="nil"/>
              <w:right w:val="nil"/>
            </w:tcBorders>
            <w:shd w:val="clear" w:color="auto" w:fill="auto"/>
            <w:noWrap/>
            <w:vAlign w:val="center"/>
          </w:tcPr>
          <w:p w14:paraId="47B8CE25" w14:textId="77777777" w:rsidR="000C5906" w:rsidRPr="00FC5290" w:rsidRDefault="000C5906" w:rsidP="00FC5290">
            <w:pPr>
              <w:spacing w:line="240" w:lineRule="auto"/>
              <w:jc w:val="right"/>
              <w:rPr>
                <w:rFonts w:eastAsia="Times New Roman" w:cs="Times New Roman"/>
                <w:sz w:val="20"/>
                <w:szCs w:val="20"/>
              </w:rPr>
            </w:pPr>
          </w:p>
        </w:tc>
        <w:tc>
          <w:tcPr>
            <w:tcW w:w="548" w:type="dxa"/>
            <w:tcBorders>
              <w:top w:val="nil"/>
              <w:left w:val="nil"/>
              <w:bottom w:val="nil"/>
              <w:right w:val="nil"/>
            </w:tcBorders>
            <w:shd w:val="clear" w:color="auto" w:fill="auto"/>
            <w:noWrap/>
            <w:vAlign w:val="center"/>
          </w:tcPr>
          <w:p w14:paraId="17C94D91" w14:textId="77777777" w:rsidR="000C5906" w:rsidRPr="00FC5290" w:rsidRDefault="000C5906" w:rsidP="00FC5290">
            <w:pPr>
              <w:spacing w:line="240" w:lineRule="auto"/>
              <w:jc w:val="right"/>
              <w:rPr>
                <w:rFonts w:eastAsia="Times New Roman" w:cs="Times New Roman"/>
                <w:sz w:val="20"/>
                <w:szCs w:val="20"/>
              </w:rPr>
            </w:pPr>
          </w:p>
        </w:tc>
        <w:tc>
          <w:tcPr>
            <w:tcW w:w="706" w:type="dxa"/>
            <w:tcBorders>
              <w:top w:val="nil"/>
              <w:left w:val="nil"/>
              <w:bottom w:val="nil"/>
              <w:right w:val="nil"/>
            </w:tcBorders>
            <w:shd w:val="clear" w:color="auto" w:fill="auto"/>
            <w:noWrap/>
            <w:vAlign w:val="center"/>
          </w:tcPr>
          <w:p w14:paraId="20B16B46" w14:textId="77777777" w:rsidR="000C5906" w:rsidRPr="00FC5290" w:rsidRDefault="000C5906" w:rsidP="00FC5290">
            <w:pPr>
              <w:spacing w:line="240" w:lineRule="auto"/>
              <w:jc w:val="right"/>
              <w:rPr>
                <w:rFonts w:eastAsia="Times New Roman" w:cs="Times New Roman"/>
                <w:sz w:val="20"/>
                <w:szCs w:val="20"/>
              </w:rPr>
            </w:pPr>
          </w:p>
        </w:tc>
        <w:tc>
          <w:tcPr>
            <w:tcW w:w="641" w:type="dxa"/>
            <w:gridSpan w:val="2"/>
            <w:tcBorders>
              <w:top w:val="nil"/>
              <w:left w:val="nil"/>
              <w:bottom w:val="nil"/>
              <w:right w:val="double" w:sz="6" w:space="0" w:color="auto"/>
            </w:tcBorders>
            <w:shd w:val="clear" w:color="auto" w:fill="auto"/>
            <w:noWrap/>
            <w:vAlign w:val="center"/>
          </w:tcPr>
          <w:p w14:paraId="516D2DBA" w14:textId="77777777" w:rsidR="000C5906" w:rsidRPr="00FC5290" w:rsidRDefault="000C5906" w:rsidP="00FC5290">
            <w:pPr>
              <w:spacing w:line="240" w:lineRule="auto"/>
              <w:jc w:val="right"/>
              <w:rPr>
                <w:rFonts w:eastAsia="Times New Roman" w:cs="Times New Roman"/>
                <w:sz w:val="20"/>
                <w:szCs w:val="20"/>
              </w:rPr>
            </w:pPr>
          </w:p>
        </w:tc>
        <w:tc>
          <w:tcPr>
            <w:tcW w:w="633" w:type="dxa"/>
            <w:tcBorders>
              <w:top w:val="nil"/>
              <w:left w:val="nil"/>
              <w:bottom w:val="nil"/>
              <w:right w:val="nil"/>
            </w:tcBorders>
            <w:shd w:val="clear" w:color="auto" w:fill="auto"/>
            <w:noWrap/>
            <w:vAlign w:val="center"/>
          </w:tcPr>
          <w:p w14:paraId="6480157B" w14:textId="77777777" w:rsidR="000C5906" w:rsidRPr="00FC5290" w:rsidRDefault="000C5906" w:rsidP="00FC5290">
            <w:pPr>
              <w:tabs>
                <w:tab w:val="decimal" w:pos="282"/>
              </w:tabs>
              <w:spacing w:line="240" w:lineRule="auto"/>
              <w:jc w:val="right"/>
              <w:rPr>
                <w:rFonts w:eastAsia="Times New Roman" w:cs="Times New Roman"/>
                <w:color w:val="943634" w:themeColor="accent2" w:themeShade="BF"/>
                <w:sz w:val="20"/>
                <w:szCs w:val="20"/>
              </w:rPr>
            </w:pPr>
          </w:p>
        </w:tc>
        <w:tc>
          <w:tcPr>
            <w:tcW w:w="613" w:type="dxa"/>
            <w:tcBorders>
              <w:top w:val="nil"/>
              <w:left w:val="nil"/>
              <w:bottom w:val="nil"/>
              <w:right w:val="double" w:sz="6" w:space="0" w:color="auto"/>
            </w:tcBorders>
            <w:shd w:val="clear" w:color="auto" w:fill="auto"/>
            <w:noWrap/>
            <w:vAlign w:val="center"/>
          </w:tcPr>
          <w:p w14:paraId="20C4F284" w14:textId="77777777" w:rsidR="000C5906" w:rsidRPr="00FC5290" w:rsidRDefault="000C5906" w:rsidP="00FC5290">
            <w:pPr>
              <w:tabs>
                <w:tab w:val="decimal" w:pos="282"/>
              </w:tabs>
              <w:spacing w:line="240" w:lineRule="auto"/>
              <w:jc w:val="right"/>
              <w:rPr>
                <w:rFonts w:eastAsia="Times New Roman" w:cs="Times New Roman"/>
                <w:color w:val="943634" w:themeColor="accent2" w:themeShade="BF"/>
                <w:sz w:val="20"/>
                <w:szCs w:val="20"/>
              </w:rPr>
            </w:pPr>
          </w:p>
        </w:tc>
      </w:tr>
      <w:tr w:rsidR="00FC5290" w:rsidRPr="000C71E9" w14:paraId="090E333A" w14:textId="77777777" w:rsidTr="00FC5290">
        <w:trPr>
          <w:trHeight w:val="230"/>
        </w:trPr>
        <w:tc>
          <w:tcPr>
            <w:tcW w:w="2639" w:type="dxa"/>
            <w:tcBorders>
              <w:top w:val="nil"/>
              <w:left w:val="double" w:sz="6" w:space="0" w:color="auto"/>
              <w:bottom w:val="nil"/>
              <w:right w:val="nil"/>
            </w:tcBorders>
            <w:shd w:val="clear" w:color="auto" w:fill="auto"/>
            <w:vAlign w:val="bottom"/>
          </w:tcPr>
          <w:p w14:paraId="7AD377F6"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Threshold 2</w:t>
            </w:r>
          </w:p>
        </w:tc>
        <w:tc>
          <w:tcPr>
            <w:tcW w:w="682" w:type="dxa"/>
            <w:tcBorders>
              <w:left w:val="double" w:sz="6" w:space="0" w:color="auto"/>
            </w:tcBorders>
            <w:vAlign w:val="center"/>
          </w:tcPr>
          <w:p w14:paraId="1DAE138D"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3A30D360"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7E29EAD4"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2922C8DE"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nil"/>
              <w:right w:val="nil"/>
            </w:tcBorders>
            <w:shd w:val="clear" w:color="auto" w:fill="auto"/>
            <w:noWrap/>
            <w:vAlign w:val="center"/>
          </w:tcPr>
          <w:p w14:paraId="3680BE3F"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1.6</w:t>
            </w:r>
            <w:r w:rsidR="00466DE6" w:rsidRPr="00FC5290">
              <w:rPr>
                <w:rFonts w:eastAsia="Times New Roman" w:cs="Times New Roman"/>
                <w:sz w:val="20"/>
                <w:szCs w:val="20"/>
              </w:rPr>
              <w:t>88</w:t>
            </w:r>
          </w:p>
        </w:tc>
        <w:tc>
          <w:tcPr>
            <w:tcW w:w="674" w:type="dxa"/>
            <w:tcBorders>
              <w:top w:val="nil"/>
              <w:left w:val="nil"/>
              <w:bottom w:val="nil"/>
              <w:right w:val="double" w:sz="6" w:space="0" w:color="auto"/>
            </w:tcBorders>
            <w:shd w:val="clear" w:color="auto" w:fill="auto"/>
            <w:noWrap/>
            <w:vAlign w:val="center"/>
          </w:tcPr>
          <w:p w14:paraId="040F4950" w14:textId="77777777" w:rsidR="000C5906" w:rsidRPr="00FC5290" w:rsidRDefault="000C5906" w:rsidP="00FC5290">
            <w:pPr>
              <w:tabs>
                <w:tab w:val="decimal" w:pos="246"/>
              </w:tabs>
              <w:spacing w:line="240" w:lineRule="auto"/>
              <w:jc w:val="right"/>
              <w:rPr>
                <w:rFonts w:eastAsia="Times New Roman" w:cs="Times New Roman"/>
                <w:sz w:val="20"/>
                <w:szCs w:val="20"/>
              </w:rPr>
            </w:pPr>
            <w:r w:rsidRPr="00FC5290">
              <w:rPr>
                <w:rFonts w:eastAsia="Times New Roman" w:cs="Times New Roman"/>
                <w:sz w:val="20"/>
                <w:szCs w:val="20"/>
              </w:rPr>
              <w:t>28.</w:t>
            </w:r>
            <w:r w:rsidR="00466DE6" w:rsidRPr="00FC5290">
              <w:rPr>
                <w:rFonts w:eastAsia="Times New Roman" w:cs="Times New Roman"/>
                <w:sz w:val="20"/>
                <w:szCs w:val="20"/>
              </w:rPr>
              <w:t>91</w:t>
            </w:r>
          </w:p>
        </w:tc>
        <w:tc>
          <w:tcPr>
            <w:tcW w:w="714" w:type="dxa"/>
            <w:tcBorders>
              <w:top w:val="nil"/>
              <w:left w:val="nil"/>
              <w:bottom w:val="nil"/>
              <w:right w:val="nil"/>
            </w:tcBorders>
            <w:shd w:val="clear" w:color="auto" w:fill="auto"/>
            <w:noWrap/>
            <w:vAlign w:val="center"/>
          </w:tcPr>
          <w:p w14:paraId="597C2E0B"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548" w:type="dxa"/>
            <w:tcBorders>
              <w:top w:val="nil"/>
              <w:left w:val="nil"/>
              <w:bottom w:val="nil"/>
              <w:right w:val="nil"/>
            </w:tcBorders>
            <w:shd w:val="clear" w:color="auto" w:fill="auto"/>
            <w:noWrap/>
            <w:vAlign w:val="center"/>
          </w:tcPr>
          <w:p w14:paraId="0BFF4DBE"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06" w:type="dxa"/>
            <w:tcBorders>
              <w:top w:val="nil"/>
              <w:left w:val="nil"/>
              <w:bottom w:val="nil"/>
              <w:right w:val="nil"/>
            </w:tcBorders>
            <w:shd w:val="clear" w:color="auto" w:fill="auto"/>
            <w:noWrap/>
            <w:vAlign w:val="center"/>
          </w:tcPr>
          <w:p w14:paraId="5C561B28"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41" w:type="dxa"/>
            <w:gridSpan w:val="2"/>
            <w:tcBorders>
              <w:top w:val="nil"/>
              <w:left w:val="nil"/>
              <w:bottom w:val="nil"/>
              <w:right w:val="double" w:sz="6" w:space="0" w:color="auto"/>
            </w:tcBorders>
            <w:shd w:val="clear" w:color="auto" w:fill="auto"/>
            <w:noWrap/>
            <w:vAlign w:val="center"/>
          </w:tcPr>
          <w:p w14:paraId="6E5CC304"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33" w:type="dxa"/>
            <w:tcBorders>
              <w:top w:val="nil"/>
              <w:left w:val="nil"/>
              <w:bottom w:val="nil"/>
              <w:right w:val="nil"/>
            </w:tcBorders>
            <w:shd w:val="clear" w:color="auto" w:fill="auto"/>
            <w:noWrap/>
            <w:vAlign w:val="center"/>
          </w:tcPr>
          <w:p w14:paraId="77B26976"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0.8</w:t>
            </w:r>
            <w:r w:rsidR="00466DE6" w:rsidRPr="00FC5290">
              <w:rPr>
                <w:rFonts w:eastAsia="Times New Roman" w:cs="Times New Roman"/>
                <w:sz w:val="20"/>
                <w:szCs w:val="20"/>
              </w:rPr>
              <w:t>70</w:t>
            </w:r>
          </w:p>
        </w:tc>
        <w:tc>
          <w:tcPr>
            <w:tcW w:w="613" w:type="dxa"/>
            <w:tcBorders>
              <w:top w:val="nil"/>
              <w:left w:val="nil"/>
              <w:bottom w:val="nil"/>
              <w:right w:val="double" w:sz="6" w:space="0" w:color="auto"/>
            </w:tcBorders>
            <w:shd w:val="clear" w:color="auto" w:fill="auto"/>
            <w:noWrap/>
            <w:vAlign w:val="center"/>
          </w:tcPr>
          <w:p w14:paraId="1284BB32" w14:textId="77777777" w:rsidR="000C5906" w:rsidRPr="00FC5290" w:rsidRDefault="00466DE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13.97</w:t>
            </w:r>
          </w:p>
        </w:tc>
      </w:tr>
      <w:tr w:rsidR="00FC5290" w:rsidRPr="000C71E9" w14:paraId="197023DE" w14:textId="77777777" w:rsidTr="00FC5290">
        <w:trPr>
          <w:trHeight w:val="230"/>
        </w:trPr>
        <w:tc>
          <w:tcPr>
            <w:tcW w:w="2639" w:type="dxa"/>
            <w:tcBorders>
              <w:top w:val="nil"/>
              <w:left w:val="double" w:sz="6" w:space="0" w:color="auto"/>
              <w:right w:val="nil"/>
            </w:tcBorders>
            <w:shd w:val="clear" w:color="auto" w:fill="auto"/>
            <w:vAlign w:val="bottom"/>
          </w:tcPr>
          <w:p w14:paraId="00CFE52E"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Threshold 3</w:t>
            </w:r>
          </w:p>
        </w:tc>
        <w:tc>
          <w:tcPr>
            <w:tcW w:w="682" w:type="dxa"/>
            <w:tcBorders>
              <w:left w:val="double" w:sz="6" w:space="0" w:color="auto"/>
            </w:tcBorders>
            <w:vAlign w:val="center"/>
          </w:tcPr>
          <w:p w14:paraId="4297D686"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vAlign w:val="center"/>
          </w:tcPr>
          <w:p w14:paraId="560DB117"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vAlign w:val="center"/>
          </w:tcPr>
          <w:p w14:paraId="664F9F90"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right w:val="double" w:sz="6" w:space="0" w:color="auto"/>
            </w:tcBorders>
            <w:vAlign w:val="center"/>
          </w:tcPr>
          <w:p w14:paraId="17A939D9"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right w:val="nil"/>
            </w:tcBorders>
            <w:shd w:val="clear" w:color="auto" w:fill="auto"/>
            <w:noWrap/>
            <w:vAlign w:val="center"/>
          </w:tcPr>
          <w:p w14:paraId="521CE7D6"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74" w:type="dxa"/>
            <w:tcBorders>
              <w:top w:val="nil"/>
              <w:left w:val="nil"/>
              <w:right w:val="double" w:sz="6" w:space="0" w:color="auto"/>
            </w:tcBorders>
            <w:shd w:val="clear" w:color="auto" w:fill="auto"/>
            <w:noWrap/>
            <w:vAlign w:val="center"/>
          </w:tcPr>
          <w:p w14:paraId="39F6EAD0"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14" w:type="dxa"/>
            <w:tcBorders>
              <w:top w:val="nil"/>
              <w:left w:val="nil"/>
              <w:right w:val="nil"/>
            </w:tcBorders>
            <w:shd w:val="clear" w:color="auto" w:fill="auto"/>
            <w:noWrap/>
            <w:vAlign w:val="center"/>
          </w:tcPr>
          <w:p w14:paraId="509B00E2"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548" w:type="dxa"/>
            <w:tcBorders>
              <w:top w:val="nil"/>
              <w:left w:val="nil"/>
              <w:right w:val="nil"/>
            </w:tcBorders>
            <w:shd w:val="clear" w:color="auto" w:fill="auto"/>
            <w:noWrap/>
            <w:vAlign w:val="center"/>
          </w:tcPr>
          <w:p w14:paraId="657DB757"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06" w:type="dxa"/>
            <w:tcBorders>
              <w:top w:val="nil"/>
              <w:left w:val="nil"/>
              <w:right w:val="nil"/>
            </w:tcBorders>
            <w:shd w:val="clear" w:color="auto" w:fill="auto"/>
            <w:noWrap/>
            <w:vAlign w:val="center"/>
          </w:tcPr>
          <w:p w14:paraId="22EF6B42"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41" w:type="dxa"/>
            <w:gridSpan w:val="2"/>
            <w:tcBorders>
              <w:top w:val="nil"/>
              <w:left w:val="nil"/>
              <w:right w:val="double" w:sz="6" w:space="0" w:color="auto"/>
            </w:tcBorders>
            <w:shd w:val="clear" w:color="auto" w:fill="auto"/>
            <w:noWrap/>
            <w:vAlign w:val="center"/>
          </w:tcPr>
          <w:p w14:paraId="55F296F8"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33" w:type="dxa"/>
            <w:tcBorders>
              <w:top w:val="nil"/>
              <w:left w:val="nil"/>
              <w:right w:val="nil"/>
            </w:tcBorders>
            <w:shd w:val="clear" w:color="auto" w:fill="auto"/>
            <w:noWrap/>
            <w:vAlign w:val="center"/>
          </w:tcPr>
          <w:p w14:paraId="569699AF"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1.3</w:t>
            </w:r>
            <w:r w:rsidR="00466DE6" w:rsidRPr="00FC5290">
              <w:rPr>
                <w:rFonts w:eastAsia="Times New Roman" w:cs="Times New Roman"/>
                <w:sz w:val="20"/>
                <w:szCs w:val="20"/>
              </w:rPr>
              <w:t>38</w:t>
            </w:r>
          </w:p>
        </w:tc>
        <w:tc>
          <w:tcPr>
            <w:tcW w:w="613" w:type="dxa"/>
            <w:tcBorders>
              <w:top w:val="nil"/>
              <w:left w:val="nil"/>
              <w:right w:val="double" w:sz="6" w:space="0" w:color="auto"/>
            </w:tcBorders>
            <w:shd w:val="clear" w:color="auto" w:fill="auto"/>
            <w:noWrap/>
            <w:vAlign w:val="center"/>
          </w:tcPr>
          <w:p w14:paraId="6A92B67F" w14:textId="77777777" w:rsidR="000C5906" w:rsidRPr="00FC5290" w:rsidRDefault="00466DE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17.13</w:t>
            </w:r>
          </w:p>
        </w:tc>
      </w:tr>
      <w:tr w:rsidR="00FC5290" w:rsidRPr="000C71E9" w14:paraId="6CC58F51" w14:textId="77777777" w:rsidTr="00FC5290">
        <w:trPr>
          <w:trHeight w:val="230"/>
        </w:trPr>
        <w:tc>
          <w:tcPr>
            <w:tcW w:w="2639" w:type="dxa"/>
            <w:tcBorders>
              <w:top w:val="nil"/>
              <w:left w:val="double" w:sz="6" w:space="0" w:color="auto"/>
              <w:bottom w:val="double" w:sz="6" w:space="0" w:color="auto"/>
              <w:right w:val="nil"/>
            </w:tcBorders>
            <w:shd w:val="clear" w:color="auto" w:fill="auto"/>
            <w:vAlign w:val="bottom"/>
          </w:tcPr>
          <w:p w14:paraId="7E1CCD8B" w14:textId="77777777" w:rsidR="000C5906" w:rsidRPr="00FC5290" w:rsidRDefault="000C5906" w:rsidP="000C5906">
            <w:pPr>
              <w:spacing w:line="240" w:lineRule="auto"/>
              <w:jc w:val="left"/>
              <w:rPr>
                <w:rFonts w:eastAsia="Times New Roman" w:cs="Times New Roman"/>
                <w:color w:val="000000"/>
                <w:sz w:val="20"/>
                <w:szCs w:val="20"/>
              </w:rPr>
            </w:pPr>
            <w:r w:rsidRPr="00FC5290">
              <w:rPr>
                <w:rFonts w:eastAsia="Times New Roman" w:cs="Times New Roman"/>
                <w:color w:val="000000"/>
                <w:sz w:val="20"/>
                <w:szCs w:val="20"/>
              </w:rPr>
              <w:t xml:space="preserve"> Threshold 4</w:t>
            </w:r>
          </w:p>
        </w:tc>
        <w:tc>
          <w:tcPr>
            <w:tcW w:w="682" w:type="dxa"/>
            <w:tcBorders>
              <w:left w:val="double" w:sz="6" w:space="0" w:color="auto"/>
              <w:bottom w:val="double" w:sz="6" w:space="0" w:color="auto"/>
            </w:tcBorders>
            <w:vAlign w:val="center"/>
          </w:tcPr>
          <w:p w14:paraId="32063BCB"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bottom w:val="double" w:sz="6" w:space="0" w:color="auto"/>
            </w:tcBorders>
            <w:vAlign w:val="center"/>
          </w:tcPr>
          <w:p w14:paraId="34309C9C"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6" w:type="dxa"/>
            <w:tcBorders>
              <w:bottom w:val="double" w:sz="6" w:space="0" w:color="auto"/>
            </w:tcBorders>
            <w:vAlign w:val="center"/>
          </w:tcPr>
          <w:p w14:paraId="47F4D98C"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594" w:type="dxa"/>
            <w:tcBorders>
              <w:bottom w:val="double" w:sz="6" w:space="0" w:color="auto"/>
              <w:right w:val="double" w:sz="6" w:space="0" w:color="auto"/>
            </w:tcBorders>
            <w:vAlign w:val="center"/>
          </w:tcPr>
          <w:p w14:paraId="174AB7A3" w14:textId="77777777" w:rsidR="000C5906" w:rsidRPr="00FC5290" w:rsidRDefault="000C5906" w:rsidP="00FC5290">
            <w:pPr>
              <w:spacing w:line="240" w:lineRule="auto"/>
              <w:jc w:val="center"/>
              <w:rPr>
                <w:rFonts w:eastAsia="Times New Roman" w:cs="Times New Roman"/>
                <w:color w:val="000000"/>
                <w:sz w:val="20"/>
                <w:szCs w:val="20"/>
              </w:rPr>
            </w:pPr>
            <w:r w:rsidRPr="00FC5290">
              <w:rPr>
                <w:rFonts w:eastAsia="Times New Roman" w:cs="Times New Roman"/>
                <w:color w:val="000000"/>
                <w:sz w:val="20"/>
                <w:szCs w:val="20"/>
              </w:rPr>
              <w:t>n/a</w:t>
            </w:r>
          </w:p>
        </w:tc>
        <w:tc>
          <w:tcPr>
            <w:tcW w:w="682" w:type="dxa"/>
            <w:tcBorders>
              <w:top w:val="nil"/>
              <w:left w:val="double" w:sz="6" w:space="0" w:color="auto"/>
              <w:bottom w:val="double" w:sz="6" w:space="0" w:color="auto"/>
              <w:right w:val="nil"/>
            </w:tcBorders>
            <w:shd w:val="clear" w:color="auto" w:fill="auto"/>
            <w:noWrap/>
            <w:vAlign w:val="center"/>
          </w:tcPr>
          <w:p w14:paraId="2873B1A5"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74" w:type="dxa"/>
            <w:tcBorders>
              <w:top w:val="nil"/>
              <w:left w:val="nil"/>
              <w:bottom w:val="double" w:sz="6" w:space="0" w:color="auto"/>
              <w:right w:val="double" w:sz="6" w:space="0" w:color="auto"/>
            </w:tcBorders>
            <w:shd w:val="clear" w:color="auto" w:fill="auto"/>
            <w:noWrap/>
            <w:vAlign w:val="center"/>
          </w:tcPr>
          <w:p w14:paraId="7972E114"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14" w:type="dxa"/>
            <w:tcBorders>
              <w:top w:val="nil"/>
              <w:left w:val="nil"/>
              <w:bottom w:val="double" w:sz="6" w:space="0" w:color="auto"/>
              <w:right w:val="nil"/>
            </w:tcBorders>
            <w:shd w:val="clear" w:color="auto" w:fill="auto"/>
            <w:noWrap/>
            <w:vAlign w:val="center"/>
          </w:tcPr>
          <w:p w14:paraId="4731A9D0"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548" w:type="dxa"/>
            <w:tcBorders>
              <w:top w:val="nil"/>
              <w:left w:val="nil"/>
              <w:bottom w:val="double" w:sz="6" w:space="0" w:color="auto"/>
              <w:right w:val="nil"/>
            </w:tcBorders>
            <w:shd w:val="clear" w:color="auto" w:fill="auto"/>
            <w:noWrap/>
            <w:vAlign w:val="center"/>
          </w:tcPr>
          <w:p w14:paraId="574C599E"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706" w:type="dxa"/>
            <w:tcBorders>
              <w:top w:val="nil"/>
              <w:left w:val="nil"/>
              <w:bottom w:val="double" w:sz="6" w:space="0" w:color="auto"/>
              <w:right w:val="nil"/>
            </w:tcBorders>
            <w:shd w:val="clear" w:color="auto" w:fill="auto"/>
            <w:noWrap/>
            <w:vAlign w:val="center"/>
          </w:tcPr>
          <w:p w14:paraId="2716E010"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41" w:type="dxa"/>
            <w:gridSpan w:val="2"/>
            <w:tcBorders>
              <w:top w:val="nil"/>
              <w:left w:val="nil"/>
              <w:bottom w:val="double" w:sz="6" w:space="0" w:color="auto"/>
              <w:right w:val="double" w:sz="6" w:space="0" w:color="auto"/>
            </w:tcBorders>
            <w:shd w:val="clear" w:color="auto" w:fill="auto"/>
            <w:noWrap/>
            <w:vAlign w:val="center"/>
          </w:tcPr>
          <w:p w14:paraId="339E7B3D" w14:textId="77777777" w:rsidR="000C5906" w:rsidRPr="00FC5290" w:rsidRDefault="000C5906" w:rsidP="00FC5290">
            <w:pPr>
              <w:spacing w:line="240" w:lineRule="auto"/>
              <w:jc w:val="center"/>
              <w:rPr>
                <w:rFonts w:eastAsia="Times New Roman" w:cs="Times New Roman"/>
                <w:sz w:val="20"/>
                <w:szCs w:val="20"/>
              </w:rPr>
            </w:pPr>
            <w:r w:rsidRPr="00FC5290">
              <w:rPr>
                <w:rFonts w:eastAsia="Times New Roman" w:cs="Times New Roman"/>
                <w:sz w:val="20"/>
                <w:szCs w:val="20"/>
              </w:rPr>
              <w:t>n/a</w:t>
            </w:r>
          </w:p>
        </w:tc>
        <w:tc>
          <w:tcPr>
            <w:tcW w:w="633" w:type="dxa"/>
            <w:tcBorders>
              <w:top w:val="nil"/>
              <w:left w:val="nil"/>
              <w:bottom w:val="double" w:sz="6" w:space="0" w:color="auto"/>
              <w:right w:val="nil"/>
            </w:tcBorders>
            <w:shd w:val="clear" w:color="auto" w:fill="auto"/>
            <w:noWrap/>
            <w:vAlign w:val="center"/>
          </w:tcPr>
          <w:p w14:paraId="61EA9A31"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2.0</w:t>
            </w:r>
            <w:r w:rsidR="00466DE6" w:rsidRPr="00FC5290">
              <w:rPr>
                <w:rFonts w:eastAsia="Times New Roman" w:cs="Times New Roman"/>
                <w:sz w:val="20"/>
                <w:szCs w:val="20"/>
              </w:rPr>
              <w:t>37</w:t>
            </w:r>
          </w:p>
        </w:tc>
        <w:tc>
          <w:tcPr>
            <w:tcW w:w="613" w:type="dxa"/>
            <w:tcBorders>
              <w:top w:val="nil"/>
              <w:left w:val="nil"/>
              <w:bottom w:val="double" w:sz="6" w:space="0" w:color="auto"/>
              <w:right w:val="double" w:sz="6" w:space="0" w:color="auto"/>
            </w:tcBorders>
            <w:shd w:val="clear" w:color="auto" w:fill="auto"/>
            <w:noWrap/>
            <w:vAlign w:val="center"/>
          </w:tcPr>
          <w:p w14:paraId="002A2B23" w14:textId="77777777" w:rsidR="000C5906" w:rsidRPr="00FC5290" w:rsidRDefault="000C5906" w:rsidP="00FC5290">
            <w:pPr>
              <w:tabs>
                <w:tab w:val="decimal" w:pos="282"/>
              </w:tabs>
              <w:spacing w:line="240" w:lineRule="auto"/>
              <w:jc w:val="right"/>
              <w:rPr>
                <w:rFonts w:eastAsia="Times New Roman" w:cs="Times New Roman"/>
                <w:sz w:val="20"/>
                <w:szCs w:val="20"/>
              </w:rPr>
            </w:pPr>
            <w:r w:rsidRPr="00FC5290">
              <w:rPr>
                <w:rFonts w:eastAsia="Times New Roman" w:cs="Times New Roman"/>
                <w:sz w:val="20"/>
                <w:szCs w:val="20"/>
              </w:rPr>
              <w:t>1</w:t>
            </w:r>
            <w:r w:rsidR="00466DE6" w:rsidRPr="00FC5290">
              <w:rPr>
                <w:rFonts w:eastAsia="Times New Roman" w:cs="Times New Roman"/>
                <w:sz w:val="20"/>
                <w:szCs w:val="20"/>
              </w:rPr>
              <w:t>7</w:t>
            </w:r>
            <w:r w:rsidRPr="00FC5290">
              <w:rPr>
                <w:rFonts w:eastAsia="Times New Roman" w:cs="Times New Roman"/>
                <w:sz w:val="20"/>
                <w:szCs w:val="20"/>
              </w:rPr>
              <w:t>.</w:t>
            </w:r>
            <w:r w:rsidR="00466DE6" w:rsidRPr="00FC5290">
              <w:rPr>
                <w:rFonts w:eastAsia="Times New Roman" w:cs="Times New Roman"/>
                <w:sz w:val="20"/>
                <w:szCs w:val="20"/>
              </w:rPr>
              <w:t>51</w:t>
            </w:r>
          </w:p>
        </w:tc>
      </w:tr>
    </w:tbl>
    <w:p w14:paraId="7217F9B4" w14:textId="062156E5" w:rsidR="00C524CF" w:rsidRPr="009263FC" w:rsidRDefault="00C524CF" w:rsidP="00FC5290">
      <w:pPr>
        <w:spacing w:line="240" w:lineRule="auto"/>
        <w:rPr>
          <w:sz w:val="18"/>
          <w:szCs w:val="18"/>
        </w:rPr>
      </w:pPr>
      <w:r w:rsidRPr="009263FC">
        <w:rPr>
          <w:sz w:val="18"/>
          <w:szCs w:val="18"/>
        </w:rPr>
        <w:t>“--”</w:t>
      </w:r>
      <w:r w:rsidRPr="009263FC">
        <w:rPr>
          <w:b/>
          <w:sz w:val="18"/>
          <w:szCs w:val="18"/>
        </w:rPr>
        <w:t xml:space="preserve"> </w:t>
      </w:r>
      <w:r w:rsidR="00F13ABD">
        <w:rPr>
          <w:b/>
          <w:sz w:val="18"/>
          <w:szCs w:val="18"/>
        </w:rPr>
        <w:t xml:space="preserve">= </w:t>
      </w:r>
      <w:r w:rsidRPr="009263FC">
        <w:rPr>
          <w:sz w:val="18"/>
          <w:szCs w:val="18"/>
        </w:rPr>
        <w:t>not statistically significantly different from zero at the 90% level of confidence and removed</w:t>
      </w:r>
      <w:r>
        <w:rPr>
          <w:sz w:val="18"/>
          <w:szCs w:val="18"/>
        </w:rPr>
        <w:t xml:space="preserve"> from the specification</w:t>
      </w:r>
      <w:r w:rsidRPr="009263FC">
        <w:rPr>
          <w:sz w:val="18"/>
          <w:szCs w:val="18"/>
        </w:rPr>
        <w:t>.</w:t>
      </w:r>
    </w:p>
    <w:p w14:paraId="1CD3708B" w14:textId="480F47E9" w:rsidR="008C2C26" w:rsidRDefault="000C71E9" w:rsidP="005D6BB5">
      <w:pPr>
        <w:spacing w:line="240" w:lineRule="auto"/>
        <w:jc w:val="left"/>
        <w:rPr>
          <w:sz w:val="18"/>
          <w:szCs w:val="18"/>
        </w:rPr>
      </w:pPr>
      <w:r w:rsidRPr="000C71E9">
        <w:rPr>
          <w:sz w:val="18"/>
          <w:szCs w:val="18"/>
        </w:rPr>
        <w:t xml:space="preserve">“n/a” </w:t>
      </w:r>
      <w:r w:rsidR="00F13ABD">
        <w:rPr>
          <w:sz w:val="18"/>
          <w:szCs w:val="18"/>
        </w:rPr>
        <w:t xml:space="preserve">= </w:t>
      </w:r>
      <w:r w:rsidRPr="000C71E9">
        <w:rPr>
          <w:sz w:val="18"/>
          <w:szCs w:val="18"/>
        </w:rPr>
        <w:t>not applicable</w:t>
      </w:r>
    </w:p>
    <w:p w14:paraId="76914B9A" w14:textId="77777777" w:rsidR="000C71E9" w:rsidRPr="00417E9A" w:rsidRDefault="000C71E9" w:rsidP="006F57DC">
      <w:pPr>
        <w:spacing w:after="200" w:line="276" w:lineRule="auto"/>
        <w:jc w:val="center"/>
        <w:rPr>
          <w:b/>
          <w:color w:val="FF0000"/>
        </w:rPr>
      </w:pPr>
      <w:r>
        <w:rPr>
          <w:b/>
        </w:rPr>
        <w:br w:type="page"/>
      </w:r>
    </w:p>
    <w:p w14:paraId="52D1A1A8" w14:textId="77777777" w:rsidR="007347A8" w:rsidRDefault="007347A8" w:rsidP="007347A8">
      <w:pPr>
        <w:spacing w:after="120" w:line="240" w:lineRule="auto"/>
        <w:jc w:val="center"/>
        <w:rPr>
          <w:b/>
        </w:rPr>
      </w:pPr>
    </w:p>
    <w:p w14:paraId="04BEA60D" w14:textId="77777777" w:rsidR="007347A8" w:rsidRDefault="007347A8" w:rsidP="007347A8">
      <w:pPr>
        <w:spacing w:after="120" w:line="240" w:lineRule="auto"/>
        <w:jc w:val="center"/>
        <w:rPr>
          <w:b/>
        </w:rPr>
      </w:pPr>
    </w:p>
    <w:p w14:paraId="71AD8A29" w14:textId="77777777" w:rsidR="007347A8" w:rsidRDefault="007347A8" w:rsidP="007347A8">
      <w:pPr>
        <w:spacing w:after="120" w:line="240" w:lineRule="auto"/>
        <w:jc w:val="center"/>
        <w:rPr>
          <w:b/>
        </w:rPr>
      </w:pPr>
    </w:p>
    <w:p w14:paraId="1B97F71A" w14:textId="20F4FD7E" w:rsidR="007347A8" w:rsidRDefault="007347A8" w:rsidP="007347A8">
      <w:pPr>
        <w:spacing w:after="120" w:line="240" w:lineRule="auto"/>
        <w:jc w:val="center"/>
        <w:rPr>
          <w:b/>
        </w:rPr>
      </w:pPr>
      <w:r>
        <w:rPr>
          <w:b/>
        </w:rPr>
        <w:t>Table 6. Treatment effects of different variables on ride-hailing adoption and frequency</w:t>
      </w:r>
    </w:p>
    <w:tbl>
      <w:tblPr>
        <w:tblW w:w="4916" w:type="pct"/>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266"/>
        <w:gridCol w:w="2701"/>
        <w:gridCol w:w="885"/>
        <w:gridCol w:w="887"/>
        <w:gridCol w:w="883"/>
        <w:gridCol w:w="891"/>
        <w:gridCol w:w="875"/>
        <w:gridCol w:w="877"/>
      </w:tblGrid>
      <w:tr w:rsidR="007347A8" w:rsidRPr="009A7E87" w14:paraId="6078E34C" w14:textId="77777777" w:rsidTr="001F0434">
        <w:trPr>
          <w:trHeight w:val="360"/>
          <w:jc w:val="center"/>
        </w:trPr>
        <w:tc>
          <w:tcPr>
            <w:tcW w:w="1104" w:type="pct"/>
            <w:vMerge w:val="restart"/>
            <w:tcBorders>
              <w:top w:val="double" w:sz="4" w:space="0" w:color="auto"/>
              <w:bottom w:val="double" w:sz="4" w:space="0" w:color="auto"/>
              <w:right w:val="double" w:sz="4" w:space="0" w:color="auto"/>
            </w:tcBorders>
            <w:shd w:val="clear" w:color="auto" w:fill="auto"/>
            <w:noWrap/>
            <w:vAlign w:val="center"/>
            <w:hideMark/>
          </w:tcPr>
          <w:p w14:paraId="2FEF67C7" w14:textId="77777777" w:rsidR="007347A8" w:rsidRPr="009A7E87" w:rsidRDefault="007347A8" w:rsidP="00FF0CBE">
            <w:pPr>
              <w:spacing w:line="240" w:lineRule="auto"/>
              <w:jc w:val="left"/>
              <w:rPr>
                <w:rFonts w:eastAsia="Times New Roman" w:cs="Times New Roman"/>
                <w:b/>
                <w:color w:val="000000"/>
                <w:sz w:val="20"/>
                <w:szCs w:val="20"/>
              </w:rPr>
            </w:pPr>
            <w:r w:rsidRPr="009A7E87">
              <w:rPr>
                <w:rFonts w:eastAsia="Times New Roman" w:cs="Times New Roman"/>
                <w:b/>
                <w:color w:val="000000"/>
                <w:sz w:val="20"/>
                <w:szCs w:val="20"/>
              </w:rPr>
              <w:t>Variable</w:t>
            </w:r>
          </w:p>
        </w:tc>
        <w:tc>
          <w:tcPr>
            <w:tcW w:w="1316" w:type="pct"/>
            <w:vMerge w:val="restar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E6D1423" w14:textId="77777777" w:rsidR="007347A8" w:rsidRPr="009A7E87" w:rsidRDefault="007347A8" w:rsidP="00FF0CBE">
            <w:pPr>
              <w:spacing w:line="240" w:lineRule="auto"/>
              <w:jc w:val="left"/>
              <w:rPr>
                <w:rFonts w:eastAsia="Times New Roman" w:cs="Times New Roman"/>
                <w:b/>
                <w:color w:val="000000"/>
                <w:sz w:val="20"/>
                <w:szCs w:val="20"/>
              </w:rPr>
            </w:pPr>
            <w:r w:rsidRPr="009A7E87">
              <w:rPr>
                <w:rFonts w:eastAsia="Times New Roman" w:cs="Times New Roman"/>
                <w:b/>
                <w:color w:val="000000"/>
                <w:sz w:val="20"/>
                <w:szCs w:val="20"/>
              </w:rPr>
              <w:t xml:space="preserve">Categories </w:t>
            </w:r>
            <w:r>
              <w:rPr>
                <w:rFonts w:eastAsia="Times New Roman" w:cs="Times New Roman"/>
                <w:b/>
                <w:color w:val="000000"/>
                <w:sz w:val="20"/>
                <w:szCs w:val="20"/>
              </w:rPr>
              <w:t>c</w:t>
            </w:r>
            <w:r w:rsidRPr="009A7E87">
              <w:rPr>
                <w:rFonts w:eastAsia="Times New Roman" w:cs="Times New Roman"/>
                <w:b/>
                <w:color w:val="000000"/>
                <w:sz w:val="20"/>
                <w:szCs w:val="20"/>
              </w:rPr>
              <w:t>ompared</w:t>
            </w:r>
          </w:p>
          <w:p w14:paraId="09AA4A33" w14:textId="77777777" w:rsidR="007347A8" w:rsidRPr="009A7E87" w:rsidRDefault="007347A8" w:rsidP="00FF0CBE">
            <w:pPr>
              <w:spacing w:line="240" w:lineRule="auto"/>
              <w:jc w:val="left"/>
              <w:rPr>
                <w:rFonts w:eastAsia="Times New Roman" w:cs="Times New Roman"/>
                <w:b/>
                <w:color w:val="000000"/>
                <w:sz w:val="20"/>
                <w:szCs w:val="20"/>
              </w:rPr>
            </w:pPr>
            <w:r w:rsidRPr="009A7E87">
              <w:rPr>
                <w:rFonts w:eastAsia="Times New Roman" w:cs="Times New Roman"/>
                <w:b/>
                <w:color w:val="000000"/>
                <w:sz w:val="20"/>
                <w:szCs w:val="20"/>
              </w:rPr>
              <w:t>(</w:t>
            </w:r>
            <w:r>
              <w:rPr>
                <w:rFonts w:eastAsia="Times New Roman" w:cs="Times New Roman"/>
                <w:b/>
                <w:color w:val="000000"/>
                <w:sz w:val="20"/>
                <w:szCs w:val="20"/>
              </w:rPr>
              <w:t>b</w:t>
            </w:r>
            <w:r w:rsidRPr="009A7E87">
              <w:rPr>
                <w:rFonts w:eastAsia="Times New Roman" w:cs="Times New Roman"/>
                <w:b/>
                <w:color w:val="000000"/>
                <w:sz w:val="20"/>
                <w:szCs w:val="20"/>
              </w:rPr>
              <w:t xml:space="preserve">ase versus </w:t>
            </w:r>
            <w:r>
              <w:rPr>
                <w:rFonts w:eastAsia="Times New Roman" w:cs="Times New Roman"/>
                <w:b/>
                <w:color w:val="000000"/>
                <w:sz w:val="20"/>
                <w:szCs w:val="20"/>
              </w:rPr>
              <w:t>c</w:t>
            </w:r>
            <w:r w:rsidRPr="009A7E87">
              <w:rPr>
                <w:rFonts w:eastAsia="Times New Roman" w:cs="Times New Roman"/>
                <w:b/>
                <w:color w:val="000000"/>
                <w:sz w:val="20"/>
                <w:szCs w:val="20"/>
              </w:rPr>
              <w:t>hanged)</w:t>
            </w:r>
          </w:p>
        </w:tc>
        <w:tc>
          <w:tcPr>
            <w:tcW w:w="862" w:type="pct"/>
            <w:gridSpan w:val="2"/>
            <w:tcBorders>
              <w:top w:val="double" w:sz="4" w:space="0" w:color="auto"/>
              <w:left w:val="double" w:sz="4" w:space="0" w:color="auto"/>
              <w:bottom w:val="nil"/>
              <w:right w:val="double" w:sz="4" w:space="0" w:color="auto"/>
            </w:tcBorders>
            <w:shd w:val="clear" w:color="auto" w:fill="auto"/>
            <w:noWrap/>
            <w:vAlign w:val="bottom"/>
          </w:tcPr>
          <w:p w14:paraId="64ED44F1" w14:textId="77777777" w:rsidR="007347A8" w:rsidRPr="009A7E87" w:rsidRDefault="007347A8" w:rsidP="00FF0CBE">
            <w:pPr>
              <w:spacing w:line="240" w:lineRule="auto"/>
              <w:jc w:val="center"/>
              <w:rPr>
                <w:rFonts w:eastAsia="Times New Roman" w:cs="Times New Roman"/>
                <w:b/>
                <w:color w:val="000000"/>
                <w:sz w:val="20"/>
                <w:szCs w:val="20"/>
              </w:rPr>
            </w:pPr>
            <w:r w:rsidRPr="009A7E87">
              <w:rPr>
                <w:rFonts w:eastAsia="Times New Roman" w:cs="Times New Roman"/>
                <w:b/>
                <w:color w:val="000000"/>
                <w:sz w:val="20"/>
                <w:szCs w:val="20"/>
              </w:rPr>
              <w:t xml:space="preserve">Private </w:t>
            </w:r>
            <w:r>
              <w:rPr>
                <w:rFonts w:eastAsia="Times New Roman" w:cs="Times New Roman"/>
                <w:b/>
                <w:color w:val="000000"/>
                <w:sz w:val="20"/>
                <w:szCs w:val="20"/>
              </w:rPr>
              <w:t>o</w:t>
            </w:r>
            <w:r w:rsidRPr="009A7E87">
              <w:rPr>
                <w:rFonts w:eastAsia="Times New Roman" w:cs="Times New Roman"/>
                <w:b/>
                <w:color w:val="000000"/>
                <w:sz w:val="20"/>
                <w:szCs w:val="20"/>
              </w:rPr>
              <w:t>nly</w:t>
            </w:r>
          </w:p>
        </w:tc>
        <w:tc>
          <w:tcPr>
            <w:tcW w:w="864" w:type="pct"/>
            <w:gridSpan w:val="2"/>
            <w:tcBorders>
              <w:top w:val="double" w:sz="4" w:space="0" w:color="auto"/>
              <w:left w:val="double" w:sz="4" w:space="0" w:color="auto"/>
              <w:bottom w:val="nil"/>
              <w:right w:val="double" w:sz="4" w:space="0" w:color="auto"/>
            </w:tcBorders>
            <w:shd w:val="clear" w:color="auto" w:fill="auto"/>
            <w:vAlign w:val="bottom"/>
          </w:tcPr>
          <w:p w14:paraId="7D7AB726" w14:textId="77777777" w:rsidR="007347A8" w:rsidRPr="009A7E87" w:rsidRDefault="007347A8" w:rsidP="00FF0CBE">
            <w:pPr>
              <w:spacing w:line="240" w:lineRule="auto"/>
              <w:ind w:right="-90"/>
              <w:jc w:val="center"/>
              <w:rPr>
                <w:rFonts w:eastAsia="Times New Roman" w:cs="Times New Roman"/>
                <w:b/>
                <w:color w:val="000000"/>
                <w:sz w:val="20"/>
                <w:szCs w:val="20"/>
              </w:rPr>
            </w:pPr>
            <w:r w:rsidRPr="009A7E87">
              <w:rPr>
                <w:rFonts w:eastAsia="Times New Roman" w:cs="Times New Roman"/>
                <w:b/>
                <w:color w:val="000000"/>
                <w:sz w:val="20"/>
                <w:szCs w:val="20"/>
              </w:rPr>
              <w:t>Pooled</w:t>
            </w:r>
          </w:p>
        </w:tc>
        <w:tc>
          <w:tcPr>
            <w:tcW w:w="854" w:type="pct"/>
            <w:gridSpan w:val="2"/>
            <w:tcBorders>
              <w:top w:val="double" w:sz="4" w:space="0" w:color="auto"/>
              <w:left w:val="double" w:sz="4" w:space="0" w:color="auto"/>
              <w:bottom w:val="nil"/>
              <w:right w:val="double" w:sz="4" w:space="0" w:color="auto"/>
            </w:tcBorders>
            <w:shd w:val="clear" w:color="auto" w:fill="auto"/>
            <w:vAlign w:val="bottom"/>
          </w:tcPr>
          <w:p w14:paraId="67D138B2" w14:textId="77777777" w:rsidR="007347A8" w:rsidRPr="009A7E87" w:rsidRDefault="007347A8" w:rsidP="00FF0CBE">
            <w:pPr>
              <w:spacing w:line="240" w:lineRule="auto"/>
              <w:ind w:right="-90"/>
              <w:jc w:val="center"/>
              <w:rPr>
                <w:rFonts w:eastAsia="Times New Roman" w:cs="Times New Roman"/>
                <w:b/>
                <w:color w:val="000000"/>
                <w:sz w:val="20"/>
                <w:szCs w:val="20"/>
              </w:rPr>
            </w:pPr>
            <w:r w:rsidRPr="009A7E87">
              <w:rPr>
                <w:rFonts w:eastAsia="Times New Roman" w:cs="Times New Roman"/>
                <w:b/>
                <w:color w:val="000000"/>
                <w:sz w:val="20"/>
                <w:szCs w:val="20"/>
              </w:rPr>
              <w:t>Frequency</w:t>
            </w:r>
          </w:p>
        </w:tc>
      </w:tr>
      <w:tr w:rsidR="007347A8" w:rsidRPr="009A7E87" w14:paraId="2D7DB018" w14:textId="77777777" w:rsidTr="001F0434">
        <w:trPr>
          <w:trHeight w:val="360"/>
          <w:jc w:val="center"/>
        </w:trPr>
        <w:tc>
          <w:tcPr>
            <w:tcW w:w="1104" w:type="pct"/>
            <w:vMerge/>
            <w:tcBorders>
              <w:top w:val="single" w:sz="4" w:space="0" w:color="auto"/>
              <w:bottom w:val="double" w:sz="4" w:space="0" w:color="auto"/>
              <w:right w:val="double" w:sz="4" w:space="0" w:color="auto"/>
            </w:tcBorders>
            <w:shd w:val="clear" w:color="auto" w:fill="auto"/>
            <w:noWrap/>
            <w:vAlign w:val="center"/>
          </w:tcPr>
          <w:p w14:paraId="18B4C443" w14:textId="77777777" w:rsidR="007347A8" w:rsidRPr="009A7E87" w:rsidRDefault="007347A8" w:rsidP="00FF0CBE">
            <w:pPr>
              <w:spacing w:line="240" w:lineRule="auto"/>
              <w:jc w:val="center"/>
              <w:rPr>
                <w:rFonts w:eastAsia="Times New Roman" w:cs="Times New Roman"/>
                <w:b/>
                <w:color w:val="000000"/>
                <w:sz w:val="20"/>
                <w:szCs w:val="20"/>
              </w:rPr>
            </w:pPr>
          </w:p>
        </w:tc>
        <w:tc>
          <w:tcPr>
            <w:tcW w:w="1316" w:type="pct"/>
            <w:vMerge/>
            <w:tcBorders>
              <w:top w:val="single" w:sz="4" w:space="0" w:color="auto"/>
              <w:left w:val="double" w:sz="4" w:space="0" w:color="auto"/>
              <w:bottom w:val="double" w:sz="4" w:space="0" w:color="auto"/>
              <w:right w:val="double" w:sz="4" w:space="0" w:color="auto"/>
            </w:tcBorders>
            <w:shd w:val="clear" w:color="auto" w:fill="auto"/>
            <w:noWrap/>
            <w:vAlign w:val="center"/>
          </w:tcPr>
          <w:p w14:paraId="69D9F629" w14:textId="77777777" w:rsidR="007347A8" w:rsidRPr="009A7E87" w:rsidRDefault="007347A8" w:rsidP="00FF0CBE">
            <w:pPr>
              <w:spacing w:line="240" w:lineRule="auto"/>
              <w:jc w:val="center"/>
              <w:rPr>
                <w:rFonts w:eastAsia="Times New Roman" w:cs="Times New Roman"/>
                <w:b/>
                <w:color w:val="000000"/>
                <w:sz w:val="20"/>
                <w:szCs w:val="20"/>
              </w:rPr>
            </w:pPr>
          </w:p>
        </w:tc>
        <w:tc>
          <w:tcPr>
            <w:tcW w:w="431" w:type="pct"/>
            <w:tcBorders>
              <w:top w:val="nil"/>
              <w:left w:val="double" w:sz="4" w:space="0" w:color="auto"/>
              <w:bottom w:val="double" w:sz="4" w:space="0" w:color="auto"/>
              <w:right w:val="nil"/>
            </w:tcBorders>
            <w:shd w:val="clear" w:color="auto" w:fill="auto"/>
            <w:noWrap/>
            <w:vAlign w:val="bottom"/>
          </w:tcPr>
          <w:p w14:paraId="69C56918"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Est.</w:t>
            </w:r>
          </w:p>
        </w:tc>
        <w:tc>
          <w:tcPr>
            <w:tcW w:w="432" w:type="pct"/>
            <w:tcBorders>
              <w:top w:val="nil"/>
              <w:left w:val="nil"/>
              <w:bottom w:val="double" w:sz="4" w:space="0" w:color="auto"/>
              <w:right w:val="double" w:sz="4" w:space="0" w:color="auto"/>
            </w:tcBorders>
            <w:shd w:val="clear" w:color="auto" w:fill="auto"/>
            <w:vAlign w:val="bottom"/>
          </w:tcPr>
          <w:p w14:paraId="555DB4A1"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St. err</w:t>
            </w:r>
          </w:p>
        </w:tc>
        <w:tc>
          <w:tcPr>
            <w:tcW w:w="430" w:type="pct"/>
            <w:tcBorders>
              <w:top w:val="nil"/>
              <w:left w:val="double" w:sz="4" w:space="0" w:color="auto"/>
              <w:bottom w:val="double" w:sz="4" w:space="0" w:color="auto"/>
              <w:right w:val="nil"/>
            </w:tcBorders>
            <w:shd w:val="clear" w:color="auto" w:fill="auto"/>
            <w:vAlign w:val="bottom"/>
          </w:tcPr>
          <w:p w14:paraId="06E76872"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Est.</w:t>
            </w:r>
          </w:p>
        </w:tc>
        <w:tc>
          <w:tcPr>
            <w:tcW w:w="434" w:type="pct"/>
            <w:tcBorders>
              <w:top w:val="nil"/>
              <w:left w:val="nil"/>
              <w:bottom w:val="double" w:sz="4" w:space="0" w:color="auto"/>
              <w:right w:val="double" w:sz="4" w:space="0" w:color="auto"/>
            </w:tcBorders>
            <w:shd w:val="clear" w:color="auto" w:fill="auto"/>
            <w:vAlign w:val="bottom"/>
          </w:tcPr>
          <w:p w14:paraId="769E9CBA"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St. err</w:t>
            </w:r>
          </w:p>
        </w:tc>
        <w:tc>
          <w:tcPr>
            <w:tcW w:w="426" w:type="pct"/>
            <w:tcBorders>
              <w:top w:val="nil"/>
              <w:left w:val="double" w:sz="4" w:space="0" w:color="auto"/>
              <w:bottom w:val="double" w:sz="4" w:space="0" w:color="auto"/>
              <w:right w:val="nil"/>
            </w:tcBorders>
            <w:shd w:val="clear" w:color="auto" w:fill="auto"/>
            <w:vAlign w:val="bottom"/>
          </w:tcPr>
          <w:p w14:paraId="3DEF7811"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Est.</w:t>
            </w:r>
          </w:p>
        </w:tc>
        <w:tc>
          <w:tcPr>
            <w:tcW w:w="429" w:type="pct"/>
            <w:tcBorders>
              <w:top w:val="nil"/>
              <w:left w:val="nil"/>
              <w:bottom w:val="double" w:sz="4" w:space="0" w:color="auto"/>
              <w:right w:val="double" w:sz="4" w:space="0" w:color="auto"/>
            </w:tcBorders>
            <w:shd w:val="clear" w:color="auto" w:fill="auto"/>
            <w:vAlign w:val="bottom"/>
          </w:tcPr>
          <w:p w14:paraId="26DDFE9E" w14:textId="77777777" w:rsidR="007347A8" w:rsidRPr="008F6F0A" w:rsidRDefault="007347A8" w:rsidP="00FF0CBE">
            <w:pPr>
              <w:spacing w:line="240" w:lineRule="auto"/>
              <w:jc w:val="center"/>
              <w:rPr>
                <w:rFonts w:eastAsia="Times New Roman" w:cs="Times New Roman"/>
                <w:color w:val="000000"/>
                <w:sz w:val="20"/>
                <w:szCs w:val="20"/>
              </w:rPr>
            </w:pPr>
            <w:r w:rsidRPr="008F6F0A">
              <w:rPr>
                <w:rFonts w:eastAsia="Times New Roman" w:cs="Times New Roman"/>
                <w:color w:val="000000"/>
                <w:sz w:val="20"/>
                <w:szCs w:val="20"/>
              </w:rPr>
              <w:t>St. err.</w:t>
            </w:r>
          </w:p>
        </w:tc>
      </w:tr>
      <w:tr w:rsidR="007347A8" w:rsidRPr="009A7E87" w14:paraId="6DC90E86" w14:textId="77777777" w:rsidTr="001F0434">
        <w:trPr>
          <w:trHeight w:val="360"/>
          <w:jc w:val="center"/>
        </w:trPr>
        <w:tc>
          <w:tcPr>
            <w:tcW w:w="1104" w:type="pct"/>
            <w:tcBorders>
              <w:top w:val="double" w:sz="4" w:space="0" w:color="auto"/>
              <w:bottom w:val="nil"/>
              <w:right w:val="double" w:sz="4" w:space="0" w:color="auto"/>
            </w:tcBorders>
            <w:shd w:val="clear" w:color="auto" w:fill="auto"/>
            <w:noWrap/>
            <w:vAlign w:val="center"/>
          </w:tcPr>
          <w:p w14:paraId="49D94124" w14:textId="77777777" w:rsidR="007347A8" w:rsidRPr="009A7E87" w:rsidRDefault="007347A8" w:rsidP="00FF0CBE">
            <w:pPr>
              <w:spacing w:line="240" w:lineRule="auto"/>
              <w:jc w:val="left"/>
              <w:rPr>
                <w:rFonts w:eastAsia="Times New Roman" w:cs="Times New Roman"/>
                <w:i/>
                <w:color w:val="000000"/>
                <w:sz w:val="20"/>
                <w:szCs w:val="20"/>
              </w:rPr>
            </w:pPr>
            <w:r w:rsidRPr="009A7E87">
              <w:rPr>
                <w:rFonts w:eastAsia="Times New Roman" w:cs="Times New Roman"/>
                <w:i/>
                <w:color w:val="000000"/>
                <w:sz w:val="20"/>
                <w:szCs w:val="20"/>
              </w:rPr>
              <w:t>Latent</w:t>
            </w:r>
            <w:r>
              <w:rPr>
                <w:rFonts w:eastAsia="Times New Roman" w:cs="Times New Roman"/>
                <w:i/>
                <w:color w:val="000000"/>
                <w:sz w:val="20"/>
                <w:szCs w:val="20"/>
              </w:rPr>
              <w:t xml:space="preserve"> variables</w:t>
            </w:r>
          </w:p>
        </w:tc>
        <w:tc>
          <w:tcPr>
            <w:tcW w:w="1316" w:type="pct"/>
            <w:tcBorders>
              <w:top w:val="double" w:sz="4" w:space="0" w:color="auto"/>
              <w:left w:val="double" w:sz="4" w:space="0" w:color="auto"/>
              <w:bottom w:val="nil"/>
              <w:right w:val="double" w:sz="4" w:space="0" w:color="auto"/>
            </w:tcBorders>
            <w:shd w:val="clear" w:color="auto" w:fill="auto"/>
            <w:noWrap/>
            <w:vAlign w:val="center"/>
          </w:tcPr>
          <w:p w14:paraId="2EA4D34D"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 </w:t>
            </w:r>
          </w:p>
        </w:tc>
        <w:tc>
          <w:tcPr>
            <w:tcW w:w="431" w:type="pct"/>
            <w:tcBorders>
              <w:top w:val="double" w:sz="4" w:space="0" w:color="auto"/>
              <w:left w:val="double" w:sz="4" w:space="0" w:color="auto"/>
              <w:bottom w:val="nil"/>
              <w:right w:val="nil"/>
            </w:tcBorders>
            <w:shd w:val="clear" w:color="auto" w:fill="auto"/>
            <w:noWrap/>
            <w:vAlign w:val="center"/>
          </w:tcPr>
          <w:p w14:paraId="044B06EB" w14:textId="77777777" w:rsidR="007347A8" w:rsidRPr="009A7E87" w:rsidRDefault="007347A8" w:rsidP="00FF0CBE">
            <w:pPr>
              <w:spacing w:line="240" w:lineRule="auto"/>
              <w:jc w:val="left"/>
              <w:rPr>
                <w:rFonts w:eastAsia="Times New Roman" w:cs="Times New Roman"/>
                <w:color w:val="000000"/>
                <w:sz w:val="20"/>
                <w:szCs w:val="20"/>
              </w:rPr>
            </w:pPr>
          </w:p>
        </w:tc>
        <w:tc>
          <w:tcPr>
            <w:tcW w:w="432" w:type="pct"/>
            <w:tcBorders>
              <w:top w:val="double" w:sz="4" w:space="0" w:color="auto"/>
              <w:left w:val="nil"/>
              <w:bottom w:val="nil"/>
              <w:right w:val="double" w:sz="4" w:space="0" w:color="auto"/>
            </w:tcBorders>
            <w:shd w:val="clear" w:color="auto" w:fill="auto"/>
            <w:vAlign w:val="center"/>
          </w:tcPr>
          <w:p w14:paraId="4D5525F5" w14:textId="77777777" w:rsidR="007347A8" w:rsidRPr="009A7E87" w:rsidRDefault="007347A8" w:rsidP="00FF0CBE">
            <w:pPr>
              <w:spacing w:line="240" w:lineRule="auto"/>
              <w:jc w:val="left"/>
              <w:rPr>
                <w:rFonts w:eastAsia="Times New Roman" w:cs="Times New Roman"/>
                <w:color w:val="000000"/>
                <w:sz w:val="20"/>
                <w:szCs w:val="20"/>
              </w:rPr>
            </w:pPr>
          </w:p>
        </w:tc>
        <w:tc>
          <w:tcPr>
            <w:tcW w:w="430" w:type="pct"/>
            <w:tcBorders>
              <w:top w:val="double" w:sz="4" w:space="0" w:color="auto"/>
              <w:left w:val="double" w:sz="4" w:space="0" w:color="auto"/>
              <w:bottom w:val="nil"/>
              <w:right w:val="nil"/>
            </w:tcBorders>
            <w:shd w:val="clear" w:color="auto" w:fill="auto"/>
            <w:noWrap/>
            <w:vAlign w:val="center"/>
          </w:tcPr>
          <w:p w14:paraId="569E17DF" w14:textId="77777777" w:rsidR="007347A8" w:rsidRPr="009A7E87" w:rsidRDefault="007347A8" w:rsidP="00FF0CBE">
            <w:pPr>
              <w:spacing w:line="240" w:lineRule="auto"/>
              <w:jc w:val="left"/>
              <w:rPr>
                <w:rFonts w:eastAsia="Times New Roman" w:cs="Times New Roman"/>
                <w:color w:val="000000"/>
                <w:sz w:val="20"/>
                <w:szCs w:val="20"/>
              </w:rPr>
            </w:pPr>
          </w:p>
        </w:tc>
        <w:tc>
          <w:tcPr>
            <w:tcW w:w="434" w:type="pct"/>
            <w:tcBorders>
              <w:top w:val="double" w:sz="4" w:space="0" w:color="auto"/>
              <w:left w:val="nil"/>
              <w:bottom w:val="nil"/>
              <w:right w:val="double" w:sz="4" w:space="0" w:color="auto"/>
            </w:tcBorders>
            <w:shd w:val="clear" w:color="auto" w:fill="auto"/>
            <w:vAlign w:val="center"/>
          </w:tcPr>
          <w:p w14:paraId="0A06A71F" w14:textId="77777777" w:rsidR="007347A8" w:rsidRPr="009A7E87" w:rsidRDefault="007347A8" w:rsidP="00FF0CBE">
            <w:pPr>
              <w:spacing w:line="240" w:lineRule="auto"/>
              <w:jc w:val="left"/>
              <w:rPr>
                <w:rFonts w:eastAsia="Times New Roman" w:cs="Times New Roman"/>
                <w:color w:val="000000"/>
                <w:sz w:val="20"/>
                <w:szCs w:val="20"/>
              </w:rPr>
            </w:pPr>
          </w:p>
        </w:tc>
        <w:tc>
          <w:tcPr>
            <w:tcW w:w="426" w:type="pct"/>
            <w:tcBorders>
              <w:top w:val="double" w:sz="4" w:space="0" w:color="auto"/>
              <w:left w:val="double" w:sz="4" w:space="0" w:color="auto"/>
              <w:bottom w:val="nil"/>
              <w:right w:val="nil"/>
            </w:tcBorders>
            <w:shd w:val="clear" w:color="auto" w:fill="auto"/>
            <w:noWrap/>
            <w:vAlign w:val="center"/>
          </w:tcPr>
          <w:p w14:paraId="3C461353" w14:textId="77777777" w:rsidR="007347A8" w:rsidRPr="009A7E87" w:rsidRDefault="007347A8" w:rsidP="00FF0CBE">
            <w:pPr>
              <w:spacing w:line="240" w:lineRule="auto"/>
              <w:jc w:val="left"/>
              <w:rPr>
                <w:rFonts w:eastAsia="Times New Roman" w:cs="Times New Roman"/>
                <w:color w:val="000000"/>
                <w:sz w:val="20"/>
                <w:szCs w:val="20"/>
              </w:rPr>
            </w:pPr>
          </w:p>
        </w:tc>
        <w:tc>
          <w:tcPr>
            <w:tcW w:w="429" w:type="pct"/>
            <w:tcBorders>
              <w:top w:val="double" w:sz="4" w:space="0" w:color="auto"/>
              <w:left w:val="nil"/>
              <w:bottom w:val="nil"/>
              <w:right w:val="double" w:sz="4" w:space="0" w:color="auto"/>
            </w:tcBorders>
            <w:shd w:val="clear" w:color="auto" w:fill="auto"/>
            <w:vAlign w:val="center"/>
          </w:tcPr>
          <w:p w14:paraId="6760206E" w14:textId="77777777" w:rsidR="007347A8" w:rsidRPr="009A7E87" w:rsidRDefault="007347A8" w:rsidP="00FF0CBE">
            <w:pPr>
              <w:spacing w:line="240" w:lineRule="auto"/>
              <w:jc w:val="left"/>
              <w:rPr>
                <w:rFonts w:eastAsia="Times New Roman" w:cs="Times New Roman"/>
                <w:color w:val="000000"/>
                <w:sz w:val="20"/>
                <w:szCs w:val="20"/>
              </w:rPr>
            </w:pPr>
          </w:p>
        </w:tc>
      </w:tr>
      <w:tr w:rsidR="007347A8" w:rsidRPr="009A7E87" w14:paraId="7DCE540A" w14:textId="77777777" w:rsidTr="001F0434">
        <w:trPr>
          <w:trHeight w:val="360"/>
          <w:jc w:val="center"/>
        </w:trPr>
        <w:tc>
          <w:tcPr>
            <w:tcW w:w="1104" w:type="pct"/>
            <w:tcBorders>
              <w:top w:val="nil"/>
              <w:bottom w:val="nil"/>
              <w:right w:val="double" w:sz="4" w:space="0" w:color="auto"/>
            </w:tcBorders>
            <w:shd w:val="clear" w:color="auto" w:fill="auto"/>
            <w:noWrap/>
            <w:vAlign w:val="center"/>
          </w:tcPr>
          <w:p w14:paraId="553F2077"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Privacy-sensitivity</w:t>
            </w:r>
          </w:p>
        </w:tc>
        <w:tc>
          <w:tcPr>
            <w:tcW w:w="1316" w:type="pct"/>
            <w:tcBorders>
              <w:top w:val="nil"/>
              <w:left w:val="double" w:sz="4" w:space="0" w:color="auto"/>
              <w:bottom w:val="nil"/>
              <w:right w:val="double" w:sz="4" w:space="0" w:color="auto"/>
            </w:tcBorders>
            <w:shd w:val="clear" w:color="auto" w:fill="auto"/>
            <w:noWrap/>
            <w:vAlign w:val="center"/>
          </w:tcPr>
          <w:p w14:paraId="71CD63BF"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Min vs. Max</w:t>
            </w:r>
          </w:p>
        </w:tc>
        <w:tc>
          <w:tcPr>
            <w:tcW w:w="431" w:type="pct"/>
            <w:tcBorders>
              <w:top w:val="nil"/>
              <w:left w:val="double" w:sz="4" w:space="0" w:color="auto"/>
              <w:bottom w:val="nil"/>
              <w:right w:val="nil"/>
            </w:tcBorders>
            <w:shd w:val="clear" w:color="auto" w:fill="auto"/>
            <w:noWrap/>
            <w:vAlign w:val="center"/>
          </w:tcPr>
          <w:p w14:paraId="6F78938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nil"/>
              <w:right w:val="double" w:sz="4" w:space="0" w:color="auto"/>
            </w:tcBorders>
            <w:shd w:val="clear" w:color="auto" w:fill="auto"/>
            <w:vAlign w:val="center"/>
          </w:tcPr>
          <w:p w14:paraId="7FC015F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nil"/>
              <w:right w:val="nil"/>
            </w:tcBorders>
            <w:shd w:val="clear" w:color="auto" w:fill="auto"/>
            <w:noWrap/>
            <w:vAlign w:val="center"/>
          </w:tcPr>
          <w:p w14:paraId="07180EB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-0.038 </w:t>
            </w:r>
          </w:p>
        </w:tc>
        <w:tc>
          <w:tcPr>
            <w:tcW w:w="434" w:type="pct"/>
            <w:tcBorders>
              <w:top w:val="nil"/>
              <w:left w:val="nil"/>
              <w:bottom w:val="nil"/>
              <w:right w:val="double" w:sz="4" w:space="0" w:color="auto"/>
            </w:tcBorders>
            <w:shd w:val="clear" w:color="auto" w:fill="auto"/>
            <w:vAlign w:val="center"/>
          </w:tcPr>
          <w:p w14:paraId="40F9FFF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(0.021)</w:t>
            </w:r>
          </w:p>
        </w:tc>
        <w:tc>
          <w:tcPr>
            <w:tcW w:w="426" w:type="pct"/>
            <w:tcBorders>
              <w:top w:val="nil"/>
              <w:left w:val="double" w:sz="4" w:space="0" w:color="auto"/>
              <w:bottom w:val="nil"/>
              <w:right w:val="nil"/>
            </w:tcBorders>
            <w:shd w:val="clear" w:color="auto" w:fill="auto"/>
            <w:noWrap/>
            <w:vAlign w:val="center"/>
          </w:tcPr>
          <w:p w14:paraId="51DD6D0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36ABF47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25BCDEAD" w14:textId="77777777" w:rsidTr="001F0434">
        <w:trPr>
          <w:trHeight w:val="360"/>
          <w:jc w:val="center"/>
        </w:trPr>
        <w:tc>
          <w:tcPr>
            <w:tcW w:w="1104" w:type="pct"/>
            <w:tcBorders>
              <w:top w:val="nil"/>
              <w:bottom w:val="nil"/>
              <w:right w:val="double" w:sz="4" w:space="0" w:color="auto"/>
            </w:tcBorders>
            <w:shd w:val="clear" w:color="auto" w:fill="auto"/>
            <w:noWrap/>
            <w:vAlign w:val="center"/>
          </w:tcPr>
          <w:p w14:paraId="6F7B0987"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Tech-savviness</w:t>
            </w:r>
          </w:p>
        </w:tc>
        <w:tc>
          <w:tcPr>
            <w:tcW w:w="1316" w:type="pct"/>
            <w:tcBorders>
              <w:top w:val="nil"/>
              <w:left w:val="double" w:sz="4" w:space="0" w:color="auto"/>
              <w:bottom w:val="nil"/>
              <w:right w:val="double" w:sz="4" w:space="0" w:color="auto"/>
            </w:tcBorders>
            <w:shd w:val="clear" w:color="auto" w:fill="auto"/>
            <w:noWrap/>
            <w:vAlign w:val="center"/>
          </w:tcPr>
          <w:p w14:paraId="5E2970A9"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Min vs. Max</w:t>
            </w:r>
          </w:p>
        </w:tc>
        <w:tc>
          <w:tcPr>
            <w:tcW w:w="431" w:type="pct"/>
            <w:tcBorders>
              <w:top w:val="nil"/>
              <w:left w:val="double" w:sz="4" w:space="0" w:color="auto"/>
              <w:bottom w:val="nil"/>
              <w:right w:val="nil"/>
            </w:tcBorders>
            <w:shd w:val="clear" w:color="auto" w:fill="auto"/>
            <w:noWrap/>
            <w:vAlign w:val="center"/>
          </w:tcPr>
          <w:p w14:paraId="76D3DD8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0.160 </w:t>
            </w:r>
          </w:p>
        </w:tc>
        <w:tc>
          <w:tcPr>
            <w:tcW w:w="432" w:type="pct"/>
            <w:tcBorders>
              <w:top w:val="nil"/>
              <w:left w:val="nil"/>
              <w:bottom w:val="nil"/>
              <w:right w:val="double" w:sz="4" w:space="0" w:color="auto"/>
            </w:tcBorders>
            <w:shd w:val="clear" w:color="auto" w:fill="auto"/>
            <w:vAlign w:val="center"/>
          </w:tcPr>
          <w:p w14:paraId="38E697F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(0.016)</w:t>
            </w:r>
          </w:p>
        </w:tc>
        <w:tc>
          <w:tcPr>
            <w:tcW w:w="430" w:type="pct"/>
            <w:tcBorders>
              <w:top w:val="nil"/>
              <w:left w:val="double" w:sz="4" w:space="0" w:color="auto"/>
              <w:bottom w:val="nil"/>
              <w:right w:val="nil"/>
            </w:tcBorders>
            <w:shd w:val="clear" w:color="auto" w:fill="auto"/>
            <w:noWrap/>
            <w:vAlign w:val="center"/>
          </w:tcPr>
          <w:p w14:paraId="016034B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0.029 </w:t>
            </w:r>
          </w:p>
        </w:tc>
        <w:tc>
          <w:tcPr>
            <w:tcW w:w="434" w:type="pct"/>
            <w:tcBorders>
              <w:top w:val="nil"/>
              <w:left w:val="nil"/>
              <w:bottom w:val="nil"/>
              <w:right w:val="double" w:sz="4" w:space="0" w:color="auto"/>
            </w:tcBorders>
            <w:shd w:val="clear" w:color="auto" w:fill="auto"/>
            <w:vAlign w:val="center"/>
          </w:tcPr>
          <w:p w14:paraId="62D26E5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(0.018)</w:t>
            </w:r>
          </w:p>
        </w:tc>
        <w:tc>
          <w:tcPr>
            <w:tcW w:w="426" w:type="pct"/>
            <w:tcBorders>
              <w:top w:val="nil"/>
              <w:left w:val="double" w:sz="4" w:space="0" w:color="auto"/>
              <w:bottom w:val="nil"/>
              <w:right w:val="nil"/>
            </w:tcBorders>
            <w:shd w:val="clear" w:color="auto" w:fill="auto"/>
            <w:noWrap/>
            <w:vAlign w:val="center"/>
          </w:tcPr>
          <w:p w14:paraId="3DDF41F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38F18D0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1D4C0141" w14:textId="77777777" w:rsidTr="001F0434">
        <w:trPr>
          <w:trHeight w:val="360"/>
          <w:jc w:val="center"/>
        </w:trPr>
        <w:tc>
          <w:tcPr>
            <w:tcW w:w="1104" w:type="pct"/>
            <w:tcBorders>
              <w:top w:val="nil"/>
              <w:bottom w:val="nil"/>
              <w:right w:val="double" w:sz="4" w:space="0" w:color="auto"/>
            </w:tcBorders>
            <w:shd w:val="clear" w:color="auto" w:fill="auto"/>
            <w:noWrap/>
            <w:vAlign w:val="center"/>
          </w:tcPr>
          <w:p w14:paraId="59B75A1A"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VSLP</w:t>
            </w:r>
          </w:p>
        </w:tc>
        <w:tc>
          <w:tcPr>
            <w:tcW w:w="1316" w:type="pct"/>
            <w:tcBorders>
              <w:top w:val="nil"/>
              <w:left w:val="double" w:sz="4" w:space="0" w:color="auto"/>
              <w:bottom w:val="nil"/>
              <w:right w:val="double" w:sz="4" w:space="0" w:color="auto"/>
            </w:tcBorders>
            <w:shd w:val="clear" w:color="auto" w:fill="auto"/>
            <w:noWrap/>
            <w:vAlign w:val="center"/>
          </w:tcPr>
          <w:p w14:paraId="6A088DAE"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Min vs. Max</w:t>
            </w:r>
          </w:p>
        </w:tc>
        <w:tc>
          <w:tcPr>
            <w:tcW w:w="431" w:type="pct"/>
            <w:tcBorders>
              <w:top w:val="nil"/>
              <w:left w:val="double" w:sz="4" w:space="0" w:color="auto"/>
              <w:bottom w:val="nil"/>
              <w:right w:val="nil"/>
            </w:tcBorders>
            <w:shd w:val="clear" w:color="auto" w:fill="auto"/>
            <w:noWrap/>
            <w:vAlign w:val="center"/>
          </w:tcPr>
          <w:p w14:paraId="65303E2D"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0.007 </w:t>
            </w:r>
          </w:p>
        </w:tc>
        <w:tc>
          <w:tcPr>
            <w:tcW w:w="432" w:type="pct"/>
            <w:tcBorders>
              <w:top w:val="nil"/>
              <w:left w:val="nil"/>
              <w:bottom w:val="nil"/>
              <w:right w:val="double" w:sz="4" w:space="0" w:color="auto"/>
            </w:tcBorders>
            <w:shd w:val="clear" w:color="auto" w:fill="auto"/>
            <w:vAlign w:val="center"/>
          </w:tcPr>
          <w:p w14:paraId="06CE28C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(0.007)</w:t>
            </w:r>
          </w:p>
        </w:tc>
        <w:tc>
          <w:tcPr>
            <w:tcW w:w="430" w:type="pct"/>
            <w:tcBorders>
              <w:top w:val="nil"/>
              <w:left w:val="double" w:sz="4" w:space="0" w:color="auto"/>
              <w:bottom w:val="nil"/>
              <w:right w:val="nil"/>
            </w:tcBorders>
            <w:shd w:val="clear" w:color="auto" w:fill="auto"/>
            <w:noWrap/>
            <w:vAlign w:val="center"/>
          </w:tcPr>
          <w:p w14:paraId="2DFE36E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0.028 </w:t>
            </w:r>
          </w:p>
        </w:tc>
        <w:tc>
          <w:tcPr>
            <w:tcW w:w="434" w:type="pct"/>
            <w:tcBorders>
              <w:top w:val="nil"/>
              <w:left w:val="nil"/>
              <w:bottom w:val="nil"/>
              <w:right w:val="double" w:sz="4" w:space="0" w:color="auto"/>
            </w:tcBorders>
            <w:shd w:val="clear" w:color="auto" w:fill="auto"/>
            <w:vAlign w:val="center"/>
          </w:tcPr>
          <w:p w14:paraId="0C8C032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(0.019)</w:t>
            </w:r>
          </w:p>
        </w:tc>
        <w:tc>
          <w:tcPr>
            <w:tcW w:w="426" w:type="pct"/>
            <w:tcBorders>
              <w:top w:val="nil"/>
              <w:left w:val="double" w:sz="4" w:space="0" w:color="auto"/>
              <w:bottom w:val="nil"/>
              <w:right w:val="nil"/>
            </w:tcBorders>
            <w:shd w:val="clear" w:color="auto" w:fill="auto"/>
            <w:noWrap/>
            <w:vAlign w:val="center"/>
          </w:tcPr>
          <w:p w14:paraId="72617F2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0.626 </w:t>
            </w:r>
          </w:p>
        </w:tc>
        <w:tc>
          <w:tcPr>
            <w:tcW w:w="429" w:type="pct"/>
            <w:tcBorders>
              <w:top w:val="nil"/>
              <w:left w:val="nil"/>
              <w:bottom w:val="nil"/>
              <w:right w:val="double" w:sz="4" w:space="0" w:color="auto"/>
            </w:tcBorders>
            <w:shd w:val="clear" w:color="auto" w:fill="auto"/>
            <w:vAlign w:val="center"/>
          </w:tcPr>
          <w:p w14:paraId="2156E2E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(0.151)</w:t>
            </w:r>
          </w:p>
        </w:tc>
      </w:tr>
      <w:tr w:rsidR="007347A8" w:rsidRPr="009A7E87" w14:paraId="0EFA33D1" w14:textId="77777777" w:rsidTr="001F0434">
        <w:trPr>
          <w:trHeight w:val="360"/>
          <w:jc w:val="center"/>
        </w:trPr>
        <w:tc>
          <w:tcPr>
            <w:tcW w:w="1104" w:type="pct"/>
            <w:tcBorders>
              <w:top w:val="nil"/>
              <w:bottom w:val="single" w:sz="4" w:space="0" w:color="auto"/>
              <w:right w:val="double" w:sz="4" w:space="0" w:color="auto"/>
            </w:tcBorders>
            <w:shd w:val="clear" w:color="auto" w:fill="auto"/>
            <w:noWrap/>
            <w:vAlign w:val="center"/>
          </w:tcPr>
          <w:p w14:paraId="07D8D0B7"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GLP</w:t>
            </w:r>
          </w:p>
        </w:tc>
        <w:tc>
          <w:tcPr>
            <w:tcW w:w="1316" w:type="pct"/>
            <w:tcBorders>
              <w:top w:val="nil"/>
              <w:left w:val="double" w:sz="4" w:space="0" w:color="auto"/>
              <w:bottom w:val="single" w:sz="4" w:space="0" w:color="auto"/>
              <w:right w:val="double" w:sz="4" w:space="0" w:color="auto"/>
            </w:tcBorders>
            <w:shd w:val="clear" w:color="auto" w:fill="auto"/>
            <w:noWrap/>
            <w:vAlign w:val="center"/>
          </w:tcPr>
          <w:p w14:paraId="23CBB581"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Min vs. Max</w:t>
            </w:r>
          </w:p>
        </w:tc>
        <w:tc>
          <w:tcPr>
            <w:tcW w:w="431" w:type="pct"/>
            <w:tcBorders>
              <w:top w:val="nil"/>
              <w:left w:val="double" w:sz="4" w:space="0" w:color="auto"/>
              <w:bottom w:val="single" w:sz="4" w:space="0" w:color="auto"/>
              <w:right w:val="nil"/>
            </w:tcBorders>
            <w:shd w:val="clear" w:color="auto" w:fill="auto"/>
            <w:noWrap/>
            <w:vAlign w:val="center"/>
          </w:tcPr>
          <w:p w14:paraId="58FED21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single" w:sz="4" w:space="0" w:color="auto"/>
              <w:right w:val="double" w:sz="4" w:space="0" w:color="auto"/>
            </w:tcBorders>
            <w:shd w:val="clear" w:color="auto" w:fill="auto"/>
            <w:vAlign w:val="center"/>
          </w:tcPr>
          <w:p w14:paraId="42CF312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single" w:sz="4" w:space="0" w:color="auto"/>
              <w:right w:val="nil"/>
            </w:tcBorders>
            <w:shd w:val="clear" w:color="auto" w:fill="auto"/>
            <w:noWrap/>
            <w:vAlign w:val="center"/>
          </w:tcPr>
          <w:p w14:paraId="219D426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4" w:type="pct"/>
            <w:tcBorders>
              <w:top w:val="nil"/>
              <w:left w:val="nil"/>
              <w:bottom w:val="single" w:sz="4" w:space="0" w:color="auto"/>
              <w:right w:val="double" w:sz="4" w:space="0" w:color="auto"/>
            </w:tcBorders>
            <w:shd w:val="clear" w:color="auto" w:fill="auto"/>
            <w:vAlign w:val="center"/>
          </w:tcPr>
          <w:p w14:paraId="2908CA0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nil"/>
              <w:left w:val="double" w:sz="4" w:space="0" w:color="auto"/>
              <w:bottom w:val="single" w:sz="4" w:space="0" w:color="auto"/>
              <w:right w:val="nil"/>
            </w:tcBorders>
            <w:shd w:val="clear" w:color="auto" w:fill="auto"/>
            <w:noWrap/>
            <w:vAlign w:val="center"/>
          </w:tcPr>
          <w:p w14:paraId="513B1DE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single" w:sz="4" w:space="0" w:color="auto"/>
              <w:right w:val="double" w:sz="4" w:space="0" w:color="auto"/>
            </w:tcBorders>
            <w:shd w:val="clear" w:color="auto" w:fill="auto"/>
            <w:vAlign w:val="center"/>
          </w:tcPr>
          <w:p w14:paraId="63F6D299"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204C94A0" w14:textId="77777777" w:rsidTr="001F0434">
        <w:trPr>
          <w:trHeight w:val="360"/>
          <w:jc w:val="center"/>
        </w:trPr>
        <w:tc>
          <w:tcPr>
            <w:tcW w:w="1104" w:type="pct"/>
            <w:tcBorders>
              <w:top w:val="single" w:sz="4" w:space="0" w:color="auto"/>
              <w:left w:val="double" w:sz="4" w:space="0" w:color="auto"/>
              <w:bottom w:val="nil"/>
              <w:right w:val="double" w:sz="4" w:space="0" w:color="auto"/>
            </w:tcBorders>
            <w:shd w:val="clear" w:color="auto" w:fill="auto"/>
            <w:noWrap/>
            <w:vAlign w:val="center"/>
            <w:hideMark/>
          </w:tcPr>
          <w:p w14:paraId="2FA2928C" w14:textId="77777777" w:rsidR="007347A8" w:rsidRPr="00BC6C7C" w:rsidRDefault="007347A8" w:rsidP="00FF0CBE">
            <w:pPr>
              <w:spacing w:line="240" w:lineRule="auto"/>
              <w:jc w:val="left"/>
              <w:rPr>
                <w:rFonts w:eastAsia="Times New Roman" w:cs="Times New Roman"/>
                <w:i/>
                <w:color w:val="000000"/>
                <w:sz w:val="20"/>
                <w:szCs w:val="20"/>
              </w:rPr>
            </w:pPr>
            <w:r w:rsidRPr="009A7E87">
              <w:rPr>
                <w:rFonts w:eastAsia="Times New Roman" w:cs="Times New Roman"/>
                <w:i/>
                <w:color w:val="000000"/>
                <w:sz w:val="20"/>
                <w:szCs w:val="20"/>
              </w:rPr>
              <w:t>Sociodemographic variables</w:t>
            </w:r>
          </w:p>
        </w:tc>
        <w:tc>
          <w:tcPr>
            <w:tcW w:w="1316" w:type="pct"/>
            <w:tcBorders>
              <w:top w:val="single" w:sz="4" w:space="0" w:color="auto"/>
              <w:left w:val="double" w:sz="4" w:space="0" w:color="auto"/>
              <w:bottom w:val="nil"/>
              <w:right w:val="double" w:sz="4" w:space="0" w:color="auto"/>
            </w:tcBorders>
            <w:shd w:val="clear" w:color="auto" w:fill="auto"/>
            <w:vAlign w:val="center"/>
          </w:tcPr>
          <w:p w14:paraId="0ADCD27D" w14:textId="77777777" w:rsidR="007347A8" w:rsidRPr="00BC6C7C" w:rsidRDefault="007347A8" w:rsidP="00FF0CBE">
            <w:pPr>
              <w:spacing w:line="240" w:lineRule="auto"/>
              <w:jc w:val="left"/>
              <w:rPr>
                <w:rFonts w:eastAsia="Times New Roman" w:cs="Times New Roman"/>
                <w:i/>
                <w:color w:val="000000"/>
                <w:sz w:val="20"/>
                <w:szCs w:val="20"/>
              </w:rPr>
            </w:pPr>
          </w:p>
        </w:tc>
        <w:tc>
          <w:tcPr>
            <w:tcW w:w="431" w:type="pct"/>
            <w:tcBorders>
              <w:top w:val="single" w:sz="4" w:space="0" w:color="auto"/>
              <w:left w:val="double" w:sz="4" w:space="0" w:color="auto"/>
              <w:bottom w:val="nil"/>
            </w:tcBorders>
            <w:shd w:val="clear" w:color="auto" w:fill="auto"/>
            <w:noWrap/>
            <w:vAlign w:val="center"/>
          </w:tcPr>
          <w:p w14:paraId="5483BFC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2" w:type="pct"/>
            <w:tcBorders>
              <w:top w:val="single" w:sz="4" w:space="0" w:color="auto"/>
              <w:bottom w:val="nil"/>
              <w:right w:val="double" w:sz="4" w:space="0" w:color="auto"/>
            </w:tcBorders>
            <w:shd w:val="clear" w:color="auto" w:fill="auto"/>
            <w:vAlign w:val="center"/>
          </w:tcPr>
          <w:p w14:paraId="5D61223D"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single" w:sz="4" w:space="0" w:color="auto"/>
              <w:left w:val="double" w:sz="4" w:space="0" w:color="auto"/>
              <w:bottom w:val="nil"/>
            </w:tcBorders>
            <w:shd w:val="clear" w:color="auto" w:fill="auto"/>
            <w:noWrap/>
            <w:vAlign w:val="center"/>
          </w:tcPr>
          <w:p w14:paraId="726B5C0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4" w:type="pct"/>
            <w:tcBorders>
              <w:top w:val="single" w:sz="4" w:space="0" w:color="auto"/>
              <w:bottom w:val="nil"/>
              <w:right w:val="double" w:sz="4" w:space="0" w:color="auto"/>
            </w:tcBorders>
            <w:shd w:val="clear" w:color="auto" w:fill="auto"/>
            <w:vAlign w:val="center"/>
          </w:tcPr>
          <w:p w14:paraId="1BB702B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single" w:sz="4" w:space="0" w:color="auto"/>
              <w:left w:val="double" w:sz="4" w:space="0" w:color="auto"/>
              <w:bottom w:val="nil"/>
            </w:tcBorders>
            <w:shd w:val="clear" w:color="auto" w:fill="auto"/>
            <w:noWrap/>
            <w:vAlign w:val="center"/>
          </w:tcPr>
          <w:p w14:paraId="56EEFAF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9" w:type="pct"/>
            <w:tcBorders>
              <w:top w:val="single" w:sz="4" w:space="0" w:color="auto"/>
              <w:bottom w:val="nil"/>
            </w:tcBorders>
            <w:shd w:val="clear" w:color="auto" w:fill="auto"/>
            <w:vAlign w:val="center"/>
          </w:tcPr>
          <w:p w14:paraId="291EDE8D"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7A53E291" w14:textId="77777777" w:rsidTr="001F0434">
        <w:trPr>
          <w:trHeight w:val="360"/>
          <w:jc w:val="center"/>
        </w:trPr>
        <w:tc>
          <w:tcPr>
            <w:tcW w:w="1104" w:type="pct"/>
            <w:tcBorders>
              <w:top w:val="nil"/>
              <w:bottom w:val="nil"/>
              <w:right w:val="double" w:sz="4" w:space="0" w:color="auto"/>
            </w:tcBorders>
            <w:shd w:val="clear" w:color="auto" w:fill="auto"/>
            <w:noWrap/>
            <w:vAlign w:val="center"/>
          </w:tcPr>
          <w:p w14:paraId="34EE89F4"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Gender</w:t>
            </w:r>
          </w:p>
        </w:tc>
        <w:tc>
          <w:tcPr>
            <w:tcW w:w="1316" w:type="pct"/>
            <w:tcBorders>
              <w:top w:val="nil"/>
              <w:left w:val="double" w:sz="4" w:space="0" w:color="auto"/>
              <w:bottom w:val="nil"/>
              <w:right w:val="double" w:sz="4" w:space="0" w:color="auto"/>
            </w:tcBorders>
            <w:shd w:val="clear" w:color="auto" w:fill="auto"/>
            <w:noWrap/>
            <w:vAlign w:val="center"/>
          </w:tcPr>
          <w:p w14:paraId="3E2F2896"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Male vs. female</w:t>
            </w:r>
          </w:p>
        </w:tc>
        <w:tc>
          <w:tcPr>
            <w:tcW w:w="431" w:type="pct"/>
            <w:tcBorders>
              <w:top w:val="nil"/>
              <w:left w:val="double" w:sz="4" w:space="0" w:color="auto"/>
              <w:bottom w:val="nil"/>
              <w:right w:val="nil"/>
            </w:tcBorders>
            <w:shd w:val="clear" w:color="auto" w:fill="auto"/>
            <w:noWrap/>
            <w:vAlign w:val="center"/>
          </w:tcPr>
          <w:p w14:paraId="3234DF4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nil"/>
              <w:right w:val="double" w:sz="4" w:space="0" w:color="auto"/>
            </w:tcBorders>
            <w:shd w:val="clear" w:color="auto" w:fill="auto"/>
            <w:vAlign w:val="center"/>
          </w:tcPr>
          <w:p w14:paraId="31659582"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nil"/>
              <w:right w:val="nil"/>
            </w:tcBorders>
            <w:shd w:val="clear" w:color="auto" w:fill="auto"/>
            <w:noWrap/>
            <w:vAlign w:val="center"/>
          </w:tcPr>
          <w:p w14:paraId="21256E5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4" w:type="pct"/>
            <w:tcBorders>
              <w:top w:val="nil"/>
              <w:left w:val="nil"/>
              <w:bottom w:val="nil"/>
              <w:right w:val="double" w:sz="4" w:space="0" w:color="auto"/>
            </w:tcBorders>
            <w:shd w:val="clear" w:color="auto" w:fill="auto"/>
            <w:vAlign w:val="center"/>
          </w:tcPr>
          <w:p w14:paraId="3407292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nil"/>
              <w:left w:val="double" w:sz="4" w:space="0" w:color="auto"/>
              <w:bottom w:val="nil"/>
              <w:right w:val="nil"/>
            </w:tcBorders>
            <w:shd w:val="clear" w:color="auto" w:fill="auto"/>
            <w:noWrap/>
            <w:vAlign w:val="center"/>
          </w:tcPr>
          <w:p w14:paraId="11C3327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08748D0D"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21D0F70D"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7F27D360"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Age</w:t>
            </w:r>
          </w:p>
        </w:tc>
        <w:tc>
          <w:tcPr>
            <w:tcW w:w="1316" w:type="pct"/>
            <w:tcBorders>
              <w:top w:val="nil"/>
              <w:left w:val="double" w:sz="4" w:space="0" w:color="auto"/>
              <w:bottom w:val="nil"/>
              <w:right w:val="double" w:sz="4" w:space="0" w:color="auto"/>
            </w:tcBorders>
            <w:shd w:val="clear" w:color="auto" w:fill="auto"/>
            <w:noWrap/>
            <w:vAlign w:val="center"/>
            <w:hideMark/>
          </w:tcPr>
          <w:p w14:paraId="35E51013" w14:textId="3DD437E7" w:rsidR="007347A8" w:rsidRPr="009A7E87" w:rsidRDefault="001F0434" w:rsidP="00BA20DE">
            <w:pPr>
              <w:spacing w:line="240" w:lineRule="auto"/>
              <w:jc w:val="left"/>
              <w:rPr>
                <w:rFonts w:eastAsia="Times New Roman" w:cs="Times New Roman"/>
                <w:color w:val="000000"/>
                <w:sz w:val="20"/>
                <w:szCs w:val="20"/>
              </w:rPr>
            </w:pPr>
            <w:r>
              <w:rPr>
                <w:rFonts w:eastAsia="Times New Roman" w:cs="Times New Roman"/>
                <w:color w:val="000000"/>
                <w:sz w:val="20"/>
                <w:szCs w:val="20"/>
              </w:rPr>
              <w:t>65 or more vs. 18-</w:t>
            </w:r>
            <w:r w:rsidR="00BA20DE">
              <w:rPr>
                <w:rFonts w:eastAsia="Times New Roman" w:cs="Times New Roman"/>
                <w:color w:val="000000"/>
                <w:sz w:val="20"/>
                <w:szCs w:val="20"/>
              </w:rPr>
              <w:t>34</w:t>
            </w:r>
          </w:p>
        </w:tc>
        <w:tc>
          <w:tcPr>
            <w:tcW w:w="431" w:type="pct"/>
            <w:tcBorders>
              <w:top w:val="nil"/>
              <w:left w:val="double" w:sz="4" w:space="0" w:color="auto"/>
              <w:bottom w:val="nil"/>
              <w:right w:val="nil"/>
            </w:tcBorders>
            <w:shd w:val="clear" w:color="auto" w:fill="auto"/>
            <w:noWrap/>
            <w:vAlign w:val="center"/>
          </w:tcPr>
          <w:p w14:paraId="2FA668A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0.223 </w:t>
            </w:r>
          </w:p>
        </w:tc>
        <w:tc>
          <w:tcPr>
            <w:tcW w:w="432" w:type="pct"/>
            <w:tcBorders>
              <w:top w:val="nil"/>
              <w:left w:val="nil"/>
              <w:bottom w:val="nil"/>
              <w:right w:val="double" w:sz="4" w:space="0" w:color="auto"/>
            </w:tcBorders>
            <w:shd w:val="clear" w:color="auto" w:fill="auto"/>
            <w:vAlign w:val="center"/>
          </w:tcPr>
          <w:p w14:paraId="1E0A31B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(0.012)</w:t>
            </w:r>
          </w:p>
        </w:tc>
        <w:tc>
          <w:tcPr>
            <w:tcW w:w="430" w:type="pct"/>
            <w:tcBorders>
              <w:top w:val="nil"/>
              <w:left w:val="double" w:sz="4" w:space="0" w:color="auto"/>
              <w:bottom w:val="nil"/>
              <w:right w:val="nil"/>
            </w:tcBorders>
            <w:shd w:val="clear" w:color="auto" w:fill="auto"/>
            <w:noWrap/>
            <w:vAlign w:val="center"/>
          </w:tcPr>
          <w:p w14:paraId="0821881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0.034 </w:t>
            </w:r>
          </w:p>
        </w:tc>
        <w:tc>
          <w:tcPr>
            <w:tcW w:w="434" w:type="pct"/>
            <w:tcBorders>
              <w:top w:val="nil"/>
              <w:left w:val="nil"/>
              <w:bottom w:val="nil"/>
              <w:right w:val="double" w:sz="4" w:space="0" w:color="auto"/>
            </w:tcBorders>
            <w:shd w:val="clear" w:color="auto" w:fill="auto"/>
            <w:vAlign w:val="center"/>
          </w:tcPr>
          <w:p w14:paraId="096F32C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(0.013)</w:t>
            </w:r>
          </w:p>
        </w:tc>
        <w:tc>
          <w:tcPr>
            <w:tcW w:w="426" w:type="pct"/>
            <w:tcBorders>
              <w:top w:val="nil"/>
              <w:left w:val="double" w:sz="4" w:space="0" w:color="auto"/>
              <w:bottom w:val="nil"/>
              <w:right w:val="nil"/>
            </w:tcBorders>
            <w:shd w:val="clear" w:color="auto" w:fill="auto"/>
            <w:noWrap/>
            <w:vAlign w:val="center"/>
          </w:tcPr>
          <w:p w14:paraId="09FAB96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72A7937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00C0B32F"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68A277D3" w14:textId="77777777" w:rsidR="007347A8" w:rsidRPr="009A7E87" w:rsidRDefault="007347A8" w:rsidP="00FF0CBE">
            <w:pPr>
              <w:spacing w:line="240" w:lineRule="auto"/>
              <w:jc w:val="left"/>
              <w:rPr>
                <w:rFonts w:eastAsia="Times New Roman" w:cs="Times New Roman"/>
                <w:color w:val="000000"/>
                <w:sz w:val="20"/>
                <w:szCs w:val="20"/>
              </w:rPr>
            </w:pPr>
            <w:r>
              <w:rPr>
                <w:rFonts w:eastAsia="Times New Roman" w:cs="Times New Roman"/>
                <w:color w:val="000000"/>
                <w:sz w:val="20"/>
                <w:szCs w:val="20"/>
              </w:rPr>
              <w:t>Ethnicity</w:t>
            </w:r>
          </w:p>
        </w:tc>
        <w:tc>
          <w:tcPr>
            <w:tcW w:w="1316" w:type="pct"/>
            <w:tcBorders>
              <w:top w:val="nil"/>
              <w:left w:val="double" w:sz="4" w:space="0" w:color="auto"/>
              <w:bottom w:val="nil"/>
              <w:right w:val="double" w:sz="4" w:space="0" w:color="auto"/>
            </w:tcBorders>
            <w:shd w:val="clear" w:color="auto" w:fill="auto"/>
            <w:noWrap/>
            <w:vAlign w:val="center"/>
            <w:hideMark/>
          </w:tcPr>
          <w:p w14:paraId="3BDBCC25"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Other vs. Non-Hispanic White</w:t>
            </w:r>
          </w:p>
        </w:tc>
        <w:tc>
          <w:tcPr>
            <w:tcW w:w="431" w:type="pct"/>
            <w:tcBorders>
              <w:top w:val="nil"/>
              <w:left w:val="double" w:sz="4" w:space="0" w:color="auto"/>
              <w:bottom w:val="nil"/>
              <w:right w:val="nil"/>
            </w:tcBorders>
            <w:shd w:val="clear" w:color="auto" w:fill="auto"/>
            <w:noWrap/>
            <w:vAlign w:val="center"/>
          </w:tcPr>
          <w:p w14:paraId="7A336FE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nil"/>
              <w:right w:val="double" w:sz="4" w:space="0" w:color="auto"/>
            </w:tcBorders>
            <w:shd w:val="clear" w:color="auto" w:fill="auto"/>
            <w:vAlign w:val="center"/>
          </w:tcPr>
          <w:p w14:paraId="225896D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nil"/>
              <w:right w:val="nil"/>
            </w:tcBorders>
            <w:shd w:val="clear" w:color="auto" w:fill="auto"/>
            <w:noWrap/>
            <w:vAlign w:val="center"/>
          </w:tcPr>
          <w:p w14:paraId="3B9F3FE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-0.020 </w:t>
            </w:r>
          </w:p>
        </w:tc>
        <w:tc>
          <w:tcPr>
            <w:tcW w:w="434" w:type="pct"/>
            <w:tcBorders>
              <w:top w:val="nil"/>
              <w:left w:val="nil"/>
              <w:bottom w:val="nil"/>
              <w:right w:val="double" w:sz="4" w:space="0" w:color="auto"/>
            </w:tcBorders>
            <w:shd w:val="clear" w:color="auto" w:fill="auto"/>
            <w:vAlign w:val="center"/>
          </w:tcPr>
          <w:p w14:paraId="676412B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(0.012)</w:t>
            </w:r>
          </w:p>
        </w:tc>
        <w:tc>
          <w:tcPr>
            <w:tcW w:w="426" w:type="pct"/>
            <w:tcBorders>
              <w:top w:val="nil"/>
              <w:left w:val="double" w:sz="4" w:space="0" w:color="auto"/>
              <w:bottom w:val="nil"/>
              <w:right w:val="nil"/>
            </w:tcBorders>
            <w:shd w:val="clear" w:color="auto" w:fill="auto"/>
            <w:noWrap/>
            <w:vAlign w:val="center"/>
          </w:tcPr>
          <w:p w14:paraId="052E78A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62D782C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69A217F0"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7BA6CFF6"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Education</w:t>
            </w:r>
          </w:p>
        </w:tc>
        <w:tc>
          <w:tcPr>
            <w:tcW w:w="1316" w:type="pct"/>
            <w:tcBorders>
              <w:top w:val="nil"/>
              <w:left w:val="double" w:sz="4" w:space="0" w:color="auto"/>
              <w:bottom w:val="nil"/>
              <w:right w:val="double" w:sz="4" w:space="0" w:color="auto"/>
            </w:tcBorders>
            <w:shd w:val="clear" w:color="auto" w:fill="auto"/>
            <w:noWrap/>
            <w:vAlign w:val="center"/>
            <w:hideMark/>
          </w:tcPr>
          <w:p w14:paraId="498511EB" w14:textId="67510438" w:rsidR="007347A8" w:rsidRPr="009A7E87" w:rsidRDefault="007347A8" w:rsidP="001F0434">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 xml:space="preserve">&lt; </w:t>
            </w:r>
            <w:r w:rsidR="001F0434">
              <w:rPr>
                <w:rFonts w:eastAsia="Times New Roman" w:cs="Times New Roman"/>
                <w:color w:val="000000"/>
                <w:sz w:val="20"/>
                <w:szCs w:val="20"/>
              </w:rPr>
              <w:t>B</w:t>
            </w:r>
            <w:r w:rsidRPr="009A7E87">
              <w:rPr>
                <w:rFonts w:eastAsia="Times New Roman" w:cs="Times New Roman"/>
                <w:color w:val="000000"/>
                <w:sz w:val="20"/>
                <w:szCs w:val="20"/>
              </w:rPr>
              <w:t xml:space="preserve">achelor's vs. graduate </w:t>
            </w:r>
          </w:p>
        </w:tc>
        <w:tc>
          <w:tcPr>
            <w:tcW w:w="431" w:type="pct"/>
            <w:tcBorders>
              <w:top w:val="nil"/>
              <w:left w:val="double" w:sz="4" w:space="0" w:color="auto"/>
              <w:bottom w:val="nil"/>
              <w:right w:val="nil"/>
            </w:tcBorders>
            <w:shd w:val="clear" w:color="auto" w:fill="auto"/>
            <w:noWrap/>
            <w:vAlign w:val="center"/>
          </w:tcPr>
          <w:p w14:paraId="110D4C0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nil"/>
              <w:right w:val="double" w:sz="4" w:space="0" w:color="auto"/>
            </w:tcBorders>
            <w:shd w:val="clear" w:color="auto" w:fill="auto"/>
            <w:vAlign w:val="center"/>
          </w:tcPr>
          <w:p w14:paraId="4629577E"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nil"/>
              <w:right w:val="nil"/>
            </w:tcBorders>
            <w:shd w:val="clear" w:color="auto" w:fill="auto"/>
            <w:noWrap/>
            <w:vAlign w:val="center"/>
          </w:tcPr>
          <w:p w14:paraId="3B0E5F2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0.029 </w:t>
            </w:r>
          </w:p>
        </w:tc>
        <w:tc>
          <w:tcPr>
            <w:tcW w:w="434" w:type="pct"/>
            <w:tcBorders>
              <w:top w:val="nil"/>
              <w:left w:val="nil"/>
              <w:bottom w:val="nil"/>
              <w:right w:val="double" w:sz="4" w:space="0" w:color="auto"/>
            </w:tcBorders>
            <w:shd w:val="clear" w:color="auto" w:fill="auto"/>
            <w:vAlign w:val="center"/>
          </w:tcPr>
          <w:p w14:paraId="316547F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(0.007)</w:t>
            </w:r>
          </w:p>
        </w:tc>
        <w:tc>
          <w:tcPr>
            <w:tcW w:w="426" w:type="pct"/>
            <w:tcBorders>
              <w:top w:val="nil"/>
              <w:left w:val="double" w:sz="4" w:space="0" w:color="auto"/>
              <w:bottom w:val="nil"/>
              <w:right w:val="nil"/>
            </w:tcBorders>
            <w:shd w:val="clear" w:color="auto" w:fill="auto"/>
            <w:noWrap/>
            <w:vAlign w:val="center"/>
          </w:tcPr>
          <w:p w14:paraId="15869EAF"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68824BC8"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32925EC5" w14:textId="77777777" w:rsidTr="001F0434">
        <w:trPr>
          <w:trHeight w:val="360"/>
          <w:jc w:val="center"/>
        </w:trPr>
        <w:tc>
          <w:tcPr>
            <w:tcW w:w="1104" w:type="pct"/>
            <w:tcBorders>
              <w:top w:val="nil"/>
              <w:bottom w:val="nil"/>
              <w:right w:val="double" w:sz="4" w:space="0" w:color="auto"/>
            </w:tcBorders>
            <w:shd w:val="clear" w:color="auto" w:fill="auto"/>
            <w:noWrap/>
            <w:vAlign w:val="center"/>
          </w:tcPr>
          <w:p w14:paraId="0A7D3BB1"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Employment type</w:t>
            </w:r>
          </w:p>
        </w:tc>
        <w:tc>
          <w:tcPr>
            <w:tcW w:w="1316" w:type="pct"/>
            <w:tcBorders>
              <w:top w:val="nil"/>
              <w:left w:val="double" w:sz="4" w:space="0" w:color="auto"/>
              <w:bottom w:val="nil"/>
              <w:right w:val="double" w:sz="4" w:space="0" w:color="auto"/>
            </w:tcBorders>
            <w:shd w:val="clear" w:color="auto" w:fill="auto"/>
            <w:noWrap/>
            <w:vAlign w:val="center"/>
          </w:tcPr>
          <w:p w14:paraId="01679F31"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Full-time vs. part-time</w:t>
            </w:r>
          </w:p>
        </w:tc>
        <w:tc>
          <w:tcPr>
            <w:tcW w:w="431" w:type="pct"/>
            <w:tcBorders>
              <w:top w:val="nil"/>
              <w:left w:val="double" w:sz="4" w:space="0" w:color="auto"/>
              <w:bottom w:val="nil"/>
              <w:right w:val="nil"/>
            </w:tcBorders>
            <w:shd w:val="clear" w:color="auto" w:fill="auto"/>
            <w:noWrap/>
            <w:vAlign w:val="center"/>
          </w:tcPr>
          <w:p w14:paraId="7F52BC8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-0.040       </w:t>
            </w:r>
          </w:p>
        </w:tc>
        <w:tc>
          <w:tcPr>
            <w:tcW w:w="432" w:type="pct"/>
            <w:tcBorders>
              <w:top w:val="nil"/>
              <w:left w:val="nil"/>
              <w:bottom w:val="nil"/>
              <w:right w:val="double" w:sz="4" w:space="0" w:color="auto"/>
            </w:tcBorders>
            <w:shd w:val="clear" w:color="auto" w:fill="auto"/>
            <w:vAlign w:val="center"/>
          </w:tcPr>
          <w:p w14:paraId="24170A1E"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(0.017)</w:t>
            </w:r>
          </w:p>
        </w:tc>
        <w:tc>
          <w:tcPr>
            <w:tcW w:w="430" w:type="pct"/>
            <w:tcBorders>
              <w:top w:val="nil"/>
              <w:left w:val="double" w:sz="4" w:space="0" w:color="auto"/>
              <w:bottom w:val="nil"/>
              <w:right w:val="nil"/>
            </w:tcBorders>
            <w:shd w:val="clear" w:color="auto" w:fill="auto"/>
            <w:noWrap/>
            <w:vAlign w:val="center"/>
          </w:tcPr>
          <w:p w14:paraId="22EBF12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4" w:type="pct"/>
            <w:tcBorders>
              <w:top w:val="nil"/>
              <w:left w:val="nil"/>
              <w:bottom w:val="nil"/>
              <w:right w:val="double" w:sz="4" w:space="0" w:color="auto"/>
            </w:tcBorders>
            <w:shd w:val="clear" w:color="auto" w:fill="auto"/>
            <w:vAlign w:val="center"/>
          </w:tcPr>
          <w:p w14:paraId="508F06E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nil"/>
              <w:left w:val="double" w:sz="4" w:space="0" w:color="auto"/>
              <w:bottom w:val="nil"/>
              <w:right w:val="nil"/>
            </w:tcBorders>
            <w:shd w:val="clear" w:color="auto" w:fill="auto"/>
            <w:noWrap/>
            <w:vAlign w:val="center"/>
          </w:tcPr>
          <w:p w14:paraId="1A08024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nil"/>
              <w:right w:val="double" w:sz="4" w:space="0" w:color="auto"/>
            </w:tcBorders>
            <w:shd w:val="clear" w:color="auto" w:fill="auto"/>
            <w:vAlign w:val="center"/>
          </w:tcPr>
          <w:p w14:paraId="404BAF5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610B741C"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344A6DF4"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Income</w:t>
            </w:r>
          </w:p>
        </w:tc>
        <w:tc>
          <w:tcPr>
            <w:tcW w:w="1316" w:type="pct"/>
            <w:tcBorders>
              <w:top w:val="nil"/>
              <w:left w:val="double" w:sz="4" w:space="0" w:color="auto"/>
              <w:bottom w:val="nil"/>
              <w:right w:val="double" w:sz="4" w:space="0" w:color="auto"/>
            </w:tcBorders>
            <w:shd w:val="clear" w:color="auto" w:fill="auto"/>
            <w:noWrap/>
            <w:vAlign w:val="center"/>
            <w:hideMark/>
          </w:tcPr>
          <w:p w14:paraId="266900EF" w14:textId="625CB38C" w:rsidR="007347A8" w:rsidRPr="009A7E87" w:rsidRDefault="001F0434" w:rsidP="00FF0CBE">
            <w:pPr>
              <w:spacing w:line="240" w:lineRule="auto"/>
              <w:jc w:val="left"/>
              <w:rPr>
                <w:rFonts w:eastAsia="Times New Roman" w:cs="Times New Roman"/>
                <w:color w:val="000000"/>
                <w:sz w:val="20"/>
                <w:szCs w:val="20"/>
              </w:rPr>
            </w:pPr>
            <w:r>
              <w:rPr>
                <w:rFonts w:eastAsia="Times New Roman" w:cs="Times New Roman"/>
                <w:color w:val="000000"/>
                <w:sz w:val="20"/>
                <w:szCs w:val="20"/>
              </w:rPr>
              <w:t>Under $50,000 vs. $200,000 or more</w:t>
            </w:r>
          </w:p>
        </w:tc>
        <w:tc>
          <w:tcPr>
            <w:tcW w:w="431" w:type="pct"/>
            <w:tcBorders>
              <w:top w:val="nil"/>
              <w:left w:val="double" w:sz="4" w:space="0" w:color="auto"/>
              <w:bottom w:val="nil"/>
              <w:right w:val="nil"/>
            </w:tcBorders>
            <w:shd w:val="clear" w:color="auto" w:fill="auto"/>
            <w:noWrap/>
            <w:vAlign w:val="center"/>
          </w:tcPr>
          <w:p w14:paraId="25559BC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0.290 </w:t>
            </w:r>
          </w:p>
        </w:tc>
        <w:tc>
          <w:tcPr>
            <w:tcW w:w="432" w:type="pct"/>
            <w:tcBorders>
              <w:top w:val="nil"/>
              <w:left w:val="nil"/>
              <w:bottom w:val="nil"/>
              <w:right w:val="double" w:sz="4" w:space="0" w:color="auto"/>
            </w:tcBorders>
            <w:shd w:val="clear" w:color="auto" w:fill="auto"/>
            <w:vAlign w:val="center"/>
          </w:tcPr>
          <w:p w14:paraId="6045072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(0.028)</w:t>
            </w:r>
          </w:p>
        </w:tc>
        <w:tc>
          <w:tcPr>
            <w:tcW w:w="430" w:type="pct"/>
            <w:tcBorders>
              <w:top w:val="nil"/>
              <w:left w:val="double" w:sz="4" w:space="0" w:color="auto"/>
              <w:bottom w:val="nil"/>
              <w:right w:val="nil"/>
            </w:tcBorders>
            <w:shd w:val="clear" w:color="auto" w:fill="auto"/>
            <w:noWrap/>
            <w:vAlign w:val="center"/>
          </w:tcPr>
          <w:p w14:paraId="5330BE1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-0.021 </w:t>
            </w:r>
          </w:p>
        </w:tc>
        <w:tc>
          <w:tcPr>
            <w:tcW w:w="434" w:type="pct"/>
            <w:tcBorders>
              <w:top w:val="nil"/>
              <w:left w:val="nil"/>
              <w:bottom w:val="nil"/>
              <w:right w:val="double" w:sz="4" w:space="0" w:color="auto"/>
            </w:tcBorders>
            <w:shd w:val="clear" w:color="auto" w:fill="auto"/>
            <w:vAlign w:val="center"/>
          </w:tcPr>
          <w:p w14:paraId="0FFA089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(0.014)</w:t>
            </w:r>
          </w:p>
        </w:tc>
        <w:tc>
          <w:tcPr>
            <w:tcW w:w="426" w:type="pct"/>
            <w:tcBorders>
              <w:top w:val="nil"/>
              <w:left w:val="double" w:sz="4" w:space="0" w:color="auto"/>
              <w:bottom w:val="nil"/>
              <w:right w:val="nil"/>
            </w:tcBorders>
            <w:shd w:val="clear" w:color="auto" w:fill="auto"/>
            <w:noWrap/>
            <w:vAlign w:val="center"/>
          </w:tcPr>
          <w:p w14:paraId="06279F1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1.194 </w:t>
            </w:r>
          </w:p>
        </w:tc>
        <w:tc>
          <w:tcPr>
            <w:tcW w:w="429" w:type="pct"/>
            <w:tcBorders>
              <w:top w:val="nil"/>
              <w:left w:val="nil"/>
              <w:bottom w:val="nil"/>
              <w:right w:val="double" w:sz="4" w:space="0" w:color="auto"/>
            </w:tcBorders>
            <w:shd w:val="clear" w:color="auto" w:fill="auto"/>
            <w:vAlign w:val="center"/>
          </w:tcPr>
          <w:p w14:paraId="390DCA02"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(0.134)</w:t>
            </w:r>
          </w:p>
        </w:tc>
      </w:tr>
      <w:tr w:rsidR="007347A8" w:rsidRPr="009A7E87" w14:paraId="406C0DB1" w14:textId="77777777" w:rsidTr="001F0434">
        <w:trPr>
          <w:trHeight w:val="360"/>
          <w:jc w:val="center"/>
        </w:trPr>
        <w:tc>
          <w:tcPr>
            <w:tcW w:w="1104" w:type="pct"/>
            <w:tcBorders>
              <w:top w:val="nil"/>
              <w:bottom w:val="single" w:sz="4" w:space="0" w:color="auto"/>
              <w:right w:val="double" w:sz="4" w:space="0" w:color="auto"/>
            </w:tcBorders>
            <w:shd w:val="clear" w:color="auto" w:fill="auto"/>
            <w:noWrap/>
            <w:vAlign w:val="center"/>
          </w:tcPr>
          <w:p w14:paraId="0F7237A8"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Household composition</w:t>
            </w:r>
          </w:p>
        </w:tc>
        <w:tc>
          <w:tcPr>
            <w:tcW w:w="1316" w:type="pct"/>
            <w:tcBorders>
              <w:top w:val="nil"/>
              <w:left w:val="double" w:sz="4" w:space="0" w:color="auto"/>
              <w:bottom w:val="single" w:sz="4" w:space="0" w:color="auto"/>
              <w:right w:val="double" w:sz="4" w:space="0" w:color="auto"/>
            </w:tcBorders>
            <w:shd w:val="clear" w:color="auto" w:fill="auto"/>
            <w:noWrap/>
            <w:vAlign w:val="center"/>
          </w:tcPr>
          <w:p w14:paraId="2BCDE792"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Multi-worker vs. single-worker multi-person</w:t>
            </w:r>
          </w:p>
        </w:tc>
        <w:tc>
          <w:tcPr>
            <w:tcW w:w="431" w:type="pct"/>
            <w:tcBorders>
              <w:top w:val="nil"/>
              <w:left w:val="double" w:sz="4" w:space="0" w:color="auto"/>
              <w:bottom w:val="single" w:sz="4" w:space="0" w:color="auto"/>
              <w:right w:val="nil"/>
            </w:tcBorders>
            <w:shd w:val="clear" w:color="auto" w:fill="auto"/>
            <w:noWrap/>
            <w:vAlign w:val="center"/>
          </w:tcPr>
          <w:p w14:paraId="1539A714"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-0.032 </w:t>
            </w:r>
          </w:p>
        </w:tc>
        <w:tc>
          <w:tcPr>
            <w:tcW w:w="432" w:type="pct"/>
            <w:tcBorders>
              <w:top w:val="nil"/>
              <w:left w:val="nil"/>
              <w:bottom w:val="single" w:sz="4" w:space="0" w:color="auto"/>
              <w:right w:val="double" w:sz="4" w:space="0" w:color="auto"/>
            </w:tcBorders>
            <w:shd w:val="clear" w:color="auto" w:fill="auto"/>
            <w:vAlign w:val="center"/>
          </w:tcPr>
          <w:p w14:paraId="5FCB785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(0.011)</w:t>
            </w:r>
          </w:p>
        </w:tc>
        <w:tc>
          <w:tcPr>
            <w:tcW w:w="430" w:type="pct"/>
            <w:tcBorders>
              <w:top w:val="nil"/>
              <w:left w:val="double" w:sz="4" w:space="0" w:color="auto"/>
              <w:bottom w:val="single" w:sz="4" w:space="0" w:color="auto"/>
              <w:right w:val="nil"/>
            </w:tcBorders>
            <w:shd w:val="clear" w:color="auto" w:fill="auto"/>
            <w:noWrap/>
            <w:vAlign w:val="center"/>
          </w:tcPr>
          <w:p w14:paraId="1BD485C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-0.012 </w:t>
            </w:r>
          </w:p>
        </w:tc>
        <w:tc>
          <w:tcPr>
            <w:tcW w:w="434" w:type="pct"/>
            <w:tcBorders>
              <w:top w:val="nil"/>
              <w:left w:val="nil"/>
              <w:bottom w:val="single" w:sz="4" w:space="0" w:color="auto"/>
              <w:right w:val="double" w:sz="4" w:space="0" w:color="auto"/>
            </w:tcBorders>
            <w:shd w:val="clear" w:color="auto" w:fill="auto"/>
            <w:vAlign w:val="center"/>
          </w:tcPr>
          <w:p w14:paraId="431D443D"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(0.007)</w:t>
            </w:r>
          </w:p>
        </w:tc>
        <w:tc>
          <w:tcPr>
            <w:tcW w:w="426" w:type="pct"/>
            <w:tcBorders>
              <w:top w:val="nil"/>
              <w:left w:val="double" w:sz="4" w:space="0" w:color="auto"/>
              <w:bottom w:val="single" w:sz="4" w:space="0" w:color="auto"/>
              <w:right w:val="nil"/>
            </w:tcBorders>
            <w:shd w:val="clear" w:color="auto" w:fill="auto"/>
            <w:noWrap/>
            <w:vAlign w:val="center"/>
          </w:tcPr>
          <w:p w14:paraId="54CFB84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29" w:type="pct"/>
            <w:tcBorders>
              <w:top w:val="nil"/>
              <w:left w:val="nil"/>
              <w:bottom w:val="single" w:sz="4" w:space="0" w:color="auto"/>
              <w:right w:val="double" w:sz="4" w:space="0" w:color="auto"/>
            </w:tcBorders>
            <w:shd w:val="clear" w:color="auto" w:fill="auto"/>
            <w:vAlign w:val="center"/>
          </w:tcPr>
          <w:p w14:paraId="3FDDF0CF"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6D493C00" w14:textId="77777777" w:rsidTr="001F0434">
        <w:trPr>
          <w:trHeight w:val="360"/>
          <w:jc w:val="center"/>
        </w:trPr>
        <w:tc>
          <w:tcPr>
            <w:tcW w:w="1104" w:type="pct"/>
            <w:tcBorders>
              <w:top w:val="single" w:sz="4" w:space="0" w:color="auto"/>
              <w:left w:val="double" w:sz="4" w:space="0" w:color="auto"/>
              <w:bottom w:val="nil"/>
              <w:right w:val="double" w:sz="4" w:space="0" w:color="auto"/>
            </w:tcBorders>
            <w:shd w:val="clear" w:color="auto" w:fill="auto"/>
            <w:noWrap/>
            <w:vAlign w:val="center"/>
            <w:hideMark/>
          </w:tcPr>
          <w:p w14:paraId="0C5606A3" w14:textId="77777777" w:rsidR="007347A8" w:rsidRPr="00BC6C7C" w:rsidRDefault="007347A8" w:rsidP="00FF0CBE">
            <w:pPr>
              <w:spacing w:line="240" w:lineRule="auto"/>
              <w:jc w:val="left"/>
              <w:rPr>
                <w:rFonts w:eastAsia="Times New Roman" w:cs="Times New Roman"/>
                <w:i/>
                <w:color w:val="000000"/>
                <w:sz w:val="20"/>
                <w:szCs w:val="20"/>
              </w:rPr>
            </w:pPr>
            <w:r w:rsidRPr="009A7E87">
              <w:rPr>
                <w:rFonts w:eastAsia="Times New Roman" w:cs="Times New Roman"/>
                <w:i/>
                <w:color w:val="000000"/>
                <w:sz w:val="20"/>
                <w:szCs w:val="20"/>
              </w:rPr>
              <w:t>Endogenous variables</w:t>
            </w:r>
          </w:p>
        </w:tc>
        <w:tc>
          <w:tcPr>
            <w:tcW w:w="1316" w:type="pct"/>
            <w:tcBorders>
              <w:top w:val="single" w:sz="4" w:space="0" w:color="auto"/>
              <w:left w:val="double" w:sz="4" w:space="0" w:color="auto"/>
              <w:bottom w:val="nil"/>
              <w:right w:val="double" w:sz="4" w:space="0" w:color="auto"/>
            </w:tcBorders>
            <w:shd w:val="clear" w:color="auto" w:fill="auto"/>
            <w:vAlign w:val="center"/>
          </w:tcPr>
          <w:p w14:paraId="5B494BB1" w14:textId="77777777" w:rsidR="007347A8" w:rsidRPr="00BC6C7C" w:rsidRDefault="007347A8" w:rsidP="00FF0CBE">
            <w:pPr>
              <w:spacing w:line="240" w:lineRule="auto"/>
              <w:jc w:val="left"/>
              <w:rPr>
                <w:rFonts w:eastAsia="Times New Roman" w:cs="Times New Roman"/>
                <w:i/>
                <w:color w:val="000000"/>
                <w:sz w:val="20"/>
                <w:szCs w:val="20"/>
              </w:rPr>
            </w:pPr>
          </w:p>
        </w:tc>
        <w:tc>
          <w:tcPr>
            <w:tcW w:w="431" w:type="pct"/>
            <w:tcBorders>
              <w:top w:val="single" w:sz="4" w:space="0" w:color="auto"/>
              <w:left w:val="double" w:sz="4" w:space="0" w:color="auto"/>
              <w:bottom w:val="nil"/>
            </w:tcBorders>
            <w:shd w:val="clear" w:color="auto" w:fill="auto"/>
            <w:noWrap/>
            <w:vAlign w:val="center"/>
          </w:tcPr>
          <w:p w14:paraId="25E9B32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2" w:type="pct"/>
            <w:tcBorders>
              <w:top w:val="single" w:sz="4" w:space="0" w:color="auto"/>
              <w:bottom w:val="nil"/>
              <w:right w:val="double" w:sz="4" w:space="0" w:color="auto"/>
            </w:tcBorders>
            <w:shd w:val="clear" w:color="auto" w:fill="auto"/>
            <w:vAlign w:val="center"/>
          </w:tcPr>
          <w:p w14:paraId="118A7739"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single" w:sz="4" w:space="0" w:color="auto"/>
              <w:left w:val="double" w:sz="4" w:space="0" w:color="auto"/>
              <w:bottom w:val="nil"/>
            </w:tcBorders>
            <w:shd w:val="clear" w:color="auto" w:fill="auto"/>
            <w:noWrap/>
            <w:vAlign w:val="center"/>
          </w:tcPr>
          <w:p w14:paraId="080C84F3"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4" w:type="pct"/>
            <w:tcBorders>
              <w:top w:val="single" w:sz="4" w:space="0" w:color="auto"/>
              <w:bottom w:val="nil"/>
              <w:right w:val="double" w:sz="4" w:space="0" w:color="auto"/>
            </w:tcBorders>
            <w:shd w:val="clear" w:color="auto" w:fill="auto"/>
            <w:vAlign w:val="center"/>
          </w:tcPr>
          <w:p w14:paraId="63551D71"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single" w:sz="4" w:space="0" w:color="auto"/>
              <w:left w:val="double" w:sz="4" w:space="0" w:color="auto"/>
              <w:bottom w:val="nil"/>
            </w:tcBorders>
            <w:shd w:val="clear" w:color="auto" w:fill="auto"/>
            <w:noWrap/>
            <w:vAlign w:val="center"/>
          </w:tcPr>
          <w:p w14:paraId="5357569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9" w:type="pct"/>
            <w:tcBorders>
              <w:top w:val="single" w:sz="4" w:space="0" w:color="auto"/>
              <w:bottom w:val="nil"/>
            </w:tcBorders>
            <w:shd w:val="clear" w:color="auto" w:fill="auto"/>
            <w:vAlign w:val="center"/>
          </w:tcPr>
          <w:p w14:paraId="58A2815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r>
      <w:tr w:rsidR="007347A8" w:rsidRPr="009A7E87" w14:paraId="0FFA4B08"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2D8FB1D4"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Residential location</w:t>
            </w:r>
          </w:p>
        </w:tc>
        <w:tc>
          <w:tcPr>
            <w:tcW w:w="1316" w:type="pct"/>
            <w:tcBorders>
              <w:top w:val="nil"/>
              <w:left w:val="double" w:sz="4" w:space="0" w:color="auto"/>
              <w:bottom w:val="nil"/>
              <w:right w:val="double" w:sz="4" w:space="0" w:color="auto"/>
            </w:tcBorders>
            <w:shd w:val="clear" w:color="auto" w:fill="auto"/>
            <w:noWrap/>
            <w:vAlign w:val="center"/>
            <w:hideMark/>
          </w:tcPr>
          <w:p w14:paraId="7CA5E628"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 xml:space="preserve">Rural vs. urban </w:t>
            </w:r>
          </w:p>
        </w:tc>
        <w:tc>
          <w:tcPr>
            <w:tcW w:w="431" w:type="pct"/>
            <w:tcBorders>
              <w:top w:val="nil"/>
              <w:left w:val="double" w:sz="4" w:space="0" w:color="auto"/>
              <w:bottom w:val="nil"/>
              <w:right w:val="nil"/>
            </w:tcBorders>
            <w:shd w:val="clear" w:color="auto" w:fill="auto"/>
            <w:noWrap/>
            <w:vAlign w:val="center"/>
          </w:tcPr>
          <w:p w14:paraId="037B8C1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0.160 </w:t>
            </w:r>
          </w:p>
        </w:tc>
        <w:tc>
          <w:tcPr>
            <w:tcW w:w="432" w:type="pct"/>
            <w:tcBorders>
              <w:top w:val="nil"/>
              <w:left w:val="nil"/>
              <w:bottom w:val="nil"/>
              <w:right w:val="double" w:sz="4" w:space="0" w:color="auto"/>
            </w:tcBorders>
            <w:shd w:val="clear" w:color="auto" w:fill="auto"/>
            <w:vAlign w:val="center"/>
          </w:tcPr>
          <w:p w14:paraId="35B8FB49"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(0.037)</w:t>
            </w:r>
          </w:p>
        </w:tc>
        <w:tc>
          <w:tcPr>
            <w:tcW w:w="430" w:type="pct"/>
            <w:tcBorders>
              <w:top w:val="nil"/>
              <w:left w:val="double" w:sz="4" w:space="0" w:color="auto"/>
              <w:bottom w:val="nil"/>
              <w:right w:val="nil"/>
            </w:tcBorders>
            <w:shd w:val="clear" w:color="auto" w:fill="auto"/>
            <w:noWrap/>
            <w:vAlign w:val="center"/>
          </w:tcPr>
          <w:p w14:paraId="148CDF36"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0.067 </w:t>
            </w:r>
          </w:p>
        </w:tc>
        <w:tc>
          <w:tcPr>
            <w:tcW w:w="434" w:type="pct"/>
            <w:tcBorders>
              <w:top w:val="nil"/>
              <w:left w:val="nil"/>
              <w:bottom w:val="nil"/>
              <w:right w:val="double" w:sz="4" w:space="0" w:color="auto"/>
            </w:tcBorders>
            <w:shd w:val="clear" w:color="auto" w:fill="auto"/>
            <w:vAlign w:val="center"/>
          </w:tcPr>
          <w:p w14:paraId="7B5BDD3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(0.020)</w:t>
            </w:r>
          </w:p>
        </w:tc>
        <w:tc>
          <w:tcPr>
            <w:tcW w:w="426" w:type="pct"/>
            <w:tcBorders>
              <w:top w:val="nil"/>
              <w:left w:val="double" w:sz="4" w:space="0" w:color="auto"/>
              <w:bottom w:val="nil"/>
              <w:right w:val="nil"/>
            </w:tcBorders>
            <w:shd w:val="clear" w:color="auto" w:fill="auto"/>
            <w:noWrap/>
            <w:vAlign w:val="center"/>
          </w:tcPr>
          <w:p w14:paraId="0E42E64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0.580 </w:t>
            </w:r>
          </w:p>
        </w:tc>
        <w:tc>
          <w:tcPr>
            <w:tcW w:w="429" w:type="pct"/>
            <w:tcBorders>
              <w:top w:val="nil"/>
              <w:left w:val="nil"/>
              <w:bottom w:val="nil"/>
              <w:right w:val="double" w:sz="4" w:space="0" w:color="auto"/>
            </w:tcBorders>
            <w:shd w:val="clear" w:color="auto" w:fill="auto"/>
            <w:vAlign w:val="center"/>
          </w:tcPr>
          <w:p w14:paraId="3788A3A2"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(0.210)</w:t>
            </w:r>
          </w:p>
        </w:tc>
      </w:tr>
      <w:tr w:rsidR="007347A8" w:rsidRPr="009A7E87" w14:paraId="68F991F5" w14:textId="77777777" w:rsidTr="001F0434">
        <w:trPr>
          <w:trHeight w:val="360"/>
          <w:jc w:val="center"/>
        </w:trPr>
        <w:tc>
          <w:tcPr>
            <w:tcW w:w="1104" w:type="pct"/>
            <w:tcBorders>
              <w:top w:val="nil"/>
              <w:bottom w:val="nil"/>
              <w:right w:val="double" w:sz="4" w:space="0" w:color="auto"/>
            </w:tcBorders>
            <w:shd w:val="clear" w:color="auto" w:fill="auto"/>
            <w:noWrap/>
            <w:vAlign w:val="center"/>
            <w:hideMark/>
          </w:tcPr>
          <w:p w14:paraId="101D28D5"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Vehicle availability</w:t>
            </w:r>
          </w:p>
        </w:tc>
        <w:tc>
          <w:tcPr>
            <w:tcW w:w="1316" w:type="pct"/>
            <w:tcBorders>
              <w:top w:val="nil"/>
              <w:left w:val="double" w:sz="4" w:space="0" w:color="auto"/>
              <w:bottom w:val="nil"/>
              <w:right w:val="double" w:sz="4" w:space="0" w:color="auto"/>
            </w:tcBorders>
            <w:shd w:val="clear" w:color="auto" w:fill="auto"/>
            <w:noWrap/>
            <w:vAlign w:val="center"/>
            <w:hideMark/>
          </w:tcPr>
          <w:p w14:paraId="49B42C53" w14:textId="48354F2F" w:rsidR="007347A8" w:rsidRPr="009A7E87" w:rsidRDefault="001F0434" w:rsidP="00FF0CBE">
            <w:pPr>
              <w:spacing w:line="240" w:lineRule="auto"/>
              <w:jc w:val="left"/>
              <w:rPr>
                <w:rFonts w:eastAsia="Times New Roman" w:cs="Times New Roman"/>
                <w:color w:val="000000"/>
                <w:sz w:val="20"/>
                <w:szCs w:val="20"/>
              </w:rPr>
            </w:pPr>
            <w:r>
              <w:rPr>
                <w:rFonts w:eastAsia="Times New Roman" w:cs="Times New Roman"/>
                <w:color w:val="000000"/>
                <w:sz w:val="20"/>
                <w:szCs w:val="20"/>
              </w:rPr>
              <w:t xml:space="preserve">Less than </w:t>
            </w:r>
            <w:r w:rsidR="00BA20DE">
              <w:rPr>
                <w:rFonts w:eastAsia="Times New Roman" w:cs="Times New Roman"/>
                <w:color w:val="000000"/>
                <w:sz w:val="20"/>
                <w:szCs w:val="20"/>
              </w:rPr>
              <w:t xml:space="preserve">1 vs. </w:t>
            </w:r>
            <w:r>
              <w:rPr>
                <w:rFonts w:eastAsia="Times New Roman" w:cs="Times New Roman"/>
                <w:color w:val="000000"/>
                <w:sz w:val="20"/>
                <w:szCs w:val="20"/>
              </w:rPr>
              <w:t xml:space="preserve">more than </w:t>
            </w:r>
            <w:r w:rsidR="007347A8" w:rsidRPr="009A7E87">
              <w:rPr>
                <w:rFonts w:eastAsia="Times New Roman" w:cs="Times New Roman"/>
                <w:color w:val="000000"/>
                <w:sz w:val="20"/>
                <w:szCs w:val="20"/>
              </w:rPr>
              <w:t>1 per worker</w:t>
            </w:r>
          </w:p>
        </w:tc>
        <w:tc>
          <w:tcPr>
            <w:tcW w:w="431" w:type="pct"/>
            <w:tcBorders>
              <w:top w:val="nil"/>
              <w:left w:val="double" w:sz="4" w:space="0" w:color="auto"/>
              <w:bottom w:val="nil"/>
              <w:right w:val="nil"/>
            </w:tcBorders>
            <w:shd w:val="clear" w:color="auto" w:fill="auto"/>
            <w:noWrap/>
            <w:vAlign w:val="center"/>
          </w:tcPr>
          <w:p w14:paraId="201547C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0.011 </w:t>
            </w:r>
          </w:p>
        </w:tc>
        <w:tc>
          <w:tcPr>
            <w:tcW w:w="432" w:type="pct"/>
            <w:tcBorders>
              <w:top w:val="nil"/>
              <w:left w:val="nil"/>
              <w:bottom w:val="nil"/>
              <w:right w:val="double" w:sz="4" w:space="0" w:color="auto"/>
            </w:tcBorders>
            <w:shd w:val="clear" w:color="auto" w:fill="auto"/>
            <w:vAlign w:val="center"/>
          </w:tcPr>
          <w:p w14:paraId="6B6FEFD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(0.004)</w:t>
            </w:r>
          </w:p>
        </w:tc>
        <w:tc>
          <w:tcPr>
            <w:tcW w:w="430" w:type="pct"/>
            <w:tcBorders>
              <w:top w:val="nil"/>
              <w:left w:val="double" w:sz="4" w:space="0" w:color="auto"/>
              <w:bottom w:val="nil"/>
              <w:right w:val="nil"/>
            </w:tcBorders>
            <w:shd w:val="clear" w:color="auto" w:fill="auto"/>
            <w:noWrap/>
            <w:vAlign w:val="center"/>
          </w:tcPr>
          <w:p w14:paraId="4050F4AE"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0.023 </w:t>
            </w:r>
          </w:p>
        </w:tc>
        <w:tc>
          <w:tcPr>
            <w:tcW w:w="434" w:type="pct"/>
            <w:tcBorders>
              <w:top w:val="nil"/>
              <w:left w:val="nil"/>
              <w:bottom w:val="nil"/>
              <w:right w:val="double" w:sz="4" w:space="0" w:color="auto"/>
            </w:tcBorders>
            <w:shd w:val="clear" w:color="auto" w:fill="auto"/>
            <w:vAlign w:val="center"/>
          </w:tcPr>
          <w:p w14:paraId="7CC78E80"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(0.006)</w:t>
            </w:r>
          </w:p>
        </w:tc>
        <w:tc>
          <w:tcPr>
            <w:tcW w:w="426" w:type="pct"/>
            <w:tcBorders>
              <w:top w:val="nil"/>
              <w:left w:val="double" w:sz="4" w:space="0" w:color="auto"/>
              <w:bottom w:val="nil"/>
              <w:right w:val="nil"/>
            </w:tcBorders>
            <w:shd w:val="clear" w:color="auto" w:fill="auto"/>
            <w:noWrap/>
            <w:vAlign w:val="center"/>
          </w:tcPr>
          <w:p w14:paraId="0EB2B5CB"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-0.087 </w:t>
            </w:r>
          </w:p>
        </w:tc>
        <w:tc>
          <w:tcPr>
            <w:tcW w:w="429" w:type="pct"/>
            <w:tcBorders>
              <w:top w:val="nil"/>
              <w:left w:val="nil"/>
              <w:bottom w:val="nil"/>
              <w:right w:val="double" w:sz="4" w:space="0" w:color="auto"/>
            </w:tcBorders>
            <w:shd w:val="clear" w:color="auto" w:fill="auto"/>
            <w:vAlign w:val="center"/>
          </w:tcPr>
          <w:p w14:paraId="78F4F8C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(0.022)</w:t>
            </w:r>
          </w:p>
        </w:tc>
      </w:tr>
      <w:tr w:rsidR="007347A8" w:rsidRPr="009A7E87" w14:paraId="354532D4" w14:textId="77777777" w:rsidTr="001F0434">
        <w:trPr>
          <w:trHeight w:val="360"/>
          <w:jc w:val="center"/>
        </w:trPr>
        <w:tc>
          <w:tcPr>
            <w:tcW w:w="1104" w:type="pct"/>
            <w:tcBorders>
              <w:top w:val="nil"/>
              <w:bottom w:val="double" w:sz="4" w:space="0" w:color="auto"/>
              <w:right w:val="double" w:sz="4" w:space="0" w:color="auto"/>
            </w:tcBorders>
            <w:shd w:val="clear" w:color="auto" w:fill="auto"/>
            <w:noWrap/>
            <w:vAlign w:val="center"/>
          </w:tcPr>
          <w:p w14:paraId="49615AEA"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Pooled ride-hailing user</w:t>
            </w:r>
          </w:p>
        </w:tc>
        <w:tc>
          <w:tcPr>
            <w:tcW w:w="1316" w:type="pct"/>
            <w:tcBorders>
              <w:top w:val="nil"/>
              <w:left w:val="double" w:sz="4" w:space="0" w:color="auto"/>
              <w:bottom w:val="double" w:sz="4" w:space="0" w:color="auto"/>
              <w:right w:val="double" w:sz="4" w:space="0" w:color="auto"/>
            </w:tcBorders>
            <w:shd w:val="clear" w:color="auto" w:fill="auto"/>
            <w:noWrap/>
            <w:vAlign w:val="center"/>
          </w:tcPr>
          <w:p w14:paraId="36E9A6F7" w14:textId="77777777" w:rsidR="007347A8" w:rsidRPr="009A7E87" w:rsidRDefault="007347A8" w:rsidP="00FF0CBE">
            <w:pPr>
              <w:spacing w:line="240" w:lineRule="auto"/>
              <w:jc w:val="left"/>
              <w:rPr>
                <w:rFonts w:eastAsia="Times New Roman" w:cs="Times New Roman"/>
                <w:color w:val="000000"/>
                <w:sz w:val="20"/>
                <w:szCs w:val="20"/>
              </w:rPr>
            </w:pPr>
            <w:r w:rsidRPr="009A7E87">
              <w:rPr>
                <w:rFonts w:eastAsia="Times New Roman" w:cs="Times New Roman"/>
                <w:color w:val="000000"/>
                <w:sz w:val="20"/>
                <w:szCs w:val="20"/>
              </w:rPr>
              <w:t>No vs. yes</w:t>
            </w:r>
          </w:p>
        </w:tc>
        <w:tc>
          <w:tcPr>
            <w:tcW w:w="431" w:type="pct"/>
            <w:tcBorders>
              <w:top w:val="nil"/>
              <w:left w:val="double" w:sz="4" w:space="0" w:color="auto"/>
              <w:bottom w:val="double" w:sz="4" w:space="0" w:color="auto"/>
              <w:right w:val="nil"/>
            </w:tcBorders>
            <w:shd w:val="clear" w:color="auto" w:fill="auto"/>
            <w:noWrap/>
            <w:vAlign w:val="center"/>
          </w:tcPr>
          <w:p w14:paraId="3CB7110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2" w:type="pct"/>
            <w:tcBorders>
              <w:top w:val="nil"/>
              <w:left w:val="nil"/>
              <w:bottom w:val="double" w:sz="4" w:space="0" w:color="auto"/>
              <w:right w:val="double" w:sz="4" w:space="0" w:color="auto"/>
            </w:tcBorders>
            <w:shd w:val="clear" w:color="auto" w:fill="auto"/>
            <w:vAlign w:val="center"/>
          </w:tcPr>
          <w:p w14:paraId="5615BF7E"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30" w:type="pct"/>
            <w:tcBorders>
              <w:top w:val="nil"/>
              <w:left w:val="double" w:sz="4" w:space="0" w:color="auto"/>
              <w:bottom w:val="double" w:sz="4" w:space="0" w:color="auto"/>
              <w:right w:val="nil"/>
            </w:tcBorders>
            <w:shd w:val="clear" w:color="auto" w:fill="auto"/>
            <w:noWrap/>
            <w:vAlign w:val="center"/>
          </w:tcPr>
          <w:p w14:paraId="1B601F37"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0.000</w:t>
            </w:r>
          </w:p>
        </w:tc>
        <w:tc>
          <w:tcPr>
            <w:tcW w:w="434" w:type="pct"/>
            <w:tcBorders>
              <w:top w:val="nil"/>
              <w:left w:val="nil"/>
              <w:bottom w:val="double" w:sz="4" w:space="0" w:color="auto"/>
              <w:right w:val="double" w:sz="4" w:space="0" w:color="auto"/>
            </w:tcBorders>
            <w:shd w:val="clear" w:color="auto" w:fill="auto"/>
            <w:vAlign w:val="center"/>
          </w:tcPr>
          <w:p w14:paraId="519A3DAC"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p>
        </w:tc>
        <w:tc>
          <w:tcPr>
            <w:tcW w:w="426" w:type="pct"/>
            <w:tcBorders>
              <w:top w:val="nil"/>
              <w:left w:val="double" w:sz="4" w:space="0" w:color="auto"/>
              <w:bottom w:val="double" w:sz="4" w:space="0" w:color="auto"/>
              <w:right w:val="nil"/>
            </w:tcBorders>
            <w:shd w:val="clear" w:color="auto" w:fill="auto"/>
            <w:noWrap/>
            <w:vAlign w:val="center"/>
          </w:tcPr>
          <w:p w14:paraId="253CCE45"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 xml:space="preserve">2.062 </w:t>
            </w:r>
          </w:p>
        </w:tc>
        <w:tc>
          <w:tcPr>
            <w:tcW w:w="429" w:type="pct"/>
            <w:tcBorders>
              <w:top w:val="nil"/>
              <w:left w:val="nil"/>
              <w:bottom w:val="double" w:sz="4" w:space="0" w:color="auto"/>
              <w:right w:val="double" w:sz="4" w:space="0" w:color="auto"/>
            </w:tcBorders>
            <w:shd w:val="clear" w:color="auto" w:fill="auto"/>
            <w:vAlign w:val="center"/>
          </w:tcPr>
          <w:p w14:paraId="28C1FE4A" w14:textId="77777777" w:rsidR="007347A8" w:rsidRPr="00513060" w:rsidRDefault="007347A8" w:rsidP="00FF0CBE">
            <w:pPr>
              <w:tabs>
                <w:tab w:val="decimal" w:pos="156"/>
              </w:tabs>
              <w:spacing w:line="240" w:lineRule="auto"/>
              <w:jc w:val="left"/>
              <w:rPr>
                <w:rFonts w:eastAsia="Times New Roman" w:cs="Times New Roman"/>
                <w:color w:val="000000"/>
                <w:sz w:val="20"/>
                <w:szCs w:val="20"/>
              </w:rPr>
            </w:pPr>
            <w:r w:rsidRPr="00513060">
              <w:rPr>
                <w:rFonts w:eastAsia="Times New Roman" w:cs="Times New Roman"/>
                <w:color w:val="000000"/>
                <w:sz w:val="20"/>
                <w:szCs w:val="20"/>
              </w:rPr>
              <w:t>(0.234)</w:t>
            </w:r>
          </w:p>
        </w:tc>
      </w:tr>
    </w:tbl>
    <w:p w14:paraId="3ABBAF9B" w14:textId="77777777" w:rsidR="007347A8" w:rsidRDefault="007347A8" w:rsidP="007347A8">
      <w:pPr>
        <w:spacing w:after="200" w:line="276" w:lineRule="auto"/>
        <w:jc w:val="left"/>
        <w:rPr>
          <w:b/>
        </w:rPr>
      </w:pPr>
    </w:p>
    <w:p w14:paraId="4D4C96D0" w14:textId="77777777" w:rsidR="007347A8" w:rsidRDefault="007347A8" w:rsidP="007347A8">
      <w:pPr>
        <w:spacing w:after="200" w:line="276" w:lineRule="auto"/>
        <w:jc w:val="center"/>
        <w:rPr>
          <w:b/>
        </w:rPr>
      </w:pPr>
    </w:p>
    <w:p w14:paraId="0E428AAC" w14:textId="77777777" w:rsidR="007347A8" w:rsidRDefault="007347A8" w:rsidP="007347A8">
      <w:pPr>
        <w:spacing w:after="120"/>
        <w:rPr>
          <w:sz w:val="18"/>
          <w:szCs w:val="18"/>
        </w:rPr>
      </w:pPr>
    </w:p>
    <w:p w14:paraId="7897E323" w14:textId="77777777" w:rsidR="007347A8" w:rsidRDefault="007347A8">
      <w:pPr>
        <w:spacing w:after="200" w:line="276" w:lineRule="auto"/>
        <w:jc w:val="left"/>
        <w:rPr>
          <w:b/>
        </w:rPr>
      </w:pPr>
      <w:r>
        <w:rPr>
          <w:b/>
        </w:rPr>
        <w:br w:type="page"/>
      </w:r>
    </w:p>
    <w:p w14:paraId="3F0E3B3F" w14:textId="40CFD207" w:rsidR="00F957E7" w:rsidRDefault="00F957E7" w:rsidP="00FC5290">
      <w:pPr>
        <w:spacing w:after="120" w:line="240" w:lineRule="auto"/>
        <w:jc w:val="center"/>
        <w:rPr>
          <w:b/>
        </w:rPr>
      </w:pPr>
      <w:r w:rsidRPr="004002B4">
        <w:rPr>
          <w:b/>
        </w:rPr>
        <w:lastRenderedPageBreak/>
        <w:t xml:space="preserve">Table </w:t>
      </w:r>
      <w:r w:rsidR="007347A8">
        <w:rPr>
          <w:b/>
        </w:rPr>
        <w:t>7</w:t>
      </w:r>
      <w:r w:rsidR="00A512EB">
        <w:rPr>
          <w:b/>
        </w:rPr>
        <w:t>a</w:t>
      </w:r>
      <w:r w:rsidR="002A1D88">
        <w:rPr>
          <w:b/>
        </w:rPr>
        <w:t>.</w:t>
      </w:r>
      <w:r w:rsidR="00C524CF">
        <w:rPr>
          <w:b/>
        </w:rPr>
        <w:t xml:space="preserve"> Trip characteristics model results</w:t>
      </w:r>
    </w:p>
    <w:tbl>
      <w:tblPr>
        <w:tblW w:w="5114" w:type="pct"/>
        <w:tblLayout w:type="fixed"/>
        <w:tblCellMar>
          <w:left w:w="43" w:type="dxa"/>
          <w:right w:w="43" w:type="dxa"/>
        </w:tblCellMar>
        <w:tblLook w:val="0000" w:firstRow="0" w:lastRow="0" w:firstColumn="0" w:lastColumn="0" w:noHBand="0" w:noVBand="0"/>
      </w:tblPr>
      <w:tblGrid>
        <w:gridCol w:w="2833"/>
        <w:gridCol w:w="680"/>
        <w:gridCol w:w="511"/>
        <w:gridCol w:w="683"/>
        <w:gridCol w:w="596"/>
        <w:gridCol w:w="660"/>
        <w:gridCol w:w="625"/>
        <w:gridCol w:w="705"/>
        <w:gridCol w:w="598"/>
        <w:gridCol w:w="705"/>
        <w:gridCol w:w="623"/>
        <w:gridCol w:w="705"/>
        <w:gridCol w:w="621"/>
      </w:tblGrid>
      <w:tr w:rsidR="0004408C" w14:paraId="23CE1C04" w14:textId="77777777" w:rsidTr="00FC5290">
        <w:trPr>
          <w:trHeight w:val="321"/>
        </w:trPr>
        <w:tc>
          <w:tcPr>
            <w:tcW w:w="2833" w:type="dxa"/>
            <w:vMerge w:val="restart"/>
            <w:tcBorders>
              <w:top w:val="double" w:sz="4" w:space="0" w:color="auto"/>
              <w:left w:val="double" w:sz="4" w:space="0" w:color="auto"/>
              <w:bottom w:val="double" w:sz="4" w:space="0" w:color="auto"/>
              <w:right w:val="double" w:sz="4" w:space="0" w:color="auto"/>
            </w:tcBorders>
            <w:vAlign w:val="center"/>
          </w:tcPr>
          <w:p w14:paraId="2003B3BC" w14:textId="77777777" w:rsidR="0004408C" w:rsidRPr="002E7FD2" w:rsidRDefault="0004408C" w:rsidP="002E7FD2">
            <w:pPr>
              <w:autoSpaceDE w:val="0"/>
              <w:autoSpaceDN w:val="0"/>
              <w:adjustRightInd w:val="0"/>
              <w:spacing w:line="240" w:lineRule="auto"/>
              <w:jc w:val="left"/>
              <w:rPr>
                <w:rFonts w:cs="Times New Roman"/>
                <w:b/>
                <w:color w:val="000000"/>
                <w:sz w:val="20"/>
                <w:szCs w:val="20"/>
              </w:rPr>
            </w:pPr>
            <w:r w:rsidRPr="002E7FD2">
              <w:rPr>
                <w:rFonts w:cs="Times New Roman"/>
                <w:b/>
                <w:color w:val="000000"/>
                <w:sz w:val="20"/>
                <w:szCs w:val="20"/>
              </w:rPr>
              <w:t>Variables</w:t>
            </w:r>
            <w:r w:rsidR="009263FC">
              <w:rPr>
                <w:rFonts w:cs="Times New Roman"/>
                <w:b/>
                <w:color w:val="000000"/>
                <w:sz w:val="20"/>
                <w:szCs w:val="20"/>
              </w:rPr>
              <w:t xml:space="preserve"> (base category)</w:t>
            </w:r>
          </w:p>
        </w:tc>
        <w:tc>
          <w:tcPr>
            <w:tcW w:w="3755" w:type="dxa"/>
            <w:gridSpan w:val="6"/>
            <w:tcBorders>
              <w:top w:val="double" w:sz="4" w:space="0" w:color="auto"/>
              <w:left w:val="double" w:sz="4" w:space="0" w:color="auto"/>
              <w:bottom w:val="single" w:sz="6" w:space="0" w:color="auto"/>
              <w:right w:val="double" w:sz="4" w:space="0" w:color="auto"/>
            </w:tcBorders>
            <w:vAlign w:val="center"/>
          </w:tcPr>
          <w:p w14:paraId="4912F097" w14:textId="77777777" w:rsidR="0004408C" w:rsidRPr="002E7FD2" w:rsidRDefault="0004408C" w:rsidP="0004408C">
            <w:pPr>
              <w:autoSpaceDE w:val="0"/>
              <w:autoSpaceDN w:val="0"/>
              <w:adjustRightInd w:val="0"/>
              <w:spacing w:line="240" w:lineRule="auto"/>
              <w:jc w:val="center"/>
              <w:rPr>
                <w:rFonts w:cs="Times New Roman"/>
                <w:b/>
                <w:color w:val="000000"/>
                <w:sz w:val="20"/>
                <w:szCs w:val="20"/>
              </w:rPr>
            </w:pPr>
            <w:r w:rsidRPr="002E7FD2">
              <w:rPr>
                <w:rFonts w:cs="Times New Roman"/>
                <w:b/>
                <w:color w:val="000000"/>
                <w:sz w:val="20"/>
                <w:szCs w:val="20"/>
              </w:rPr>
              <w:t>Purpose (base: airport)</w:t>
            </w:r>
          </w:p>
        </w:tc>
        <w:tc>
          <w:tcPr>
            <w:tcW w:w="3957" w:type="dxa"/>
            <w:gridSpan w:val="6"/>
            <w:tcBorders>
              <w:top w:val="double" w:sz="4" w:space="0" w:color="auto"/>
              <w:left w:val="double" w:sz="4" w:space="0" w:color="auto"/>
              <w:bottom w:val="single" w:sz="6" w:space="0" w:color="auto"/>
              <w:right w:val="double" w:sz="4" w:space="0" w:color="auto"/>
            </w:tcBorders>
            <w:vAlign w:val="center"/>
          </w:tcPr>
          <w:p w14:paraId="76A49AA8" w14:textId="77777777" w:rsidR="0004408C" w:rsidRPr="002E7FD2" w:rsidRDefault="0004408C" w:rsidP="0004408C">
            <w:pPr>
              <w:autoSpaceDE w:val="0"/>
              <w:autoSpaceDN w:val="0"/>
              <w:adjustRightInd w:val="0"/>
              <w:spacing w:line="240" w:lineRule="auto"/>
              <w:jc w:val="center"/>
              <w:rPr>
                <w:rFonts w:cs="Times New Roman"/>
                <w:b/>
                <w:color w:val="000000"/>
                <w:sz w:val="20"/>
                <w:szCs w:val="20"/>
              </w:rPr>
            </w:pPr>
            <w:r w:rsidRPr="002E7FD2">
              <w:rPr>
                <w:rFonts w:cs="Times New Roman"/>
                <w:b/>
                <w:color w:val="000000"/>
                <w:sz w:val="20"/>
                <w:szCs w:val="20"/>
              </w:rPr>
              <w:t>Time (base: mid-day)</w:t>
            </w:r>
          </w:p>
        </w:tc>
      </w:tr>
      <w:tr w:rsidR="0004408C" w14:paraId="65486FDA" w14:textId="77777777" w:rsidTr="00FC5290">
        <w:trPr>
          <w:trHeight w:val="245"/>
        </w:trPr>
        <w:tc>
          <w:tcPr>
            <w:tcW w:w="2833" w:type="dxa"/>
            <w:vMerge/>
            <w:tcBorders>
              <w:left w:val="double" w:sz="4" w:space="0" w:color="auto"/>
              <w:bottom w:val="double" w:sz="4" w:space="0" w:color="auto"/>
              <w:right w:val="double" w:sz="4" w:space="0" w:color="auto"/>
            </w:tcBorders>
            <w:vAlign w:val="center"/>
          </w:tcPr>
          <w:p w14:paraId="35157808" w14:textId="77777777" w:rsidR="0004408C" w:rsidRDefault="0004408C" w:rsidP="0004408C">
            <w:pPr>
              <w:autoSpaceDE w:val="0"/>
              <w:autoSpaceDN w:val="0"/>
              <w:adjustRightInd w:val="0"/>
              <w:spacing w:line="240" w:lineRule="auto"/>
              <w:jc w:val="center"/>
              <w:rPr>
                <w:rFonts w:cs="Times New Roman"/>
                <w:color w:val="000000"/>
                <w:sz w:val="20"/>
                <w:szCs w:val="20"/>
              </w:rPr>
            </w:pPr>
          </w:p>
        </w:tc>
        <w:tc>
          <w:tcPr>
            <w:tcW w:w="1191" w:type="dxa"/>
            <w:gridSpan w:val="2"/>
            <w:tcBorders>
              <w:top w:val="nil"/>
              <w:left w:val="double" w:sz="4" w:space="0" w:color="auto"/>
              <w:bottom w:val="nil"/>
              <w:right w:val="nil"/>
            </w:tcBorders>
            <w:vAlign w:val="center"/>
          </w:tcPr>
          <w:p w14:paraId="13AA95B0"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Errands</w:t>
            </w:r>
          </w:p>
        </w:tc>
        <w:tc>
          <w:tcPr>
            <w:tcW w:w="1279" w:type="dxa"/>
            <w:gridSpan w:val="2"/>
            <w:tcBorders>
              <w:top w:val="nil"/>
              <w:left w:val="nil"/>
              <w:bottom w:val="nil"/>
              <w:right w:val="nil"/>
            </w:tcBorders>
            <w:vAlign w:val="center"/>
          </w:tcPr>
          <w:p w14:paraId="123D3F0E"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Recreation</w:t>
            </w:r>
          </w:p>
        </w:tc>
        <w:tc>
          <w:tcPr>
            <w:tcW w:w="1285" w:type="dxa"/>
            <w:gridSpan w:val="2"/>
            <w:tcBorders>
              <w:top w:val="nil"/>
              <w:left w:val="nil"/>
              <w:bottom w:val="nil"/>
              <w:right w:val="double" w:sz="4" w:space="0" w:color="auto"/>
            </w:tcBorders>
            <w:vAlign w:val="center"/>
          </w:tcPr>
          <w:p w14:paraId="52A8C5D1"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Work</w:t>
            </w:r>
          </w:p>
        </w:tc>
        <w:tc>
          <w:tcPr>
            <w:tcW w:w="1303" w:type="dxa"/>
            <w:gridSpan w:val="2"/>
            <w:tcBorders>
              <w:top w:val="nil"/>
              <w:left w:val="double" w:sz="4" w:space="0" w:color="auto"/>
              <w:bottom w:val="nil"/>
              <w:right w:val="nil"/>
            </w:tcBorders>
            <w:vAlign w:val="center"/>
          </w:tcPr>
          <w:p w14:paraId="2FB9B293" w14:textId="77777777" w:rsidR="0004408C" w:rsidRDefault="0004408C" w:rsidP="00D522A8">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 xml:space="preserve">Morning </w:t>
            </w:r>
          </w:p>
        </w:tc>
        <w:tc>
          <w:tcPr>
            <w:tcW w:w="1328" w:type="dxa"/>
            <w:gridSpan w:val="2"/>
            <w:tcBorders>
              <w:top w:val="nil"/>
              <w:left w:val="nil"/>
              <w:bottom w:val="nil"/>
              <w:right w:val="nil"/>
            </w:tcBorders>
            <w:vAlign w:val="center"/>
          </w:tcPr>
          <w:p w14:paraId="02048E78" w14:textId="77777777" w:rsidR="0004408C" w:rsidRDefault="00D522A8"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Evening</w:t>
            </w:r>
          </w:p>
        </w:tc>
        <w:tc>
          <w:tcPr>
            <w:tcW w:w="1326" w:type="dxa"/>
            <w:gridSpan w:val="2"/>
            <w:tcBorders>
              <w:top w:val="nil"/>
              <w:left w:val="nil"/>
              <w:bottom w:val="nil"/>
              <w:right w:val="double" w:sz="4" w:space="0" w:color="auto"/>
            </w:tcBorders>
            <w:vAlign w:val="center"/>
          </w:tcPr>
          <w:p w14:paraId="03DA35A3" w14:textId="77777777" w:rsidR="0004408C" w:rsidRDefault="00D522A8" w:rsidP="00D522A8">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Night</w:t>
            </w:r>
          </w:p>
        </w:tc>
      </w:tr>
      <w:tr w:rsidR="00F957E7" w14:paraId="68E6915A" w14:textId="77777777" w:rsidTr="00FC5290">
        <w:trPr>
          <w:trHeight w:val="245"/>
        </w:trPr>
        <w:tc>
          <w:tcPr>
            <w:tcW w:w="2833" w:type="dxa"/>
            <w:vMerge/>
            <w:tcBorders>
              <w:left w:val="double" w:sz="4" w:space="0" w:color="auto"/>
              <w:bottom w:val="double" w:sz="4" w:space="0" w:color="auto"/>
              <w:right w:val="double" w:sz="4" w:space="0" w:color="auto"/>
            </w:tcBorders>
            <w:vAlign w:val="center"/>
          </w:tcPr>
          <w:p w14:paraId="26F7F387" w14:textId="77777777" w:rsidR="0004408C" w:rsidRDefault="0004408C" w:rsidP="0004408C">
            <w:pPr>
              <w:autoSpaceDE w:val="0"/>
              <w:autoSpaceDN w:val="0"/>
              <w:adjustRightInd w:val="0"/>
              <w:spacing w:line="240" w:lineRule="auto"/>
              <w:jc w:val="center"/>
              <w:rPr>
                <w:rFonts w:cs="Times New Roman"/>
                <w:color w:val="000000"/>
                <w:sz w:val="20"/>
                <w:szCs w:val="20"/>
              </w:rPr>
            </w:pPr>
          </w:p>
        </w:tc>
        <w:tc>
          <w:tcPr>
            <w:tcW w:w="680" w:type="dxa"/>
            <w:tcBorders>
              <w:top w:val="nil"/>
              <w:left w:val="double" w:sz="4" w:space="0" w:color="auto"/>
              <w:bottom w:val="double" w:sz="4" w:space="0" w:color="auto"/>
              <w:right w:val="nil"/>
            </w:tcBorders>
            <w:vAlign w:val="center"/>
          </w:tcPr>
          <w:p w14:paraId="11463778"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511" w:type="dxa"/>
            <w:tcBorders>
              <w:top w:val="nil"/>
              <w:left w:val="nil"/>
              <w:bottom w:val="double" w:sz="4" w:space="0" w:color="auto"/>
              <w:right w:val="nil"/>
            </w:tcBorders>
            <w:vAlign w:val="center"/>
          </w:tcPr>
          <w:p w14:paraId="4DCABDA0"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683" w:type="dxa"/>
            <w:tcBorders>
              <w:top w:val="nil"/>
              <w:left w:val="nil"/>
              <w:bottom w:val="double" w:sz="4" w:space="0" w:color="auto"/>
              <w:right w:val="nil"/>
            </w:tcBorders>
            <w:vAlign w:val="center"/>
          </w:tcPr>
          <w:p w14:paraId="75D98474"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596" w:type="dxa"/>
            <w:tcBorders>
              <w:top w:val="nil"/>
              <w:left w:val="nil"/>
              <w:bottom w:val="double" w:sz="4" w:space="0" w:color="auto"/>
              <w:right w:val="nil"/>
            </w:tcBorders>
            <w:vAlign w:val="center"/>
          </w:tcPr>
          <w:p w14:paraId="34BB5479"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660" w:type="dxa"/>
            <w:tcBorders>
              <w:top w:val="nil"/>
              <w:left w:val="nil"/>
              <w:bottom w:val="double" w:sz="4" w:space="0" w:color="auto"/>
              <w:right w:val="nil"/>
            </w:tcBorders>
            <w:vAlign w:val="center"/>
          </w:tcPr>
          <w:p w14:paraId="11A46307"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625" w:type="dxa"/>
            <w:tcBorders>
              <w:top w:val="nil"/>
              <w:left w:val="nil"/>
              <w:bottom w:val="double" w:sz="4" w:space="0" w:color="auto"/>
              <w:right w:val="double" w:sz="4" w:space="0" w:color="auto"/>
            </w:tcBorders>
            <w:vAlign w:val="center"/>
          </w:tcPr>
          <w:p w14:paraId="6A77B871"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705" w:type="dxa"/>
            <w:tcBorders>
              <w:top w:val="nil"/>
              <w:left w:val="double" w:sz="4" w:space="0" w:color="auto"/>
              <w:bottom w:val="double" w:sz="4" w:space="0" w:color="auto"/>
              <w:right w:val="nil"/>
            </w:tcBorders>
            <w:vAlign w:val="center"/>
          </w:tcPr>
          <w:p w14:paraId="0DEBAA09"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598" w:type="dxa"/>
            <w:tcBorders>
              <w:top w:val="nil"/>
              <w:left w:val="nil"/>
              <w:bottom w:val="double" w:sz="4" w:space="0" w:color="auto"/>
              <w:right w:val="nil"/>
            </w:tcBorders>
            <w:vAlign w:val="center"/>
          </w:tcPr>
          <w:p w14:paraId="24E6CCB9"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705" w:type="dxa"/>
            <w:tcBorders>
              <w:top w:val="nil"/>
              <w:left w:val="nil"/>
              <w:bottom w:val="double" w:sz="4" w:space="0" w:color="auto"/>
              <w:right w:val="nil"/>
            </w:tcBorders>
            <w:vAlign w:val="center"/>
          </w:tcPr>
          <w:p w14:paraId="4548AA8D"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623" w:type="dxa"/>
            <w:tcBorders>
              <w:top w:val="nil"/>
              <w:left w:val="nil"/>
              <w:bottom w:val="double" w:sz="4" w:space="0" w:color="auto"/>
              <w:right w:val="nil"/>
            </w:tcBorders>
            <w:vAlign w:val="center"/>
          </w:tcPr>
          <w:p w14:paraId="0FC3B8CB"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705" w:type="dxa"/>
            <w:tcBorders>
              <w:top w:val="nil"/>
              <w:left w:val="nil"/>
              <w:bottom w:val="double" w:sz="4" w:space="0" w:color="auto"/>
              <w:right w:val="nil"/>
            </w:tcBorders>
            <w:vAlign w:val="center"/>
          </w:tcPr>
          <w:p w14:paraId="629507DB"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621" w:type="dxa"/>
            <w:tcBorders>
              <w:top w:val="nil"/>
              <w:left w:val="nil"/>
              <w:bottom w:val="double" w:sz="4" w:space="0" w:color="auto"/>
              <w:right w:val="double" w:sz="4" w:space="0" w:color="auto"/>
            </w:tcBorders>
            <w:vAlign w:val="center"/>
          </w:tcPr>
          <w:p w14:paraId="0A5B3AAC" w14:textId="77777777" w:rsidR="0004408C" w:rsidRDefault="0004408C" w:rsidP="0004408C">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r>
      <w:tr w:rsidR="009E2B76" w14:paraId="68DEAD5A" w14:textId="77777777" w:rsidTr="00FC5290">
        <w:trPr>
          <w:trHeight w:val="288"/>
        </w:trPr>
        <w:tc>
          <w:tcPr>
            <w:tcW w:w="2833" w:type="dxa"/>
            <w:tcBorders>
              <w:top w:val="double" w:sz="4" w:space="0" w:color="auto"/>
              <w:left w:val="double" w:sz="4" w:space="0" w:color="auto"/>
              <w:right w:val="double" w:sz="4" w:space="0" w:color="auto"/>
            </w:tcBorders>
            <w:vAlign w:val="center"/>
          </w:tcPr>
          <w:p w14:paraId="706324BA" w14:textId="77777777" w:rsidR="009E2B76" w:rsidRPr="00D70EC2" w:rsidRDefault="009E2B76" w:rsidP="009E2B76">
            <w:pPr>
              <w:autoSpaceDE w:val="0"/>
              <w:autoSpaceDN w:val="0"/>
              <w:adjustRightInd w:val="0"/>
              <w:spacing w:line="240" w:lineRule="auto"/>
              <w:jc w:val="left"/>
              <w:rPr>
                <w:rFonts w:cs="Times New Roman"/>
                <w:b/>
                <w:color w:val="000000"/>
                <w:sz w:val="20"/>
                <w:szCs w:val="20"/>
              </w:rPr>
            </w:pPr>
            <w:r w:rsidRPr="00D70EC2">
              <w:rPr>
                <w:rFonts w:cs="Times New Roman"/>
                <w:b/>
                <w:color w:val="000000"/>
                <w:sz w:val="20"/>
                <w:szCs w:val="20"/>
              </w:rPr>
              <w:t>Latent variables</w:t>
            </w:r>
          </w:p>
        </w:tc>
        <w:tc>
          <w:tcPr>
            <w:tcW w:w="680" w:type="dxa"/>
            <w:tcBorders>
              <w:top w:val="double" w:sz="4" w:space="0" w:color="auto"/>
              <w:left w:val="double" w:sz="4" w:space="0" w:color="auto"/>
            </w:tcBorders>
            <w:vAlign w:val="center"/>
          </w:tcPr>
          <w:p w14:paraId="2684D727"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511" w:type="dxa"/>
            <w:tcBorders>
              <w:top w:val="double" w:sz="4" w:space="0" w:color="auto"/>
            </w:tcBorders>
            <w:vAlign w:val="center"/>
          </w:tcPr>
          <w:p w14:paraId="513EB614"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683" w:type="dxa"/>
            <w:tcBorders>
              <w:top w:val="double" w:sz="4" w:space="0" w:color="auto"/>
            </w:tcBorders>
            <w:vAlign w:val="center"/>
          </w:tcPr>
          <w:p w14:paraId="6DDBFEF8"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596" w:type="dxa"/>
            <w:tcBorders>
              <w:top w:val="double" w:sz="4" w:space="0" w:color="auto"/>
            </w:tcBorders>
            <w:vAlign w:val="center"/>
          </w:tcPr>
          <w:p w14:paraId="2BD16AE7"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660" w:type="dxa"/>
            <w:tcBorders>
              <w:top w:val="double" w:sz="4" w:space="0" w:color="auto"/>
            </w:tcBorders>
            <w:vAlign w:val="center"/>
          </w:tcPr>
          <w:p w14:paraId="1BFEEEAC"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625" w:type="dxa"/>
            <w:tcBorders>
              <w:top w:val="double" w:sz="4" w:space="0" w:color="auto"/>
              <w:right w:val="double" w:sz="4" w:space="0" w:color="auto"/>
            </w:tcBorders>
            <w:vAlign w:val="center"/>
          </w:tcPr>
          <w:p w14:paraId="1E16EC4B"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705" w:type="dxa"/>
            <w:tcBorders>
              <w:top w:val="double" w:sz="4" w:space="0" w:color="auto"/>
              <w:left w:val="double" w:sz="4" w:space="0" w:color="auto"/>
            </w:tcBorders>
            <w:vAlign w:val="center"/>
          </w:tcPr>
          <w:p w14:paraId="7073A860"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598" w:type="dxa"/>
            <w:tcBorders>
              <w:top w:val="double" w:sz="4" w:space="0" w:color="auto"/>
            </w:tcBorders>
            <w:vAlign w:val="center"/>
          </w:tcPr>
          <w:p w14:paraId="200F4E62"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705" w:type="dxa"/>
            <w:tcBorders>
              <w:top w:val="double" w:sz="4" w:space="0" w:color="auto"/>
            </w:tcBorders>
            <w:vAlign w:val="center"/>
          </w:tcPr>
          <w:p w14:paraId="063EC179"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623" w:type="dxa"/>
            <w:tcBorders>
              <w:top w:val="double" w:sz="4" w:space="0" w:color="auto"/>
            </w:tcBorders>
            <w:vAlign w:val="center"/>
          </w:tcPr>
          <w:p w14:paraId="3090F774"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705" w:type="dxa"/>
            <w:tcBorders>
              <w:top w:val="double" w:sz="4" w:space="0" w:color="auto"/>
            </w:tcBorders>
            <w:vAlign w:val="center"/>
          </w:tcPr>
          <w:p w14:paraId="4471F555"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c>
          <w:tcPr>
            <w:tcW w:w="621" w:type="dxa"/>
            <w:tcBorders>
              <w:top w:val="double" w:sz="4" w:space="0" w:color="auto"/>
              <w:right w:val="double" w:sz="4" w:space="0" w:color="auto"/>
            </w:tcBorders>
            <w:vAlign w:val="center"/>
          </w:tcPr>
          <w:p w14:paraId="62DD8FB3" w14:textId="77777777" w:rsidR="009E2B76" w:rsidRDefault="009E2B76" w:rsidP="00513060">
            <w:pPr>
              <w:tabs>
                <w:tab w:val="decimal" w:pos="222"/>
              </w:tabs>
              <w:autoSpaceDE w:val="0"/>
              <w:autoSpaceDN w:val="0"/>
              <w:adjustRightInd w:val="0"/>
              <w:spacing w:line="240" w:lineRule="auto"/>
              <w:jc w:val="left"/>
              <w:rPr>
                <w:rFonts w:cs="Times New Roman"/>
                <w:color w:val="000000"/>
                <w:sz w:val="20"/>
                <w:szCs w:val="20"/>
              </w:rPr>
            </w:pPr>
          </w:p>
        </w:tc>
      </w:tr>
      <w:tr w:rsidR="009E2B76" w14:paraId="155B3CB9" w14:textId="77777777" w:rsidTr="00FC5290">
        <w:trPr>
          <w:trHeight w:val="288"/>
        </w:trPr>
        <w:tc>
          <w:tcPr>
            <w:tcW w:w="2833" w:type="dxa"/>
            <w:tcBorders>
              <w:left w:val="double" w:sz="4" w:space="0" w:color="auto"/>
              <w:right w:val="double" w:sz="4" w:space="0" w:color="auto"/>
            </w:tcBorders>
            <w:vAlign w:val="center"/>
          </w:tcPr>
          <w:p w14:paraId="41AD420B" w14:textId="77777777" w:rsidR="009E2B76" w:rsidRDefault="009E2B76" w:rsidP="009E2B76">
            <w:pPr>
              <w:autoSpaceDE w:val="0"/>
              <w:autoSpaceDN w:val="0"/>
              <w:adjustRightInd w:val="0"/>
              <w:spacing w:line="240" w:lineRule="auto"/>
              <w:jc w:val="left"/>
              <w:rPr>
                <w:rFonts w:cs="Times New Roman"/>
                <w:color w:val="000000"/>
                <w:sz w:val="20"/>
                <w:szCs w:val="20"/>
              </w:rPr>
            </w:pPr>
            <w:r>
              <w:rPr>
                <w:rFonts w:cs="Times New Roman"/>
                <w:color w:val="000000"/>
                <w:sz w:val="20"/>
                <w:szCs w:val="20"/>
              </w:rPr>
              <w:t>VSLP</w:t>
            </w:r>
          </w:p>
        </w:tc>
        <w:tc>
          <w:tcPr>
            <w:tcW w:w="680" w:type="dxa"/>
            <w:tcBorders>
              <w:left w:val="double" w:sz="4" w:space="0" w:color="auto"/>
            </w:tcBorders>
            <w:vAlign w:val="center"/>
          </w:tcPr>
          <w:p w14:paraId="2ECB6C8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vAlign w:val="center"/>
          </w:tcPr>
          <w:p w14:paraId="4D0E2F6F"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vAlign w:val="center"/>
          </w:tcPr>
          <w:p w14:paraId="343E935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B36D63" w:rsidRPr="00B36D63">
              <w:rPr>
                <w:rFonts w:cs="Times New Roman"/>
                <w:sz w:val="20"/>
                <w:szCs w:val="20"/>
              </w:rPr>
              <w:t>2</w:t>
            </w:r>
            <w:r w:rsidR="007D5109">
              <w:rPr>
                <w:rFonts w:cs="Times New Roman"/>
                <w:sz w:val="20"/>
                <w:szCs w:val="20"/>
              </w:rPr>
              <w:t>79</w:t>
            </w:r>
          </w:p>
        </w:tc>
        <w:tc>
          <w:tcPr>
            <w:tcW w:w="596" w:type="dxa"/>
            <w:vAlign w:val="center"/>
          </w:tcPr>
          <w:p w14:paraId="5FA808B0" w14:textId="77777777" w:rsidR="009E2B76" w:rsidRPr="00B36D63" w:rsidRDefault="007D5109" w:rsidP="00513060">
            <w:pPr>
              <w:tabs>
                <w:tab w:val="decimal" w:pos="222"/>
              </w:tabs>
              <w:autoSpaceDE w:val="0"/>
              <w:autoSpaceDN w:val="0"/>
              <w:adjustRightInd w:val="0"/>
              <w:spacing w:line="240" w:lineRule="auto"/>
              <w:jc w:val="left"/>
              <w:rPr>
                <w:rFonts w:cs="Times New Roman"/>
                <w:sz w:val="20"/>
                <w:szCs w:val="20"/>
              </w:rPr>
            </w:pPr>
            <w:r>
              <w:rPr>
                <w:rFonts w:cs="Times New Roman"/>
                <w:sz w:val="20"/>
                <w:szCs w:val="20"/>
              </w:rPr>
              <w:t>4.23</w:t>
            </w:r>
          </w:p>
        </w:tc>
        <w:tc>
          <w:tcPr>
            <w:tcW w:w="660" w:type="dxa"/>
            <w:vAlign w:val="center"/>
          </w:tcPr>
          <w:p w14:paraId="4C6220BA"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right w:val="double" w:sz="4" w:space="0" w:color="auto"/>
            </w:tcBorders>
            <w:vAlign w:val="center"/>
          </w:tcPr>
          <w:p w14:paraId="6B8E62C6"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left w:val="double" w:sz="4" w:space="0" w:color="auto"/>
            </w:tcBorders>
            <w:vAlign w:val="center"/>
          </w:tcPr>
          <w:p w14:paraId="507032A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vAlign w:val="center"/>
          </w:tcPr>
          <w:p w14:paraId="7B53F9B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vAlign w:val="center"/>
          </w:tcPr>
          <w:p w14:paraId="5FA00BD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vAlign w:val="center"/>
          </w:tcPr>
          <w:p w14:paraId="19F41F9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vAlign w:val="center"/>
          </w:tcPr>
          <w:p w14:paraId="456C927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right w:val="double" w:sz="4" w:space="0" w:color="auto"/>
            </w:tcBorders>
            <w:vAlign w:val="center"/>
          </w:tcPr>
          <w:p w14:paraId="713B91F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59AC8CE6" w14:textId="77777777" w:rsidTr="00FC5290">
        <w:trPr>
          <w:trHeight w:val="245"/>
        </w:trPr>
        <w:tc>
          <w:tcPr>
            <w:tcW w:w="2833" w:type="dxa"/>
            <w:tcBorders>
              <w:top w:val="nil"/>
              <w:left w:val="double" w:sz="4" w:space="0" w:color="auto"/>
              <w:bottom w:val="nil"/>
              <w:right w:val="double" w:sz="4" w:space="0" w:color="auto"/>
            </w:tcBorders>
            <w:vAlign w:val="center"/>
          </w:tcPr>
          <w:p w14:paraId="68353B14" w14:textId="77777777" w:rsidR="009E2B76" w:rsidRDefault="009E2B76" w:rsidP="0004408C">
            <w:pPr>
              <w:autoSpaceDE w:val="0"/>
              <w:autoSpaceDN w:val="0"/>
              <w:adjustRightInd w:val="0"/>
              <w:spacing w:line="240" w:lineRule="auto"/>
              <w:jc w:val="left"/>
              <w:rPr>
                <w:rFonts w:cs="Times New Roman"/>
                <w:i/>
                <w:iCs/>
                <w:color w:val="000000"/>
                <w:sz w:val="20"/>
                <w:szCs w:val="20"/>
              </w:rPr>
            </w:pPr>
            <w:r>
              <w:rPr>
                <w:rFonts w:cs="Times New Roman"/>
                <w:i/>
                <w:iCs/>
                <w:color w:val="000000"/>
                <w:sz w:val="20"/>
                <w:szCs w:val="20"/>
              </w:rPr>
              <w:t>Exogenous effects</w:t>
            </w:r>
          </w:p>
        </w:tc>
        <w:tc>
          <w:tcPr>
            <w:tcW w:w="680" w:type="dxa"/>
            <w:tcBorders>
              <w:top w:val="nil"/>
              <w:left w:val="double" w:sz="4" w:space="0" w:color="auto"/>
              <w:bottom w:val="nil"/>
            </w:tcBorders>
            <w:vAlign w:val="center"/>
          </w:tcPr>
          <w:p w14:paraId="5D285F1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70D57DC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4947158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4710EA6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EFC500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6096C647"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1341726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50CDABE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7D47E33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49E5180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74D7135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7A0CD74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7DD28D16" w14:textId="77777777" w:rsidTr="00FC5290">
        <w:trPr>
          <w:trHeight w:val="245"/>
        </w:trPr>
        <w:tc>
          <w:tcPr>
            <w:tcW w:w="2833" w:type="dxa"/>
            <w:tcBorders>
              <w:top w:val="nil"/>
              <w:left w:val="double" w:sz="4" w:space="0" w:color="auto"/>
              <w:bottom w:val="nil"/>
              <w:right w:val="double" w:sz="4" w:space="0" w:color="auto"/>
            </w:tcBorders>
            <w:vAlign w:val="center"/>
          </w:tcPr>
          <w:p w14:paraId="4BA62AFF"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Gender (male)</w:t>
            </w:r>
          </w:p>
        </w:tc>
        <w:tc>
          <w:tcPr>
            <w:tcW w:w="680" w:type="dxa"/>
            <w:tcBorders>
              <w:top w:val="nil"/>
              <w:left w:val="double" w:sz="4" w:space="0" w:color="auto"/>
              <w:bottom w:val="nil"/>
            </w:tcBorders>
            <w:vAlign w:val="center"/>
          </w:tcPr>
          <w:p w14:paraId="40CC518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795F85A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6098001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4248155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267CA8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42D0822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541E742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2F5ACF6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49D3E7C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616FA81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138F67C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7F8DCBD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58677541" w14:textId="77777777" w:rsidTr="00FC5290">
        <w:trPr>
          <w:trHeight w:val="245"/>
        </w:trPr>
        <w:tc>
          <w:tcPr>
            <w:tcW w:w="2833" w:type="dxa"/>
            <w:tcBorders>
              <w:top w:val="nil"/>
              <w:left w:val="double" w:sz="4" w:space="0" w:color="auto"/>
              <w:bottom w:val="nil"/>
              <w:right w:val="double" w:sz="4" w:space="0" w:color="auto"/>
            </w:tcBorders>
            <w:vAlign w:val="center"/>
          </w:tcPr>
          <w:p w14:paraId="117B8100"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Female</w:t>
            </w:r>
          </w:p>
        </w:tc>
        <w:tc>
          <w:tcPr>
            <w:tcW w:w="680" w:type="dxa"/>
            <w:tcBorders>
              <w:top w:val="nil"/>
              <w:left w:val="double" w:sz="4" w:space="0" w:color="auto"/>
              <w:bottom w:val="nil"/>
            </w:tcBorders>
            <w:vAlign w:val="center"/>
          </w:tcPr>
          <w:p w14:paraId="4A10A827" w14:textId="77777777" w:rsidR="009E2B76" w:rsidRPr="00B36D63" w:rsidRDefault="00CB63E7" w:rsidP="00513060">
            <w:pPr>
              <w:tabs>
                <w:tab w:val="decimal" w:pos="222"/>
              </w:tabs>
              <w:autoSpaceDE w:val="0"/>
              <w:autoSpaceDN w:val="0"/>
              <w:adjustRightInd w:val="0"/>
              <w:spacing w:line="240" w:lineRule="auto"/>
              <w:jc w:val="left"/>
              <w:rPr>
                <w:rFonts w:cs="Times New Roman"/>
                <w:sz w:val="20"/>
                <w:szCs w:val="20"/>
              </w:rPr>
            </w:pPr>
            <w:r>
              <w:rPr>
                <w:rFonts w:cs="Times New Roman"/>
                <w:sz w:val="20"/>
                <w:szCs w:val="20"/>
              </w:rPr>
              <w:t>-0.139</w:t>
            </w:r>
          </w:p>
        </w:tc>
        <w:tc>
          <w:tcPr>
            <w:tcW w:w="511" w:type="dxa"/>
            <w:tcBorders>
              <w:top w:val="nil"/>
              <w:bottom w:val="nil"/>
            </w:tcBorders>
            <w:vAlign w:val="center"/>
          </w:tcPr>
          <w:p w14:paraId="7C0FC11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-3.</w:t>
            </w:r>
            <w:r w:rsidR="00CB63E7">
              <w:rPr>
                <w:rFonts w:cs="Times New Roman"/>
                <w:sz w:val="20"/>
                <w:szCs w:val="20"/>
              </w:rPr>
              <w:t>43</w:t>
            </w:r>
          </w:p>
        </w:tc>
        <w:tc>
          <w:tcPr>
            <w:tcW w:w="683" w:type="dxa"/>
            <w:tcBorders>
              <w:top w:val="nil"/>
              <w:bottom w:val="nil"/>
            </w:tcBorders>
            <w:vAlign w:val="center"/>
          </w:tcPr>
          <w:p w14:paraId="0370C41E"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18205E23"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2CC810C6"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12384E47"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151FC52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7EDBF87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7D87C2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272076A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2373E5B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3041690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68591BB8" w14:textId="77777777" w:rsidTr="00FC5290">
        <w:trPr>
          <w:trHeight w:val="245"/>
        </w:trPr>
        <w:tc>
          <w:tcPr>
            <w:tcW w:w="2833" w:type="dxa"/>
            <w:tcBorders>
              <w:top w:val="nil"/>
              <w:left w:val="double" w:sz="4" w:space="0" w:color="auto"/>
              <w:bottom w:val="nil"/>
              <w:right w:val="double" w:sz="4" w:space="0" w:color="auto"/>
            </w:tcBorders>
            <w:vAlign w:val="center"/>
          </w:tcPr>
          <w:p w14:paraId="140A298A" w14:textId="628F87C4"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Age (35 years</w:t>
            </w:r>
            <w:r w:rsidR="00BA20DE" w:rsidRPr="00BA20DE">
              <w:rPr>
                <w:rFonts w:cs="Times New Roman"/>
                <w:b/>
                <w:bCs/>
                <w:color w:val="000000"/>
                <w:sz w:val="20"/>
                <w:szCs w:val="20"/>
              </w:rPr>
              <w:t xml:space="preserve"> or more</w:t>
            </w:r>
            <w:r w:rsidRPr="00BA20DE">
              <w:rPr>
                <w:rFonts w:cs="Times New Roman"/>
                <w:b/>
                <w:bCs/>
                <w:color w:val="000000"/>
                <w:sz w:val="20"/>
                <w:szCs w:val="20"/>
              </w:rPr>
              <w:t>)</w:t>
            </w:r>
          </w:p>
        </w:tc>
        <w:tc>
          <w:tcPr>
            <w:tcW w:w="680" w:type="dxa"/>
            <w:tcBorders>
              <w:top w:val="nil"/>
              <w:left w:val="double" w:sz="4" w:space="0" w:color="auto"/>
              <w:bottom w:val="nil"/>
            </w:tcBorders>
            <w:vAlign w:val="center"/>
          </w:tcPr>
          <w:p w14:paraId="64E84E5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3F11B30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250DC41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1C28C18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2955F1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176CCEC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4445FD64"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598" w:type="dxa"/>
            <w:tcBorders>
              <w:top w:val="nil"/>
              <w:bottom w:val="nil"/>
            </w:tcBorders>
            <w:vAlign w:val="center"/>
          </w:tcPr>
          <w:p w14:paraId="4C16AF4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1D4F41B6"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3" w:type="dxa"/>
            <w:tcBorders>
              <w:top w:val="nil"/>
              <w:bottom w:val="nil"/>
            </w:tcBorders>
            <w:vAlign w:val="center"/>
          </w:tcPr>
          <w:p w14:paraId="0498B3D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71372473"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6B7E5393"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493EEFEC" w14:textId="77777777" w:rsidTr="00FC5290">
        <w:trPr>
          <w:trHeight w:val="245"/>
        </w:trPr>
        <w:tc>
          <w:tcPr>
            <w:tcW w:w="2833" w:type="dxa"/>
            <w:tcBorders>
              <w:top w:val="nil"/>
              <w:left w:val="double" w:sz="4" w:space="0" w:color="auto"/>
              <w:bottom w:val="nil"/>
              <w:right w:val="double" w:sz="4" w:space="0" w:color="auto"/>
            </w:tcBorders>
            <w:vAlign w:val="center"/>
          </w:tcPr>
          <w:p w14:paraId="3D8962A5" w14:textId="5253935B" w:rsidR="009E2B76" w:rsidRPr="00BA20DE" w:rsidRDefault="00BA20DE"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18-</w:t>
            </w:r>
            <w:r w:rsidR="009E2B76" w:rsidRPr="00BA20DE">
              <w:rPr>
                <w:rFonts w:cs="Times New Roman"/>
                <w:color w:val="000000"/>
                <w:sz w:val="20"/>
                <w:szCs w:val="20"/>
              </w:rPr>
              <w:t>34</w:t>
            </w:r>
          </w:p>
        </w:tc>
        <w:tc>
          <w:tcPr>
            <w:tcW w:w="680" w:type="dxa"/>
            <w:tcBorders>
              <w:top w:val="nil"/>
              <w:left w:val="double" w:sz="4" w:space="0" w:color="auto"/>
              <w:bottom w:val="nil"/>
            </w:tcBorders>
            <w:vAlign w:val="center"/>
          </w:tcPr>
          <w:p w14:paraId="5A9A36FF"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693CB36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58BC0775"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0.39</w:t>
            </w:r>
            <w:r w:rsidR="007D5109">
              <w:rPr>
                <w:rFonts w:cs="Times New Roman"/>
                <w:sz w:val="20"/>
                <w:szCs w:val="20"/>
              </w:rPr>
              <w:t>0</w:t>
            </w:r>
          </w:p>
        </w:tc>
        <w:tc>
          <w:tcPr>
            <w:tcW w:w="596" w:type="dxa"/>
            <w:tcBorders>
              <w:top w:val="nil"/>
              <w:bottom w:val="nil"/>
            </w:tcBorders>
            <w:vAlign w:val="center"/>
          </w:tcPr>
          <w:p w14:paraId="4076E972"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8.</w:t>
            </w:r>
            <w:r w:rsidR="007D5109">
              <w:rPr>
                <w:rFonts w:cs="Times New Roman"/>
                <w:sz w:val="20"/>
                <w:szCs w:val="20"/>
              </w:rPr>
              <w:t>82</w:t>
            </w:r>
          </w:p>
        </w:tc>
        <w:tc>
          <w:tcPr>
            <w:tcW w:w="660" w:type="dxa"/>
            <w:tcBorders>
              <w:top w:val="nil"/>
              <w:bottom w:val="nil"/>
            </w:tcBorders>
            <w:vAlign w:val="center"/>
          </w:tcPr>
          <w:p w14:paraId="2CE6A15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0.22</w:t>
            </w:r>
            <w:r w:rsidR="00B36D63" w:rsidRPr="00B36D63">
              <w:rPr>
                <w:rFonts w:cs="Times New Roman"/>
                <w:sz w:val="20"/>
                <w:szCs w:val="20"/>
              </w:rPr>
              <w:t>1</w:t>
            </w:r>
          </w:p>
        </w:tc>
        <w:tc>
          <w:tcPr>
            <w:tcW w:w="625" w:type="dxa"/>
            <w:tcBorders>
              <w:top w:val="nil"/>
              <w:bottom w:val="nil"/>
              <w:right w:val="double" w:sz="4" w:space="0" w:color="auto"/>
            </w:tcBorders>
            <w:vAlign w:val="center"/>
          </w:tcPr>
          <w:p w14:paraId="26C95CA8"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4.7</w:t>
            </w:r>
            <w:r w:rsidR="007D5109">
              <w:rPr>
                <w:rFonts w:cs="Times New Roman"/>
                <w:sz w:val="20"/>
                <w:szCs w:val="20"/>
              </w:rPr>
              <w:t>2</w:t>
            </w:r>
          </w:p>
        </w:tc>
        <w:tc>
          <w:tcPr>
            <w:tcW w:w="705" w:type="dxa"/>
            <w:tcBorders>
              <w:top w:val="nil"/>
              <w:left w:val="double" w:sz="4" w:space="0" w:color="auto"/>
              <w:bottom w:val="nil"/>
            </w:tcBorders>
            <w:vAlign w:val="center"/>
          </w:tcPr>
          <w:p w14:paraId="15F453C7"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w:t>
            </w:r>
            <w:r w:rsidR="00494DE7" w:rsidRPr="00494DE7">
              <w:rPr>
                <w:rFonts w:cs="Times New Roman"/>
                <w:sz w:val="20"/>
                <w:szCs w:val="20"/>
              </w:rPr>
              <w:t>113</w:t>
            </w:r>
          </w:p>
        </w:tc>
        <w:tc>
          <w:tcPr>
            <w:tcW w:w="598" w:type="dxa"/>
            <w:tcBorders>
              <w:top w:val="nil"/>
              <w:bottom w:val="nil"/>
            </w:tcBorders>
            <w:vAlign w:val="center"/>
          </w:tcPr>
          <w:p w14:paraId="593EBC5A"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w:t>
            </w:r>
            <w:r w:rsidR="00494DE7" w:rsidRPr="00494DE7">
              <w:rPr>
                <w:rFonts w:cs="Times New Roman"/>
                <w:sz w:val="20"/>
                <w:szCs w:val="20"/>
              </w:rPr>
              <w:t>2.54</w:t>
            </w:r>
          </w:p>
        </w:tc>
        <w:tc>
          <w:tcPr>
            <w:tcW w:w="705" w:type="dxa"/>
            <w:tcBorders>
              <w:top w:val="nil"/>
              <w:bottom w:val="nil"/>
            </w:tcBorders>
            <w:vAlign w:val="center"/>
          </w:tcPr>
          <w:p w14:paraId="56CCB85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06C8ADD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BC0AD9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0.4</w:t>
            </w:r>
            <w:r w:rsidR="00494DE7" w:rsidRPr="00494DE7">
              <w:rPr>
                <w:rFonts w:cs="Times New Roman"/>
                <w:sz w:val="20"/>
                <w:szCs w:val="20"/>
              </w:rPr>
              <w:t>61</w:t>
            </w:r>
          </w:p>
        </w:tc>
        <w:tc>
          <w:tcPr>
            <w:tcW w:w="621" w:type="dxa"/>
            <w:tcBorders>
              <w:top w:val="nil"/>
              <w:bottom w:val="nil"/>
              <w:right w:val="double" w:sz="4" w:space="0" w:color="auto"/>
            </w:tcBorders>
            <w:vAlign w:val="center"/>
          </w:tcPr>
          <w:p w14:paraId="09D19B49"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1</w:t>
            </w:r>
            <w:r w:rsidR="00494DE7" w:rsidRPr="00494DE7">
              <w:rPr>
                <w:rFonts w:cs="Times New Roman"/>
                <w:sz w:val="20"/>
                <w:szCs w:val="20"/>
              </w:rPr>
              <w:t>2</w:t>
            </w:r>
            <w:r w:rsidRPr="00494DE7">
              <w:rPr>
                <w:rFonts w:cs="Times New Roman"/>
                <w:sz w:val="20"/>
                <w:szCs w:val="20"/>
              </w:rPr>
              <w:t>.</w:t>
            </w:r>
            <w:r w:rsidR="00494DE7" w:rsidRPr="00494DE7">
              <w:rPr>
                <w:rFonts w:cs="Times New Roman"/>
                <w:sz w:val="20"/>
                <w:szCs w:val="20"/>
              </w:rPr>
              <w:t>5</w:t>
            </w:r>
            <w:r w:rsidRPr="00494DE7">
              <w:rPr>
                <w:rFonts w:cs="Times New Roman"/>
                <w:sz w:val="20"/>
                <w:szCs w:val="20"/>
              </w:rPr>
              <w:t>6</w:t>
            </w:r>
          </w:p>
        </w:tc>
      </w:tr>
      <w:tr w:rsidR="009E2B76" w14:paraId="1A4C1D7B" w14:textId="77777777" w:rsidTr="00FC5290">
        <w:trPr>
          <w:trHeight w:val="245"/>
        </w:trPr>
        <w:tc>
          <w:tcPr>
            <w:tcW w:w="2833" w:type="dxa"/>
            <w:tcBorders>
              <w:top w:val="nil"/>
              <w:left w:val="double" w:sz="4" w:space="0" w:color="auto"/>
              <w:bottom w:val="nil"/>
              <w:right w:val="double" w:sz="4" w:space="0" w:color="auto"/>
            </w:tcBorders>
            <w:vAlign w:val="center"/>
          </w:tcPr>
          <w:p w14:paraId="0E87179D" w14:textId="53F7055C" w:rsidR="009E2B76" w:rsidRPr="00BA20DE" w:rsidRDefault="00E45E48" w:rsidP="009263FC">
            <w:pPr>
              <w:autoSpaceDE w:val="0"/>
              <w:autoSpaceDN w:val="0"/>
              <w:adjustRightInd w:val="0"/>
              <w:spacing w:line="240" w:lineRule="auto"/>
              <w:jc w:val="left"/>
              <w:rPr>
                <w:rFonts w:cs="Times New Roman"/>
                <w:b/>
                <w:bCs/>
                <w:color w:val="000000"/>
                <w:sz w:val="20"/>
                <w:szCs w:val="20"/>
              </w:rPr>
            </w:pPr>
            <w:r w:rsidRPr="00BA20DE">
              <w:rPr>
                <w:rFonts w:eastAsia="Times New Roman" w:cs="Times New Roman"/>
                <w:b/>
                <w:bCs/>
                <w:color w:val="000000"/>
                <w:sz w:val="20"/>
                <w:szCs w:val="20"/>
              </w:rPr>
              <w:t>Ethnicity (other ethnicities)</w:t>
            </w:r>
          </w:p>
        </w:tc>
        <w:tc>
          <w:tcPr>
            <w:tcW w:w="680" w:type="dxa"/>
            <w:tcBorders>
              <w:top w:val="nil"/>
              <w:left w:val="double" w:sz="4" w:space="0" w:color="auto"/>
              <w:bottom w:val="nil"/>
            </w:tcBorders>
            <w:vAlign w:val="center"/>
          </w:tcPr>
          <w:p w14:paraId="6FA1A492"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511" w:type="dxa"/>
            <w:tcBorders>
              <w:top w:val="nil"/>
              <w:bottom w:val="nil"/>
            </w:tcBorders>
            <w:vAlign w:val="center"/>
          </w:tcPr>
          <w:p w14:paraId="27335A45"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683" w:type="dxa"/>
            <w:tcBorders>
              <w:top w:val="nil"/>
              <w:bottom w:val="nil"/>
            </w:tcBorders>
            <w:vAlign w:val="center"/>
          </w:tcPr>
          <w:p w14:paraId="781ACBD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370A57C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22D696D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1D662B6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739C9C3B"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598" w:type="dxa"/>
            <w:tcBorders>
              <w:top w:val="nil"/>
              <w:bottom w:val="nil"/>
            </w:tcBorders>
            <w:vAlign w:val="center"/>
          </w:tcPr>
          <w:p w14:paraId="5A22870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79A23010"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3" w:type="dxa"/>
            <w:tcBorders>
              <w:top w:val="nil"/>
              <w:bottom w:val="nil"/>
            </w:tcBorders>
            <w:vAlign w:val="center"/>
          </w:tcPr>
          <w:p w14:paraId="5E1ADBE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47743F0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51A3F71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0D3A6C8F" w14:textId="77777777" w:rsidTr="00FC5290">
        <w:trPr>
          <w:trHeight w:val="245"/>
        </w:trPr>
        <w:tc>
          <w:tcPr>
            <w:tcW w:w="2833" w:type="dxa"/>
            <w:tcBorders>
              <w:top w:val="nil"/>
              <w:left w:val="double" w:sz="4" w:space="0" w:color="auto"/>
              <w:bottom w:val="nil"/>
              <w:right w:val="double" w:sz="4" w:space="0" w:color="auto"/>
            </w:tcBorders>
            <w:vAlign w:val="center"/>
          </w:tcPr>
          <w:p w14:paraId="7513BA84"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Non-Hispanic White</w:t>
            </w:r>
          </w:p>
        </w:tc>
        <w:tc>
          <w:tcPr>
            <w:tcW w:w="680" w:type="dxa"/>
            <w:tcBorders>
              <w:top w:val="nil"/>
              <w:left w:val="double" w:sz="4" w:space="0" w:color="auto"/>
              <w:bottom w:val="nil"/>
            </w:tcBorders>
            <w:vAlign w:val="center"/>
          </w:tcPr>
          <w:p w14:paraId="10E75B0F"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169D00B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2031B4D7"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3</w:t>
            </w:r>
            <w:r w:rsidR="00CB63E7">
              <w:rPr>
                <w:rFonts w:cs="Times New Roman"/>
                <w:sz w:val="20"/>
                <w:szCs w:val="20"/>
              </w:rPr>
              <w:t>42</w:t>
            </w:r>
          </w:p>
        </w:tc>
        <w:tc>
          <w:tcPr>
            <w:tcW w:w="596" w:type="dxa"/>
            <w:tcBorders>
              <w:top w:val="nil"/>
              <w:bottom w:val="nil"/>
            </w:tcBorders>
            <w:vAlign w:val="center"/>
          </w:tcPr>
          <w:p w14:paraId="2DF36AB5" w14:textId="77777777" w:rsidR="009E2B76" w:rsidRPr="00B36D63" w:rsidRDefault="00CB63E7" w:rsidP="00513060">
            <w:pPr>
              <w:tabs>
                <w:tab w:val="decimal" w:pos="222"/>
              </w:tabs>
              <w:autoSpaceDE w:val="0"/>
              <w:autoSpaceDN w:val="0"/>
              <w:adjustRightInd w:val="0"/>
              <w:spacing w:line="240" w:lineRule="auto"/>
              <w:jc w:val="left"/>
              <w:rPr>
                <w:rFonts w:cs="Times New Roman"/>
                <w:sz w:val="20"/>
                <w:szCs w:val="20"/>
              </w:rPr>
            </w:pPr>
            <w:r>
              <w:rPr>
                <w:rFonts w:cs="Times New Roman"/>
                <w:sz w:val="20"/>
                <w:szCs w:val="20"/>
              </w:rPr>
              <w:t>10.10</w:t>
            </w:r>
          </w:p>
        </w:tc>
        <w:tc>
          <w:tcPr>
            <w:tcW w:w="660" w:type="dxa"/>
            <w:tcBorders>
              <w:top w:val="nil"/>
              <w:bottom w:val="nil"/>
            </w:tcBorders>
            <w:vAlign w:val="center"/>
          </w:tcPr>
          <w:p w14:paraId="6E5169F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445BC648"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0FD29AF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1D90A5C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13513F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7C4BE5E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06C00D2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10C5BEE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353987EC" w14:textId="77777777" w:rsidTr="00FC5290">
        <w:trPr>
          <w:trHeight w:val="245"/>
        </w:trPr>
        <w:tc>
          <w:tcPr>
            <w:tcW w:w="2833" w:type="dxa"/>
            <w:tcBorders>
              <w:top w:val="nil"/>
              <w:left w:val="double" w:sz="4" w:space="0" w:color="auto"/>
              <w:bottom w:val="nil"/>
            </w:tcBorders>
            <w:vAlign w:val="center"/>
          </w:tcPr>
          <w:p w14:paraId="156350FD" w14:textId="652B0DEF"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Education (</w:t>
            </w:r>
            <w:r w:rsidR="00BA20DE" w:rsidRPr="00BA20DE">
              <w:rPr>
                <w:rFonts w:cs="Times New Roman"/>
                <w:b/>
                <w:bCs/>
                <w:color w:val="000000"/>
                <w:sz w:val="20"/>
                <w:szCs w:val="20"/>
              </w:rPr>
              <w:t>less than</w:t>
            </w:r>
            <w:r w:rsidR="00FC5290" w:rsidRPr="00BA20DE">
              <w:rPr>
                <w:rFonts w:cs="Times New Roman"/>
                <w:b/>
                <w:bCs/>
                <w:color w:val="000000"/>
                <w:sz w:val="20"/>
                <w:szCs w:val="20"/>
              </w:rPr>
              <w:t xml:space="preserve"> </w:t>
            </w:r>
            <w:r w:rsidRPr="00BA20DE">
              <w:rPr>
                <w:rFonts w:cs="Times New Roman"/>
                <w:b/>
                <w:bCs/>
                <w:color w:val="000000"/>
                <w:sz w:val="20"/>
                <w:szCs w:val="20"/>
              </w:rPr>
              <w:t>undergraduate degree)</w:t>
            </w:r>
          </w:p>
        </w:tc>
        <w:tc>
          <w:tcPr>
            <w:tcW w:w="1191" w:type="dxa"/>
            <w:gridSpan w:val="2"/>
            <w:tcBorders>
              <w:top w:val="nil"/>
              <w:left w:val="double" w:sz="4" w:space="0" w:color="auto"/>
              <w:bottom w:val="nil"/>
            </w:tcBorders>
            <w:vAlign w:val="center"/>
          </w:tcPr>
          <w:p w14:paraId="1E26C5BD"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683" w:type="dxa"/>
            <w:tcBorders>
              <w:top w:val="nil"/>
              <w:bottom w:val="nil"/>
            </w:tcBorders>
            <w:vAlign w:val="center"/>
          </w:tcPr>
          <w:p w14:paraId="507CB69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5B76351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0DEC86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5DBC1C7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149C1E4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4441591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1A047B8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390413F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6C7F5C8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6D0D607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44B6AB74" w14:textId="77777777" w:rsidTr="00FC5290">
        <w:trPr>
          <w:trHeight w:val="245"/>
        </w:trPr>
        <w:tc>
          <w:tcPr>
            <w:tcW w:w="2833" w:type="dxa"/>
            <w:tcBorders>
              <w:top w:val="nil"/>
              <w:left w:val="double" w:sz="4" w:space="0" w:color="auto"/>
              <w:bottom w:val="nil"/>
              <w:right w:val="double" w:sz="4" w:space="0" w:color="auto"/>
            </w:tcBorders>
            <w:vAlign w:val="center"/>
          </w:tcPr>
          <w:p w14:paraId="7B203D7A"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Undergraduate degree </w:t>
            </w:r>
          </w:p>
        </w:tc>
        <w:tc>
          <w:tcPr>
            <w:tcW w:w="680" w:type="dxa"/>
            <w:tcBorders>
              <w:top w:val="nil"/>
              <w:left w:val="double" w:sz="4" w:space="0" w:color="auto"/>
              <w:bottom w:val="nil"/>
            </w:tcBorders>
            <w:vAlign w:val="center"/>
          </w:tcPr>
          <w:p w14:paraId="1EE35BD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294</w:t>
            </w:r>
          </w:p>
        </w:tc>
        <w:tc>
          <w:tcPr>
            <w:tcW w:w="511" w:type="dxa"/>
            <w:tcBorders>
              <w:top w:val="nil"/>
              <w:bottom w:val="nil"/>
            </w:tcBorders>
            <w:vAlign w:val="center"/>
          </w:tcPr>
          <w:p w14:paraId="134838E1"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-6.</w:t>
            </w:r>
            <w:r w:rsidR="00CB63E7">
              <w:rPr>
                <w:rFonts w:cs="Times New Roman"/>
                <w:sz w:val="20"/>
                <w:szCs w:val="20"/>
              </w:rPr>
              <w:t>20</w:t>
            </w:r>
          </w:p>
        </w:tc>
        <w:tc>
          <w:tcPr>
            <w:tcW w:w="683" w:type="dxa"/>
            <w:tcBorders>
              <w:top w:val="nil"/>
              <w:bottom w:val="nil"/>
            </w:tcBorders>
            <w:vAlign w:val="center"/>
          </w:tcPr>
          <w:p w14:paraId="54BAD26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1</w:t>
            </w:r>
            <w:r w:rsidR="00CB63E7">
              <w:rPr>
                <w:rFonts w:cs="Times New Roman"/>
                <w:sz w:val="20"/>
                <w:szCs w:val="20"/>
              </w:rPr>
              <w:t>80</w:t>
            </w:r>
          </w:p>
        </w:tc>
        <w:tc>
          <w:tcPr>
            <w:tcW w:w="596" w:type="dxa"/>
            <w:tcBorders>
              <w:top w:val="nil"/>
              <w:bottom w:val="nil"/>
            </w:tcBorders>
            <w:vAlign w:val="center"/>
          </w:tcPr>
          <w:p w14:paraId="1E276C67"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4.83</w:t>
            </w:r>
          </w:p>
        </w:tc>
        <w:tc>
          <w:tcPr>
            <w:tcW w:w="660" w:type="dxa"/>
            <w:tcBorders>
              <w:top w:val="nil"/>
              <w:bottom w:val="nil"/>
            </w:tcBorders>
            <w:vAlign w:val="center"/>
          </w:tcPr>
          <w:p w14:paraId="697665DC"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7E2E9CD5"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5D43978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05182115"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09B9E7B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3BFB1D1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2B97CB6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796221C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14F5D039" w14:textId="77777777" w:rsidTr="00FC5290">
        <w:trPr>
          <w:trHeight w:val="245"/>
        </w:trPr>
        <w:tc>
          <w:tcPr>
            <w:tcW w:w="2833" w:type="dxa"/>
            <w:tcBorders>
              <w:top w:val="nil"/>
              <w:left w:val="double" w:sz="4" w:space="0" w:color="auto"/>
              <w:bottom w:val="nil"/>
              <w:right w:val="double" w:sz="4" w:space="0" w:color="auto"/>
            </w:tcBorders>
            <w:vAlign w:val="center"/>
          </w:tcPr>
          <w:p w14:paraId="2EDC6B2A" w14:textId="77777777" w:rsidR="009E2B76" w:rsidRPr="00BA20DE" w:rsidRDefault="009E2B76" w:rsidP="009A420A">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Graduate degree </w:t>
            </w:r>
          </w:p>
        </w:tc>
        <w:tc>
          <w:tcPr>
            <w:tcW w:w="680" w:type="dxa"/>
            <w:tcBorders>
              <w:top w:val="nil"/>
              <w:left w:val="double" w:sz="4" w:space="0" w:color="auto"/>
              <w:bottom w:val="nil"/>
            </w:tcBorders>
            <w:vAlign w:val="center"/>
          </w:tcPr>
          <w:p w14:paraId="590804E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294</w:t>
            </w:r>
          </w:p>
        </w:tc>
        <w:tc>
          <w:tcPr>
            <w:tcW w:w="511" w:type="dxa"/>
            <w:tcBorders>
              <w:top w:val="nil"/>
              <w:bottom w:val="nil"/>
            </w:tcBorders>
            <w:vAlign w:val="center"/>
          </w:tcPr>
          <w:p w14:paraId="23B1A35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-6.</w:t>
            </w:r>
            <w:r w:rsidR="00CB63E7">
              <w:rPr>
                <w:rFonts w:cs="Times New Roman"/>
                <w:sz w:val="20"/>
                <w:szCs w:val="20"/>
              </w:rPr>
              <w:t>20</w:t>
            </w:r>
          </w:p>
        </w:tc>
        <w:tc>
          <w:tcPr>
            <w:tcW w:w="683" w:type="dxa"/>
            <w:tcBorders>
              <w:top w:val="nil"/>
              <w:bottom w:val="nil"/>
            </w:tcBorders>
            <w:vAlign w:val="center"/>
          </w:tcPr>
          <w:p w14:paraId="70D3C64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w:t>
            </w:r>
            <w:r w:rsidR="006F37C5" w:rsidRPr="00B36D63">
              <w:rPr>
                <w:rFonts w:cs="Times New Roman"/>
                <w:sz w:val="20"/>
                <w:szCs w:val="20"/>
              </w:rPr>
              <w:t>38</w:t>
            </w:r>
          </w:p>
        </w:tc>
        <w:tc>
          <w:tcPr>
            <w:tcW w:w="596" w:type="dxa"/>
            <w:tcBorders>
              <w:top w:val="nil"/>
              <w:bottom w:val="nil"/>
            </w:tcBorders>
            <w:vAlign w:val="center"/>
          </w:tcPr>
          <w:p w14:paraId="076B4A5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5.8</w:t>
            </w:r>
            <w:r w:rsidR="00CB63E7">
              <w:rPr>
                <w:rFonts w:cs="Times New Roman"/>
                <w:sz w:val="20"/>
                <w:szCs w:val="20"/>
              </w:rPr>
              <w:t>8</w:t>
            </w:r>
          </w:p>
        </w:tc>
        <w:tc>
          <w:tcPr>
            <w:tcW w:w="660" w:type="dxa"/>
            <w:tcBorders>
              <w:top w:val="nil"/>
              <w:bottom w:val="nil"/>
            </w:tcBorders>
            <w:vAlign w:val="center"/>
          </w:tcPr>
          <w:p w14:paraId="3A0EF73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092</w:t>
            </w:r>
          </w:p>
        </w:tc>
        <w:tc>
          <w:tcPr>
            <w:tcW w:w="625" w:type="dxa"/>
            <w:tcBorders>
              <w:top w:val="nil"/>
              <w:bottom w:val="nil"/>
              <w:right w:val="double" w:sz="4" w:space="0" w:color="auto"/>
            </w:tcBorders>
            <w:vAlign w:val="center"/>
          </w:tcPr>
          <w:p w14:paraId="6B2FDBFD"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2.2</w:t>
            </w:r>
            <w:r w:rsidR="00CB63E7">
              <w:rPr>
                <w:rFonts w:cs="Times New Roman"/>
                <w:sz w:val="20"/>
                <w:szCs w:val="20"/>
              </w:rPr>
              <w:t>1</w:t>
            </w:r>
          </w:p>
        </w:tc>
        <w:tc>
          <w:tcPr>
            <w:tcW w:w="705" w:type="dxa"/>
            <w:tcBorders>
              <w:top w:val="nil"/>
              <w:left w:val="double" w:sz="4" w:space="0" w:color="auto"/>
              <w:bottom w:val="nil"/>
            </w:tcBorders>
            <w:vAlign w:val="center"/>
          </w:tcPr>
          <w:p w14:paraId="26176A4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6B54F8E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35DD072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7B68A2E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83E978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144778E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42A6D6CB" w14:textId="77777777" w:rsidTr="00FC5290">
        <w:trPr>
          <w:trHeight w:val="245"/>
        </w:trPr>
        <w:tc>
          <w:tcPr>
            <w:tcW w:w="2833" w:type="dxa"/>
            <w:tcBorders>
              <w:top w:val="nil"/>
              <w:left w:val="double" w:sz="4" w:space="0" w:color="auto"/>
              <w:bottom w:val="nil"/>
              <w:right w:val="double" w:sz="4" w:space="0" w:color="auto"/>
            </w:tcBorders>
            <w:vAlign w:val="center"/>
          </w:tcPr>
          <w:p w14:paraId="3541C4D1"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Student (no)</w:t>
            </w:r>
          </w:p>
        </w:tc>
        <w:tc>
          <w:tcPr>
            <w:tcW w:w="680" w:type="dxa"/>
            <w:tcBorders>
              <w:top w:val="nil"/>
              <w:left w:val="double" w:sz="4" w:space="0" w:color="auto"/>
              <w:bottom w:val="nil"/>
            </w:tcBorders>
            <w:vAlign w:val="center"/>
          </w:tcPr>
          <w:p w14:paraId="372862EA"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23676E7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5204D12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1DD962F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37B5AF3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500F8787"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7ECF28D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6C5FE34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359E125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0C32C32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1275EC2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50F0D84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50FF583E" w14:textId="77777777" w:rsidTr="00FC5290">
        <w:trPr>
          <w:trHeight w:val="245"/>
        </w:trPr>
        <w:tc>
          <w:tcPr>
            <w:tcW w:w="2833" w:type="dxa"/>
            <w:tcBorders>
              <w:top w:val="nil"/>
              <w:left w:val="double" w:sz="4" w:space="0" w:color="auto"/>
              <w:bottom w:val="nil"/>
              <w:right w:val="double" w:sz="4" w:space="0" w:color="auto"/>
            </w:tcBorders>
            <w:vAlign w:val="center"/>
          </w:tcPr>
          <w:p w14:paraId="158AF4E7"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Yes</w:t>
            </w:r>
          </w:p>
        </w:tc>
        <w:tc>
          <w:tcPr>
            <w:tcW w:w="680" w:type="dxa"/>
            <w:tcBorders>
              <w:top w:val="nil"/>
              <w:left w:val="double" w:sz="4" w:space="0" w:color="auto"/>
              <w:bottom w:val="nil"/>
            </w:tcBorders>
            <w:vAlign w:val="center"/>
          </w:tcPr>
          <w:p w14:paraId="0EE1FC84"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0.5</w:t>
            </w:r>
            <w:r w:rsidR="00B36D63" w:rsidRPr="00B36D63">
              <w:rPr>
                <w:rFonts w:cs="Times New Roman"/>
                <w:sz w:val="20"/>
                <w:szCs w:val="20"/>
              </w:rPr>
              <w:t>62</w:t>
            </w:r>
          </w:p>
        </w:tc>
        <w:tc>
          <w:tcPr>
            <w:tcW w:w="511" w:type="dxa"/>
            <w:tcBorders>
              <w:top w:val="nil"/>
              <w:bottom w:val="nil"/>
            </w:tcBorders>
            <w:vAlign w:val="center"/>
          </w:tcPr>
          <w:p w14:paraId="0EA10915"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8.</w:t>
            </w:r>
            <w:r w:rsidR="007D5109">
              <w:rPr>
                <w:rFonts w:cs="Times New Roman"/>
                <w:sz w:val="20"/>
                <w:szCs w:val="20"/>
              </w:rPr>
              <w:t>73</w:t>
            </w:r>
          </w:p>
        </w:tc>
        <w:tc>
          <w:tcPr>
            <w:tcW w:w="683" w:type="dxa"/>
            <w:tcBorders>
              <w:top w:val="nil"/>
              <w:bottom w:val="nil"/>
            </w:tcBorders>
            <w:vAlign w:val="center"/>
          </w:tcPr>
          <w:p w14:paraId="52E615C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5FDEB1D6"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7D593535"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625B239E"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5D725DD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0787854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51001A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021B505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CE6AF5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68E269B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1FC478DA" w14:textId="77777777" w:rsidTr="00FC5290">
        <w:trPr>
          <w:trHeight w:val="245"/>
        </w:trPr>
        <w:tc>
          <w:tcPr>
            <w:tcW w:w="2833" w:type="dxa"/>
            <w:tcBorders>
              <w:top w:val="nil"/>
              <w:left w:val="double" w:sz="4" w:space="0" w:color="auto"/>
              <w:bottom w:val="nil"/>
              <w:right w:val="double" w:sz="4" w:space="0" w:color="auto"/>
            </w:tcBorders>
            <w:vAlign w:val="center"/>
          </w:tcPr>
          <w:p w14:paraId="6EE92188"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Employment (full-time)</w:t>
            </w:r>
          </w:p>
        </w:tc>
        <w:tc>
          <w:tcPr>
            <w:tcW w:w="680" w:type="dxa"/>
            <w:tcBorders>
              <w:top w:val="nil"/>
              <w:left w:val="double" w:sz="4" w:space="0" w:color="auto"/>
              <w:bottom w:val="nil"/>
            </w:tcBorders>
            <w:vAlign w:val="center"/>
          </w:tcPr>
          <w:p w14:paraId="00B8448A"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511" w:type="dxa"/>
            <w:tcBorders>
              <w:top w:val="nil"/>
              <w:left w:val="nil"/>
              <w:bottom w:val="nil"/>
            </w:tcBorders>
            <w:vAlign w:val="center"/>
          </w:tcPr>
          <w:p w14:paraId="382A056D"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3F1EEF48"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596" w:type="dxa"/>
            <w:tcBorders>
              <w:top w:val="nil"/>
              <w:bottom w:val="nil"/>
            </w:tcBorders>
            <w:vAlign w:val="center"/>
          </w:tcPr>
          <w:p w14:paraId="20CE6371"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660" w:type="dxa"/>
            <w:tcBorders>
              <w:top w:val="nil"/>
              <w:bottom w:val="nil"/>
            </w:tcBorders>
            <w:vAlign w:val="center"/>
          </w:tcPr>
          <w:p w14:paraId="28C9A81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625" w:type="dxa"/>
            <w:tcBorders>
              <w:top w:val="nil"/>
              <w:bottom w:val="nil"/>
              <w:right w:val="double" w:sz="4" w:space="0" w:color="auto"/>
            </w:tcBorders>
            <w:vAlign w:val="center"/>
          </w:tcPr>
          <w:p w14:paraId="5B4148A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left w:val="double" w:sz="4" w:space="0" w:color="auto"/>
              <w:bottom w:val="nil"/>
            </w:tcBorders>
            <w:vAlign w:val="center"/>
          </w:tcPr>
          <w:p w14:paraId="728C01A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00287A9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2BF32CA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2B04AE9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6DAA368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35FC012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2EFDA9D9" w14:textId="77777777" w:rsidTr="00FC5290">
        <w:trPr>
          <w:trHeight w:val="245"/>
        </w:trPr>
        <w:tc>
          <w:tcPr>
            <w:tcW w:w="2833" w:type="dxa"/>
            <w:tcBorders>
              <w:top w:val="nil"/>
              <w:left w:val="double" w:sz="4" w:space="0" w:color="auto"/>
              <w:bottom w:val="nil"/>
              <w:right w:val="double" w:sz="4" w:space="0" w:color="auto"/>
            </w:tcBorders>
            <w:vAlign w:val="center"/>
          </w:tcPr>
          <w:p w14:paraId="4F5D1491"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Part-time employee</w:t>
            </w:r>
          </w:p>
        </w:tc>
        <w:tc>
          <w:tcPr>
            <w:tcW w:w="680" w:type="dxa"/>
            <w:tcBorders>
              <w:top w:val="nil"/>
              <w:left w:val="double" w:sz="4" w:space="0" w:color="auto"/>
              <w:bottom w:val="nil"/>
            </w:tcBorders>
            <w:vAlign w:val="center"/>
          </w:tcPr>
          <w:p w14:paraId="40EAE28E"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0E02404C"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07696DDE"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72A8915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47DCE9E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01065CC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6C20E1B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447F99D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E3CF42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336FD82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4C45BC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5C010A8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4BA0635A" w14:textId="77777777" w:rsidTr="00FC5290">
        <w:trPr>
          <w:trHeight w:val="245"/>
        </w:trPr>
        <w:tc>
          <w:tcPr>
            <w:tcW w:w="2833" w:type="dxa"/>
            <w:tcBorders>
              <w:top w:val="nil"/>
              <w:left w:val="double" w:sz="4" w:space="0" w:color="auto"/>
              <w:bottom w:val="nil"/>
              <w:right w:val="double" w:sz="4" w:space="0" w:color="auto"/>
            </w:tcBorders>
            <w:vAlign w:val="center"/>
          </w:tcPr>
          <w:p w14:paraId="5469A446"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Self-employed</w:t>
            </w:r>
          </w:p>
        </w:tc>
        <w:tc>
          <w:tcPr>
            <w:tcW w:w="680" w:type="dxa"/>
            <w:tcBorders>
              <w:top w:val="nil"/>
              <w:left w:val="double" w:sz="4" w:space="0" w:color="auto"/>
            </w:tcBorders>
            <w:vAlign w:val="center"/>
          </w:tcPr>
          <w:p w14:paraId="73D00557"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0E69DABC"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0DF92927"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2AAC8241"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370DBD3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252103B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7E98F67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4D345C1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CBED4E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6FFB3C65"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1448E6C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4BCB26E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334EB451" w14:textId="77777777" w:rsidTr="00FC5290">
        <w:trPr>
          <w:trHeight w:val="245"/>
        </w:trPr>
        <w:tc>
          <w:tcPr>
            <w:tcW w:w="2833" w:type="dxa"/>
            <w:tcBorders>
              <w:top w:val="nil"/>
              <w:left w:val="double" w:sz="4" w:space="0" w:color="auto"/>
              <w:bottom w:val="nil"/>
              <w:right w:val="double" w:sz="4" w:space="0" w:color="auto"/>
            </w:tcBorders>
            <w:vAlign w:val="center"/>
          </w:tcPr>
          <w:p w14:paraId="63106210" w14:textId="77777777" w:rsidR="009E2B76" w:rsidRPr="00BA20DE" w:rsidRDefault="009E2B76" w:rsidP="00F957E7">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 xml:space="preserve">Household income </w:t>
            </w:r>
          </w:p>
          <w:p w14:paraId="068EEF03" w14:textId="219E299A"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w:t>
            </w:r>
            <w:r w:rsidR="00BA20DE" w:rsidRPr="00BA20DE">
              <w:rPr>
                <w:rFonts w:cs="Times New Roman"/>
                <w:b/>
                <w:bCs/>
                <w:color w:val="000000"/>
                <w:sz w:val="20"/>
                <w:szCs w:val="20"/>
              </w:rPr>
              <w:t>Under</w:t>
            </w:r>
            <w:r w:rsidRPr="00BA20DE">
              <w:rPr>
                <w:rFonts w:cs="Times New Roman"/>
                <w:b/>
                <w:bCs/>
                <w:color w:val="000000"/>
                <w:sz w:val="20"/>
                <w:szCs w:val="20"/>
              </w:rPr>
              <w:t xml:space="preserve"> $50,000)</w:t>
            </w:r>
          </w:p>
        </w:tc>
        <w:tc>
          <w:tcPr>
            <w:tcW w:w="680" w:type="dxa"/>
            <w:tcBorders>
              <w:top w:val="nil"/>
              <w:left w:val="double" w:sz="4" w:space="0" w:color="auto"/>
              <w:bottom w:val="nil"/>
            </w:tcBorders>
            <w:vAlign w:val="center"/>
          </w:tcPr>
          <w:p w14:paraId="3473E87C" w14:textId="77777777" w:rsidR="009E2B76" w:rsidRPr="00B36D63" w:rsidRDefault="009E2B76" w:rsidP="00513060">
            <w:pPr>
              <w:tabs>
                <w:tab w:val="decimal" w:pos="222"/>
              </w:tabs>
              <w:autoSpaceDE w:val="0"/>
              <w:autoSpaceDN w:val="0"/>
              <w:adjustRightInd w:val="0"/>
              <w:spacing w:line="240" w:lineRule="auto"/>
              <w:jc w:val="left"/>
              <w:rPr>
                <w:rFonts w:ascii="Calibri" w:hAnsi="Calibri" w:cs="Calibri"/>
                <w:b/>
                <w:bCs/>
                <w:sz w:val="20"/>
                <w:szCs w:val="20"/>
              </w:rPr>
            </w:pPr>
          </w:p>
        </w:tc>
        <w:tc>
          <w:tcPr>
            <w:tcW w:w="511" w:type="dxa"/>
            <w:tcBorders>
              <w:top w:val="nil"/>
              <w:left w:val="nil"/>
              <w:bottom w:val="nil"/>
            </w:tcBorders>
            <w:vAlign w:val="center"/>
          </w:tcPr>
          <w:p w14:paraId="5DAA9ED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759C3DA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05F5F53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47CC94F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0E7AE594"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1BC6143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190162D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653966B5"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66262C15"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617604E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07A72BF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4DE0EFF6" w14:textId="77777777" w:rsidTr="00FC5290">
        <w:trPr>
          <w:trHeight w:val="245"/>
        </w:trPr>
        <w:tc>
          <w:tcPr>
            <w:tcW w:w="2833" w:type="dxa"/>
            <w:tcBorders>
              <w:top w:val="nil"/>
              <w:left w:val="double" w:sz="4" w:space="0" w:color="auto"/>
              <w:bottom w:val="nil"/>
              <w:right w:val="double" w:sz="4" w:space="0" w:color="auto"/>
            </w:tcBorders>
            <w:vAlign w:val="center"/>
          </w:tcPr>
          <w:p w14:paraId="6D685E7D"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$50,000-$99,999 </w:t>
            </w:r>
          </w:p>
        </w:tc>
        <w:tc>
          <w:tcPr>
            <w:tcW w:w="680" w:type="dxa"/>
            <w:tcBorders>
              <w:top w:val="nil"/>
              <w:left w:val="double" w:sz="4" w:space="0" w:color="auto"/>
              <w:bottom w:val="nil"/>
            </w:tcBorders>
            <w:vAlign w:val="center"/>
          </w:tcPr>
          <w:p w14:paraId="57FDE42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4226D163"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663B8A4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15355C74"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3B28959F"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1F00D98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7EA668B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510CD9D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50D524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1B1AA42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818E3F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1DEDFBC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1BE067FF" w14:textId="77777777" w:rsidTr="00FC5290">
        <w:trPr>
          <w:trHeight w:val="245"/>
        </w:trPr>
        <w:tc>
          <w:tcPr>
            <w:tcW w:w="2833" w:type="dxa"/>
            <w:tcBorders>
              <w:top w:val="nil"/>
              <w:left w:val="double" w:sz="4" w:space="0" w:color="auto"/>
              <w:bottom w:val="nil"/>
              <w:right w:val="double" w:sz="4" w:space="0" w:color="auto"/>
            </w:tcBorders>
            <w:vAlign w:val="center"/>
          </w:tcPr>
          <w:p w14:paraId="49629512"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$100,000-$149,999 </w:t>
            </w:r>
          </w:p>
        </w:tc>
        <w:tc>
          <w:tcPr>
            <w:tcW w:w="680" w:type="dxa"/>
            <w:tcBorders>
              <w:top w:val="nil"/>
              <w:left w:val="double" w:sz="4" w:space="0" w:color="auto"/>
              <w:bottom w:val="nil"/>
            </w:tcBorders>
            <w:vAlign w:val="center"/>
          </w:tcPr>
          <w:p w14:paraId="65FDB22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w:t>
            </w:r>
            <w:r w:rsidR="006F37C5" w:rsidRPr="00B36D63">
              <w:rPr>
                <w:rFonts w:cs="Times New Roman"/>
                <w:sz w:val="20"/>
                <w:szCs w:val="20"/>
              </w:rPr>
              <w:t>3</w:t>
            </w:r>
            <w:r w:rsidR="00CB63E7">
              <w:rPr>
                <w:rFonts w:cs="Times New Roman"/>
                <w:sz w:val="20"/>
                <w:szCs w:val="20"/>
              </w:rPr>
              <w:t>6</w:t>
            </w:r>
          </w:p>
        </w:tc>
        <w:tc>
          <w:tcPr>
            <w:tcW w:w="511" w:type="dxa"/>
            <w:tcBorders>
              <w:top w:val="nil"/>
              <w:bottom w:val="nil"/>
            </w:tcBorders>
            <w:vAlign w:val="center"/>
          </w:tcPr>
          <w:p w14:paraId="50A92BA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5.1</w:t>
            </w:r>
            <w:r w:rsidR="00CB63E7">
              <w:rPr>
                <w:rFonts w:cs="Times New Roman"/>
                <w:sz w:val="20"/>
                <w:szCs w:val="20"/>
              </w:rPr>
              <w:t>4</w:t>
            </w:r>
          </w:p>
        </w:tc>
        <w:tc>
          <w:tcPr>
            <w:tcW w:w="683" w:type="dxa"/>
            <w:tcBorders>
              <w:top w:val="nil"/>
              <w:bottom w:val="nil"/>
            </w:tcBorders>
            <w:vAlign w:val="center"/>
          </w:tcPr>
          <w:p w14:paraId="04FBC40A"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499C737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1206B982"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27076DD2"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630CD09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7DAB907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39D1197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25CBB38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12B39AE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0F49C39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6E6DBFDA" w14:textId="77777777" w:rsidTr="00FC5290">
        <w:trPr>
          <w:trHeight w:val="245"/>
        </w:trPr>
        <w:tc>
          <w:tcPr>
            <w:tcW w:w="2833" w:type="dxa"/>
            <w:tcBorders>
              <w:top w:val="nil"/>
              <w:left w:val="double" w:sz="4" w:space="0" w:color="auto"/>
              <w:bottom w:val="nil"/>
              <w:right w:val="double" w:sz="4" w:space="0" w:color="auto"/>
            </w:tcBorders>
            <w:vAlign w:val="center"/>
          </w:tcPr>
          <w:p w14:paraId="0B025EB5"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$150,000-$199,999 </w:t>
            </w:r>
          </w:p>
        </w:tc>
        <w:tc>
          <w:tcPr>
            <w:tcW w:w="680" w:type="dxa"/>
            <w:tcBorders>
              <w:top w:val="nil"/>
              <w:left w:val="double" w:sz="4" w:space="0" w:color="auto"/>
              <w:bottom w:val="nil"/>
            </w:tcBorders>
            <w:vAlign w:val="center"/>
          </w:tcPr>
          <w:p w14:paraId="74F7FAA6"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-0.403</w:t>
            </w:r>
          </w:p>
        </w:tc>
        <w:tc>
          <w:tcPr>
            <w:tcW w:w="511" w:type="dxa"/>
            <w:tcBorders>
              <w:top w:val="nil"/>
              <w:bottom w:val="nil"/>
            </w:tcBorders>
            <w:vAlign w:val="center"/>
          </w:tcPr>
          <w:p w14:paraId="6857BBA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6.</w:t>
            </w:r>
            <w:r w:rsidR="00CB63E7">
              <w:rPr>
                <w:rFonts w:cs="Times New Roman"/>
                <w:sz w:val="20"/>
                <w:szCs w:val="20"/>
              </w:rPr>
              <w:t>86</w:t>
            </w:r>
          </w:p>
        </w:tc>
        <w:tc>
          <w:tcPr>
            <w:tcW w:w="683" w:type="dxa"/>
            <w:tcBorders>
              <w:top w:val="nil"/>
              <w:bottom w:val="nil"/>
            </w:tcBorders>
            <w:vAlign w:val="center"/>
          </w:tcPr>
          <w:p w14:paraId="08C6A733"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4809057A"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1D23EAC5"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05F24C0E"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3B5C695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6340ECB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4CC518D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4056E87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12005F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24911F6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007C1641" w14:textId="77777777" w:rsidTr="00FC5290">
        <w:trPr>
          <w:trHeight w:val="245"/>
        </w:trPr>
        <w:tc>
          <w:tcPr>
            <w:tcW w:w="2833" w:type="dxa"/>
            <w:tcBorders>
              <w:top w:val="nil"/>
              <w:left w:val="double" w:sz="4" w:space="0" w:color="auto"/>
              <w:bottom w:val="nil"/>
              <w:right w:val="double" w:sz="4" w:space="0" w:color="auto"/>
            </w:tcBorders>
            <w:vAlign w:val="center"/>
          </w:tcPr>
          <w:p w14:paraId="0365F274"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$200,000 or more</w:t>
            </w:r>
          </w:p>
        </w:tc>
        <w:tc>
          <w:tcPr>
            <w:tcW w:w="680" w:type="dxa"/>
            <w:tcBorders>
              <w:top w:val="nil"/>
              <w:left w:val="double" w:sz="4" w:space="0" w:color="auto"/>
            </w:tcBorders>
            <w:vAlign w:val="center"/>
          </w:tcPr>
          <w:p w14:paraId="7913011D"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tcBorders>
            <w:vAlign w:val="center"/>
          </w:tcPr>
          <w:p w14:paraId="691E9F7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tcBorders>
            <w:vAlign w:val="center"/>
          </w:tcPr>
          <w:p w14:paraId="56D92BE4"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tcBorders>
            <w:vAlign w:val="center"/>
          </w:tcPr>
          <w:p w14:paraId="6475AD7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118D37D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15</w:t>
            </w:r>
            <w:r w:rsidR="007D5109">
              <w:rPr>
                <w:rFonts w:cs="Times New Roman"/>
                <w:sz w:val="20"/>
                <w:szCs w:val="20"/>
              </w:rPr>
              <w:t>5</w:t>
            </w:r>
          </w:p>
        </w:tc>
        <w:tc>
          <w:tcPr>
            <w:tcW w:w="625" w:type="dxa"/>
            <w:tcBorders>
              <w:top w:val="nil"/>
              <w:bottom w:val="nil"/>
              <w:right w:val="double" w:sz="4" w:space="0" w:color="auto"/>
            </w:tcBorders>
            <w:vAlign w:val="center"/>
          </w:tcPr>
          <w:p w14:paraId="71A47CC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3.0</w:t>
            </w:r>
            <w:r w:rsidR="007D5109">
              <w:rPr>
                <w:rFonts w:cs="Times New Roman"/>
                <w:sz w:val="20"/>
                <w:szCs w:val="20"/>
              </w:rPr>
              <w:t>6</w:t>
            </w:r>
          </w:p>
        </w:tc>
        <w:tc>
          <w:tcPr>
            <w:tcW w:w="705" w:type="dxa"/>
            <w:tcBorders>
              <w:top w:val="nil"/>
              <w:left w:val="double" w:sz="4" w:space="0" w:color="auto"/>
              <w:bottom w:val="nil"/>
            </w:tcBorders>
            <w:vAlign w:val="center"/>
          </w:tcPr>
          <w:p w14:paraId="4E55108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3066EFB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8072AED"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-0.082</w:t>
            </w:r>
          </w:p>
        </w:tc>
        <w:tc>
          <w:tcPr>
            <w:tcW w:w="623" w:type="dxa"/>
            <w:tcBorders>
              <w:top w:val="nil"/>
              <w:bottom w:val="nil"/>
            </w:tcBorders>
            <w:vAlign w:val="center"/>
          </w:tcPr>
          <w:p w14:paraId="4606B21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-2.0</w:t>
            </w:r>
            <w:r w:rsidR="00494DE7" w:rsidRPr="00494DE7">
              <w:rPr>
                <w:rFonts w:cs="Times New Roman"/>
                <w:sz w:val="20"/>
                <w:szCs w:val="20"/>
              </w:rPr>
              <w:t>7</w:t>
            </w:r>
          </w:p>
        </w:tc>
        <w:tc>
          <w:tcPr>
            <w:tcW w:w="705" w:type="dxa"/>
            <w:tcBorders>
              <w:top w:val="nil"/>
              <w:bottom w:val="nil"/>
            </w:tcBorders>
            <w:vAlign w:val="center"/>
          </w:tcPr>
          <w:p w14:paraId="09EA2CA4"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w:t>
            </w:r>
            <w:r w:rsidR="00494DE7" w:rsidRPr="00494DE7">
              <w:rPr>
                <w:rFonts w:cs="Times New Roman"/>
                <w:sz w:val="20"/>
                <w:szCs w:val="20"/>
              </w:rPr>
              <w:t>47</w:t>
            </w:r>
          </w:p>
        </w:tc>
        <w:tc>
          <w:tcPr>
            <w:tcW w:w="621" w:type="dxa"/>
            <w:tcBorders>
              <w:top w:val="nil"/>
              <w:bottom w:val="nil"/>
              <w:right w:val="double" w:sz="4" w:space="0" w:color="auto"/>
            </w:tcBorders>
            <w:vAlign w:val="center"/>
          </w:tcPr>
          <w:p w14:paraId="77BF49B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w:t>
            </w:r>
            <w:r w:rsidR="00494DE7" w:rsidRPr="00494DE7">
              <w:rPr>
                <w:rFonts w:cs="Times New Roman"/>
                <w:sz w:val="20"/>
                <w:szCs w:val="20"/>
              </w:rPr>
              <w:t>25</w:t>
            </w:r>
          </w:p>
        </w:tc>
      </w:tr>
      <w:tr w:rsidR="009E2B76" w14:paraId="073BAC46" w14:textId="77777777" w:rsidTr="00FC5290">
        <w:trPr>
          <w:trHeight w:val="245"/>
        </w:trPr>
        <w:tc>
          <w:tcPr>
            <w:tcW w:w="2833" w:type="dxa"/>
            <w:tcBorders>
              <w:top w:val="nil"/>
              <w:left w:val="double" w:sz="4" w:space="0" w:color="auto"/>
              <w:bottom w:val="nil"/>
              <w:right w:val="double" w:sz="4" w:space="0" w:color="auto"/>
            </w:tcBorders>
            <w:vAlign w:val="center"/>
          </w:tcPr>
          <w:p w14:paraId="336E5936"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Household composition (multi-worker)</w:t>
            </w:r>
          </w:p>
        </w:tc>
        <w:tc>
          <w:tcPr>
            <w:tcW w:w="2470" w:type="dxa"/>
            <w:gridSpan w:val="4"/>
            <w:tcBorders>
              <w:top w:val="nil"/>
              <w:left w:val="double" w:sz="4" w:space="0" w:color="auto"/>
              <w:bottom w:val="nil"/>
            </w:tcBorders>
            <w:vAlign w:val="center"/>
          </w:tcPr>
          <w:p w14:paraId="2B613CCB" w14:textId="77777777" w:rsidR="009E2B76" w:rsidRPr="00B36D63" w:rsidRDefault="009E2B76" w:rsidP="00513060">
            <w:pPr>
              <w:tabs>
                <w:tab w:val="decimal" w:pos="222"/>
              </w:tabs>
              <w:autoSpaceDE w:val="0"/>
              <w:autoSpaceDN w:val="0"/>
              <w:adjustRightInd w:val="0"/>
              <w:spacing w:line="240" w:lineRule="auto"/>
              <w:jc w:val="center"/>
              <w:rPr>
                <w:rFonts w:cs="Times New Roman"/>
                <w:b/>
                <w:bCs/>
                <w:sz w:val="20"/>
                <w:szCs w:val="20"/>
              </w:rPr>
            </w:pPr>
          </w:p>
        </w:tc>
        <w:tc>
          <w:tcPr>
            <w:tcW w:w="660" w:type="dxa"/>
            <w:tcBorders>
              <w:top w:val="nil"/>
              <w:left w:val="nil"/>
              <w:bottom w:val="nil"/>
            </w:tcBorders>
            <w:vAlign w:val="center"/>
          </w:tcPr>
          <w:p w14:paraId="4C66045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00C21FF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325217E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126C07C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55745E16"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3" w:type="dxa"/>
            <w:tcBorders>
              <w:top w:val="nil"/>
              <w:bottom w:val="nil"/>
            </w:tcBorders>
            <w:vAlign w:val="center"/>
          </w:tcPr>
          <w:p w14:paraId="6C4A57E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7B1C3733"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047E958B"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19DAFC34" w14:textId="77777777" w:rsidTr="00FC5290">
        <w:trPr>
          <w:trHeight w:val="245"/>
        </w:trPr>
        <w:tc>
          <w:tcPr>
            <w:tcW w:w="2833" w:type="dxa"/>
            <w:tcBorders>
              <w:top w:val="nil"/>
              <w:left w:val="double" w:sz="4" w:space="0" w:color="auto"/>
              <w:bottom w:val="nil"/>
              <w:right w:val="double" w:sz="4" w:space="0" w:color="auto"/>
            </w:tcBorders>
            <w:vAlign w:val="center"/>
          </w:tcPr>
          <w:p w14:paraId="174CA471" w14:textId="77777777" w:rsidR="009E2B76" w:rsidRPr="00BA20DE" w:rsidRDefault="009E2B76" w:rsidP="00F957E7">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Single person </w:t>
            </w:r>
          </w:p>
        </w:tc>
        <w:tc>
          <w:tcPr>
            <w:tcW w:w="680" w:type="dxa"/>
            <w:tcBorders>
              <w:top w:val="nil"/>
              <w:left w:val="double" w:sz="4" w:space="0" w:color="auto"/>
              <w:bottom w:val="nil"/>
            </w:tcBorders>
            <w:vAlign w:val="center"/>
          </w:tcPr>
          <w:p w14:paraId="724D409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18B2D963"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204A753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637FBF68"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36DEDF5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303</w:t>
            </w:r>
          </w:p>
        </w:tc>
        <w:tc>
          <w:tcPr>
            <w:tcW w:w="625" w:type="dxa"/>
            <w:tcBorders>
              <w:top w:val="nil"/>
              <w:bottom w:val="nil"/>
              <w:right w:val="double" w:sz="4" w:space="0" w:color="auto"/>
            </w:tcBorders>
            <w:vAlign w:val="center"/>
          </w:tcPr>
          <w:p w14:paraId="1F2B997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6F37C5" w:rsidRPr="00B36D63">
              <w:rPr>
                <w:rFonts w:cs="Times New Roman"/>
                <w:sz w:val="20"/>
                <w:szCs w:val="20"/>
              </w:rPr>
              <w:t>4</w:t>
            </w:r>
            <w:r w:rsidR="007D5109">
              <w:rPr>
                <w:rFonts w:cs="Times New Roman"/>
                <w:sz w:val="20"/>
                <w:szCs w:val="20"/>
              </w:rPr>
              <w:t>.85</w:t>
            </w:r>
          </w:p>
        </w:tc>
        <w:tc>
          <w:tcPr>
            <w:tcW w:w="705" w:type="dxa"/>
            <w:tcBorders>
              <w:top w:val="nil"/>
              <w:left w:val="double" w:sz="4" w:space="0" w:color="auto"/>
              <w:bottom w:val="nil"/>
            </w:tcBorders>
            <w:vAlign w:val="center"/>
          </w:tcPr>
          <w:p w14:paraId="66AAA02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3ACDD32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052B403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674C244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6F19640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3C1F5A6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494DE7" w14:paraId="49B9EAF7" w14:textId="77777777" w:rsidTr="00FC5290">
        <w:trPr>
          <w:trHeight w:val="245"/>
        </w:trPr>
        <w:tc>
          <w:tcPr>
            <w:tcW w:w="2833" w:type="dxa"/>
            <w:tcBorders>
              <w:top w:val="nil"/>
              <w:left w:val="double" w:sz="4" w:space="0" w:color="auto"/>
              <w:bottom w:val="nil"/>
              <w:right w:val="double" w:sz="4" w:space="0" w:color="auto"/>
            </w:tcBorders>
            <w:vAlign w:val="center"/>
          </w:tcPr>
          <w:p w14:paraId="010A1CE1" w14:textId="77777777" w:rsidR="00494DE7" w:rsidRPr="00BA20DE" w:rsidRDefault="00494DE7" w:rsidP="00F957E7">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Single worker multi-person </w:t>
            </w:r>
          </w:p>
        </w:tc>
        <w:tc>
          <w:tcPr>
            <w:tcW w:w="680" w:type="dxa"/>
            <w:tcBorders>
              <w:top w:val="nil"/>
              <w:left w:val="double" w:sz="4" w:space="0" w:color="auto"/>
            </w:tcBorders>
            <w:vAlign w:val="center"/>
          </w:tcPr>
          <w:p w14:paraId="7C0289E0"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tcBorders>
            <w:vAlign w:val="center"/>
          </w:tcPr>
          <w:p w14:paraId="087041AD"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tcBorders>
            <w:vAlign w:val="center"/>
          </w:tcPr>
          <w:p w14:paraId="55944D0F"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355D0FAB"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4E2ED715"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75FE10CD" w14:textId="77777777" w:rsidR="00494DE7" w:rsidRPr="00B36D63" w:rsidRDefault="00494DE7"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2ED76FF3" w14:textId="77777777" w:rsidR="00494DE7" w:rsidRPr="00494DE7" w:rsidRDefault="00494DE7"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0.217</w:t>
            </w:r>
          </w:p>
        </w:tc>
        <w:tc>
          <w:tcPr>
            <w:tcW w:w="598" w:type="dxa"/>
            <w:tcBorders>
              <w:top w:val="nil"/>
              <w:bottom w:val="nil"/>
            </w:tcBorders>
            <w:vAlign w:val="center"/>
          </w:tcPr>
          <w:p w14:paraId="19EE9146" w14:textId="77777777" w:rsidR="00494DE7" w:rsidRPr="00494DE7" w:rsidRDefault="00494DE7"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5.54</w:t>
            </w:r>
          </w:p>
        </w:tc>
        <w:tc>
          <w:tcPr>
            <w:tcW w:w="705" w:type="dxa"/>
            <w:tcBorders>
              <w:top w:val="nil"/>
              <w:bottom w:val="nil"/>
            </w:tcBorders>
            <w:vAlign w:val="center"/>
          </w:tcPr>
          <w:p w14:paraId="7047F5A8" w14:textId="77777777" w:rsidR="00494DE7" w:rsidRPr="00494DE7" w:rsidRDefault="00494DE7"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0.217</w:t>
            </w:r>
          </w:p>
        </w:tc>
        <w:tc>
          <w:tcPr>
            <w:tcW w:w="623" w:type="dxa"/>
            <w:tcBorders>
              <w:top w:val="nil"/>
              <w:bottom w:val="nil"/>
            </w:tcBorders>
            <w:vAlign w:val="center"/>
          </w:tcPr>
          <w:p w14:paraId="13A815F6" w14:textId="77777777" w:rsidR="00494DE7" w:rsidRPr="00494DE7" w:rsidRDefault="00494DE7"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5.54</w:t>
            </w:r>
          </w:p>
        </w:tc>
        <w:tc>
          <w:tcPr>
            <w:tcW w:w="705" w:type="dxa"/>
            <w:tcBorders>
              <w:top w:val="nil"/>
              <w:bottom w:val="nil"/>
            </w:tcBorders>
            <w:vAlign w:val="center"/>
          </w:tcPr>
          <w:p w14:paraId="325F2F72" w14:textId="77777777" w:rsidR="00494DE7" w:rsidRPr="00494DE7" w:rsidRDefault="00494DE7"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08AC0148" w14:textId="77777777" w:rsidR="00494DE7" w:rsidRPr="00494DE7" w:rsidRDefault="00494DE7"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24EBD994" w14:textId="77777777" w:rsidTr="00FC5290">
        <w:trPr>
          <w:trHeight w:val="245"/>
        </w:trPr>
        <w:tc>
          <w:tcPr>
            <w:tcW w:w="2833" w:type="dxa"/>
            <w:tcBorders>
              <w:top w:val="nil"/>
              <w:left w:val="double" w:sz="4" w:space="0" w:color="auto"/>
              <w:bottom w:val="nil"/>
              <w:right w:val="double" w:sz="4" w:space="0" w:color="auto"/>
            </w:tcBorders>
            <w:vAlign w:val="center"/>
          </w:tcPr>
          <w:p w14:paraId="7C77EE54" w14:textId="646AA4E0"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Residential location (rural)</w:t>
            </w:r>
          </w:p>
        </w:tc>
        <w:tc>
          <w:tcPr>
            <w:tcW w:w="1874" w:type="dxa"/>
            <w:gridSpan w:val="3"/>
            <w:tcBorders>
              <w:top w:val="nil"/>
              <w:left w:val="double" w:sz="4" w:space="0" w:color="auto"/>
              <w:bottom w:val="nil"/>
            </w:tcBorders>
            <w:vAlign w:val="center"/>
          </w:tcPr>
          <w:p w14:paraId="1FFEFC3C"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596" w:type="dxa"/>
            <w:tcBorders>
              <w:top w:val="nil"/>
              <w:left w:val="nil"/>
              <w:bottom w:val="nil"/>
            </w:tcBorders>
            <w:vAlign w:val="center"/>
          </w:tcPr>
          <w:p w14:paraId="141F5D0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1241414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6C71B87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61BEF3F0"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598" w:type="dxa"/>
            <w:tcBorders>
              <w:top w:val="nil"/>
              <w:bottom w:val="nil"/>
            </w:tcBorders>
            <w:vAlign w:val="center"/>
          </w:tcPr>
          <w:p w14:paraId="75A1334C"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4439E724"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3" w:type="dxa"/>
            <w:tcBorders>
              <w:top w:val="nil"/>
              <w:bottom w:val="nil"/>
            </w:tcBorders>
            <w:vAlign w:val="center"/>
          </w:tcPr>
          <w:p w14:paraId="7C6525B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4F64F549"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6F22CBA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297A734E" w14:textId="77777777" w:rsidTr="00FC5290">
        <w:trPr>
          <w:trHeight w:val="245"/>
        </w:trPr>
        <w:tc>
          <w:tcPr>
            <w:tcW w:w="2833" w:type="dxa"/>
            <w:tcBorders>
              <w:top w:val="nil"/>
              <w:left w:val="double" w:sz="4" w:space="0" w:color="auto"/>
              <w:bottom w:val="nil"/>
              <w:right w:val="double" w:sz="4" w:space="0" w:color="auto"/>
            </w:tcBorders>
            <w:vAlign w:val="center"/>
          </w:tcPr>
          <w:p w14:paraId="0706CBD3" w14:textId="03910B3D"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Suburb</w:t>
            </w:r>
            <w:r w:rsidR="00631849" w:rsidRPr="00BA20DE">
              <w:rPr>
                <w:rFonts w:cs="Times New Roman"/>
                <w:color w:val="000000"/>
                <w:sz w:val="20"/>
                <w:szCs w:val="20"/>
              </w:rPr>
              <w:t>an</w:t>
            </w:r>
          </w:p>
        </w:tc>
        <w:tc>
          <w:tcPr>
            <w:tcW w:w="680" w:type="dxa"/>
            <w:tcBorders>
              <w:top w:val="nil"/>
              <w:left w:val="double" w:sz="4" w:space="0" w:color="auto"/>
              <w:bottom w:val="nil"/>
            </w:tcBorders>
            <w:vAlign w:val="center"/>
          </w:tcPr>
          <w:p w14:paraId="2AC614F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-0.3</w:t>
            </w:r>
            <w:r w:rsidR="006F37C5" w:rsidRPr="00B36D63">
              <w:rPr>
                <w:rFonts w:cs="Times New Roman"/>
                <w:sz w:val="20"/>
                <w:szCs w:val="20"/>
              </w:rPr>
              <w:t>6</w:t>
            </w:r>
            <w:r w:rsidR="007D5109">
              <w:rPr>
                <w:rFonts w:cs="Times New Roman"/>
                <w:sz w:val="20"/>
                <w:szCs w:val="20"/>
              </w:rPr>
              <w:t>1</w:t>
            </w:r>
          </w:p>
        </w:tc>
        <w:tc>
          <w:tcPr>
            <w:tcW w:w="511" w:type="dxa"/>
            <w:tcBorders>
              <w:top w:val="nil"/>
              <w:bottom w:val="nil"/>
            </w:tcBorders>
            <w:vAlign w:val="center"/>
          </w:tcPr>
          <w:p w14:paraId="0C1E8A11"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-4.</w:t>
            </w:r>
            <w:r w:rsidR="007D5109">
              <w:rPr>
                <w:rFonts w:cs="Times New Roman"/>
                <w:sz w:val="20"/>
                <w:szCs w:val="20"/>
              </w:rPr>
              <w:t>85</w:t>
            </w:r>
          </w:p>
        </w:tc>
        <w:tc>
          <w:tcPr>
            <w:tcW w:w="683" w:type="dxa"/>
            <w:tcBorders>
              <w:top w:val="nil"/>
              <w:bottom w:val="nil"/>
            </w:tcBorders>
            <w:vAlign w:val="center"/>
          </w:tcPr>
          <w:p w14:paraId="0AA37536"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-0.33</w:t>
            </w:r>
            <w:r w:rsidR="007D5109">
              <w:rPr>
                <w:rFonts w:cs="Times New Roman"/>
                <w:sz w:val="20"/>
                <w:szCs w:val="20"/>
              </w:rPr>
              <w:t>0</w:t>
            </w:r>
          </w:p>
        </w:tc>
        <w:tc>
          <w:tcPr>
            <w:tcW w:w="596" w:type="dxa"/>
            <w:tcBorders>
              <w:top w:val="nil"/>
              <w:bottom w:val="nil"/>
            </w:tcBorders>
            <w:vAlign w:val="center"/>
          </w:tcPr>
          <w:p w14:paraId="3BD45396"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-5.6</w:t>
            </w:r>
            <w:r w:rsidR="007D5109">
              <w:rPr>
                <w:rFonts w:cs="Times New Roman"/>
                <w:sz w:val="20"/>
                <w:szCs w:val="20"/>
              </w:rPr>
              <w:t>2</w:t>
            </w:r>
          </w:p>
        </w:tc>
        <w:tc>
          <w:tcPr>
            <w:tcW w:w="660" w:type="dxa"/>
            <w:tcBorders>
              <w:top w:val="nil"/>
              <w:bottom w:val="nil"/>
            </w:tcBorders>
            <w:vAlign w:val="center"/>
          </w:tcPr>
          <w:p w14:paraId="5B97797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3</w:t>
            </w:r>
            <w:r w:rsidR="007D5109">
              <w:rPr>
                <w:rFonts w:cs="Times New Roman"/>
                <w:sz w:val="20"/>
                <w:szCs w:val="20"/>
              </w:rPr>
              <w:t>73</w:t>
            </w:r>
          </w:p>
        </w:tc>
        <w:tc>
          <w:tcPr>
            <w:tcW w:w="625" w:type="dxa"/>
            <w:tcBorders>
              <w:top w:val="nil"/>
              <w:bottom w:val="nil"/>
              <w:right w:val="double" w:sz="4" w:space="0" w:color="auto"/>
            </w:tcBorders>
            <w:vAlign w:val="center"/>
          </w:tcPr>
          <w:p w14:paraId="5D1B60C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B36D63" w:rsidRPr="00B36D63">
              <w:rPr>
                <w:rFonts w:cs="Times New Roman"/>
                <w:sz w:val="20"/>
                <w:szCs w:val="20"/>
              </w:rPr>
              <w:t>5.1</w:t>
            </w:r>
            <w:r w:rsidR="007D5109">
              <w:rPr>
                <w:rFonts w:cs="Times New Roman"/>
                <w:sz w:val="20"/>
                <w:szCs w:val="20"/>
              </w:rPr>
              <w:t>8</w:t>
            </w:r>
          </w:p>
        </w:tc>
        <w:tc>
          <w:tcPr>
            <w:tcW w:w="705" w:type="dxa"/>
            <w:tcBorders>
              <w:top w:val="nil"/>
              <w:left w:val="double" w:sz="4" w:space="0" w:color="auto"/>
              <w:bottom w:val="nil"/>
            </w:tcBorders>
            <w:vAlign w:val="center"/>
          </w:tcPr>
          <w:p w14:paraId="7E5CCC5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4918373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410A29F1"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-0.3</w:t>
            </w:r>
            <w:r w:rsidR="00494DE7" w:rsidRPr="00494DE7">
              <w:rPr>
                <w:rFonts w:cs="Times New Roman"/>
                <w:sz w:val="20"/>
                <w:szCs w:val="20"/>
              </w:rPr>
              <w:t>23</w:t>
            </w:r>
          </w:p>
        </w:tc>
        <w:tc>
          <w:tcPr>
            <w:tcW w:w="623" w:type="dxa"/>
            <w:tcBorders>
              <w:top w:val="nil"/>
              <w:bottom w:val="nil"/>
            </w:tcBorders>
            <w:vAlign w:val="center"/>
          </w:tcPr>
          <w:p w14:paraId="3DF7E5E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w:t>
            </w:r>
            <w:r w:rsidR="00494DE7" w:rsidRPr="00494DE7">
              <w:rPr>
                <w:rFonts w:cs="Times New Roman"/>
                <w:sz w:val="20"/>
                <w:szCs w:val="20"/>
              </w:rPr>
              <w:t>32</w:t>
            </w:r>
          </w:p>
        </w:tc>
        <w:tc>
          <w:tcPr>
            <w:tcW w:w="705" w:type="dxa"/>
            <w:tcBorders>
              <w:top w:val="nil"/>
              <w:bottom w:val="nil"/>
            </w:tcBorders>
            <w:vAlign w:val="center"/>
          </w:tcPr>
          <w:p w14:paraId="6A3BC993"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w:t>
            </w:r>
            <w:r w:rsidR="00494DE7" w:rsidRPr="00494DE7">
              <w:rPr>
                <w:rFonts w:cs="Times New Roman"/>
                <w:sz w:val="20"/>
                <w:szCs w:val="20"/>
              </w:rPr>
              <w:t>15</w:t>
            </w:r>
          </w:p>
        </w:tc>
        <w:tc>
          <w:tcPr>
            <w:tcW w:w="621" w:type="dxa"/>
            <w:tcBorders>
              <w:top w:val="nil"/>
              <w:bottom w:val="nil"/>
              <w:right w:val="double" w:sz="4" w:space="0" w:color="auto"/>
            </w:tcBorders>
            <w:vAlign w:val="center"/>
          </w:tcPr>
          <w:p w14:paraId="12B0F38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-3.</w:t>
            </w:r>
            <w:r w:rsidR="00494DE7" w:rsidRPr="00494DE7">
              <w:rPr>
                <w:rFonts w:cs="Times New Roman"/>
                <w:sz w:val="20"/>
                <w:szCs w:val="20"/>
              </w:rPr>
              <w:t>09</w:t>
            </w:r>
          </w:p>
        </w:tc>
      </w:tr>
      <w:tr w:rsidR="009E2B76" w14:paraId="444AFAF0" w14:textId="77777777" w:rsidTr="00FC5290">
        <w:trPr>
          <w:trHeight w:val="245"/>
        </w:trPr>
        <w:tc>
          <w:tcPr>
            <w:tcW w:w="2833" w:type="dxa"/>
            <w:tcBorders>
              <w:top w:val="nil"/>
              <w:left w:val="double" w:sz="4" w:space="0" w:color="auto"/>
              <w:bottom w:val="nil"/>
              <w:right w:val="double" w:sz="4" w:space="0" w:color="auto"/>
            </w:tcBorders>
            <w:vAlign w:val="center"/>
          </w:tcPr>
          <w:p w14:paraId="59A65033" w14:textId="46C1ACB9"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E71B77" w:rsidRPr="00BA20DE">
              <w:rPr>
                <w:rFonts w:cs="Times New Roman"/>
                <w:color w:val="000000"/>
                <w:sz w:val="20"/>
                <w:szCs w:val="20"/>
              </w:rPr>
              <w:t>U</w:t>
            </w:r>
            <w:r w:rsidRPr="00BA20DE">
              <w:rPr>
                <w:rFonts w:cs="Times New Roman"/>
                <w:color w:val="000000"/>
                <w:sz w:val="20"/>
                <w:szCs w:val="20"/>
              </w:rPr>
              <w:t>rban</w:t>
            </w:r>
          </w:p>
        </w:tc>
        <w:tc>
          <w:tcPr>
            <w:tcW w:w="680" w:type="dxa"/>
            <w:tcBorders>
              <w:top w:val="nil"/>
              <w:left w:val="double" w:sz="4" w:space="0" w:color="auto"/>
            </w:tcBorders>
            <w:vAlign w:val="center"/>
          </w:tcPr>
          <w:p w14:paraId="5C5F9EB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6F37C5" w:rsidRPr="00B36D63">
              <w:rPr>
                <w:rFonts w:cs="Times New Roman"/>
                <w:sz w:val="20"/>
                <w:szCs w:val="20"/>
              </w:rPr>
              <w:t>3</w:t>
            </w:r>
            <w:r w:rsidR="007D5109">
              <w:rPr>
                <w:rFonts w:cs="Times New Roman"/>
                <w:sz w:val="20"/>
                <w:szCs w:val="20"/>
              </w:rPr>
              <w:t>61</w:t>
            </w:r>
          </w:p>
        </w:tc>
        <w:tc>
          <w:tcPr>
            <w:tcW w:w="511" w:type="dxa"/>
            <w:tcBorders>
              <w:top w:val="nil"/>
            </w:tcBorders>
            <w:vAlign w:val="center"/>
          </w:tcPr>
          <w:p w14:paraId="5B5821A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-4.</w:t>
            </w:r>
            <w:r w:rsidR="007D5109">
              <w:rPr>
                <w:rFonts w:cs="Times New Roman"/>
                <w:sz w:val="20"/>
                <w:szCs w:val="20"/>
              </w:rPr>
              <w:t>85</w:t>
            </w:r>
          </w:p>
        </w:tc>
        <w:tc>
          <w:tcPr>
            <w:tcW w:w="683" w:type="dxa"/>
            <w:tcBorders>
              <w:top w:val="nil"/>
              <w:bottom w:val="nil"/>
            </w:tcBorders>
            <w:vAlign w:val="center"/>
          </w:tcPr>
          <w:p w14:paraId="5F0EE6D7"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-0.16</w:t>
            </w:r>
            <w:r w:rsidR="007D5109">
              <w:rPr>
                <w:rFonts w:cs="Times New Roman"/>
                <w:sz w:val="20"/>
                <w:szCs w:val="20"/>
              </w:rPr>
              <w:t>3</w:t>
            </w:r>
          </w:p>
        </w:tc>
        <w:tc>
          <w:tcPr>
            <w:tcW w:w="596" w:type="dxa"/>
            <w:tcBorders>
              <w:top w:val="nil"/>
              <w:bottom w:val="nil"/>
            </w:tcBorders>
            <w:vAlign w:val="center"/>
          </w:tcPr>
          <w:p w14:paraId="59BABFA3"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-2.</w:t>
            </w:r>
            <w:r w:rsidR="007D5109">
              <w:rPr>
                <w:rFonts w:cs="Times New Roman"/>
                <w:sz w:val="20"/>
                <w:szCs w:val="20"/>
              </w:rPr>
              <w:t>6</w:t>
            </w:r>
            <w:r w:rsidRPr="00B36D63">
              <w:rPr>
                <w:rFonts w:cs="Times New Roman"/>
                <w:sz w:val="20"/>
                <w:szCs w:val="20"/>
              </w:rPr>
              <w:t>3</w:t>
            </w:r>
          </w:p>
        </w:tc>
        <w:tc>
          <w:tcPr>
            <w:tcW w:w="660" w:type="dxa"/>
            <w:tcBorders>
              <w:top w:val="nil"/>
              <w:bottom w:val="nil"/>
            </w:tcBorders>
            <w:vAlign w:val="center"/>
          </w:tcPr>
          <w:p w14:paraId="6C56C1E1"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-0.37</w:t>
            </w:r>
            <w:r w:rsidR="007D5109">
              <w:rPr>
                <w:rFonts w:cs="Times New Roman"/>
                <w:sz w:val="20"/>
                <w:szCs w:val="20"/>
              </w:rPr>
              <w:t>3</w:t>
            </w:r>
          </w:p>
        </w:tc>
        <w:tc>
          <w:tcPr>
            <w:tcW w:w="625" w:type="dxa"/>
            <w:tcBorders>
              <w:top w:val="nil"/>
              <w:bottom w:val="nil"/>
              <w:right w:val="double" w:sz="4" w:space="0" w:color="auto"/>
            </w:tcBorders>
            <w:vAlign w:val="center"/>
          </w:tcPr>
          <w:p w14:paraId="5758C3A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B36D63" w:rsidRPr="00B36D63">
              <w:rPr>
                <w:rFonts w:cs="Times New Roman"/>
                <w:sz w:val="20"/>
                <w:szCs w:val="20"/>
              </w:rPr>
              <w:t>5</w:t>
            </w:r>
            <w:r w:rsidR="007D5109">
              <w:rPr>
                <w:rFonts w:cs="Times New Roman"/>
                <w:sz w:val="20"/>
                <w:szCs w:val="20"/>
              </w:rPr>
              <w:t>.18</w:t>
            </w:r>
          </w:p>
        </w:tc>
        <w:tc>
          <w:tcPr>
            <w:tcW w:w="705" w:type="dxa"/>
            <w:tcBorders>
              <w:top w:val="nil"/>
              <w:left w:val="double" w:sz="4" w:space="0" w:color="auto"/>
              <w:bottom w:val="nil"/>
            </w:tcBorders>
            <w:vAlign w:val="center"/>
          </w:tcPr>
          <w:p w14:paraId="0355F11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130F1E5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460C4D7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-0.39</w:t>
            </w:r>
            <w:r w:rsidR="00494DE7" w:rsidRPr="00494DE7">
              <w:rPr>
                <w:rFonts w:cs="Times New Roman"/>
                <w:sz w:val="20"/>
                <w:szCs w:val="20"/>
              </w:rPr>
              <w:t>9</w:t>
            </w:r>
          </w:p>
        </w:tc>
        <w:tc>
          <w:tcPr>
            <w:tcW w:w="623" w:type="dxa"/>
            <w:tcBorders>
              <w:top w:val="nil"/>
              <w:bottom w:val="nil"/>
            </w:tcBorders>
            <w:vAlign w:val="center"/>
          </w:tcPr>
          <w:p w14:paraId="6104C836"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-6.</w:t>
            </w:r>
            <w:r w:rsidR="00494DE7" w:rsidRPr="00494DE7">
              <w:rPr>
                <w:rFonts w:cs="Times New Roman"/>
                <w:sz w:val="20"/>
                <w:szCs w:val="20"/>
              </w:rPr>
              <w:t>20</w:t>
            </w:r>
          </w:p>
        </w:tc>
        <w:tc>
          <w:tcPr>
            <w:tcW w:w="705" w:type="dxa"/>
            <w:tcBorders>
              <w:top w:val="nil"/>
              <w:bottom w:val="nil"/>
            </w:tcBorders>
            <w:vAlign w:val="center"/>
          </w:tcPr>
          <w:p w14:paraId="0F81B4BC"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-0.3</w:t>
            </w:r>
            <w:r w:rsidR="00494DE7" w:rsidRPr="00494DE7">
              <w:rPr>
                <w:rFonts w:cs="Times New Roman"/>
                <w:sz w:val="20"/>
                <w:szCs w:val="20"/>
              </w:rPr>
              <w:t>58</w:t>
            </w:r>
          </w:p>
        </w:tc>
        <w:tc>
          <w:tcPr>
            <w:tcW w:w="621" w:type="dxa"/>
            <w:tcBorders>
              <w:top w:val="nil"/>
              <w:bottom w:val="nil"/>
              <w:right w:val="double" w:sz="4" w:space="0" w:color="auto"/>
            </w:tcBorders>
            <w:vAlign w:val="center"/>
          </w:tcPr>
          <w:p w14:paraId="7DFF4019"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-4.</w:t>
            </w:r>
            <w:r w:rsidR="00494DE7" w:rsidRPr="00494DE7">
              <w:rPr>
                <w:rFonts w:cs="Times New Roman"/>
                <w:sz w:val="20"/>
                <w:szCs w:val="20"/>
              </w:rPr>
              <w:t>85</w:t>
            </w:r>
          </w:p>
        </w:tc>
      </w:tr>
      <w:tr w:rsidR="009E2B76" w14:paraId="3498CA4F" w14:textId="77777777" w:rsidTr="00FC5290">
        <w:trPr>
          <w:trHeight w:val="245"/>
        </w:trPr>
        <w:tc>
          <w:tcPr>
            <w:tcW w:w="2833" w:type="dxa"/>
            <w:tcBorders>
              <w:top w:val="nil"/>
              <w:left w:val="double" w:sz="4" w:space="0" w:color="auto"/>
              <w:bottom w:val="nil"/>
              <w:right w:val="double" w:sz="4" w:space="0" w:color="auto"/>
            </w:tcBorders>
            <w:vAlign w:val="center"/>
          </w:tcPr>
          <w:p w14:paraId="0B89ACC5" w14:textId="093024DB"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Vehicle availability (</w:t>
            </w:r>
            <w:r w:rsidR="00BA20DE" w:rsidRPr="00BA20DE">
              <w:rPr>
                <w:rFonts w:cs="Times New Roman"/>
                <w:b/>
                <w:bCs/>
                <w:color w:val="000000"/>
                <w:sz w:val="20"/>
                <w:szCs w:val="20"/>
              </w:rPr>
              <w:t>Less than</w:t>
            </w:r>
            <w:r w:rsidRPr="00BA20DE">
              <w:rPr>
                <w:rFonts w:cs="Times New Roman"/>
                <w:b/>
                <w:bCs/>
                <w:color w:val="000000"/>
                <w:sz w:val="20"/>
                <w:szCs w:val="20"/>
              </w:rPr>
              <w:t xml:space="preserve"> 1 per worker)</w:t>
            </w:r>
          </w:p>
        </w:tc>
        <w:tc>
          <w:tcPr>
            <w:tcW w:w="1191" w:type="dxa"/>
            <w:gridSpan w:val="2"/>
            <w:tcBorders>
              <w:top w:val="nil"/>
              <w:left w:val="double" w:sz="4" w:space="0" w:color="auto"/>
              <w:bottom w:val="nil"/>
            </w:tcBorders>
            <w:vAlign w:val="center"/>
          </w:tcPr>
          <w:p w14:paraId="3BB5C467"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683" w:type="dxa"/>
            <w:tcBorders>
              <w:top w:val="nil"/>
              <w:left w:val="nil"/>
              <w:bottom w:val="nil"/>
            </w:tcBorders>
            <w:vAlign w:val="center"/>
          </w:tcPr>
          <w:p w14:paraId="473C7E2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76C09D1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5657966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7931006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67E917E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7445EFD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3A1035B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3" w:type="dxa"/>
            <w:tcBorders>
              <w:top w:val="nil"/>
              <w:bottom w:val="nil"/>
            </w:tcBorders>
            <w:vAlign w:val="center"/>
          </w:tcPr>
          <w:p w14:paraId="1AEAC46B"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bottom w:val="nil"/>
            </w:tcBorders>
            <w:vAlign w:val="center"/>
          </w:tcPr>
          <w:p w14:paraId="3B7E032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6C4BD78A"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1A178253" w14:textId="77777777" w:rsidTr="00FC5290">
        <w:trPr>
          <w:trHeight w:val="245"/>
        </w:trPr>
        <w:tc>
          <w:tcPr>
            <w:tcW w:w="2833" w:type="dxa"/>
            <w:tcBorders>
              <w:top w:val="nil"/>
              <w:left w:val="double" w:sz="4" w:space="0" w:color="auto"/>
              <w:bottom w:val="nil"/>
              <w:right w:val="double" w:sz="4" w:space="0" w:color="auto"/>
            </w:tcBorders>
            <w:vAlign w:val="center"/>
          </w:tcPr>
          <w:p w14:paraId="6496183B"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 per worker</w:t>
            </w:r>
          </w:p>
        </w:tc>
        <w:tc>
          <w:tcPr>
            <w:tcW w:w="680" w:type="dxa"/>
            <w:tcBorders>
              <w:top w:val="nil"/>
              <w:left w:val="double" w:sz="4" w:space="0" w:color="auto"/>
              <w:bottom w:val="nil"/>
            </w:tcBorders>
            <w:vAlign w:val="center"/>
          </w:tcPr>
          <w:p w14:paraId="6D2C7FF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w:t>
            </w:r>
            <w:r w:rsidR="006F37C5" w:rsidRPr="00B36D63">
              <w:rPr>
                <w:rFonts w:cs="Times New Roman"/>
                <w:sz w:val="20"/>
                <w:szCs w:val="20"/>
              </w:rPr>
              <w:t>48</w:t>
            </w:r>
          </w:p>
        </w:tc>
        <w:tc>
          <w:tcPr>
            <w:tcW w:w="511" w:type="dxa"/>
            <w:tcBorders>
              <w:top w:val="nil"/>
              <w:bottom w:val="nil"/>
            </w:tcBorders>
            <w:vAlign w:val="center"/>
          </w:tcPr>
          <w:p w14:paraId="5F366CEA"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-4.71</w:t>
            </w:r>
          </w:p>
        </w:tc>
        <w:tc>
          <w:tcPr>
            <w:tcW w:w="683" w:type="dxa"/>
            <w:tcBorders>
              <w:top w:val="nil"/>
              <w:bottom w:val="nil"/>
            </w:tcBorders>
            <w:vAlign w:val="center"/>
          </w:tcPr>
          <w:p w14:paraId="45FD37C8"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1E51C747"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4256BD8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B36D63" w:rsidRPr="00B36D63">
              <w:rPr>
                <w:rFonts w:cs="Times New Roman"/>
                <w:sz w:val="20"/>
                <w:szCs w:val="20"/>
              </w:rPr>
              <w:t>162</w:t>
            </w:r>
          </w:p>
        </w:tc>
        <w:tc>
          <w:tcPr>
            <w:tcW w:w="625" w:type="dxa"/>
            <w:tcBorders>
              <w:top w:val="nil"/>
              <w:bottom w:val="nil"/>
              <w:right w:val="double" w:sz="4" w:space="0" w:color="auto"/>
            </w:tcBorders>
            <w:vAlign w:val="center"/>
          </w:tcPr>
          <w:p w14:paraId="14B253AB"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-3.17</w:t>
            </w:r>
          </w:p>
        </w:tc>
        <w:tc>
          <w:tcPr>
            <w:tcW w:w="705" w:type="dxa"/>
            <w:tcBorders>
              <w:top w:val="nil"/>
              <w:left w:val="double" w:sz="4" w:space="0" w:color="auto"/>
              <w:bottom w:val="nil"/>
            </w:tcBorders>
            <w:vAlign w:val="center"/>
          </w:tcPr>
          <w:p w14:paraId="1840764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7C0558C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42AC65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2807FCE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57E092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5F31F1D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2249F214" w14:textId="77777777" w:rsidTr="00FC5290">
        <w:trPr>
          <w:trHeight w:val="245"/>
        </w:trPr>
        <w:tc>
          <w:tcPr>
            <w:tcW w:w="2833" w:type="dxa"/>
            <w:tcBorders>
              <w:top w:val="nil"/>
              <w:left w:val="double" w:sz="4" w:space="0" w:color="auto"/>
              <w:bottom w:val="nil"/>
              <w:right w:val="double" w:sz="4" w:space="0" w:color="auto"/>
            </w:tcBorders>
            <w:vAlign w:val="center"/>
          </w:tcPr>
          <w:p w14:paraId="12EF6CFE" w14:textId="0D293B86" w:rsidR="009E2B76" w:rsidRPr="00BA20DE" w:rsidRDefault="00BA20DE"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More than</w:t>
            </w:r>
            <w:r w:rsidR="009E2B76" w:rsidRPr="00BA20DE">
              <w:rPr>
                <w:rFonts w:cs="Times New Roman"/>
                <w:color w:val="000000"/>
                <w:sz w:val="20"/>
                <w:szCs w:val="20"/>
              </w:rPr>
              <w:t xml:space="preserve"> 1 per worker</w:t>
            </w:r>
          </w:p>
        </w:tc>
        <w:tc>
          <w:tcPr>
            <w:tcW w:w="680" w:type="dxa"/>
            <w:tcBorders>
              <w:top w:val="nil"/>
              <w:left w:val="double" w:sz="4" w:space="0" w:color="auto"/>
            </w:tcBorders>
            <w:vAlign w:val="center"/>
          </w:tcPr>
          <w:p w14:paraId="063500A7"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-0.248</w:t>
            </w:r>
          </w:p>
        </w:tc>
        <w:tc>
          <w:tcPr>
            <w:tcW w:w="511" w:type="dxa"/>
            <w:tcBorders>
              <w:top w:val="nil"/>
              <w:bottom w:val="nil"/>
            </w:tcBorders>
            <w:vAlign w:val="center"/>
          </w:tcPr>
          <w:p w14:paraId="3A66B8DF" w14:textId="77777777" w:rsidR="009E2B76" w:rsidRPr="00B36D63" w:rsidRDefault="006F37C5"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-4.71</w:t>
            </w:r>
          </w:p>
        </w:tc>
        <w:tc>
          <w:tcPr>
            <w:tcW w:w="683" w:type="dxa"/>
            <w:tcBorders>
              <w:top w:val="nil"/>
              <w:bottom w:val="nil"/>
            </w:tcBorders>
            <w:vAlign w:val="center"/>
          </w:tcPr>
          <w:p w14:paraId="11CF1151"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4FD7FCC8"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2C0972E1"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-0.162</w:t>
            </w:r>
          </w:p>
        </w:tc>
        <w:tc>
          <w:tcPr>
            <w:tcW w:w="625" w:type="dxa"/>
            <w:tcBorders>
              <w:top w:val="nil"/>
              <w:bottom w:val="nil"/>
              <w:right w:val="double" w:sz="4" w:space="0" w:color="auto"/>
            </w:tcBorders>
            <w:vAlign w:val="center"/>
          </w:tcPr>
          <w:p w14:paraId="0188DCA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B36D63" w:rsidRPr="00B36D63">
              <w:rPr>
                <w:rFonts w:cs="Times New Roman"/>
                <w:sz w:val="20"/>
                <w:szCs w:val="20"/>
              </w:rPr>
              <w:t>3.17</w:t>
            </w:r>
          </w:p>
        </w:tc>
        <w:tc>
          <w:tcPr>
            <w:tcW w:w="705" w:type="dxa"/>
            <w:tcBorders>
              <w:top w:val="nil"/>
              <w:left w:val="double" w:sz="4" w:space="0" w:color="auto"/>
              <w:bottom w:val="nil"/>
            </w:tcBorders>
            <w:vAlign w:val="center"/>
          </w:tcPr>
          <w:p w14:paraId="7A8503D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5BF1833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B446D4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6B21773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7DE74FD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w:t>
            </w:r>
            <w:r w:rsidR="00494DE7" w:rsidRPr="00494DE7">
              <w:rPr>
                <w:rFonts w:cs="Times New Roman"/>
                <w:sz w:val="20"/>
                <w:szCs w:val="20"/>
              </w:rPr>
              <w:t>214</w:t>
            </w:r>
          </w:p>
        </w:tc>
        <w:tc>
          <w:tcPr>
            <w:tcW w:w="621" w:type="dxa"/>
            <w:tcBorders>
              <w:top w:val="nil"/>
              <w:bottom w:val="nil"/>
              <w:right w:val="double" w:sz="4" w:space="0" w:color="auto"/>
            </w:tcBorders>
            <w:vAlign w:val="center"/>
          </w:tcPr>
          <w:p w14:paraId="2DEE1936" w14:textId="77777777" w:rsidR="009E2B76" w:rsidRPr="00494DE7" w:rsidRDefault="00494DE7"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6.26</w:t>
            </w:r>
          </w:p>
        </w:tc>
      </w:tr>
      <w:tr w:rsidR="009E2B76" w14:paraId="0C73CE2E" w14:textId="77777777" w:rsidTr="00FC5290">
        <w:trPr>
          <w:trHeight w:val="245"/>
        </w:trPr>
        <w:tc>
          <w:tcPr>
            <w:tcW w:w="2833" w:type="dxa"/>
            <w:tcBorders>
              <w:top w:val="nil"/>
              <w:left w:val="double" w:sz="4" w:space="0" w:color="auto"/>
              <w:bottom w:val="nil"/>
              <w:right w:val="double" w:sz="4" w:space="0" w:color="auto"/>
            </w:tcBorders>
            <w:vAlign w:val="center"/>
          </w:tcPr>
          <w:p w14:paraId="09D8AB5B"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Ride-hailing frequent user (no)</w:t>
            </w:r>
          </w:p>
        </w:tc>
        <w:tc>
          <w:tcPr>
            <w:tcW w:w="680" w:type="dxa"/>
            <w:tcBorders>
              <w:top w:val="nil"/>
              <w:left w:val="double" w:sz="4" w:space="0" w:color="auto"/>
              <w:bottom w:val="nil"/>
            </w:tcBorders>
            <w:vAlign w:val="center"/>
          </w:tcPr>
          <w:p w14:paraId="58327D7A"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511" w:type="dxa"/>
            <w:tcBorders>
              <w:top w:val="nil"/>
              <w:left w:val="nil"/>
              <w:bottom w:val="nil"/>
            </w:tcBorders>
            <w:vAlign w:val="center"/>
          </w:tcPr>
          <w:p w14:paraId="24048CB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5D97D2D9"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596" w:type="dxa"/>
            <w:tcBorders>
              <w:top w:val="nil"/>
              <w:bottom w:val="nil"/>
            </w:tcBorders>
            <w:vAlign w:val="center"/>
          </w:tcPr>
          <w:p w14:paraId="2480C4C5"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p>
        </w:tc>
        <w:tc>
          <w:tcPr>
            <w:tcW w:w="660" w:type="dxa"/>
            <w:tcBorders>
              <w:top w:val="nil"/>
              <w:bottom w:val="nil"/>
            </w:tcBorders>
            <w:vAlign w:val="center"/>
          </w:tcPr>
          <w:p w14:paraId="7B098FA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38D914E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7B0462F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7256B27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030A6E4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42367AC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3F111955"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0E05B816"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440398B3" w14:textId="77777777" w:rsidTr="00FC5290">
        <w:trPr>
          <w:trHeight w:val="245"/>
        </w:trPr>
        <w:tc>
          <w:tcPr>
            <w:tcW w:w="2833" w:type="dxa"/>
            <w:tcBorders>
              <w:top w:val="nil"/>
              <w:left w:val="double" w:sz="4" w:space="0" w:color="auto"/>
              <w:bottom w:val="nil"/>
              <w:right w:val="double" w:sz="4" w:space="0" w:color="auto"/>
            </w:tcBorders>
            <w:vAlign w:val="center"/>
          </w:tcPr>
          <w:p w14:paraId="51B9784D"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Yes</w:t>
            </w:r>
          </w:p>
        </w:tc>
        <w:tc>
          <w:tcPr>
            <w:tcW w:w="680" w:type="dxa"/>
            <w:tcBorders>
              <w:top w:val="nil"/>
              <w:left w:val="double" w:sz="4" w:space="0" w:color="auto"/>
            </w:tcBorders>
            <w:vAlign w:val="center"/>
          </w:tcPr>
          <w:p w14:paraId="534907A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w:t>
            </w:r>
            <w:r w:rsidR="007D5109">
              <w:rPr>
                <w:rFonts w:cs="Times New Roman"/>
                <w:sz w:val="20"/>
                <w:szCs w:val="20"/>
              </w:rPr>
              <w:t>83</w:t>
            </w:r>
          </w:p>
        </w:tc>
        <w:tc>
          <w:tcPr>
            <w:tcW w:w="511" w:type="dxa"/>
            <w:tcBorders>
              <w:top w:val="nil"/>
              <w:bottom w:val="nil"/>
            </w:tcBorders>
            <w:vAlign w:val="center"/>
          </w:tcPr>
          <w:p w14:paraId="33B757CD"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w:t>
            </w:r>
            <w:r w:rsidR="007D5109">
              <w:rPr>
                <w:rFonts w:cs="Times New Roman"/>
                <w:sz w:val="20"/>
                <w:szCs w:val="20"/>
              </w:rPr>
              <w:t>5.42</w:t>
            </w:r>
          </w:p>
        </w:tc>
        <w:tc>
          <w:tcPr>
            <w:tcW w:w="683" w:type="dxa"/>
            <w:tcBorders>
              <w:top w:val="nil"/>
              <w:bottom w:val="nil"/>
            </w:tcBorders>
            <w:vAlign w:val="center"/>
          </w:tcPr>
          <w:p w14:paraId="1BB02DEA" w14:textId="77777777" w:rsidR="009E2B76" w:rsidRPr="00B36D63" w:rsidRDefault="00B36D63"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50DE26B3" w14:textId="77777777" w:rsidR="009E2B76" w:rsidRPr="00B36D63" w:rsidRDefault="00B36D63"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757F7FC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B36D63" w:rsidRPr="00B36D63">
              <w:rPr>
                <w:rFonts w:cs="Times New Roman"/>
                <w:sz w:val="20"/>
                <w:szCs w:val="20"/>
              </w:rPr>
              <w:t>2</w:t>
            </w:r>
            <w:r w:rsidR="007D5109">
              <w:rPr>
                <w:rFonts w:cs="Times New Roman"/>
                <w:sz w:val="20"/>
                <w:szCs w:val="20"/>
              </w:rPr>
              <w:t>64</w:t>
            </w:r>
          </w:p>
        </w:tc>
        <w:tc>
          <w:tcPr>
            <w:tcW w:w="625" w:type="dxa"/>
            <w:tcBorders>
              <w:top w:val="nil"/>
              <w:bottom w:val="nil"/>
              <w:right w:val="double" w:sz="4" w:space="0" w:color="auto"/>
            </w:tcBorders>
            <w:vAlign w:val="center"/>
          </w:tcPr>
          <w:p w14:paraId="37571FC9" w14:textId="77777777" w:rsidR="009E2B76" w:rsidRPr="00B36D63" w:rsidRDefault="00B36D63"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6.</w:t>
            </w:r>
            <w:r w:rsidR="007D5109">
              <w:rPr>
                <w:rFonts w:cs="Times New Roman"/>
                <w:sz w:val="20"/>
                <w:szCs w:val="20"/>
              </w:rPr>
              <w:t>69</w:t>
            </w:r>
          </w:p>
        </w:tc>
        <w:tc>
          <w:tcPr>
            <w:tcW w:w="705" w:type="dxa"/>
            <w:tcBorders>
              <w:top w:val="nil"/>
              <w:left w:val="double" w:sz="4" w:space="0" w:color="auto"/>
              <w:bottom w:val="nil"/>
            </w:tcBorders>
            <w:vAlign w:val="center"/>
          </w:tcPr>
          <w:p w14:paraId="246B37F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404EBF5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280E764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4DDCFC5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31C9F21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-0.1</w:t>
            </w:r>
            <w:r w:rsidR="00494DE7" w:rsidRPr="00494DE7">
              <w:rPr>
                <w:rFonts w:cs="Times New Roman"/>
                <w:sz w:val="20"/>
                <w:szCs w:val="20"/>
              </w:rPr>
              <w:t>09</w:t>
            </w:r>
          </w:p>
        </w:tc>
        <w:tc>
          <w:tcPr>
            <w:tcW w:w="621" w:type="dxa"/>
            <w:tcBorders>
              <w:top w:val="nil"/>
              <w:bottom w:val="nil"/>
              <w:right w:val="double" w:sz="4" w:space="0" w:color="auto"/>
            </w:tcBorders>
            <w:vAlign w:val="center"/>
          </w:tcPr>
          <w:p w14:paraId="2B5A588B"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-3.</w:t>
            </w:r>
            <w:r w:rsidR="00494DE7" w:rsidRPr="00494DE7">
              <w:rPr>
                <w:rFonts w:cs="Times New Roman"/>
                <w:sz w:val="20"/>
                <w:szCs w:val="20"/>
              </w:rPr>
              <w:t>15</w:t>
            </w:r>
          </w:p>
        </w:tc>
      </w:tr>
      <w:tr w:rsidR="009E2B76" w14:paraId="249810E4" w14:textId="77777777" w:rsidTr="00FC5290">
        <w:trPr>
          <w:trHeight w:val="245"/>
        </w:trPr>
        <w:tc>
          <w:tcPr>
            <w:tcW w:w="2833" w:type="dxa"/>
            <w:tcBorders>
              <w:top w:val="nil"/>
              <w:left w:val="double" w:sz="4" w:space="0" w:color="auto"/>
              <w:bottom w:val="nil"/>
              <w:right w:val="double" w:sz="4" w:space="0" w:color="auto"/>
            </w:tcBorders>
            <w:vAlign w:val="center"/>
          </w:tcPr>
          <w:p w14:paraId="5905DA73" w14:textId="77777777" w:rsidR="009E2B76" w:rsidRPr="00BA20DE" w:rsidRDefault="009E2B76" w:rsidP="009263FC">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Pooled ride-hailing user (no)</w:t>
            </w:r>
          </w:p>
        </w:tc>
        <w:tc>
          <w:tcPr>
            <w:tcW w:w="680" w:type="dxa"/>
            <w:tcBorders>
              <w:top w:val="nil"/>
              <w:left w:val="double" w:sz="4" w:space="0" w:color="auto"/>
              <w:bottom w:val="nil"/>
            </w:tcBorders>
            <w:vAlign w:val="center"/>
          </w:tcPr>
          <w:p w14:paraId="509A5C4C" w14:textId="77777777" w:rsidR="009E2B76" w:rsidRPr="00B36D63" w:rsidRDefault="009E2B76" w:rsidP="00513060">
            <w:pPr>
              <w:tabs>
                <w:tab w:val="decimal" w:pos="222"/>
              </w:tabs>
              <w:autoSpaceDE w:val="0"/>
              <w:autoSpaceDN w:val="0"/>
              <w:adjustRightInd w:val="0"/>
              <w:spacing w:line="240" w:lineRule="auto"/>
              <w:jc w:val="left"/>
              <w:rPr>
                <w:rFonts w:cs="Times New Roman"/>
                <w:b/>
                <w:bCs/>
                <w:sz w:val="20"/>
                <w:szCs w:val="20"/>
              </w:rPr>
            </w:pPr>
          </w:p>
        </w:tc>
        <w:tc>
          <w:tcPr>
            <w:tcW w:w="511" w:type="dxa"/>
            <w:tcBorders>
              <w:top w:val="nil"/>
              <w:left w:val="nil"/>
              <w:bottom w:val="nil"/>
            </w:tcBorders>
            <w:vAlign w:val="center"/>
          </w:tcPr>
          <w:p w14:paraId="4CD3A66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6EA297C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6EA489A6"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39418A8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226C6C8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348C712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0ADEA80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1AE12F3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4BDC676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6177DD3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c>
          <w:tcPr>
            <w:tcW w:w="621" w:type="dxa"/>
            <w:tcBorders>
              <w:top w:val="nil"/>
              <w:bottom w:val="nil"/>
              <w:right w:val="double" w:sz="4" w:space="0" w:color="auto"/>
            </w:tcBorders>
            <w:vAlign w:val="center"/>
          </w:tcPr>
          <w:p w14:paraId="4E6F72E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p>
        </w:tc>
      </w:tr>
      <w:tr w:rsidR="009E2B76" w14:paraId="561FB0D2" w14:textId="77777777" w:rsidTr="00FC5290">
        <w:trPr>
          <w:trHeight w:val="245"/>
        </w:trPr>
        <w:tc>
          <w:tcPr>
            <w:tcW w:w="2833" w:type="dxa"/>
            <w:tcBorders>
              <w:top w:val="nil"/>
              <w:left w:val="double" w:sz="4" w:space="0" w:color="auto"/>
              <w:bottom w:val="nil"/>
              <w:right w:val="double" w:sz="4" w:space="0" w:color="auto"/>
            </w:tcBorders>
            <w:vAlign w:val="center"/>
          </w:tcPr>
          <w:p w14:paraId="78CCAFCD" w14:textId="77777777" w:rsidR="009E2B76" w:rsidRPr="00BA20DE" w:rsidRDefault="009E2B76" w:rsidP="0004408C">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Yes</w:t>
            </w:r>
          </w:p>
        </w:tc>
        <w:tc>
          <w:tcPr>
            <w:tcW w:w="680" w:type="dxa"/>
            <w:tcBorders>
              <w:top w:val="nil"/>
              <w:left w:val="double" w:sz="4" w:space="0" w:color="auto"/>
              <w:bottom w:val="nil"/>
            </w:tcBorders>
            <w:vAlign w:val="center"/>
          </w:tcPr>
          <w:p w14:paraId="5F81356B"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11" w:type="dxa"/>
            <w:tcBorders>
              <w:top w:val="nil"/>
              <w:bottom w:val="nil"/>
            </w:tcBorders>
            <w:vAlign w:val="center"/>
          </w:tcPr>
          <w:p w14:paraId="7AEB4413"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83" w:type="dxa"/>
            <w:tcBorders>
              <w:top w:val="nil"/>
              <w:bottom w:val="nil"/>
            </w:tcBorders>
            <w:vAlign w:val="center"/>
          </w:tcPr>
          <w:p w14:paraId="2E9F96EC"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596" w:type="dxa"/>
            <w:tcBorders>
              <w:top w:val="nil"/>
              <w:bottom w:val="nil"/>
            </w:tcBorders>
            <w:vAlign w:val="center"/>
          </w:tcPr>
          <w:p w14:paraId="3B6DA5B0"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60" w:type="dxa"/>
            <w:tcBorders>
              <w:top w:val="nil"/>
              <w:bottom w:val="nil"/>
            </w:tcBorders>
            <w:vAlign w:val="center"/>
          </w:tcPr>
          <w:p w14:paraId="787A357D"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625" w:type="dxa"/>
            <w:tcBorders>
              <w:top w:val="nil"/>
              <w:bottom w:val="nil"/>
              <w:right w:val="double" w:sz="4" w:space="0" w:color="auto"/>
            </w:tcBorders>
            <w:vAlign w:val="center"/>
          </w:tcPr>
          <w:p w14:paraId="0362F37A" w14:textId="77777777" w:rsidR="009E2B76" w:rsidRPr="00B36D63" w:rsidRDefault="009E2B76" w:rsidP="00513060">
            <w:pPr>
              <w:tabs>
                <w:tab w:val="decimal" w:pos="222"/>
              </w:tabs>
              <w:autoSpaceDE w:val="0"/>
              <w:autoSpaceDN w:val="0"/>
              <w:adjustRightInd w:val="0"/>
              <w:spacing w:line="240" w:lineRule="auto"/>
              <w:jc w:val="center"/>
              <w:rPr>
                <w:rFonts w:cs="Times New Roman"/>
                <w:sz w:val="20"/>
                <w:szCs w:val="20"/>
              </w:rPr>
            </w:pPr>
            <w:r w:rsidRPr="00B36D63">
              <w:rPr>
                <w:rFonts w:cs="Times New Roman"/>
                <w:sz w:val="20"/>
                <w:szCs w:val="20"/>
              </w:rPr>
              <w:t>--</w:t>
            </w:r>
          </w:p>
        </w:tc>
        <w:tc>
          <w:tcPr>
            <w:tcW w:w="705" w:type="dxa"/>
            <w:tcBorders>
              <w:top w:val="nil"/>
              <w:left w:val="double" w:sz="4" w:space="0" w:color="auto"/>
              <w:bottom w:val="nil"/>
            </w:tcBorders>
            <w:vAlign w:val="center"/>
          </w:tcPr>
          <w:p w14:paraId="0623349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0FA4365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29C603D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2C8D630F"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471E132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67D0F3A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0FFC34D5" w14:textId="77777777" w:rsidTr="00FC5290">
        <w:trPr>
          <w:trHeight w:val="245"/>
        </w:trPr>
        <w:tc>
          <w:tcPr>
            <w:tcW w:w="2833" w:type="dxa"/>
            <w:tcBorders>
              <w:top w:val="nil"/>
              <w:left w:val="double" w:sz="4" w:space="0" w:color="auto"/>
              <w:bottom w:val="nil"/>
              <w:right w:val="double" w:sz="4" w:space="0" w:color="auto"/>
            </w:tcBorders>
            <w:vAlign w:val="center"/>
          </w:tcPr>
          <w:p w14:paraId="18CF44C1" w14:textId="77777777" w:rsidR="009E2B76" w:rsidRPr="00BA20DE" w:rsidRDefault="009E2B76" w:rsidP="009E2B76">
            <w:pPr>
              <w:autoSpaceDE w:val="0"/>
              <w:autoSpaceDN w:val="0"/>
              <w:adjustRightInd w:val="0"/>
              <w:spacing w:line="240" w:lineRule="auto"/>
              <w:jc w:val="left"/>
              <w:rPr>
                <w:rFonts w:cs="Times New Roman"/>
                <w:i/>
                <w:iCs/>
                <w:color w:val="000000"/>
                <w:sz w:val="20"/>
                <w:szCs w:val="20"/>
              </w:rPr>
            </w:pPr>
            <w:r w:rsidRPr="00BA20DE">
              <w:rPr>
                <w:rFonts w:cs="Times New Roman"/>
                <w:i/>
                <w:iCs/>
                <w:color w:val="000000"/>
                <w:sz w:val="20"/>
                <w:szCs w:val="20"/>
              </w:rPr>
              <w:t>Endogenous Effects</w:t>
            </w:r>
          </w:p>
        </w:tc>
        <w:tc>
          <w:tcPr>
            <w:tcW w:w="680" w:type="dxa"/>
            <w:tcBorders>
              <w:top w:val="nil"/>
              <w:left w:val="double" w:sz="4" w:space="0" w:color="auto"/>
              <w:bottom w:val="nil"/>
            </w:tcBorders>
            <w:vAlign w:val="center"/>
          </w:tcPr>
          <w:p w14:paraId="628D592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63A14FF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3E85455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19C2048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43358F4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78C692D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74FD6D6B"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395B9E2E"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0AD00B6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6A51325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48055D51"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10D9D63A"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59DF09E0" w14:textId="77777777" w:rsidTr="00FC5290">
        <w:trPr>
          <w:trHeight w:val="245"/>
        </w:trPr>
        <w:tc>
          <w:tcPr>
            <w:tcW w:w="2833" w:type="dxa"/>
            <w:tcBorders>
              <w:top w:val="nil"/>
              <w:left w:val="double" w:sz="4" w:space="0" w:color="auto"/>
              <w:bottom w:val="nil"/>
              <w:right w:val="double" w:sz="4" w:space="0" w:color="auto"/>
            </w:tcBorders>
            <w:vAlign w:val="center"/>
          </w:tcPr>
          <w:p w14:paraId="598386F9" w14:textId="77777777" w:rsidR="009E2B76" w:rsidRPr="00BA20DE" w:rsidRDefault="009E2B76" w:rsidP="009E2B76">
            <w:pPr>
              <w:autoSpaceDE w:val="0"/>
              <w:autoSpaceDN w:val="0"/>
              <w:adjustRightInd w:val="0"/>
              <w:spacing w:line="240" w:lineRule="auto"/>
              <w:rPr>
                <w:rFonts w:cs="Times New Roman"/>
                <w:b/>
                <w:bCs/>
                <w:color w:val="000000"/>
                <w:sz w:val="20"/>
                <w:szCs w:val="20"/>
              </w:rPr>
            </w:pPr>
            <w:r w:rsidRPr="00BA20DE">
              <w:rPr>
                <w:rFonts w:cs="Times New Roman"/>
                <w:b/>
                <w:bCs/>
                <w:color w:val="000000"/>
                <w:sz w:val="20"/>
                <w:szCs w:val="20"/>
              </w:rPr>
              <w:t>Trip purpose (airport)</w:t>
            </w:r>
          </w:p>
        </w:tc>
        <w:tc>
          <w:tcPr>
            <w:tcW w:w="680" w:type="dxa"/>
            <w:tcBorders>
              <w:top w:val="nil"/>
              <w:left w:val="double" w:sz="4" w:space="0" w:color="auto"/>
              <w:bottom w:val="nil"/>
            </w:tcBorders>
            <w:vAlign w:val="center"/>
          </w:tcPr>
          <w:p w14:paraId="25DDF61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4F37B9C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27E01D0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5BC685C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A074D9A"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35390821"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67F9A52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598" w:type="dxa"/>
            <w:tcBorders>
              <w:top w:val="nil"/>
              <w:bottom w:val="nil"/>
            </w:tcBorders>
            <w:vAlign w:val="center"/>
          </w:tcPr>
          <w:p w14:paraId="6F41370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33E92FC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3" w:type="dxa"/>
            <w:tcBorders>
              <w:top w:val="nil"/>
              <w:bottom w:val="nil"/>
            </w:tcBorders>
            <w:vAlign w:val="center"/>
          </w:tcPr>
          <w:p w14:paraId="13D9F714"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705" w:type="dxa"/>
            <w:tcBorders>
              <w:top w:val="nil"/>
              <w:bottom w:val="nil"/>
            </w:tcBorders>
            <w:vAlign w:val="center"/>
          </w:tcPr>
          <w:p w14:paraId="2BE86653"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c>
          <w:tcPr>
            <w:tcW w:w="621" w:type="dxa"/>
            <w:tcBorders>
              <w:top w:val="nil"/>
              <w:bottom w:val="nil"/>
              <w:right w:val="double" w:sz="4" w:space="0" w:color="auto"/>
            </w:tcBorders>
            <w:vAlign w:val="center"/>
          </w:tcPr>
          <w:p w14:paraId="0DAA5080"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p>
        </w:tc>
      </w:tr>
      <w:tr w:rsidR="009E2B76" w14:paraId="11DA4731" w14:textId="77777777" w:rsidTr="00FC5290">
        <w:trPr>
          <w:trHeight w:val="245"/>
        </w:trPr>
        <w:tc>
          <w:tcPr>
            <w:tcW w:w="2833" w:type="dxa"/>
            <w:tcBorders>
              <w:top w:val="nil"/>
              <w:left w:val="double" w:sz="4" w:space="0" w:color="auto"/>
              <w:bottom w:val="nil"/>
              <w:right w:val="double" w:sz="4" w:space="0" w:color="auto"/>
            </w:tcBorders>
            <w:vAlign w:val="center"/>
          </w:tcPr>
          <w:p w14:paraId="5C8ACC3C"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Errands</w:t>
            </w:r>
          </w:p>
        </w:tc>
        <w:tc>
          <w:tcPr>
            <w:tcW w:w="680" w:type="dxa"/>
            <w:tcBorders>
              <w:top w:val="nil"/>
              <w:left w:val="double" w:sz="4" w:space="0" w:color="auto"/>
              <w:bottom w:val="nil"/>
            </w:tcBorders>
            <w:vAlign w:val="center"/>
          </w:tcPr>
          <w:p w14:paraId="53CA0F4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09B9362B"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215FD08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73CEF09A"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64F13AE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156EA76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51183C28"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29C8B767"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1430C15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3" w:type="dxa"/>
            <w:tcBorders>
              <w:top w:val="nil"/>
              <w:bottom w:val="nil"/>
            </w:tcBorders>
            <w:vAlign w:val="center"/>
          </w:tcPr>
          <w:p w14:paraId="2D75CEB2"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1B873CF6"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621" w:type="dxa"/>
            <w:tcBorders>
              <w:top w:val="nil"/>
              <w:bottom w:val="nil"/>
              <w:right w:val="double" w:sz="4" w:space="0" w:color="auto"/>
            </w:tcBorders>
            <w:vAlign w:val="center"/>
          </w:tcPr>
          <w:p w14:paraId="2E3A68FC"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r>
      <w:tr w:rsidR="009E2B76" w14:paraId="76EA03D5" w14:textId="77777777" w:rsidTr="00FC5290">
        <w:trPr>
          <w:trHeight w:val="245"/>
        </w:trPr>
        <w:tc>
          <w:tcPr>
            <w:tcW w:w="2833" w:type="dxa"/>
            <w:tcBorders>
              <w:top w:val="nil"/>
              <w:left w:val="double" w:sz="4" w:space="0" w:color="auto"/>
              <w:bottom w:val="nil"/>
              <w:right w:val="double" w:sz="4" w:space="0" w:color="auto"/>
            </w:tcBorders>
            <w:vAlign w:val="center"/>
          </w:tcPr>
          <w:p w14:paraId="7DE9ECC0"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Recreational</w:t>
            </w:r>
          </w:p>
        </w:tc>
        <w:tc>
          <w:tcPr>
            <w:tcW w:w="680" w:type="dxa"/>
            <w:tcBorders>
              <w:top w:val="nil"/>
              <w:left w:val="double" w:sz="4" w:space="0" w:color="auto"/>
              <w:bottom w:val="nil"/>
            </w:tcBorders>
            <w:vAlign w:val="center"/>
          </w:tcPr>
          <w:p w14:paraId="122C8CA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bottom w:val="nil"/>
            </w:tcBorders>
            <w:vAlign w:val="center"/>
          </w:tcPr>
          <w:p w14:paraId="521D4CF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bottom w:val="nil"/>
            </w:tcBorders>
            <w:vAlign w:val="center"/>
          </w:tcPr>
          <w:p w14:paraId="491E9F8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bottom w:val="nil"/>
            </w:tcBorders>
            <w:vAlign w:val="center"/>
          </w:tcPr>
          <w:p w14:paraId="36DC0625"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bottom w:val="nil"/>
            </w:tcBorders>
            <w:vAlign w:val="center"/>
          </w:tcPr>
          <w:p w14:paraId="31E48113"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bottom w:val="nil"/>
              <w:right w:val="double" w:sz="4" w:space="0" w:color="auto"/>
            </w:tcBorders>
            <w:vAlign w:val="center"/>
          </w:tcPr>
          <w:p w14:paraId="26388242"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bottom w:val="nil"/>
            </w:tcBorders>
            <w:vAlign w:val="center"/>
          </w:tcPr>
          <w:p w14:paraId="60E9D4F9"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598" w:type="dxa"/>
            <w:tcBorders>
              <w:top w:val="nil"/>
              <w:bottom w:val="nil"/>
            </w:tcBorders>
            <w:vAlign w:val="center"/>
          </w:tcPr>
          <w:p w14:paraId="059C3ABD" w14:textId="77777777" w:rsidR="009E2B76" w:rsidRPr="00494DE7" w:rsidRDefault="009E2B76" w:rsidP="00513060">
            <w:pPr>
              <w:tabs>
                <w:tab w:val="decimal" w:pos="222"/>
              </w:tabs>
              <w:autoSpaceDE w:val="0"/>
              <w:autoSpaceDN w:val="0"/>
              <w:adjustRightInd w:val="0"/>
              <w:spacing w:line="240" w:lineRule="auto"/>
              <w:jc w:val="center"/>
              <w:rPr>
                <w:rFonts w:cs="Times New Roman"/>
                <w:sz w:val="20"/>
                <w:szCs w:val="20"/>
              </w:rPr>
            </w:pPr>
            <w:r w:rsidRPr="00494DE7">
              <w:rPr>
                <w:rFonts w:cs="Times New Roman"/>
                <w:sz w:val="20"/>
                <w:szCs w:val="20"/>
              </w:rPr>
              <w:t>--</w:t>
            </w:r>
          </w:p>
        </w:tc>
        <w:tc>
          <w:tcPr>
            <w:tcW w:w="705" w:type="dxa"/>
            <w:tcBorders>
              <w:top w:val="nil"/>
              <w:bottom w:val="nil"/>
            </w:tcBorders>
            <w:vAlign w:val="center"/>
          </w:tcPr>
          <w:p w14:paraId="558615D0"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1.0</w:t>
            </w:r>
            <w:r w:rsidR="005A255D" w:rsidRPr="00494DE7">
              <w:rPr>
                <w:rFonts w:cs="Times New Roman"/>
                <w:sz w:val="20"/>
                <w:szCs w:val="20"/>
              </w:rPr>
              <w:t>33</w:t>
            </w:r>
          </w:p>
        </w:tc>
        <w:tc>
          <w:tcPr>
            <w:tcW w:w="623" w:type="dxa"/>
            <w:tcBorders>
              <w:top w:val="nil"/>
              <w:bottom w:val="nil"/>
            </w:tcBorders>
            <w:vAlign w:val="center"/>
          </w:tcPr>
          <w:p w14:paraId="13FFAC66"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29.</w:t>
            </w:r>
            <w:r w:rsidR="005A255D" w:rsidRPr="00494DE7">
              <w:rPr>
                <w:rFonts w:cs="Times New Roman"/>
                <w:sz w:val="20"/>
                <w:szCs w:val="20"/>
              </w:rPr>
              <w:t>86</w:t>
            </w:r>
          </w:p>
        </w:tc>
        <w:tc>
          <w:tcPr>
            <w:tcW w:w="705" w:type="dxa"/>
            <w:tcBorders>
              <w:top w:val="nil"/>
              <w:bottom w:val="nil"/>
            </w:tcBorders>
            <w:vAlign w:val="center"/>
          </w:tcPr>
          <w:p w14:paraId="528584B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1.</w:t>
            </w:r>
            <w:r w:rsidR="005A255D" w:rsidRPr="00494DE7">
              <w:rPr>
                <w:rFonts w:cs="Times New Roman"/>
                <w:sz w:val="20"/>
                <w:szCs w:val="20"/>
              </w:rPr>
              <w:t>268</w:t>
            </w:r>
          </w:p>
        </w:tc>
        <w:tc>
          <w:tcPr>
            <w:tcW w:w="621" w:type="dxa"/>
            <w:tcBorders>
              <w:top w:val="nil"/>
              <w:bottom w:val="nil"/>
              <w:right w:val="double" w:sz="4" w:space="0" w:color="auto"/>
            </w:tcBorders>
            <w:vAlign w:val="center"/>
          </w:tcPr>
          <w:p w14:paraId="674255FF"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3</w:t>
            </w:r>
            <w:r w:rsidR="005A255D" w:rsidRPr="00494DE7">
              <w:rPr>
                <w:rFonts w:cs="Times New Roman"/>
                <w:sz w:val="20"/>
                <w:szCs w:val="20"/>
              </w:rPr>
              <w:t>4</w:t>
            </w:r>
            <w:r w:rsidRPr="00494DE7">
              <w:rPr>
                <w:rFonts w:cs="Times New Roman"/>
                <w:sz w:val="20"/>
                <w:szCs w:val="20"/>
              </w:rPr>
              <w:t>.</w:t>
            </w:r>
            <w:r w:rsidR="005A255D" w:rsidRPr="00494DE7">
              <w:rPr>
                <w:rFonts w:cs="Times New Roman"/>
                <w:sz w:val="20"/>
                <w:szCs w:val="20"/>
              </w:rPr>
              <w:t>24</w:t>
            </w:r>
          </w:p>
        </w:tc>
      </w:tr>
      <w:tr w:rsidR="009E2B76" w14:paraId="3606F611" w14:textId="77777777" w:rsidTr="00FC5290">
        <w:trPr>
          <w:trHeight w:val="245"/>
        </w:trPr>
        <w:tc>
          <w:tcPr>
            <w:tcW w:w="2833" w:type="dxa"/>
            <w:tcBorders>
              <w:top w:val="nil"/>
              <w:left w:val="double" w:sz="4" w:space="0" w:color="auto"/>
              <w:right w:val="double" w:sz="4" w:space="0" w:color="auto"/>
            </w:tcBorders>
            <w:vAlign w:val="center"/>
          </w:tcPr>
          <w:p w14:paraId="0AA1E750"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Work</w:t>
            </w:r>
          </w:p>
        </w:tc>
        <w:tc>
          <w:tcPr>
            <w:tcW w:w="680" w:type="dxa"/>
            <w:tcBorders>
              <w:top w:val="nil"/>
              <w:left w:val="double" w:sz="4" w:space="0" w:color="auto"/>
            </w:tcBorders>
            <w:vAlign w:val="center"/>
          </w:tcPr>
          <w:p w14:paraId="00338EF4"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11" w:type="dxa"/>
            <w:tcBorders>
              <w:top w:val="nil"/>
            </w:tcBorders>
            <w:vAlign w:val="center"/>
          </w:tcPr>
          <w:p w14:paraId="54FFE48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83" w:type="dxa"/>
            <w:tcBorders>
              <w:top w:val="nil"/>
            </w:tcBorders>
            <w:vAlign w:val="center"/>
          </w:tcPr>
          <w:p w14:paraId="77EF1098"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596" w:type="dxa"/>
            <w:tcBorders>
              <w:top w:val="nil"/>
            </w:tcBorders>
            <w:vAlign w:val="center"/>
          </w:tcPr>
          <w:p w14:paraId="295C819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60" w:type="dxa"/>
            <w:tcBorders>
              <w:top w:val="nil"/>
            </w:tcBorders>
            <w:vAlign w:val="center"/>
          </w:tcPr>
          <w:p w14:paraId="5CE5618A"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625" w:type="dxa"/>
            <w:tcBorders>
              <w:top w:val="nil"/>
              <w:right w:val="double" w:sz="4" w:space="0" w:color="auto"/>
            </w:tcBorders>
            <w:vAlign w:val="center"/>
          </w:tcPr>
          <w:p w14:paraId="66DBCE7C"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p>
        </w:tc>
        <w:tc>
          <w:tcPr>
            <w:tcW w:w="705" w:type="dxa"/>
            <w:tcBorders>
              <w:top w:val="nil"/>
              <w:left w:val="double" w:sz="4" w:space="0" w:color="auto"/>
            </w:tcBorders>
            <w:vAlign w:val="center"/>
          </w:tcPr>
          <w:p w14:paraId="198D65B5"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0.28</w:t>
            </w:r>
            <w:r w:rsidR="005A255D" w:rsidRPr="00494DE7">
              <w:rPr>
                <w:rFonts w:cs="Times New Roman"/>
                <w:sz w:val="20"/>
                <w:szCs w:val="20"/>
              </w:rPr>
              <w:t>4</w:t>
            </w:r>
          </w:p>
        </w:tc>
        <w:tc>
          <w:tcPr>
            <w:tcW w:w="598" w:type="dxa"/>
            <w:tcBorders>
              <w:top w:val="nil"/>
            </w:tcBorders>
            <w:vAlign w:val="center"/>
          </w:tcPr>
          <w:p w14:paraId="6083917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w:t>
            </w:r>
            <w:r w:rsidR="005A255D" w:rsidRPr="00494DE7">
              <w:rPr>
                <w:rFonts w:cs="Times New Roman"/>
                <w:sz w:val="20"/>
                <w:szCs w:val="20"/>
              </w:rPr>
              <w:t>61</w:t>
            </w:r>
          </w:p>
        </w:tc>
        <w:tc>
          <w:tcPr>
            <w:tcW w:w="705" w:type="dxa"/>
            <w:tcBorders>
              <w:top w:val="nil"/>
            </w:tcBorders>
            <w:vAlign w:val="center"/>
          </w:tcPr>
          <w:p w14:paraId="32716637"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0.28</w:t>
            </w:r>
            <w:r w:rsidR="005A255D" w:rsidRPr="00494DE7">
              <w:rPr>
                <w:rFonts w:cs="Times New Roman"/>
                <w:sz w:val="20"/>
                <w:szCs w:val="20"/>
              </w:rPr>
              <w:t>4</w:t>
            </w:r>
          </w:p>
        </w:tc>
        <w:tc>
          <w:tcPr>
            <w:tcW w:w="623" w:type="dxa"/>
            <w:tcBorders>
              <w:top w:val="nil"/>
            </w:tcBorders>
            <w:vAlign w:val="center"/>
          </w:tcPr>
          <w:p w14:paraId="436B24D8"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5.</w:t>
            </w:r>
            <w:r w:rsidR="005A255D" w:rsidRPr="00494DE7">
              <w:rPr>
                <w:rFonts w:cs="Times New Roman"/>
                <w:sz w:val="20"/>
                <w:szCs w:val="20"/>
              </w:rPr>
              <w:t>61</w:t>
            </w:r>
          </w:p>
        </w:tc>
        <w:tc>
          <w:tcPr>
            <w:tcW w:w="705" w:type="dxa"/>
            <w:tcBorders>
              <w:top w:val="nil"/>
            </w:tcBorders>
            <w:vAlign w:val="center"/>
          </w:tcPr>
          <w:p w14:paraId="00715CA5"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-0.20</w:t>
            </w:r>
            <w:r w:rsidR="005A255D" w:rsidRPr="00494DE7">
              <w:rPr>
                <w:rFonts w:cs="Times New Roman"/>
                <w:sz w:val="20"/>
                <w:szCs w:val="20"/>
              </w:rPr>
              <w:t>9</w:t>
            </w:r>
          </w:p>
        </w:tc>
        <w:tc>
          <w:tcPr>
            <w:tcW w:w="621" w:type="dxa"/>
            <w:tcBorders>
              <w:top w:val="nil"/>
              <w:right w:val="double" w:sz="4" w:space="0" w:color="auto"/>
            </w:tcBorders>
            <w:vAlign w:val="center"/>
          </w:tcPr>
          <w:p w14:paraId="17FBE82E"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-2.</w:t>
            </w:r>
            <w:r w:rsidR="005A255D" w:rsidRPr="00494DE7">
              <w:rPr>
                <w:rFonts w:cs="Times New Roman"/>
                <w:sz w:val="20"/>
                <w:szCs w:val="20"/>
              </w:rPr>
              <w:t>83</w:t>
            </w:r>
          </w:p>
        </w:tc>
      </w:tr>
      <w:tr w:rsidR="009E2B76" w14:paraId="07131D79" w14:textId="77777777" w:rsidTr="00FC5290">
        <w:trPr>
          <w:trHeight w:val="288"/>
        </w:trPr>
        <w:tc>
          <w:tcPr>
            <w:tcW w:w="2833" w:type="dxa"/>
            <w:tcBorders>
              <w:left w:val="double" w:sz="4" w:space="0" w:color="auto"/>
              <w:bottom w:val="double" w:sz="4" w:space="0" w:color="auto"/>
              <w:right w:val="double" w:sz="4" w:space="0" w:color="auto"/>
            </w:tcBorders>
            <w:vAlign w:val="center"/>
          </w:tcPr>
          <w:p w14:paraId="441AC8D9" w14:textId="77777777" w:rsidR="009E2B76" w:rsidRPr="00BA20DE" w:rsidRDefault="009E2B76" w:rsidP="009E2B76">
            <w:pPr>
              <w:autoSpaceDE w:val="0"/>
              <w:autoSpaceDN w:val="0"/>
              <w:adjustRightInd w:val="0"/>
              <w:spacing w:line="240" w:lineRule="auto"/>
              <w:jc w:val="left"/>
              <w:rPr>
                <w:rFonts w:cs="Times New Roman"/>
                <w:b/>
                <w:color w:val="000000"/>
                <w:sz w:val="20"/>
                <w:szCs w:val="20"/>
              </w:rPr>
            </w:pPr>
            <w:r w:rsidRPr="00BA20DE">
              <w:rPr>
                <w:rFonts w:cs="Times New Roman"/>
                <w:b/>
                <w:color w:val="000000"/>
                <w:sz w:val="20"/>
                <w:szCs w:val="20"/>
              </w:rPr>
              <w:t>Constant</w:t>
            </w:r>
          </w:p>
        </w:tc>
        <w:tc>
          <w:tcPr>
            <w:tcW w:w="680" w:type="dxa"/>
            <w:tcBorders>
              <w:left w:val="double" w:sz="4" w:space="0" w:color="auto"/>
              <w:bottom w:val="double" w:sz="4" w:space="0" w:color="auto"/>
            </w:tcBorders>
            <w:vAlign w:val="center"/>
          </w:tcPr>
          <w:p w14:paraId="529806BF"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w:t>
            </w:r>
            <w:r w:rsidR="00CB63E7">
              <w:rPr>
                <w:rFonts w:cs="Times New Roman"/>
                <w:sz w:val="20"/>
                <w:szCs w:val="20"/>
              </w:rPr>
              <w:t>51</w:t>
            </w:r>
          </w:p>
        </w:tc>
        <w:tc>
          <w:tcPr>
            <w:tcW w:w="511" w:type="dxa"/>
            <w:tcBorders>
              <w:bottom w:val="double" w:sz="4" w:space="0" w:color="auto"/>
            </w:tcBorders>
            <w:vAlign w:val="center"/>
          </w:tcPr>
          <w:p w14:paraId="2D47A607"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2.7</w:t>
            </w:r>
            <w:r w:rsidR="00CB63E7">
              <w:rPr>
                <w:rFonts w:cs="Times New Roman"/>
                <w:sz w:val="20"/>
                <w:szCs w:val="20"/>
              </w:rPr>
              <w:t>8</w:t>
            </w:r>
          </w:p>
        </w:tc>
        <w:tc>
          <w:tcPr>
            <w:tcW w:w="683" w:type="dxa"/>
            <w:tcBorders>
              <w:bottom w:val="double" w:sz="4" w:space="0" w:color="auto"/>
            </w:tcBorders>
            <w:vAlign w:val="center"/>
          </w:tcPr>
          <w:p w14:paraId="30B92FD0"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w:t>
            </w:r>
            <w:r w:rsidR="00CB63E7">
              <w:rPr>
                <w:rFonts w:cs="Times New Roman"/>
                <w:sz w:val="20"/>
                <w:szCs w:val="20"/>
              </w:rPr>
              <w:t>101</w:t>
            </w:r>
          </w:p>
        </w:tc>
        <w:tc>
          <w:tcPr>
            <w:tcW w:w="596" w:type="dxa"/>
            <w:tcBorders>
              <w:bottom w:val="double" w:sz="4" w:space="0" w:color="auto"/>
            </w:tcBorders>
            <w:vAlign w:val="center"/>
          </w:tcPr>
          <w:p w14:paraId="4B6C0D29"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1</w:t>
            </w:r>
            <w:r w:rsidR="00CB63E7">
              <w:rPr>
                <w:rFonts w:cs="Times New Roman"/>
                <w:sz w:val="20"/>
                <w:szCs w:val="20"/>
              </w:rPr>
              <w:t>.54</w:t>
            </w:r>
          </w:p>
        </w:tc>
        <w:tc>
          <w:tcPr>
            <w:tcW w:w="660" w:type="dxa"/>
            <w:tcBorders>
              <w:bottom w:val="double" w:sz="4" w:space="0" w:color="auto"/>
            </w:tcBorders>
            <w:vAlign w:val="center"/>
          </w:tcPr>
          <w:p w14:paraId="0B41CC7E"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-0.20</w:t>
            </w:r>
            <w:r w:rsidR="00CB63E7">
              <w:rPr>
                <w:rFonts w:cs="Times New Roman"/>
                <w:sz w:val="20"/>
                <w:szCs w:val="20"/>
              </w:rPr>
              <w:t>2</w:t>
            </w:r>
          </w:p>
        </w:tc>
        <w:tc>
          <w:tcPr>
            <w:tcW w:w="625" w:type="dxa"/>
            <w:tcBorders>
              <w:bottom w:val="double" w:sz="4" w:space="0" w:color="auto"/>
              <w:right w:val="double" w:sz="4" w:space="0" w:color="auto"/>
            </w:tcBorders>
            <w:vAlign w:val="center"/>
          </w:tcPr>
          <w:p w14:paraId="764EB524" w14:textId="77777777" w:rsidR="009E2B76" w:rsidRPr="00B36D63" w:rsidRDefault="009E2B76" w:rsidP="00513060">
            <w:pPr>
              <w:tabs>
                <w:tab w:val="decimal" w:pos="222"/>
              </w:tabs>
              <w:autoSpaceDE w:val="0"/>
              <w:autoSpaceDN w:val="0"/>
              <w:adjustRightInd w:val="0"/>
              <w:spacing w:line="240" w:lineRule="auto"/>
              <w:jc w:val="left"/>
              <w:rPr>
                <w:rFonts w:cs="Times New Roman"/>
                <w:sz w:val="20"/>
                <w:szCs w:val="20"/>
              </w:rPr>
            </w:pPr>
            <w:r w:rsidRPr="00B36D63">
              <w:rPr>
                <w:rFonts w:cs="Times New Roman"/>
                <w:sz w:val="20"/>
                <w:szCs w:val="20"/>
              </w:rPr>
              <w:t>-2.</w:t>
            </w:r>
            <w:r w:rsidR="00CB63E7">
              <w:rPr>
                <w:rFonts w:cs="Times New Roman"/>
                <w:sz w:val="20"/>
                <w:szCs w:val="20"/>
              </w:rPr>
              <w:t>48</w:t>
            </w:r>
          </w:p>
        </w:tc>
        <w:tc>
          <w:tcPr>
            <w:tcW w:w="705" w:type="dxa"/>
            <w:tcBorders>
              <w:left w:val="double" w:sz="4" w:space="0" w:color="auto"/>
              <w:bottom w:val="double" w:sz="4" w:space="0" w:color="auto"/>
            </w:tcBorders>
            <w:vAlign w:val="center"/>
          </w:tcPr>
          <w:p w14:paraId="44882F3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-0.0</w:t>
            </w:r>
            <w:r w:rsidR="005A255D" w:rsidRPr="00494DE7">
              <w:rPr>
                <w:rFonts w:cs="Times New Roman"/>
                <w:sz w:val="20"/>
                <w:szCs w:val="20"/>
              </w:rPr>
              <w:t>58</w:t>
            </w:r>
          </w:p>
        </w:tc>
        <w:tc>
          <w:tcPr>
            <w:tcW w:w="598" w:type="dxa"/>
            <w:tcBorders>
              <w:bottom w:val="double" w:sz="4" w:space="0" w:color="auto"/>
            </w:tcBorders>
            <w:vAlign w:val="center"/>
          </w:tcPr>
          <w:p w14:paraId="37877A97"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-2.</w:t>
            </w:r>
            <w:r w:rsidR="005A255D" w:rsidRPr="00494DE7">
              <w:rPr>
                <w:rFonts w:cs="Times New Roman"/>
                <w:sz w:val="20"/>
                <w:szCs w:val="20"/>
              </w:rPr>
              <w:t>5</w:t>
            </w:r>
            <w:r w:rsidRPr="00494DE7">
              <w:rPr>
                <w:rFonts w:cs="Times New Roman"/>
                <w:sz w:val="20"/>
                <w:szCs w:val="20"/>
              </w:rPr>
              <w:t>0</w:t>
            </w:r>
          </w:p>
        </w:tc>
        <w:tc>
          <w:tcPr>
            <w:tcW w:w="705" w:type="dxa"/>
            <w:tcBorders>
              <w:bottom w:val="double" w:sz="4" w:space="0" w:color="auto"/>
            </w:tcBorders>
            <w:vAlign w:val="center"/>
          </w:tcPr>
          <w:p w14:paraId="6376BC22"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w:t>
            </w:r>
            <w:r w:rsidR="005A255D" w:rsidRPr="00494DE7">
              <w:rPr>
                <w:rFonts w:cs="Times New Roman"/>
                <w:sz w:val="20"/>
                <w:szCs w:val="20"/>
              </w:rPr>
              <w:t>193</w:t>
            </w:r>
          </w:p>
        </w:tc>
        <w:tc>
          <w:tcPr>
            <w:tcW w:w="623" w:type="dxa"/>
            <w:tcBorders>
              <w:bottom w:val="double" w:sz="4" w:space="0" w:color="auto"/>
            </w:tcBorders>
            <w:vAlign w:val="center"/>
          </w:tcPr>
          <w:p w14:paraId="5D1C56EA"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3.</w:t>
            </w:r>
            <w:r w:rsidR="005A255D" w:rsidRPr="00494DE7">
              <w:rPr>
                <w:rFonts w:cs="Times New Roman"/>
                <w:sz w:val="20"/>
                <w:szCs w:val="20"/>
              </w:rPr>
              <w:t>23</w:t>
            </w:r>
          </w:p>
        </w:tc>
        <w:tc>
          <w:tcPr>
            <w:tcW w:w="705" w:type="dxa"/>
            <w:tcBorders>
              <w:bottom w:val="double" w:sz="4" w:space="0" w:color="auto"/>
            </w:tcBorders>
            <w:vAlign w:val="center"/>
          </w:tcPr>
          <w:p w14:paraId="233F44CC"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-0.</w:t>
            </w:r>
            <w:r w:rsidR="005A255D" w:rsidRPr="00494DE7">
              <w:rPr>
                <w:rFonts w:cs="Times New Roman"/>
                <w:sz w:val="20"/>
                <w:szCs w:val="20"/>
              </w:rPr>
              <w:t>250</w:t>
            </w:r>
          </w:p>
        </w:tc>
        <w:tc>
          <w:tcPr>
            <w:tcW w:w="621" w:type="dxa"/>
            <w:tcBorders>
              <w:bottom w:val="double" w:sz="4" w:space="0" w:color="auto"/>
              <w:right w:val="double" w:sz="4" w:space="0" w:color="auto"/>
            </w:tcBorders>
            <w:vAlign w:val="center"/>
          </w:tcPr>
          <w:p w14:paraId="4D3F0E44" w14:textId="77777777" w:rsidR="009E2B76" w:rsidRPr="00494DE7" w:rsidRDefault="009E2B76" w:rsidP="00513060">
            <w:pPr>
              <w:tabs>
                <w:tab w:val="decimal" w:pos="222"/>
              </w:tabs>
              <w:autoSpaceDE w:val="0"/>
              <w:autoSpaceDN w:val="0"/>
              <w:adjustRightInd w:val="0"/>
              <w:spacing w:line="240" w:lineRule="auto"/>
              <w:jc w:val="left"/>
              <w:rPr>
                <w:rFonts w:cs="Times New Roman"/>
                <w:sz w:val="20"/>
                <w:szCs w:val="20"/>
              </w:rPr>
            </w:pPr>
            <w:r w:rsidRPr="00494DE7">
              <w:rPr>
                <w:rFonts w:cs="Times New Roman"/>
                <w:sz w:val="20"/>
                <w:szCs w:val="20"/>
              </w:rPr>
              <w:t>-</w:t>
            </w:r>
            <w:r w:rsidR="005A255D" w:rsidRPr="00494DE7">
              <w:rPr>
                <w:rFonts w:cs="Times New Roman"/>
                <w:sz w:val="20"/>
                <w:szCs w:val="20"/>
              </w:rPr>
              <w:t>3.57</w:t>
            </w:r>
          </w:p>
        </w:tc>
      </w:tr>
    </w:tbl>
    <w:p w14:paraId="035E6B79" w14:textId="0D46A2BE" w:rsidR="00B23CF1" w:rsidRPr="009E2B76" w:rsidRDefault="00B23CF1" w:rsidP="00FC5290">
      <w:pPr>
        <w:spacing w:line="240" w:lineRule="auto"/>
        <w:rPr>
          <w:color w:val="FF0000"/>
          <w:sz w:val="18"/>
          <w:szCs w:val="18"/>
        </w:rPr>
      </w:pPr>
      <w:r w:rsidRPr="009263FC">
        <w:rPr>
          <w:sz w:val="18"/>
          <w:szCs w:val="18"/>
        </w:rPr>
        <w:t>“--”</w:t>
      </w:r>
      <w:r w:rsidRPr="009263FC">
        <w:rPr>
          <w:b/>
          <w:sz w:val="18"/>
          <w:szCs w:val="18"/>
        </w:rPr>
        <w:t xml:space="preserve"> </w:t>
      </w:r>
      <w:r w:rsidR="00F13ABD">
        <w:rPr>
          <w:b/>
          <w:sz w:val="18"/>
          <w:szCs w:val="18"/>
        </w:rPr>
        <w:t xml:space="preserve">= </w:t>
      </w:r>
      <w:r w:rsidRPr="009263FC">
        <w:rPr>
          <w:sz w:val="18"/>
          <w:szCs w:val="18"/>
        </w:rPr>
        <w:t>not statistically significantly different from zero at the 90% level of confidence and removed</w:t>
      </w:r>
      <w:r w:rsidR="00C524CF">
        <w:rPr>
          <w:sz w:val="18"/>
          <w:szCs w:val="18"/>
        </w:rPr>
        <w:t xml:space="preserve"> from the specification</w:t>
      </w:r>
      <w:r w:rsidRPr="009263FC">
        <w:rPr>
          <w:sz w:val="18"/>
          <w:szCs w:val="18"/>
        </w:rPr>
        <w:t>.</w:t>
      </w:r>
      <w:r w:rsidR="00EC78A9">
        <w:rPr>
          <w:sz w:val="18"/>
          <w:szCs w:val="18"/>
        </w:rPr>
        <w:t xml:space="preserve"> </w:t>
      </w:r>
    </w:p>
    <w:p w14:paraId="65038239" w14:textId="77777777" w:rsidR="00A512EB" w:rsidRDefault="009263FC" w:rsidP="00A512EB">
      <w:pPr>
        <w:spacing w:after="200" w:line="276" w:lineRule="auto"/>
        <w:jc w:val="center"/>
        <w:rPr>
          <w:b/>
        </w:rPr>
      </w:pPr>
      <w:r>
        <w:rPr>
          <w:b/>
        </w:rPr>
        <w:br w:type="page"/>
      </w:r>
    </w:p>
    <w:p w14:paraId="584DC37E" w14:textId="7FB92870" w:rsidR="00E54134" w:rsidRDefault="002E7FD2" w:rsidP="009E3B28">
      <w:pPr>
        <w:spacing w:after="120" w:line="240" w:lineRule="auto"/>
        <w:jc w:val="center"/>
        <w:rPr>
          <w:b/>
        </w:rPr>
      </w:pPr>
      <w:r>
        <w:rPr>
          <w:b/>
        </w:rPr>
        <w:lastRenderedPageBreak/>
        <w:t xml:space="preserve">Table </w:t>
      </w:r>
      <w:r w:rsidR="007347A8">
        <w:rPr>
          <w:b/>
        </w:rPr>
        <w:t>7</w:t>
      </w:r>
      <w:r w:rsidR="00A512EB">
        <w:rPr>
          <w:b/>
        </w:rPr>
        <w:t>b</w:t>
      </w:r>
      <w:r w:rsidR="002A1D88">
        <w:rPr>
          <w:b/>
        </w:rPr>
        <w:t>.</w:t>
      </w:r>
      <w:r w:rsidR="00C524CF">
        <w:rPr>
          <w:b/>
        </w:rPr>
        <w:t xml:space="preserve"> Trip characteristics model results (cont.)</w:t>
      </w:r>
    </w:p>
    <w:tbl>
      <w:tblPr>
        <w:tblW w:w="4861" w:type="pct"/>
        <w:jc w:val="center"/>
        <w:tblLayout w:type="fixed"/>
        <w:tblCellMar>
          <w:left w:w="58" w:type="dxa"/>
          <w:right w:w="58" w:type="dxa"/>
        </w:tblCellMar>
        <w:tblLook w:val="0000" w:firstRow="0" w:lastRow="0" w:firstColumn="0" w:lastColumn="0" w:noHBand="0" w:noVBand="0"/>
      </w:tblPr>
      <w:tblGrid>
        <w:gridCol w:w="4020"/>
        <w:gridCol w:w="881"/>
        <w:gridCol w:w="764"/>
        <w:gridCol w:w="780"/>
        <w:gridCol w:w="8"/>
        <w:gridCol w:w="716"/>
        <w:gridCol w:w="12"/>
        <w:gridCol w:w="714"/>
        <w:gridCol w:w="12"/>
        <w:gridCol w:w="712"/>
        <w:gridCol w:w="712"/>
        <w:gridCol w:w="722"/>
      </w:tblGrid>
      <w:tr w:rsidR="00BC6C7C" w14:paraId="5D065F7C" w14:textId="77777777" w:rsidTr="00BC6C7C">
        <w:trPr>
          <w:trHeight w:val="144"/>
          <w:jc w:val="center"/>
        </w:trPr>
        <w:tc>
          <w:tcPr>
            <w:tcW w:w="2000" w:type="pct"/>
            <w:vMerge w:val="restart"/>
            <w:tcBorders>
              <w:top w:val="double" w:sz="4" w:space="0" w:color="auto"/>
              <w:left w:val="double" w:sz="4" w:space="0" w:color="auto"/>
              <w:right w:val="double" w:sz="4" w:space="0" w:color="auto"/>
            </w:tcBorders>
            <w:vAlign w:val="center"/>
          </w:tcPr>
          <w:p w14:paraId="3A519E01" w14:textId="6196CDFB" w:rsidR="002E7FD2" w:rsidRPr="002E7FD2" w:rsidRDefault="002E7FD2" w:rsidP="002E7FD2">
            <w:pPr>
              <w:autoSpaceDE w:val="0"/>
              <w:autoSpaceDN w:val="0"/>
              <w:adjustRightInd w:val="0"/>
              <w:spacing w:line="240" w:lineRule="auto"/>
              <w:jc w:val="left"/>
              <w:rPr>
                <w:rFonts w:cs="Times New Roman"/>
                <w:b/>
                <w:color w:val="000000"/>
                <w:sz w:val="20"/>
                <w:szCs w:val="20"/>
              </w:rPr>
            </w:pPr>
            <w:r w:rsidRPr="002E7FD2">
              <w:rPr>
                <w:rFonts w:cs="Times New Roman"/>
                <w:b/>
                <w:color w:val="000000"/>
                <w:sz w:val="20"/>
                <w:szCs w:val="20"/>
              </w:rPr>
              <w:t>Variables</w:t>
            </w:r>
            <w:r w:rsidR="00CA4860">
              <w:rPr>
                <w:rFonts w:cs="Times New Roman"/>
                <w:b/>
                <w:color w:val="000000"/>
                <w:sz w:val="20"/>
                <w:szCs w:val="20"/>
              </w:rPr>
              <w:t xml:space="preserve"> (base category)</w:t>
            </w:r>
          </w:p>
        </w:tc>
        <w:tc>
          <w:tcPr>
            <w:tcW w:w="818" w:type="pct"/>
            <w:gridSpan w:val="2"/>
            <w:tcBorders>
              <w:top w:val="double" w:sz="4" w:space="0" w:color="auto"/>
              <w:left w:val="double" w:sz="4" w:space="0" w:color="auto"/>
              <w:bottom w:val="single" w:sz="6" w:space="0" w:color="auto"/>
              <w:right w:val="double" w:sz="4" w:space="0" w:color="auto"/>
            </w:tcBorders>
            <w:vAlign w:val="center"/>
          </w:tcPr>
          <w:p w14:paraId="68274F0C" w14:textId="77777777" w:rsidR="002E7FD2" w:rsidRPr="002E7FD2" w:rsidRDefault="002E7FD2" w:rsidP="004E2699">
            <w:pPr>
              <w:autoSpaceDE w:val="0"/>
              <w:autoSpaceDN w:val="0"/>
              <w:adjustRightInd w:val="0"/>
              <w:spacing w:line="240" w:lineRule="auto"/>
              <w:jc w:val="center"/>
              <w:rPr>
                <w:rFonts w:cs="Times New Roman"/>
                <w:b/>
                <w:color w:val="000000"/>
                <w:sz w:val="20"/>
                <w:szCs w:val="20"/>
              </w:rPr>
            </w:pPr>
            <w:r w:rsidRPr="002E7FD2">
              <w:rPr>
                <w:rFonts w:cs="Times New Roman"/>
                <w:b/>
                <w:color w:val="000000"/>
                <w:sz w:val="20"/>
                <w:szCs w:val="20"/>
              </w:rPr>
              <w:t>Trip companion (base: alone)</w:t>
            </w:r>
          </w:p>
        </w:tc>
        <w:tc>
          <w:tcPr>
            <w:tcW w:w="2181" w:type="pct"/>
            <w:gridSpan w:val="9"/>
            <w:tcBorders>
              <w:top w:val="double" w:sz="4" w:space="0" w:color="auto"/>
              <w:left w:val="double" w:sz="4" w:space="0" w:color="auto"/>
              <w:bottom w:val="single" w:sz="6" w:space="0" w:color="auto"/>
              <w:right w:val="double" w:sz="4" w:space="0" w:color="auto"/>
            </w:tcBorders>
            <w:vAlign w:val="center"/>
          </w:tcPr>
          <w:p w14:paraId="47107286" w14:textId="77777777" w:rsidR="002E7FD2" w:rsidRPr="002E7FD2" w:rsidRDefault="002E7FD2">
            <w:pPr>
              <w:autoSpaceDE w:val="0"/>
              <w:autoSpaceDN w:val="0"/>
              <w:adjustRightInd w:val="0"/>
              <w:spacing w:line="240" w:lineRule="auto"/>
              <w:jc w:val="center"/>
              <w:rPr>
                <w:rFonts w:cs="Times New Roman"/>
                <w:b/>
                <w:color w:val="000000"/>
                <w:sz w:val="20"/>
                <w:szCs w:val="20"/>
              </w:rPr>
            </w:pPr>
            <w:r w:rsidRPr="002E7FD2">
              <w:rPr>
                <w:rFonts w:cs="Times New Roman"/>
                <w:b/>
                <w:color w:val="000000"/>
                <w:sz w:val="20"/>
                <w:szCs w:val="20"/>
              </w:rPr>
              <w:t>Mode substituted (base: own car)</w:t>
            </w:r>
          </w:p>
        </w:tc>
      </w:tr>
      <w:tr w:rsidR="00BC6C7C" w14:paraId="19009711" w14:textId="77777777" w:rsidTr="00BC6C7C">
        <w:trPr>
          <w:trHeight w:val="144"/>
          <w:jc w:val="center"/>
        </w:trPr>
        <w:tc>
          <w:tcPr>
            <w:tcW w:w="2000" w:type="pct"/>
            <w:vMerge/>
            <w:tcBorders>
              <w:left w:val="double" w:sz="4" w:space="0" w:color="auto"/>
              <w:right w:val="double" w:sz="4" w:space="0" w:color="auto"/>
            </w:tcBorders>
          </w:tcPr>
          <w:p w14:paraId="588A0BF6" w14:textId="77777777" w:rsidR="004E2699" w:rsidRDefault="004E2699">
            <w:pPr>
              <w:autoSpaceDE w:val="0"/>
              <w:autoSpaceDN w:val="0"/>
              <w:adjustRightInd w:val="0"/>
              <w:spacing w:line="240" w:lineRule="auto"/>
              <w:jc w:val="center"/>
              <w:rPr>
                <w:rFonts w:cs="Times New Roman"/>
                <w:color w:val="000000"/>
                <w:sz w:val="20"/>
                <w:szCs w:val="20"/>
              </w:rPr>
            </w:pPr>
          </w:p>
        </w:tc>
        <w:tc>
          <w:tcPr>
            <w:tcW w:w="818" w:type="pct"/>
            <w:gridSpan w:val="2"/>
            <w:tcBorders>
              <w:top w:val="nil"/>
              <w:left w:val="double" w:sz="4" w:space="0" w:color="auto"/>
              <w:bottom w:val="nil"/>
              <w:right w:val="double" w:sz="4" w:space="0" w:color="auto"/>
            </w:tcBorders>
            <w:vAlign w:val="center"/>
          </w:tcPr>
          <w:p w14:paraId="42F9B622"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Not alone</w:t>
            </w:r>
          </w:p>
        </w:tc>
        <w:tc>
          <w:tcPr>
            <w:tcW w:w="754" w:type="pct"/>
            <w:gridSpan w:val="4"/>
            <w:tcBorders>
              <w:top w:val="nil"/>
              <w:left w:val="double" w:sz="4" w:space="0" w:color="auto"/>
              <w:bottom w:val="nil"/>
              <w:right w:val="nil"/>
            </w:tcBorders>
            <w:vAlign w:val="center"/>
          </w:tcPr>
          <w:p w14:paraId="00CD010F"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Taxi</w:t>
            </w:r>
          </w:p>
        </w:tc>
        <w:tc>
          <w:tcPr>
            <w:tcW w:w="714" w:type="pct"/>
            <w:gridSpan w:val="3"/>
            <w:tcBorders>
              <w:top w:val="nil"/>
              <w:left w:val="nil"/>
              <w:bottom w:val="nil"/>
              <w:right w:val="nil"/>
            </w:tcBorders>
            <w:vAlign w:val="center"/>
          </w:tcPr>
          <w:p w14:paraId="53AE5398"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Active or transit</w:t>
            </w:r>
          </w:p>
        </w:tc>
        <w:tc>
          <w:tcPr>
            <w:tcW w:w="713" w:type="pct"/>
            <w:gridSpan w:val="2"/>
            <w:tcBorders>
              <w:top w:val="nil"/>
              <w:left w:val="nil"/>
              <w:bottom w:val="nil"/>
              <w:right w:val="double" w:sz="4" w:space="0" w:color="auto"/>
            </w:tcBorders>
            <w:vAlign w:val="center"/>
          </w:tcPr>
          <w:p w14:paraId="61C9E26F"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No trip</w:t>
            </w:r>
          </w:p>
        </w:tc>
      </w:tr>
      <w:tr w:rsidR="00BC6C7C" w14:paraId="31C2EC23" w14:textId="77777777" w:rsidTr="00BC6C7C">
        <w:trPr>
          <w:trHeight w:val="144"/>
          <w:jc w:val="center"/>
        </w:trPr>
        <w:tc>
          <w:tcPr>
            <w:tcW w:w="2000" w:type="pct"/>
            <w:vMerge/>
            <w:tcBorders>
              <w:left w:val="double" w:sz="4" w:space="0" w:color="auto"/>
              <w:bottom w:val="double" w:sz="4" w:space="0" w:color="auto"/>
              <w:right w:val="double" w:sz="4" w:space="0" w:color="auto"/>
            </w:tcBorders>
          </w:tcPr>
          <w:p w14:paraId="46B01961" w14:textId="77777777" w:rsidR="004E2699" w:rsidRDefault="004E2699">
            <w:pPr>
              <w:autoSpaceDE w:val="0"/>
              <w:autoSpaceDN w:val="0"/>
              <w:adjustRightInd w:val="0"/>
              <w:spacing w:line="240" w:lineRule="auto"/>
              <w:jc w:val="center"/>
              <w:rPr>
                <w:rFonts w:cs="Times New Roman"/>
                <w:color w:val="000000"/>
                <w:sz w:val="20"/>
                <w:szCs w:val="20"/>
              </w:rPr>
            </w:pPr>
          </w:p>
        </w:tc>
        <w:tc>
          <w:tcPr>
            <w:tcW w:w="438" w:type="pct"/>
            <w:tcBorders>
              <w:top w:val="nil"/>
              <w:left w:val="double" w:sz="4" w:space="0" w:color="auto"/>
              <w:bottom w:val="double" w:sz="4" w:space="0" w:color="auto"/>
              <w:right w:val="nil"/>
            </w:tcBorders>
            <w:vAlign w:val="center"/>
          </w:tcPr>
          <w:p w14:paraId="6CCA6C89"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380" w:type="pct"/>
            <w:tcBorders>
              <w:top w:val="nil"/>
              <w:left w:val="nil"/>
              <w:bottom w:val="double" w:sz="4" w:space="0" w:color="auto"/>
              <w:right w:val="double" w:sz="4" w:space="0" w:color="auto"/>
            </w:tcBorders>
            <w:vAlign w:val="center"/>
          </w:tcPr>
          <w:p w14:paraId="2CB2BCDB"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392" w:type="pct"/>
            <w:gridSpan w:val="2"/>
            <w:tcBorders>
              <w:top w:val="nil"/>
              <w:left w:val="double" w:sz="4" w:space="0" w:color="auto"/>
              <w:bottom w:val="double" w:sz="4" w:space="0" w:color="auto"/>
              <w:right w:val="nil"/>
            </w:tcBorders>
            <w:vAlign w:val="center"/>
          </w:tcPr>
          <w:p w14:paraId="6003E56A"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362" w:type="pct"/>
            <w:gridSpan w:val="2"/>
            <w:tcBorders>
              <w:top w:val="nil"/>
              <w:left w:val="nil"/>
              <w:bottom w:val="double" w:sz="4" w:space="0" w:color="auto"/>
              <w:right w:val="nil"/>
            </w:tcBorders>
            <w:vAlign w:val="center"/>
          </w:tcPr>
          <w:p w14:paraId="1084F4C5"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361" w:type="pct"/>
            <w:gridSpan w:val="2"/>
            <w:tcBorders>
              <w:top w:val="nil"/>
              <w:left w:val="nil"/>
              <w:bottom w:val="double" w:sz="4" w:space="0" w:color="auto"/>
              <w:right w:val="nil"/>
            </w:tcBorders>
            <w:vAlign w:val="center"/>
          </w:tcPr>
          <w:p w14:paraId="57AED433"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354" w:type="pct"/>
            <w:tcBorders>
              <w:top w:val="nil"/>
              <w:left w:val="nil"/>
              <w:bottom w:val="double" w:sz="4" w:space="0" w:color="auto"/>
              <w:right w:val="nil"/>
            </w:tcBorders>
            <w:vAlign w:val="center"/>
          </w:tcPr>
          <w:p w14:paraId="690F8FED"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c>
          <w:tcPr>
            <w:tcW w:w="354" w:type="pct"/>
            <w:tcBorders>
              <w:top w:val="nil"/>
              <w:left w:val="nil"/>
              <w:bottom w:val="double" w:sz="4" w:space="0" w:color="auto"/>
              <w:right w:val="nil"/>
            </w:tcBorders>
            <w:vAlign w:val="center"/>
          </w:tcPr>
          <w:p w14:paraId="15116A6A"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Coeff.</w:t>
            </w:r>
          </w:p>
        </w:tc>
        <w:tc>
          <w:tcPr>
            <w:tcW w:w="360" w:type="pct"/>
            <w:tcBorders>
              <w:top w:val="nil"/>
              <w:left w:val="nil"/>
              <w:bottom w:val="double" w:sz="4" w:space="0" w:color="auto"/>
              <w:right w:val="double" w:sz="4" w:space="0" w:color="auto"/>
            </w:tcBorders>
            <w:vAlign w:val="center"/>
          </w:tcPr>
          <w:p w14:paraId="582C2CE3" w14:textId="77777777" w:rsidR="004E2699" w:rsidRDefault="004E2699" w:rsidP="004E2699">
            <w:pPr>
              <w:autoSpaceDE w:val="0"/>
              <w:autoSpaceDN w:val="0"/>
              <w:adjustRightInd w:val="0"/>
              <w:spacing w:line="240" w:lineRule="auto"/>
              <w:jc w:val="center"/>
              <w:rPr>
                <w:rFonts w:cs="Times New Roman"/>
                <w:color w:val="000000"/>
                <w:sz w:val="20"/>
                <w:szCs w:val="20"/>
              </w:rPr>
            </w:pPr>
            <w:r>
              <w:rPr>
                <w:rFonts w:cs="Times New Roman"/>
                <w:color w:val="000000"/>
                <w:sz w:val="20"/>
                <w:szCs w:val="20"/>
              </w:rPr>
              <w:t>t-stat</w:t>
            </w:r>
          </w:p>
        </w:tc>
      </w:tr>
      <w:tr w:rsidR="00BC6C7C" w14:paraId="0CD67E2A" w14:textId="77777777" w:rsidTr="00BC6C7C">
        <w:trPr>
          <w:trHeight w:val="288"/>
          <w:jc w:val="center"/>
        </w:trPr>
        <w:tc>
          <w:tcPr>
            <w:tcW w:w="2000" w:type="pct"/>
            <w:tcBorders>
              <w:top w:val="nil"/>
              <w:left w:val="double" w:sz="4" w:space="0" w:color="auto"/>
              <w:bottom w:val="nil"/>
              <w:right w:val="double" w:sz="4" w:space="0" w:color="auto"/>
            </w:tcBorders>
            <w:tcMar>
              <w:right w:w="43" w:type="dxa"/>
            </w:tcMar>
            <w:vAlign w:val="center"/>
          </w:tcPr>
          <w:p w14:paraId="1DE9D53B" w14:textId="77777777" w:rsidR="007E7B19" w:rsidRPr="00BA20DE" w:rsidRDefault="007E7B19" w:rsidP="009E2B76">
            <w:pPr>
              <w:autoSpaceDE w:val="0"/>
              <w:autoSpaceDN w:val="0"/>
              <w:adjustRightInd w:val="0"/>
              <w:spacing w:line="240" w:lineRule="auto"/>
              <w:jc w:val="left"/>
              <w:rPr>
                <w:rFonts w:cs="Times New Roman"/>
                <w:i/>
                <w:iCs/>
                <w:color w:val="000000"/>
                <w:sz w:val="20"/>
                <w:szCs w:val="20"/>
              </w:rPr>
            </w:pPr>
            <w:r w:rsidRPr="00BA20DE">
              <w:rPr>
                <w:rFonts w:cs="Times New Roman"/>
                <w:i/>
                <w:iCs/>
                <w:color w:val="000000"/>
                <w:sz w:val="20"/>
                <w:szCs w:val="20"/>
              </w:rPr>
              <w:t>Exogenous effects</w:t>
            </w:r>
          </w:p>
        </w:tc>
        <w:tc>
          <w:tcPr>
            <w:tcW w:w="438" w:type="pct"/>
            <w:tcBorders>
              <w:top w:val="nil"/>
              <w:left w:val="double" w:sz="4" w:space="0" w:color="auto"/>
              <w:bottom w:val="nil"/>
              <w:right w:val="nil"/>
            </w:tcBorders>
            <w:vAlign w:val="center"/>
          </w:tcPr>
          <w:p w14:paraId="2EA5FC18" w14:textId="77777777" w:rsidR="007E7B19" w:rsidRDefault="007E7B19" w:rsidP="00BC6C7C">
            <w:pPr>
              <w:tabs>
                <w:tab w:val="decimal" w:pos="247"/>
              </w:tabs>
              <w:autoSpaceDE w:val="0"/>
              <w:autoSpaceDN w:val="0"/>
              <w:adjustRightInd w:val="0"/>
              <w:spacing w:line="240" w:lineRule="auto"/>
              <w:jc w:val="left"/>
              <w:rPr>
                <w:rFonts w:cs="Times New Roman"/>
                <w:color w:val="000000"/>
                <w:sz w:val="20"/>
                <w:szCs w:val="20"/>
              </w:rPr>
            </w:pPr>
          </w:p>
        </w:tc>
        <w:tc>
          <w:tcPr>
            <w:tcW w:w="380" w:type="pct"/>
            <w:tcBorders>
              <w:top w:val="nil"/>
              <w:left w:val="nil"/>
              <w:bottom w:val="nil"/>
              <w:right w:val="double" w:sz="4" w:space="0" w:color="auto"/>
            </w:tcBorders>
            <w:vAlign w:val="center"/>
          </w:tcPr>
          <w:p w14:paraId="30C4FF62"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92" w:type="pct"/>
            <w:gridSpan w:val="2"/>
            <w:tcBorders>
              <w:top w:val="nil"/>
              <w:left w:val="double" w:sz="4" w:space="0" w:color="auto"/>
              <w:bottom w:val="nil"/>
              <w:right w:val="nil"/>
            </w:tcBorders>
            <w:vAlign w:val="center"/>
          </w:tcPr>
          <w:p w14:paraId="10862434"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62" w:type="pct"/>
            <w:gridSpan w:val="2"/>
            <w:tcBorders>
              <w:top w:val="nil"/>
              <w:left w:val="nil"/>
              <w:bottom w:val="nil"/>
              <w:right w:val="nil"/>
            </w:tcBorders>
            <w:vAlign w:val="center"/>
          </w:tcPr>
          <w:p w14:paraId="05278AF4"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61" w:type="pct"/>
            <w:gridSpan w:val="2"/>
            <w:tcBorders>
              <w:top w:val="nil"/>
              <w:left w:val="nil"/>
              <w:bottom w:val="nil"/>
              <w:right w:val="nil"/>
            </w:tcBorders>
            <w:vAlign w:val="center"/>
          </w:tcPr>
          <w:p w14:paraId="590A5E9F"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54" w:type="pct"/>
            <w:tcBorders>
              <w:top w:val="nil"/>
              <w:left w:val="nil"/>
              <w:bottom w:val="nil"/>
              <w:right w:val="nil"/>
            </w:tcBorders>
            <w:vAlign w:val="center"/>
          </w:tcPr>
          <w:p w14:paraId="7DDCEB80"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54" w:type="pct"/>
            <w:tcBorders>
              <w:top w:val="nil"/>
              <w:left w:val="nil"/>
              <w:bottom w:val="nil"/>
              <w:right w:val="nil"/>
            </w:tcBorders>
            <w:vAlign w:val="center"/>
          </w:tcPr>
          <w:p w14:paraId="1F43835D" w14:textId="77777777" w:rsidR="007E7B19" w:rsidRDefault="007E7B19" w:rsidP="009E2B76">
            <w:pPr>
              <w:autoSpaceDE w:val="0"/>
              <w:autoSpaceDN w:val="0"/>
              <w:adjustRightInd w:val="0"/>
              <w:spacing w:line="240" w:lineRule="auto"/>
              <w:jc w:val="left"/>
              <w:rPr>
                <w:rFonts w:cs="Times New Roman"/>
                <w:color w:val="000000"/>
                <w:sz w:val="20"/>
                <w:szCs w:val="20"/>
              </w:rPr>
            </w:pPr>
          </w:p>
        </w:tc>
        <w:tc>
          <w:tcPr>
            <w:tcW w:w="360" w:type="pct"/>
            <w:tcBorders>
              <w:top w:val="nil"/>
              <w:left w:val="nil"/>
              <w:bottom w:val="nil"/>
              <w:right w:val="double" w:sz="4" w:space="0" w:color="auto"/>
            </w:tcBorders>
            <w:vAlign w:val="center"/>
          </w:tcPr>
          <w:p w14:paraId="7C1355FB" w14:textId="77777777" w:rsidR="007E7B19" w:rsidRDefault="007E7B19" w:rsidP="009E2B76">
            <w:pPr>
              <w:autoSpaceDE w:val="0"/>
              <w:autoSpaceDN w:val="0"/>
              <w:adjustRightInd w:val="0"/>
              <w:spacing w:line="240" w:lineRule="auto"/>
              <w:jc w:val="left"/>
              <w:rPr>
                <w:rFonts w:cs="Times New Roman"/>
                <w:color w:val="000000"/>
                <w:sz w:val="20"/>
                <w:szCs w:val="20"/>
              </w:rPr>
            </w:pPr>
          </w:p>
        </w:tc>
      </w:tr>
      <w:tr w:rsidR="00BC6C7C" w14:paraId="1B5BAFD5"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1BB2CE07" w14:textId="0EE5683D" w:rsidR="007E7B19" w:rsidRPr="00BA20DE" w:rsidRDefault="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Gender (male)</w:t>
            </w:r>
          </w:p>
        </w:tc>
        <w:tc>
          <w:tcPr>
            <w:tcW w:w="438" w:type="pct"/>
            <w:tcBorders>
              <w:top w:val="nil"/>
              <w:left w:val="double" w:sz="4" w:space="0" w:color="auto"/>
              <w:bottom w:val="nil"/>
              <w:right w:val="nil"/>
            </w:tcBorders>
            <w:vAlign w:val="center"/>
          </w:tcPr>
          <w:p w14:paraId="3596A1EF" w14:textId="77777777" w:rsidR="007E7B19" w:rsidRDefault="007E7B19" w:rsidP="00BC6C7C">
            <w:pPr>
              <w:tabs>
                <w:tab w:val="decimal" w:pos="247"/>
              </w:tabs>
              <w:autoSpaceDE w:val="0"/>
              <w:autoSpaceDN w:val="0"/>
              <w:adjustRightInd w:val="0"/>
              <w:spacing w:line="240" w:lineRule="auto"/>
              <w:jc w:val="left"/>
              <w:rPr>
                <w:rFonts w:cs="Times New Roman"/>
                <w:color w:val="000000"/>
                <w:sz w:val="20"/>
                <w:szCs w:val="20"/>
              </w:rPr>
            </w:pPr>
          </w:p>
        </w:tc>
        <w:tc>
          <w:tcPr>
            <w:tcW w:w="380" w:type="pct"/>
            <w:tcBorders>
              <w:top w:val="nil"/>
              <w:left w:val="nil"/>
              <w:bottom w:val="nil"/>
              <w:right w:val="double" w:sz="4" w:space="0" w:color="auto"/>
            </w:tcBorders>
            <w:vAlign w:val="center"/>
          </w:tcPr>
          <w:p w14:paraId="6ECF1AEC" w14:textId="77777777" w:rsidR="007E7B19" w:rsidRDefault="007E7B19" w:rsidP="007E7B19">
            <w:pPr>
              <w:autoSpaceDE w:val="0"/>
              <w:autoSpaceDN w:val="0"/>
              <w:adjustRightInd w:val="0"/>
              <w:spacing w:line="240" w:lineRule="auto"/>
              <w:jc w:val="center"/>
              <w:rPr>
                <w:rFonts w:cs="Times New Roman"/>
                <w:color w:val="000000"/>
                <w:sz w:val="20"/>
                <w:szCs w:val="20"/>
              </w:rPr>
            </w:pPr>
          </w:p>
        </w:tc>
        <w:tc>
          <w:tcPr>
            <w:tcW w:w="392" w:type="pct"/>
            <w:gridSpan w:val="2"/>
            <w:tcBorders>
              <w:top w:val="nil"/>
              <w:left w:val="double" w:sz="4" w:space="0" w:color="auto"/>
              <w:bottom w:val="nil"/>
              <w:right w:val="nil"/>
            </w:tcBorders>
            <w:vAlign w:val="center"/>
          </w:tcPr>
          <w:p w14:paraId="1A48CC6B"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75D6E1EF"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4FA68F73"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43DA11E8"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1FEDD709"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025F4160" w14:textId="77777777" w:rsidR="007E7B19" w:rsidRPr="00D570B8" w:rsidRDefault="007E7B19" w:rsidP="007E7B19">
            <w:pPr>
              <w:autoSpaceDE w:val="0"/>
              <w:autoSpaceDN w:val="0"/>
              <w:adjustRightInd w:val="0"/>
              <w:spacing w:line="240" w:lineRule="auto"/>
              <w:jc w:val="center"/>
              <w:rPr>
                <w:rFonts w:cs="Times New Roman"/>
                <w:sz w:val="20"/>
                <w:szCs w:val="20"/>
              </w:rPr>
            </w:pPr>
          </w:p>
        </w:tc>
      </w:tr>
      <w:tr w:rsidR="00BC6C7C" w14:paraId="47ED2873"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7753B73"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Female</w:t>
            </w:r>
          </w:p>
        </w:tc>
        <w:tc>
          <w:tcPr>
            <w:tcW w:w="438" w:type="pct"/>
            <w:tcBorders>
              <w:top w:val="nil"/>
              <w:left w:val="double" w:sz="4" w:space="0" w:color="auto"/>
              <w:bottom w:val="nil"/>
              <w:right w:val="nil"/>
            </w:tcBorders>
            <w:vAlign w:val="center"/>
          </w:tcPr>
          <w:p w14:paraId="577676AE"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0.09</w:t>
            </w:r>
            <w:r w:rsidR="005D62C9" w:rsidRPr="005D62C9">
              <w:rPr>
                <w:rFonts w:cs="Times New Roman"/>
                <w:color w:val="000000" w:themeColor="text1"/>
                <w:sz w:val="20"/>
                <w:szCs w:val="20"/>
              </w:rPr>
              <w:t>3</w:t>
            </w:r>
          </w:p>
        </w:tc>
        <w:tc>
          <w:tcPr>
            <w:tcW w:w="380" w:type="pct"/>
            <w:tcBorders>
              <w:top w:val="nil"/>
              <w:left w:val="nil"/>
              <w:bottom w:val="nil"/>
              <w:right w:val="double" w:sz="4" w:space="0" w:color="auto"/>
            </w:tcBorders>
            <w:vAlign w:val="center"/>
          </w:tcPr>
          <w:p w14:paraId="76B3CB1F"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2.</w:t>
            </w:r>
            <w:r w:rsidR="005D62C9" w:rsidRPr="005D62C9">
              <w:rPr>
                <w:rFonts w:cs="Times New Roman"/>
                <w:color w:val="000000" w:themeColor="text1"/>
                <w:sz w:val="20"/>
                <w:szCs w:val="20"/>
              </w:rPr>
              <w:t>85</w:t>
            </w:r>
          </w:p>
        </w:tc>
        <w:tc>
          <w:tcPr>
            <w:tcW w:w="392" w:type="pct"/>
            <w:gridSpan w:val="2"/>
            <w:tcBorders>
              <w:top w:val="nil"/>
              <w:left w:val="double" w:sz="4" w:space="0" w:color="auto"/>
              <w:bottom w:val="nil"/>
              <w:right w:val="nil"/>
            </w:tcBorders>
            <w:vAlign w:val="center"/>
          </w:tcPr>
          <w:p w14:paraId="6A846343" w14:textId="7175E14D" w:rsidR="007E7B19" w:rsidRPr="00D570B8" w:rsidRDefault="00800798" w:rsidP="00800798">
            <w:pPr>
              <w:autoSpaceDE w:val="0"/>
              <w:autoSpaceDN w:val="0"/>
              <w:adjustRightInd w:val="0"/>
              <w:spacing w:line="240" w:lineRule="auto"/>
              <w:jc w:val="center"/>
              <w:rPr>
                <w:rFonts w:cs="Times New Roman"/>
                <w:sz w:val="20"/>
                <w:szCs w:val="20"/>
              </w:rPr>
            </w:pPr>
            <w:r>
              <w:rPr>
                <w:rFonts w:cs="Times New Roman"/>
                <w:sz w:val="20"/>
                <w:szCs w:val="20"/>
              </w:rPr>
              <w:t xml:space="preserve">    </w:t>
            </w:r>
            <w:r w:rsidR="007E7B19" w:rsidRPr="00D570B8">
              <w:rPr>
                <w:rFonts w:cs="Times New Roman"/>
                <w:sz w:val="20"/>
                <w:szCs w:val="20"/>
              </w:rPr>
              <w:t>--</w:t>
            </w:r>
          </w:p>
        </w:tc>
        <w:tc>
          <w:tcPr>
            <w:tcW w:w="362" w:type="pct"/>
            <w:gridSpan w:val="2"/>
            <w:tcBorders>
              <w:top w:val="nil"/>
              <w:left w:val="nil"/>
              <w:bottom w:val="nil"/>
              <w:right w:val="nil"/>
            </w:tcBorders>
            <w:vAlign w:val="center"/>
          </w:tcPr>
          <w:p w14:paraId="73E0FD0B"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19588AEE"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-0.2</w:t>
            </w:r>
            <w:r w:rsidR="005D62C9" w:rsidRPr="00D570B8">
              <w:rPr>
                <w:rFonts w:cs="Times New Roman"/>
                <w:sz w:val="20"/>
                <w:szCs w:val="20"/>
              </w:rPr>
              <w:t>55</w:t>
            </w:r>
          </w:p>
        </w:tc>
        <w:tc>
          <w:tcPr>
            <w:tcW w:w="354" w:type="pct"/>
            <w:tcBorders>
              <w:top w:val="nil"/>
              <w:left w:val="nil"/>
              <w:bottom w:val="nil"/>
              <w:right w:val="nil"/>
            </w:tcBorders>
            <w:vAlign w:val="center"/>
          </w:tcPr>
          <w:p w14:paraId="74D690B8"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5D62C9" w:rsidRPr="00D570B8">
              <w:rPr>
                <w:rFonts w:cs="Times New Roman"/>
                <w:sz w:val="20"/>
                <w:szCs w:val="20"/>
              </w:rPr>
              <w:t>5.73</w:t>
            </w:r>
          </w:p>
        </w:tc>
        <w:tc>
          <w:tcPr>
            <w:tcW w:w="354" w:type="pct"/>
            <w:tcBorders>
              <w:top w:val="nil"/>
              <w:left w:val="nil"/>
              <w:bottom w:val="nil"/>
              <w:right w:val="nil"/>
            </w:tcBorders>
            <w:vAlign w:val="center"/>
          </w:tcPr>
          <w:p w14:paraId="667ACEE3"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105FD7F9"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08E9698A"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70359812" w14:textId="33F43DE5" w:rsidR="007E7B19" w:rsidRPr="00BA20DE" w:rsidRDefault="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Age (65 years</w:t>
            </w:r>
            <w:r w:rsidR="00BA20DE" w:rsidRPr="00BA20DE">
              <w:rPr>
                <w:rFonts w:cs="Times New Roman"/>
                <w:b/>
                <w:bCs/>
                <w:color w:val="000000"/>
                <w:sz w:val="20"/>
                <w:szCs w:val="20"/>
              </w:rPr>
              <w:t xml:space="preserve"> or more</w:t>
            </w:r>
            <w:r w:rsidRPr="00BA20DE">
              <w:rPr>
                <w:rFonts w:cs="Times New Roman"/>
                <w:b/>
                <w:bCs/>
                <w:color w:val="000000"/>
                <w:sz w:val="20"/>
                <w:szCs w:val="20"/>
              </w:rPr>
              <w:t>)</w:t>
            </w:r>
          </w:p>
        </w:tc>
        <w:tc>
          <w:tcPr>
            <w:tcW w:w="438" w:type="pct"/>
            <w:tcBorders>
              <w:top w:val="nil"/>
              <w:left w:val="double" w:sz="4" w:space="0" w:color="auto"/>
              <w:bottom w:val="nil"/>
              <w:right w:val="nil"/>
            </w:tcBorders>
            <w:vAlign w:val="center"/>
          </w:tcPr>
          <w:p w14:paraId="5317D1A4"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53D25805"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478790AE" w14:textId="77777777" w:rsidR="007E7B19" w:rsidRPr="00D570B8" w:rsidRDefault="007E7B19" w:rsidP="007E7B19">
            <w:pPr>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36C64D6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61" w:type="pct"/>
            <w:gridSpan w:val="2"/>
            <w:tcBorders>
              <w:top w:val="nil"/>
              <w:left w:val="nil"/>
              <w:bottom w:val="nil"/>
              <w:right w:val="nil"/>
            </w:tcBorders>
            <w:vAlign w:val="center"/>
          </w:tcPr>
          <w:p w14:paraId="7093913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6836413E"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0471E12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1FD6A7A0"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r>
      <w:tr w:rsidR="00BC6C7C" w14:paraId="32B46D7F"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7D828063" w14:textId="176B8A98"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BA20DE" w:rsidRPr="00BA20DE">
              <w:rPr>
                <w:rFonts w:cs="Times New Roman"/>
                <w:color w:val="000000"/>
                <w:sz w:val="20"/>
                <w:szCs w:val="20"/>
              </w:rPr>
              <w:t>18-</w:t>
            </w:r>
            <w:r w:rsidR="007E7B19" w:rsidRPr="00BA20DE">
              <w:rPr>
                <w:rFonts w:cs="Times New Roman"/>
                <w:color w:val="000000"/>
                <w:sz w:val="20"/>
                <w:szCs w:val="20"/>
              </w:rPr>
              <w:t>34</w:t>
            </w:r>
          </w:p>
        </w:tc>
        <w:tc>
          <w:tcPr>
            <w:tcW w:w="438" w:type="pct"/>
            <w:tcBorders>
              <w:top w:val="nil"/>
              <w:left w:val="double" w:sz="4" w:space="0" w:color="auto"/>
              <w:bottom w:val="nil"/>
              <w:right w:val="nil"/>
            </w:tcBorders>
            <w:vAlign w:val="center"/>
          </w:tcPr>
          <w:p w14:paraId="12844B15"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78411481"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73BC9BAF"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-0.2</w:t>
            </w:r>
            <w:r w:rsidR="00A01067" w:rsidRPr="00D570B8">
              <w:rPr>
                <w:rFonts w:cs="Times New Roman"/>
                <w:sz w:val="20"/>
                <w:szCs w:val="20"/>
              </w:rPr>
              <w:t>73</w:t>
            </w:r>
          </w:p>
        </w:tc>
        <w:tc>
          <w:tcPr>
            <w:tcW w:w="362" w:type="pct"/>
            <w:gridSpan w:val="2"/>
            <w:tcBorders>
              <w:top w:val="nil"/>
              <w:left w:val="nil"/>
              <w:bottom w:val="nil"/>
              <w:right w:val="nil"/>
            </w:tcBorders>
            <w:vAlign w:val="center"/>
          </w:tcPr>
          <w:p w14:paraId="25AD8E79"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-6.</w:t>
            </w:r>
            <w:r w:rsidR="00A01067" w:rsidRPr="00D570B8">
              <w:rPr>
                <w:rFonts w:cs="Times New Roman"/>
                <w:sz w:val="20"/>
                <w:szCs w:val="20"/>
              </w:rPr>
              <w:t>74</w:t>
            </w:r>
          </w:p>
        </w:tc>
        <w:tc>
          <w:tcPr>
            <w:tcW w:w="361" w:type="pct"/>
            <w:gridSpan w:val="2"/>
            <w:tcBorders>
              <w:top w:val="nil"/>
              <w:left w:val="nil"/>
              <w:bottom w:val="nil"/>
              <w:right w:val="nil"/>
            </w:tcBorders>
            <w:vAlign w:val="center"/>
          </w:tcPr>
          <w:p w14:paraId="0E3F8237"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A01067" w:rsidRPr="00D570B8">
              <w:rPr>
                <w:rFonts w:cs="Times New Roman"/>
                <w:sz w:val="20"/>
                <w:szCs w:val="20"/>
              </w:rPr>
              <w:t>639</w:t>
            </w:r>
          </w:p>
        </w:tc>
        <w:tc>
          <w:tcPr>
            <w:tcW w:w="354" w:type="pct"/>
            <w:tcBorders>
              <w:top w:val="nil"/>
              <w:left w:val="nil"/>
              <w:bottom w:val="nil"/>
              <w:right w:val="nil"/>
            </w:tcBorders>
            <w:vAlign w:val="center"/>
          </w:tcPr>
          <w:p w14:paraId="35732BAF" w14:textId="77777777" w:rsidR="007E7B19"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4.61</w:t>
            </w:r>
          </w:p>
        </w:tc>
        <w:tc>
          <w:tcPr>
            <w:tcW w:w="354" w:type="pct"/>
            <w:tcBorders>
              <w:top w:val="nil"/>
              <w:left w:val="nil"/>
              <w:bottom w:val="nil"/>
              <w:right w:val="nil"/>
            </w:tcBorders>
            <w:vAlign w:val="center"/>
          </w:tcPr>
          <w:p w14:paraId="1E5F98CA"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A01067" w:rsidRPr="00D570B8">
              <w:rPr>
                <w:rFonts w:cs="Times New Roman"/>
                <w:sz w:val="20"/>
                <w:szCs w:val="20"/>
              </w:rPr>
              <w:t>280</w:t>
            </w:r>
          </w:p>
        </w:tc>
        <w:tc>
          <w:tcPr>
            <w:tcW w:w="360" w:type="pct"/>
            <w:tcBorders>
              <w:top w:val="nil"/>
              <w:left w:val="nil"/>
              <w:bottom w:val="nil"/>
              <w:right w:val="double" w:sz="4" w:space="0" w:color="auto"/>
            </w:tcBorders>
            <w:vAlign w:val="center"/>
          </w:tcPr>
          <w:p w14:paraId="54754A68" w14:textId="77777777" w:rsidR="007E7B19"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5.60</w:t>
            </w:r>
          </w:p>
        </w:tc>
      </w:tr>
      <w:tr w:rsidR="00BC6C7C" w14:paraId="681813DF"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ED96253" w14:textId="7AD9BA6D" w:rsidR="00A01067" w:rsidRPr="00BA20DE" w:rsidRDefault="00BA20DE">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35-</w:t>
            </w:r>
            <w:r w:rsidR="00A01067" w:rsidRPr="00BA20DE">
              <w:rPr>
                <w:rFonts w:cs="Times New Roman"/>
                <w:color w:val="000000"/>
                <w:sz w:val="20"/>
                <w:szCs w:val="20"/>
              </w:rPr>
              <w:t>44</w:t>
            </w:r>
          </w:p>
        </w:tc>
        <w:tc>
          <w:tcPr>
            <w:tcW w:w="438" w:type="pct"/>
            <w:tcBorders>
              <w:top w:val="nil"/>
              <w:left w:val="double" w:sz="4" w:space="0" w:color="auto"/>
              <w:bottom w:val="nil"/>
              <w:right w:val="nil"/>
            </w:tcBorders>
            <w:vAlign w:val="center"/>
          </w:tcPr>
          <w:p w14:paraId="049DE50B" w14:textId="77777777" w:rsidR="00A01067" w:rsidRPr="005D62C9" w:rsidRDefault="00A01067"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0.077</w:t>
            </w:r>
          </w:p>
        </w:tc>
        <w:tc>
          <w:tcPr>
            <w:tcW w:w="380" w:type="pct"/>
            <w:tcBorders>
              <w:top w:val="nil"/>
              <w:left w:val="nil"/>
              <w:bottom w:val="nil"/>
              <w:right w:val="double" w:sz="4" w:space="0" w:color="auto"/>
            </w:tcBorders>
            <w:vAlign w:val="center"/>
          </w:tcPr>
          <w:p w14:paraId="38689723" w14:textId="77777777" w:rsidR="00A01067" w:rsidRPr="005D62C9" w:rsidRDefault="00A01067"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2.41</w:t>
            </w:r>
          </w:p>
        </w:tc>
        <w:tc>
          <w:tcPr>
            <w:tcW w:w="392" w:type="pct"/>
            <w:gridSpan w:val="2"/>
            <w:tcBorders>
              <w:top w:val="nil"/>
              <w:left w:val="double" w:sz="4" w:space="0" w:color="auto"/>
              <w:bottom w:val="nil"/>
              <w:right w:val="nil"/>
            </w:tcBorders>
            <w:vAlign w:val="center"/>
          </w:tcPr>
          <w:p w14:paraId="1F7ADFC6" w14:textId="77777777" w:rsidR="00A01067" w:rsidRPr="00D570B8" w:rsidRDefault="00A01067"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47E78266"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17826A3C"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0.862</w:t>
            </w:r>
          </w:p>
        </w:tc>
        <w:tc>
          <w:tcPr>
            <w:tcW w:w="354" w:type="pct"/>
            <w:tcBorders>
              <w:top w:val="nil"/>
              <w:left w:val="nil"/>
              <w:bottom w:val="nil"/>
              <w:right w:val="nil"/>
            </w:tcBorders>
            <w:vAlign w:val="center"/>
          </w:tcPr>
          <w:p w14:paraId="013237D9"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6.30</w:t>
            </w:r>
          </w:p>
        </w:tc>
        <w:tc>
          <w:tcPr>
            <w:tcW w:w="354" w:type="pct"/>
            <w:tcBorders>
              <w:top w:val="nil"/>
              <w:left w:val="nil"/>
              <w:bottom w:val="nil"/>
              <w:right w:val="nil"/>
            </w:tcBorders>
            <w:vAlign w:val="center"/>
          </w:tcPr>
          <w:p w14:paraId="7E952E36"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0.280</w:t>
            </w:r>
          </w:p>
        </w:tc>
        <w:tc>
          <w:tcPr>
            <w:tcW w:w="360" w:type="pct"/>
            <w:tcBorders>
              <w:top w:val="nil"/>
              <w:left w:val="nil"/>
              <w:bottom w:val="nil"/>
              <w:right w:val="double" w:sz="4" w:space="0" w:color="auto"/>
            </w:tcBorders>
            <w:vAlign w:val="center"/>
          </w:tcPr>
          <w:p w14:paraId="3C1AB82B"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5.60</w:t>
            </w:r>
          </w:p>
        </w:tc>
      </w:tr>
      <w:tr w:rsidR="00BC6C7C" w14:paraId="519A4AE2"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7EBF526F" w14:textId="476BE404" w:rsidR="005D62C9" w:rsidRPr="00BA20DE" w:rsidRDefault="00BA20DE">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45-</w:t>
            </w:r>
            <w:r w:rsidR="005D62C9" w:rsidRPr="00BA20DE">
              <w:rPr>
                <w:rFonts w:cs="Times New Roman"/>
                <w:color w:val="000000"/>
                <w:sz w:val="20"/>
                <w:szCs w:val="20"/>
              </w:rPr>
              <w:t>54</w:t>
            </w:r>
          </w:p>
        </w:tc>
        <w:tc>
          <w:tcPr>
            <w:tcW w:w="438" w:type="pct"/>
            <w:tcBorders>
              <w:top w:val="nil"/>
              <w:left w:val="double" w:sz="4" w:space="0" w:color="auto"/>
              <w:bottom w:val="nil"/>
              <w:right w:val="nil"/>
            </w:tcBorders>
            <w:vAlign w:val="center"/>
          </w:tcPr>
          <w:p w14:paraId="0CCA7945" w14:textId="77777777" w:rsidR="005D62C9" w:rsidRPr="005D62C9" w:rsidRDefault="005D62C9"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0.077</w:t>
            </w:r>
          </w:p>
        </w:tc>
        <w:tc>
          <w:tcPr>
            <w:tcW w:w="380" w:type="pct"/>
            <w:tcBorders>
              <w:top w:val="nil"/>
              <w:left w:val="nil"/>
              <w:bottom w:val="nil"/>
              <w:right w:val="double" w:sz="4" w:space="0" w:color="auto"/>
            </w:tcBorders>
            <w:vAlign w:val="center"/>
          </w:tcPr>
          <w:p w14:paraId="4E9AF2CE" w14:textId="77777777" w:rsidR="005D62C9" w:rsidRPr="005D62C9" w:rsidRDefault="005D62C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2.41</w:t>
            </w:r>
          </w:p>
        </w:tc>
        <w:tc>
          <w:tcPr>
            <w:tcW w:w="392" w:type="pct"/>
            <w:gridSpan w:val="2"/>
            <w:tcBorders>
              <w:top w:val="nil"/>
              <w:left w:val="double" w:sz="4" w:space="0" w:color="auto"/>
              <w:bottom w:val="nil"/>
              <w:right w:val="nil"/>
            </w:tcBorders>
            <w:vAlign w:val="center"/>
          </w:tcPr>
          <w:p w14:paraId="29619F28" w14:textId="77777777" w:rsidR="005D62C9" w:rsidRPr="00D570B8" w:rsidRDefault="005D62C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21237E9A" w14:textId="77777777" w:rsidR="005D62C9" w:rsidRPr="00D570B8" w:rsidRDefault="005D62C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69BC8ED8" w14:textId="77777777" w:rsidR="005D62C9" w:rsidRPr="00D570B8" w:rsidRDefault="005D62C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0.5</w:t>
            </w:r>
            <w:r w:rsidR="00A01067" w:rsidRPr="00D570B8">
              <w:rPr>
                <w:rFonts w:cs="Times New Roman"/>
                <w:sz w:val="20"/>
                <w:szCs w:val="20"/>
              </w:rPr>
              <w:t>57</w:t>
            </w:r>
          </w:p>
        </w:tc>
        <w:tc>
          <w:tcPr>
            <w:tcW w:w="354" w:type="pct"/>
            <w:tcBorders>
              <w:top w:val="nil"/>
              <w:left w:val="nil"/>
              <w:bottom w:val="nil"/>
              <w:right w:val="nil"/>
            </w:tcBorders>
            <w:vAlign w:val="center"/>
          </w:tcPr>
          <w:p w14:paraId="01C0D774" w14:textId="77777777" w:rsidR="005D62C9"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4.08</w:t>
            </w:r>
          </w:p>
        </w:tc>
        <w:tc>
          <w:tcPr>
            <w:tcW w:w="354" w:type="pct"/>
            <w:tcBorders>
              <w:top w:val="nil"/>
              <w:left w:val="nil"/>
              <w:bottom w:val="nil"/>
              <w:right w:val="nil"/>
            </w:tcBorders>
            <w:vAlign w:val="center"/>
          </w:tcPr>
          <w:p w14:paraId="5E162E97" w14:textId="77777777" w:rsidR="005D62C9" w:rsidRPr="00D570B8" w:rsidRDefault="005D62C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14065291" w14:textId="77777777" w:rsidR="005D62C9" w:rsidRPr="00D570B8" w:rsidRDefault="005D62C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3BCA9392"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737A183" w14:textId="470DE349" w:rsidR="00A01067" w:rsidRPr="00BA20DE" w:rsidRDefault="00BA20DE">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55-</w:t>
            </w:r>
            <w:r w:rsidR="00A01067" w:rsidRPr="00BA20DE">
              <w:rPr>
                <w:rFonts w:cs="Times New Roman"/>
                <w:color w:val="000000"/>
                <w:sz w:val="20"/>
                <w:szCs w:val="20"/>
              </w:rPr>
              <w:t>64</w:t>
            </w:r>
          </w:p>
        </w:tc>
        <w:tc>
          <w:tcPr>
            <w:tcW w:w="438" w:type="pct"/>
            <w:tcBorders>
              <w:top w:val="nil"/>
              <w:left w:val="double" w:sz="4" w:space="0" w:color="auto"/>
              <w:bottom w:val="nil"/>
              <w:right w:val="nil"/>
            </w:tcBorders>
            <w:vAlign w:val="center"/>
          </w:tcPr>
          <w:p w14:paraId="1C3BD72A" w14:textId="77777777" w:rsidR="00A01067" w:rsidRPr="005D62C9" w:rsidRDefault="00A01067"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3EBA1F0E" w14:textId="77777777" w:rsidR="00A01067" w:rsidRPr="005D62C9" w:rsidRDefault="00A01067"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054629CA" w14:textId="77777777" w:rsidR="00A01067" w:rsidRPr="00D570B8" w:rsidRDefault="00A01067"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6FBDEBB8"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6408DAAB"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0.557</w:t>
            </w:r>
          </w:p>
        </w:tc>
        <w:tc>
          <w:tcPr>
            <w:tcW w:w="354" w:type="pct"/>
            <w:tcBorders>
              <w:top w:val="nil"/>
              <w:left w:val="nil"/>
              <w:bottom w:val="nil"/>
              <w:right w:val="nil"/>
            </w:tcBorders>
            <w:vAlign w:val="center"/>
          </w:tcPr>
          <w:p w14:paraId="42B9B075"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4.08</w:t>
            </w:r>
          </w:p>
        </w:tc>
        <w:tc>
          <w:tcPr>
            <w:tcW w:w="354" w:type="pct"/>
            <w:tcBorders>
              <w:top w:val="nil"/>
              <w:left w:val="nil"/>
              <w:bottom w:val="nil"/>
              <w:right w:val="nil"/>
            </w:tcBorders>
            <w:vAlign w:val="center"/>
          </w:tcPr>
          <w:p w14:paraId="68B34647"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409C0076"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650695F7"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658C26AC" w14:textId="3C359D14" w:rsidR="007E7B19" w:rsidRPr="00BA20DE" w:rsidRDefault="00E45E48">
            <w:pPr>
              <w:autoSpaceDE w:val="0"/>
              <w:autoSpaceDN w:val="0"/>
              <w:adjustRightInd w:val="0"/>
              <w:spacing w:line="240" w:lineRule="auto"/>
              <w:jc w:val="left"/>
              <w:rPr>
                <w:rFonts w:cs="Times New Roman"/>
                <w:b/>
                <w:bCs/>
                <w:color w:val="000000"/>
                <w:sz w:val="20"/>
                <w:szCs w:val="20"/>
              </w:rPr>
            </w:pPr>
            <w:r w:rsidRPr="00BA20DE">
              <w:rPr>
                <w:rFonts w:eastAsia="Times New Roman" w:cs="Times New Roman"/>
                <w:b/>
                <w:bCs/>
                <w:color w:val="000000"/>
                <w:sz w:val="20"/>
                <w:szCs w:val="20"/>
              </w:rPr>
              <w:t>Ethnicity (other ethnicities)</w:t>
            </w:r>
          </w:p>
        </w:tc>
        <w:tc>
          <w:tcPr>
            <w:tcW w:w="438" w:type="pct"/>
            <w:tcBorders>
              <w:top w:val="nil"/>
              <w:left w:val="double" w:sz="4" w:space="0" w:color="auto"/>
              <w:bottom w:val="nil"/>
              <w:right w:val="nil"/>
            </w:tcBorders>
            <w:vAlign w:val="center"/>
          </w:tcPr>
          <w:p w14:paraId="4CB47E22"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4357BC89"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17E8B9F9"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p>
        </w:tc>
        <w:tc>
          <w:tcPr>
            <w:tcW w:w="362" w:type="pct"/>
            <w:gridSpan w:val="2"/>
            <w:tcBorders>
              <w:top w:val="nil"/>
              <w:left w:val="nil"/>
              <w:bottom w:val="nil"/>
              <w:right w:val="nil"/>
            </w:tcBorders>
            <w:vAlign w:val="center"/>
          </w:tcPr>
          <w:p w14:paraId="56335601"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61" w:type="pct"/>
            <w:gridSpan w:val="2"/>
            <w:tcBorders>
              <w:top w:val="nil"/>
              <w:left w:val="nil"/>
              <w:bottom w:val="nil"/>
              <w:right w:val="nil"/>
            </w:tcBorders>
            <w:vAlign w:val="center"/>
          </w:tcPr>
          <w:p w14:paraId="0A774852"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1D1E311B"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2A4E9EF1"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25345DFE"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p>
        </w:tc>
      </w:tr>
      <w:tr w:rsidR="00BC6C7C" w14:paraId="2B990958"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8B40384"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Non-Hispanic White</w:t>
            </w:r>
          </w:p>
        </w:tc>
        <w:tc>
          <w:tcPr>
            <w:tcW w:w="438" w:type="pct"/>
            <w:tcBorders>
              <w:top w:val="nil"/>
              <w:left w:val="double" w:sz="4" w:space="0" w:color="auto"/>
              <w:bottom w:val="nil"/>
              <w:right w:val="nil"/>
            </w:tcBorders>
            <w:vAlign w:val="center"/>
          </w:tcPr>
          <w:p w14:paraId="3CF7B02D"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-0.2</w:t>
            </w:r>
            <w:r w:rsidR="005D62C9" w:rsidRPr="005D62C9">
              <w:rPr>
                <w:rFonts w:cs="Times New Roman"/>
                <w:color w:val="000000" w:themeColor="text1"/>
                <w:sz w:val="20"/>
                <w:szCs w:val="20"/>
              </w:rPr>
              <w:t>25</w:t>
            </w:r>
          </w:p>
        </w:tc>
        <w:tc>
          <w:tcPr>
            <w:tcW w:w="380" w:type="pct"/>
            <w:tcBorders>
              <w:top w:val="nil"/>
              <w:left w:val="nil"/>
              <w:bottom w:val="nil"/>
              <w:right w:val="double" w:sz="4" w:space="0" w:color="auto"/>
            </w:tcBorders>
            <w:vAlign w:val="center"/>
          </w:tcPr>
          <w:p w14:paraId="052E844B"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-6.</w:t>
            </w:r>
            <w:r w:rsidR="005D62C9" w:rsidRPr="005D62C9">
              <w:rPr>
                <w:rFonts w:cs="Times New Roman"/>
                <w:color w:val="000000" w:themeColor="text1"/>
                <w:sz w:val="20"/>
                <w:szCs w:val="20"/>
              </w:rPr>
              <w:t>17</w:t>
            </w:r>
          </w:p>
        </w:tc>
        <w:tc>
          <w:tcPr>
            <w:tcW w:w="392" w:type="pct"/>
            <w:gridSpan w:val="2"/>
            <w:tcBorders>
              <w:top w:val="nil"/>
              <w:left w:val="double" w:sz="4" w:space="0" w:color="auto"/>
              <w:bottom w:val="nil"/>
              <w:right w:val="nil"/>
            </w:tcBorders>
            <w:vAlign w:val="center"/>
          </w:tcPr>
          <w:p w14:paraId="6495F1D5"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0.092</w:t>
            </w:r>
          </w:p>
        </w:tc>
        <w:tc>
          <w:tcPr>
            <w:tcW w:w="362" w:type="pct"/>
            <w:gridSpan w:val="2"/>
            <w:tcBorders>
              <w:top w:val="nil"/>
              <w:left w:val="nil"/>
              <w:bottom w:val="nil"/>
              <w:right w:val="nil"/>
            </w:tcBorders>
            <w:vAlign w:val="center"/>
          </w:tcPr>
          <w:p w14:paraId="676B683F"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2.7</w:t>
            </w:r>
            <w:r w:rsidR="00A01067" w:rsidRPr="00D570B8">
              <w:rPr>
                <w:rFonts w:cs="Times New Roman"/>
                <w:sz w:val="20"/>
                <w:szCs w:val="20"/>
              </w:rPr>
              <w:t>9</w:t>
            </w:r>
          </w:p>
        </w:tc>
        <w:tc>
          <w:tcPr>
            <w:tcW w:w="361" w:type="pct"/>
            <w:gridSpan w:val="2"/>
            <w:tcBorders>
              <w:top w:val="nil"/>
              <w:left w:val="nil"/>
              <w:bottom w:val="nil"/>
              <w:right w:val="nil"/>
            </w:tcBorders>
            <w:vAlign w:val="center"/>
          </w:tcPr>
          <w:p w14:paraId="1E8B19FF"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59710EB2"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14DB24E"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7CBE4CE6"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40162452"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29083D20" w14:textId="63500B8C"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Education (</w:t>
            </w:r>
            <w:r w:rsidR="00BA20DE" w:rsidRPr="00BA20DE">
              <w:rPr>
                <w:rFonts w:cs="Times New Roman"/>
                <w:b/>
                <w:bCs/>
                <w:color w:val="000000"/>
                <w:sz w:val="20"/>
                <w:szCs w:val="20"/>
              </w:rPr>
              <w:t>less than</w:t>
            </w:r>
            <w:r w:rsidRPr="00BA20DE">
              <w:rPr>
                <w:rFonts w:cs="Times New Roman"/>
                <w:b/>
                <w:bCs/>
                <w:color w:val="000000"/>
                <w:sz w:val="20"/>
                <w:szCs w:val="20"/>
              </w:rPr>
              <w:t xml:space="preserve"> undergraduate degree)</w:t>
            </w:r>
          </w:p>
        </w:tc>
        <w:tc>
          <w:tcPr>
            <w:tcW w:w="818" w:type="pct"/>
            <w:gridSpan w:val="2"/>
            <w:tcBorders>
              <w:top w:val="nil"/>
              <w:left w:val="double" w:sz="4" w:space="0" w:color="auto"/>
              <w:bottom w:val="nil"/>
              <w:right w:val="double" w:sz="4" w:space="0" w:color="auto"/>
            </w:tcBorders>
            <w:vAlign w:val="center"/>
          </w:tcPr>
          <w:p w14:paraId="3C1DCB64" w14:textId="77777777" w:rsidR="009A4F82" w:rsidRPr="005D62C9" w:rsidRDefault="009A4F82" w:rsidP="00BC6C7C">
            <w:pPr>
              <w:tabs>
                <w:tab w:val="decimal" w:pos="247"/>
              </w:tabs>
              <w:autoSpaceDE w:val="0"/>
              <w:autoSpaceDN w:val="0"/>
              <w:adjustRightInd w:val="0"/>
              <w:spacing w:line="240" w:lineRule="auto"/>
              <w:jc w:val="left"/>
              <w:rPr>
                <w:rFonts w:cs="Times New Roman"/>
                <w:b/>
                <w:bCs/>
                <w:color w:val="000000" w:themeColor="text1"/>
                <w:sz w:val="20"/>
                <w:szCs w:val="20"/>
              </w:rPr>
            </w:pPr>
          </w:p>
        </w:tc>
        <w:tc>
          <w:tcPr>
            <w:tcW w:w="388" w:type="pct"/>
            <w:tcBorders>
              <w:top w:val="nil"/>
              <w:left w:val="double" w:sz="4" w:space="0" w:color="auto"/>
              <w:bottom w:val="nil"/>
              <w:right w:val="nil"/>
            </w:tcBorders>
            <w:vAlign w:val="center"/>
          </w:tcPr>
          <w:p w14:paraId="5E10A234" w14:textId="77777777" w:rsidR="009A4F82" w:rsidRPr="00D570B8" w:rsidRDefault="009A4F82" w:rsidP="00800798">
            <w:pPr>
              <w:tabs>
                <w:tab w:val="decimal" w:pos="336"/>
              </w:tabs>
              <w:autoSpaceDE w:val="0"/>
              <w:autoSpaceDN w:val="0"/>
              <w:adjustRightInd w:val="0"/>
              <w:spacing w:line="240" w:lineRule="auto"/>
              <w:jc w:val="left"/>
              <w:rPr>
                <w:rFonts w:cs="Times New Roman"/>
                <w:sz w:val="20"/>
                <w:szCs w:val="20"/>
              </w:rPr>
            </w:pPr>
          </w:p>
        </w:tc>
        <w:tc>
          <w:tcPr>
            <w:tcW w:w="360" w:type="pct"/>
            <w:gridSpan w:val="2"/>
            <w:tcBorders>
              <w:top w:val="nil"/>
              <w:left w:val="nil"/>
              <w:bottom w:val="nil"/>
              <w:right w:val="nil"/>
            </w:tcBorders>
            <w:vAlign w:val="center"/>
          </w:tcPr>
          <w:p w14:paraId="3F2B8DCA"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7" w:type="pct"/>
            <w:gridSpan w:val="3"/>
            <w:tcBorders>
              <w:top w:val="nil"/>
              <w:left w:val="nil"/>
              <w:bottom w:val="nil"/>
              <w:right w:val="nil"/>
            </w:tcBorders>
            <w:vAlign w:val="center"/>
          </w:tcPr>
          <w:p w14:paraId="04EB639D"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555940B8"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5C14C602"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23FD1B89"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r>
      <w:tr w:rsidR="00BC6C7C" w14:paraId="799C49CF"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C7C378E"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 xml:space="preserve">Completed undergraduate degree </w:t>
            </w:r>
          </w:p>
        </w:tc>
        <w:tc>
          <w:tcPr>
            <w:tcW w:w="438" w:type="pct"/>
            <w:tcBorders>
              <w:top w:val="nil"/>
              <w:left w:val="double" w:sz="4" w:space="0" w:color="auto"/>
              <w:bottom w:val="nil"/>
              <w:right w:val="nil"/>
            </w:tcBorders>
            <w:vAlign w:val="center"/>
          </w:tcPr>
          <w:p w14:paraId="346C0D4A"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3046AD65"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2276C98B" w14:textId="77777777" w:rsidR="007E7B19" w:rsidRPr="00D570B8" w:rsidRDefault="007E7B1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421EA8C5"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2D3D6E27"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w:t>
            </w:r>
            <w:r w:rsidR="00A01067" w:rsidRPr="00D570B8">
              <w:rPr>
                <w:rFonts w:cs="Times New Roman"/>
                <w:sz w:val="20"/>
                <w:szCs w:val="20"/>
              </w:rPr>
              <w:t>35</w:t>
            </w:r>
          </w:p>
        </w:tc>
        <w:tc>
          <w:tcPr>
            <w:tcW w:w="354" w:type="pct"/>
            <w:tcBorders>
              <w:top w:val="nil"/>
              <w:left w:val="nil"/>
              <w:bottom w:val="nil"/>
              <w:right w:val="nil"/>
            </w:tcBorders>
            <w:vAlign w:val="center"/>
          </w:tcPr>
          <w:p w14:paraId="28B786D1"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w:t>
            </w:r>
            <w:r w:rsidR="00A01067" w:rsidRPr="00D570B8">
              <w:rPr>
                <w:rFonts w:cs="Times New Roman"/>
                <w:sz w:val="20"/>
                <w:szCs w:val="20"/>
              </w:rPr>
              <w:t>64</w:t>
            </w:r>
          </w:p>
        </w:tc>
        <w:tc>
          <w:tcPr>
            <w:tcW w:w="354" w:type="pct"/>
            <w:tcBorders>
              <w:top w:val="nil"/>
              <w:left w:val="nil"/>
              <w:bottom w:val="nil"/>
              <w:right w:val="nil"/>
            </w:tcBorders>
            <w:vAlign w:val="center"/>
          </w:tcPr>
          <w:p w14:paraId="23BBBFB1"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74B5B2E1"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5C22454F"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7BC895F0" w14:textId="77777777" w:rsidR="00A01067" w:rsidRPr="00BA20DE" w:rsidRDefault="00A01067">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Completed graduate degree </w:t>
            </w:r>
          </w:p>
        </w:tc>
        <w:tc>
          <w:tcPr>
            <w:tcW w:w="438" w:type="pct"/>
            <w:tcBorders>
              <w:top w:val="nil"/>
              <w:left w:val="double" w:sz="4" w:space="0" w:color="auto"/>
              <w:bottom w:val="nil"/>
              <w:right w:val="nil"/>
            </w:tcBorders>
            <w:vAlign w:val="center"/>
          </w:tcPr>
          <w:p w14:paraId="592D0F3F" w14:textId="77777777" w:rsidR="00A01067" w:rsidRPr="005D62C9" w:rsidRDefault="00A01067"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-0.153</w:t>
            </w:r>
          </w:p>
        </w:tc>
        <w:tc>
          <w:tcPr>
            <w:tcW w:w="380" w:type="pct"/>
            <w:tcBorders>
              <w:top w:val="nil"/>
              <w:left w:val="nil"/>
              <w:bottom w:val="nil"/>
              <w:right w:val="double" w:sz="4" w:space="0" w:color="auto"/>
            </w:tcBorders>
            <w:vAlign w:val="center"/>
          </w:tcPr>
          <w:p w14:paraId="30AED5DB" w14:textId="77777777" w:rsidR="00A01067" w:rsidRPr="005D62C9" w:rsidRDefault="00A01067"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-4.46</w:t>
            </w:r>
          </w:p>
        </w:tc>
        <w:tc>
          <w:tcPr>
            <w:tcW w:w="392" w:type="pct"/>
            <w:gridSpan w:val="2"/>
            <w:tcBorders>
              <w:top w:val="nil"/>
              <w:left w:val="double" w:sz="4" w:space="0" w:color="auto"/>
              <w:bottom w:val="nil"/>
              <w:right w:val="nil"/>
            </w:tcBorders>
            <w:vAlign w:val="center"/>
          </w:tcPr>
          <w:p w14:paraId="3E4EF09A" w14:textId="77777777" w:rsidR="00A01067" w:rsidRPr="00D570B8" w:rsidRDefault="00A01067"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0.089</w:t>
            </w:r>
          </w:p>
        </w:tc>
        <w:tc>
          <w:tcPr>
            <w:tcW w:w="362" w:type="pct"/>
            <w:gridSpan w:val="2"/>
            <w:tcBorders>
              <w:top w:val="nil"/>
              <w:left w:val="nil"/>
              <w:bottom w:val="nil"/>
              <w:right w:val="nil"/>
            </w:tcBorders>
            <w:vAlign w:val="center"/>
          </w:tcPr>
          <w:p w14:paraId="757106B4"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2.97</w:t>
            </w:r>
          </w:p>
        </w:tc>
        <w:tc>
          <w:tcPr>
            <w:tcW w:w="361" w:type="pct"/>
            <w:gridSpan w:val="2"/>
            <w:tcBorders>
              <w:top w:val="nil"/>
              <w:left w:val="nil"/>
              <w:bottom w:val="nil"/>
              <w:right w:val="nil"/>
            </w:tcBorders>
            <w:vAlign w:val="center"/>
          </w:tcPr>
          <w:p w14:paraId="0C1B2187"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0.135</w:t>
            </w:r>
          </w:p>
        </w:tc>
        <w:tc>
          <w:tcPr>
            <w:tcW w:w="354" w:type="pct"/>
            <w:tcBorders>
              <w:top w:val="nil"/>
              <w:left w:val="nil"/>
              <w:bottom w:val="nil"/>
              <w:right w:val="nil"/>
            </w:tcBorders>
            <w:vAlign w:val="center"/>
          </w:tcPr>
          <w:p w14:paraId="07E1EE85"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2.64</w:t>
            </w:r>
          </w:p>
        </w:tc>
        <w:tc>
          <w:tcPr>
            <w:tcW w:w="354" w:type="pct"/>
            <w:tcBorders>
              <w:top w:val="nil"/>
              <w:left w:val="nil"/>
              <w:bottom w:val="nil"/>
              <w:right w:val="nil"/>
            </w:tcBorders>
            <w:vAlign w:val="center"/>
          </w:tcPr>
          <w:p w14:paraId="018819D2"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5D5334ED"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03321A91"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9C9CB81" w14:textId="59F508C8" w:rsidR="007E7B19" w:rsidRPr="00BA20DE" w:rsidRDefault="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Student (no)</w:t>
            </w:r>
          </w:p>
        </w:tc>
        <w:tc>
          <w:tcPr>
            <w:tcW w:w="438" w:type="pct"/>
            <w:tcBorders>
              <w:top w:val="nil"/>
              <w:left w:val="double" w:sz="4" w:space="0" w:color="auto"/>
              <w:bottom w:val="nil"/>
              <w:right w:val="nil"/>
            </w:tcBorders>
            <w:vAlign w:val="center"/>
          </w:tcPr>
          <w:p w14:paraId="3D90EB9B"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7BAB67AE"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79B57E43"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p>
        </w:tc>
        <w:tc>
          <w:tcPr>
            <w:tcW w:w="362" w:type="pct"/>
            <w:gridSpan w:val="2"/>
            <w:tcBorders>
              <w:top w:val="nil"/>
              <w:left w:val="nil"/>
              <w:bottom w:val="nil"/>
              <w:right w:val="nil"/>
            </w:tcBorders>
            <w:vAlign w:val="center"/>
          </w:tcPr>
          <w:p w14:paraId="42B9BA8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61" w:type="pct"/>
            <w:gridSpan w:val="2"/>
            <w:tcBorders>
              <w:top w:val="nil"/>
              <w:left w:val="nil"/>
              <w:bottom w:val="nil"/>
              <w:right w:val="nil"/>
            </w:tcBorders>
            <w:vAlign w:val="center"/>
          </w:tcPr>
          <w:p w14:paraId="6A351C4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128A2D08"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59EE3497"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226476E6"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p>
        </w:tc>
      </w:tr>
      <w:tr w:rsidR="00BC6C7C" w14:paraId="134EF1FA"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431EB51"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Yes</w:t>
            </w:r>
          </w:p>
        </w:tc>
        <w:tc>
          <w:tcPr>
            <w:tcW w:w="438" w:type="pct"/>
            <w:tcBorders>
              <w:top w:val="nil"/>
              <w:left w:val="double" w:sz="4" w:space="0" w:color="auto"/>
              <w:bottom w:val="nil"/>
              <w:right w:val="nil"/>
            </w:tcBorders>
            <w:vAlign w:val="center"/>
          </w:tcPr>
          <w:p w14:paraId="7A1D5692"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528F0F35"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55473AF2"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0.20</w:t>
            </w:r>
            <w:r w:rsidR="00D570B8" w:rsidRPr="00D570B8">
              <w:rPr>
                <w:rFonts w:cs="Times New Roman"/>
                <w:sz w:val="20"/>
                <w:szCs w:val="20"/>
              </w:rPr>
              <w:t>1</w:t>
            </w:r>
          </w:p>
        </w:tc>
        <w:tc>
          <w:tcPr>
            <w:tcW w:w="362" w:type="pct"/>
            <w:gridSpan w:val="2"/>
            <w:tcBorders>
              <w:top w:val="nil"/>
              <w:left w:val="nil"/>
              <w:bottom w:val="nil"/>
              <w:right w:val="nil"/>
            </w:tcBorders>
            <w:vAlign w:val="center"/>
          </w:tcPr>
          <w:p w14:paraId="28AD35D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2.62</w:t>
            </w:r>
          </w:p>
        </w:tc>
        <w:tc>
          <w:tcPr>
            <w:tcW w:w="361" w:type="pct"/>
            <w:gridSpan w:val="2"/>
            <w:tcBorders>
              <w:top w:val="nil"/>
              <w:left w:val="nil"/>
              <w:bottom w:val="nil"/>
              <w:right w:val="nil"/>
            </w:tcBorders>
            <w:vAlign w:val="center"/>
          </w:tcPr>
          <w:p w14:paraId="17F6A650"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C57098D"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21652CB"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0D73173B"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64DEBC64"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56A5B87E" w14:textId="285EBF98"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Employment type (full-time)</w:t>
            </w:r>
          </w:p>
        </w:tc>
        <w:tc>
          <w:tcPr>
            <w:tcW w:w="438" w:type="pct"/>
            <w:tcBorders>
              <w:top w:val="nil"/>
              <w:left w:val="double" w:sz="4" w:space="0" w:color="auto"/>
              <w:bottom w:val="nil"/>
              <w:right w:val="nil"/>
            </w:tcBorders>
            <w:vAlign w:val="center"/>
          </w:tcPr>
          <w:p w14:paraId="2EA3AE37" w14:textId="77777777" w:rsidR="009A4F82" w:rsidRPr="005D62C9" w:rsidRDefault="009A4F82" w:rsidP="00BC6C7C">
            <w:pPr>
              <w:tabs>
                <w:tab w:val="decimal" w:pos="247"/>
              </w:tabs>
              <w:autoSpaceDE w:val="0"/>
              <w:autoSpaceDN w:val="0"/>
              <w:adjustRightInd w:val="0"/>
              <w:spacing w:line="240" w:lineRule="auto"/>
              <w:jc w:val="left"/>
              <w:rPr>
                <w:rFonts w:cs="Times New Roman"/>
                <w:b/>
                <w:bCs/>
                <w:color w:val="000000" w:themeColor="text1"/>
                <w:sz w:val="20"/>
                <w:szCs w:val="20"/>
              </w:rPr>
            </w:pPr>
          </w:p>
        </w:tc>
        <w:tc>
          <w:tcPr>
            <w:tcW w:w="380" w:type="pct"/>
            <w:tcBorders>
              <w:top w:val="nil"/>
              <w:left w:val="nil"/>
              <w:bottom w:val="nil"/>
              <w:right w:val="double" w:sz="4" w:space="0" w:color="auto"/>
            </w:tcBorders>
            <w:vAlign w:val="center"/>
          </w:tcPr>
          <w:p w14:paraId="585F31CC" w14:textId="77777777" w:rsidR="009A4F82" w:rsidRPr="005D62C9" w:rsidRDefault="009A4F82"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57063354" w14:textId="77777777" w:rsidR="009A4F82" w:rsidRPr="00D570B8" w:rsidRDefault="009A4F82" w:rsidP="00800798">
            <w:pPr>
              <w:tabs>
                <w:tab w:val="decimal" w:pos="336"/>
              </w:tabs>
              <w:autoSpaceDE w:val="0"/>
              <w:autoSpaceDN w:val="0"/>
              <w:adjustRightInd w:val="0"/>
              <w:spacing w:line="240" w:lineRule="auto"/>
              <w:jc w:val="left"/>
              <w:rPr>
                <w:rFonts w:cs="Times New Roman"/>
                <w:sz w:val="20"/>
                <w:szCs w:val="20"/>
              </w:rPr>
            </w:pPr>
          </w:p>
        </w:tc>
        <w:tc>
          <w:tcPr>
            <w:tcW w:w="362" w:type="pct"/>
            <w:gridSpan w:val="2"/>
            <w:tcBorders>
              <w:top w:val="nil"/>
              <w:left w:val="nil"/>
              <w:bottom w:val="nil"/>
              <w:right w:val="nil"/>
            </w:tcBorders>
            <w:vAlign w:val="center"/>
          </w:tcPr>
          <w:p w14:paraId="23EBFDA7"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1" w:type="pct"/>
            <w:gridSpan w:val="2"/>
            <w:tcBorders>
              <w:top w:val="nil"/>
              <w:left w:val="nil"/>
              <w:bottom w:val="nil"/>
              <w:right w:val="nil"/>
            </w:tcBorders>
            <w:vAlign w:val="center"/>
          </w:tcPr>
          <w:p w14:paraId="2F6EA4DE"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42B7B124"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1C13796A"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322587FD"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407897F9"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FEE2D1B"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Part-time employee</w:t>
            </w:r>
          </w:p>
        </w:tc>
        <w:tc>
          <w:tcPr>
            <w:tcW w:w="438" w:type="pct"/>
            <w:tcBorders>
              <w:top w:val="nil"/>
              <w:left w:val="double" w:sz="4" w:space="0" w:color="auto"/>
              <w:bottom w:val="nil"/>
              <w:right w:val="nil"/>
            </w:tcBorders>
            <w:vAlign w:val="center"/>
          </w:tcPr>
          <w:p w14:paraId="7F454A68" w14:textId="77777777" w:rsidR="007E7B19" w:rsidRPr="005D62C9" w:rsidRDefault="007E7B19"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w:t>
            </w:r>
            <w:r w:rsidR="005D62C9" w:rsidRPr="005D62C9">
              <w:rPr>
                <w:rFonts w:cs="Times New Roman"/>
                <w:color w:val="000000" w:themeColor="text1"/>
                <w:sz w:val="20"/>
                <w:szCs w:val="20"/>
              </w:rPr>
              <w:t>291</w:t>
            </w:r>
          </w:p>
        </w:tc>
        <w:tc>
          <w:tcPr>
            <w:tcW w:w="380" w:type="pct"/>
            <w:tcBorders>
              <w:top w:val="nil"/>
              <w:left w:val="nil"/>
              <w:bottom w:val="nil"/>
              <w:right w:val="double" w:sz="4" w:space="0" w:color="auto"/>
            </w:tcBorders>
            <w:vAlign w:val="center"/>
          </w:tcPr>
          <w:p w14:paraId="204483AD" w14:textId="77777777" w:rsidR="007E7B19" w:rsidRPr="005D62C9" w:rsidRDefault="007E7B1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4.</w:t>
            </w:r>
            <w:r w:rsidR="005D62C9" w:rsidRPr="005D62C9">
              <w:rPr>
                <w:rFonts w:cs="Times New Roman"/>
                <w:color w:val="000000" w:themeColor="text1"/>
                <w:sz w:val="20"/>
                <w:szCs w:val="20"/>
              </w:rPr>
              <w:t>26</w:t>
            </w:r>
          </w:p>
        </w:tc>
        <w:tc>
          <w:tcPr>
            <w:tcW w:w="392" w:type="pct"/>
            <w:gridSpan w:val="2"/>
            <w:tcBorders>
              <w:top w:val="nil"/>
              <w:left w:val="double" w:sz="4" w:space="0" w:color="auto"/>
              <w:bottom w:val="nil"/>
              <w:right w:val="nil"/>
            </w:tcBorders>
            <w:vAlign w:val="center"/>
          </w:tcPr>
          <w:p w14:paraId="7F7C3C1E"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0.55</w:t>
            </w:r>
            <w:r w:rsidR="00D570B8" w:rsidRPr="00D570B8">
              <w:rPr>
                <w:rFonts w:cs="Times New Roman"/>
                <w:sz w:val="20"/>
                <w:szCs w:val="20"/>
              </w:rPr>
              <w:t>0</w:t>
            </w:r>
          </w:p>
        </w:tc>
        <w:tc>
          <w:tcPr>
            <w:tcW w:w="362" w:type="pct"/>
            <w:gridSpan w:val="2"/>
            <w:tcBorders>
              <w:top w:val="nil"/>
              <w:left w:val="nil"/>
              <w:bottom w:val="nil"/>
              <w:right w:val="nil"/>
            </w:tcBorders>
            <w:vAlign w:val="center"/>
          </w:tcPr>
          <w:p w14:paraId="5C1B348C"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8.</w:t>
            </w:r>
            <w:r w:rsidR="00D570B8" w:rsidRPr="00D570B8">
              <w:rPr>
                <w:rFonts w:cs="Times New Roman"/>
                <w:sz w:val="20"/>
                <w:szCs w:val="20"/>
              </w:rPr>
              <w:t>39</w:t>
            </w:r>
          </w:p>
        </w:tc>
        <w:tc>
          <w:tcPr>
            <w:tcW w:w="361" w:type="pct"/>
            <w:gridSpan w:val="2"/>
            <w:tcBorders>
              <w:top w:val="nil"/>
              <w:left w:val="nil"/>
              <w:bottom w:val="nil"/>
              <w:right w:val="nil"/>
            </w:tcBorders>
            <w:vAlign w:val="center"/>
          </w:tcPr>
          <w:p w14:paraId="1ABBBD32"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0.5</w:t>
            </w:r>
            <w:r w:rsidR="00D570B8" w:rsidRPr="00D570B8">
              <w:rPr>
                <w:rFonts w:cs="Times New Roman"/>
                <w:sz w:val="20"/>
                <w:szCs w:val="20"/>
              </w:rPr>
              <w:t>81</w:t>
            </w:r>
          </w:p>
        </w:tc>
        <w:tc>
          <w:tcPr>
            <w:tcW w:w="354" w:type="pct"/>
            <w:tcBorders>
              <w:top w:val="nil"/>
              <w:left w:val="nil"/>
              <w:bottom w:val="nil"/>
              <w:right w:val="nil"/>
            </w:tcBorders>
            <w:vAlign w:val="center"/>
          </w:tcPr>
          <w:p w14:paraId="2F55F4F1" w14:textId="77777777" w:rsidR="007E7B19" w:rsidRPr="00D570B8" w:rsidRDefault="00D570B8"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8</w:t>
            </w:r>
            <w:r w:rsidR="007E7B19" w:rsidRPr="00D570B8">
              <w:rPr>
                <w:rFonts w:cs="Times New Roman"/>
                <w:sz w:val="20"/>
                <w:szCs w:val="20"/>
              </w:rPr>
              <w:t>.</w:t>
            </w:r>
            <w:r w:rsidRPr="00D570B8">
              <w:rPr>
                <w:rFonts w:cs="Times New Roman"/>
                <w:sz w:val="20"/>
                <w:szCs w:val="20"/>
              </w:rPr>
              <w:t>20</w:t>
            </w:r>
          </w:p>
        </w:tc>
        <w:tc>
          <w:tcPr>
            <w:tcW w:w="354" w:type="pct"/>
            <w:tcBorders>
              <w:top w:val="nil"/>
              <w:left w:val="nil"/>
              <w:bottom w:val="nil"/>
              <w:right w:val="nil"/>
            </w:tcBorders>
            <w:vAlign w:val="center"/>
          </w:tcPr>
          <w:p w14:paraId="0FA289DC"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w:t>
            </w:r>
            <w:r w:rsidR="00D570B8" w:rsidRPr="00D570B8">
              <w:rPr>
                <w:rFonts w:cs="Times New Roman"/>
                <w:sz w:val="20"/>
                <w:szCs w:val="20"/>
              </w:rPr>
              <w:t>80</w:t>
            </w:r>
          </w:p>
        </w:tc>
        <w:tc>
          <w:tcPr>
            <w:tcW w:w="360" w:type="pct"/>
            <w:tcBorders>
              <w:top w:val="nil"/>
              <w:left w:val="nil"/>
              <w:bottom w:val="nil"/>
              <w:right w:val="double" w:sz="4" w:space="0" w:color="auto"/>
            </w:tcBorders>
            <w:vAlign w:val="center"/>
          </w:tcPr>
          <w:p w14:paraId="698F7B43" w14:textId="77777777" w:rsidR="007E7B19" w:rsidRPr="00D570B8" w:rsidRDefault="00D570B8"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2.78</w:t>
            </w:r>
          </w:p>
        </w:tc>
      </w:tr>
      <w:tr w:rsidR="00BC6C7C" w14:paraId="1F024006"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6D6B151A" w14:textId="77777777" w:rsidR="00D570B8" w:rsidRPr="00BA20DE" w:rsidRDefault="00D570B8">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Self-employed</w:t>
            </w:r>
          </w:p>
        </w:tc>
        <w:tc>
          <w:tcPr>
            <w:tcW w:w="438" w:type="pct"/>
            <w:tcBorders>
              <w:top w:val="nil"/>
              <w:left w:val="double" w:sz="4" w:space="0" w:color="auto"/>
              <w:bottom w:val="nil"/>
              <w:right w:val="nil"/>
            </w:tcBorders>
            <w:vAlign w:val="center"/>
          </w:tcPr>
          <w:p w14:paraId="40158AFE" w14:textId="77777777" w:rsidR="00D570B8" w:rsidRPr="005D62C9" w:rsidRDefault="00D570B8"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1582188E" w14:textId="77777777" w:rsidR="00D570B8" w:rsidRPr="005D62C9" w:rsidRDefault="00D570B8"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3AF4B0BD" w14:textId="77777777" w:rsidR="00D570B8" w:rsidRPr="00D570B8" w:rsidRDefault="00D570B8"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-0.133</w:t>
            </w:r>
          </w:p>
        </w:tc>
        <w:tc>
          <w:tcPr>
            <w:tcW w:w="362" w:type="pct"/>
            <w:gridSpan w:val="2"/>
            <w:tcBorders>
              <w:top w:val="nil"/>
              <w:left w:val="nil"/>
              <w:bottom w:val="nil"/>
              <w:right w:val="nil"/>
            </w:tcBorders>
            <w:vAlign w:val="center"/>
          </w:tcPr>
          <w:p w14:paraId="582D227E" w14:textId="77777777" w:rsidR="00D570B8" w:rsidRPr="00D570B8" w:rsidRDefault="00D570B8"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-2.60</w:t>
            </w:r>
          </w:p>
        </w:tc>
        <w:tc>
          <w:tcPr>
            <w:tcW w:w="361" w:type="pct"/>
            <w:gridSpan w:val="2"/>
            <w:tcBorders>
              <w:top w:val="nil"/>
              <w:left w:val="nil"/>
              <w:bottom w:val="nil"/>
              <w:right w:val="nil"/>
            </w:tcBorders>
            <w:vAlign w:val="center"/>
          </w:tcPr>
          <w:p w14:paraId="569121D3" w14:textId="77777777" w:rsidR="00D570B8" w:rsidRPr="00D570B8" w:rsidRDefault="00D570B8"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18CB84A1" w14:textId="77777777" w:rsidR="00D570B8" w:rsidRPr="00D570B8" w:rsidRDefault="00D570B8"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52ABDA52" w14:textId="77777777" w:rsidR="00D570B8" w:rsidRPr="00D570B8" w:rsidRDefault="00D570B8"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0.180</w:t>
            </w:r>
          </w:p>
        </w:tc>
        <w:tc>
          <w:tcPr>
            <w:tcW w:w="360" w:type="pct"/>
            <w:tcBorders>
              <w:top w:val="nil"/>
              <w:left w:val="nil"/>
              <w:bottom w:val="nil"/>
              <w:right w:val="double" w:sz="4" w:space="0" w:color="auto"/>
            </w:tcBorders>
            <w:vAlign w:val="center"/>
          </w:tcPr>
          <w:p w14:paraId="25E360B8" w14:textId="77777777" w:rsidR="00D570B8" w:rsidRPr="00D570B8" w:rsidRDefault="00D570B8"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2.78</w:t>
            </w:r>
          </w:p>
        </w:tc>
      </w:tr>
      <w:tr w:rsidR="00BC6C7C" w14:paraId="142D9F64"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345EDD1A" w14:textId="6B5CB14D"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Household income (</w:t>
            </w:r>
            <w:r w:rsidR="00BA20DE" w:rsidRPr="00BA20DE">
              <w:rPr>
                <w:rFonts w:cs="Times New Roman"/>
                <w:b/>
                <w:bCs/>
                <w:color w:val="000000"/>
                <w:sz w:val="20"/>
                <w:szCs w:val="20"/>
              </w:rPr>
              <w:t>Under</w:t>
            </w:r>
            <w:r w:rsidRPr="00BA20DE">
              <w:rPr>
                <w:rFonts w:cs="Times New Roman"/>
                <w:b/>
                <w:bCs/>
                <w:color w:val="000000"/>
                <w:sz w:val="20"/>
                <w:szCs w:val="20"/>
              </w:rPr>
              <w:t xml:space="preserve"> $50,000)</w:t>
            </w:r>
          </w:p>
        </w:tc>
        <w:tc>
          <w:tcPr>
            <w:tcW w:w="438" w:type="pct"/>
            <w:tcBorders>
              <w:top w:val="nil"/>
              <w:left w:val="double" w:sz="4" w:space="0" w:color="auto"/>
              <w:bottom w:val="nil"/>
              <w:right w:val="nil"/>
            </w:tcBorders>
            <w:vAlign w:val="center"/>
          </w:tcPr>
          <w:p w14:paraId="36550DC1" w14:textId="77777777" w:rsidR="009A4F82" w:rsidRPr="005D62C9" w:rsidRDefault="009A4F82" w:rsidP="00BC6C7C">
            <w:pPr>
              <w:tabs>
                <w:tab w:val="decimal" w:pos="247"/>
              </w:tabs>
              <w:autoSpaceDE w:val="0"/>
              <w:autoSpaceDN w:val="0"/>
              <w:adjustRightInd w:val="0"/>
              <w:spacing w:line="240" w:lineRule="auto"/>
              <w:jc w:val="left"/>
              <w:rPr>
                <w:rFonts w:ascii="Calibri" w:hAnsi="Calibri" w:cs="Calibri"/>
                <w:b/>
                <w:bCs/>
                <w:color w:val="000000" w:themeColor="text1"/>
                <w:sz w:val="20"/>
                <w:szCs w:val="20"/>
              </w:rPr>
            </w:pPr>
          </w:p>
        </w:tc>
        <w:tc>
          <w:tcPr>
            <w:tcW w:w="380" w:type="pct"/>
            <w:tcBorders>
              <w:top w:val="nil"/>
              <w:left w:val="nil"/>
              <w:bottom w:val="nil"/>
              <w:right w:val="double" w:sz="4" w:space="0" w:color="auto"/>
            </w:tcBorders>
            <w:vAlign w:val="center"/>
          </w:tcPr>
          <w:p w14:paraId="77FD80BF" w14:textId="77777777" w:rsidR="009A4F82" w:rsidRPr="005D62C9" w:rsidRDefault="009A4F82"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53412535" w14:textId="77777777" w:rsidR="009A4F82" w:rsidRPr="00D570B8" w:rsidRDefault="009A4F82" w:rsidP="00800798">
            <w:pPr>
              <w:tabs>
                <w:tab w:val="decimal" w:pos="336"/>
              </w:tabs>
              <w:autoSpaceDE w:val="0"/>
              <w:autoSpaceDN w:val="0"/>
              <w:adjustRightInd w:val="0"/>
              <w:spacing w:line="240" w:lineRule="auto"/>
              <w:jc w:val="left"/>
              <w:rPr>
                <w:rFonts w:cs="Times New Roman"/>
                <w:sz w:val="20"/>
                <w:szCs w:val="20"/>
              </w:rPr>
            </w:pPr>
          </w:p>
        </w:tc>
        <w:tc>
          <w:tcPr>
            <w:tcW w:w="362" w:type="pct"/>
            <w:gridSpan w:val="2"/>
            <w:tcBorders>
              <w:top w:val="nil"/>
              <w:left w:val="nil"/>
              <w:bottom w:val="nil"/>
              <w:right w:val="nil"/>
            </w:tcBorders>
            <w:vAlign w:val="center"/>
          </w:tcPr>
          <w:p w14:paraId="053D4BFB"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1" w:type="pct"/>
            <w:gridSpan w:val="2"/>
            <w:tcBorders>
              <w:top w:val="nil"/>
              <w:left w:val="nil"/>
              <w:bottom w:val="nil"/>
              <w:right w:val="nil"/>
            </w:tcBorders>
            <w:vAlign w:val="center"/>
          </w:tcPr>
          <w:p w14:paraId="1B989AFA"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487E248A"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2A4C930F"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56B26085"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7F438D85"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5488756"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 xml:space="preserve">$50,000-$99,999 </w:t>
            </w:r>
          </w:p>
        </w:tc>
        <w:tc>
          <w:tcPr>
            <w:tcW w:w="438" w:type="pct"/>
            <w:tcBorders>
              <w:top w:val="nil"/>
              <w:left w:val="double" w:sz="4" w:space="0" w:color="auto"/>
              <w:bottom w:val="nil"/>
              <w:right w:val="nil"/>
            </w:tcBorders>
            <w:vAlign w:val="center"/>
          </w:tcPr>
          <w:p w14:paraId="3A7CB713" w14:textId="77777777" w:rsidR="007E7B19" w:rsidRPr="005D62C9" w:rsidRDefault="005D62C9"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0.123</w:t>
            </w:r>
          </w:p>
        </w:tc>
        <w:tc>
          <w:tcPr>
            <w:tcW w:w="380" w:type="pct"/>
            <w:tcBorders>
              <w:top w:val="nil"/>
              <w:left w:val="nil"/>
              <w:bottom w:val="nil"/>
              <w:right w:val="double" w:sz="4" w:space="0" w:color="auto"/>
            </w:tcBorders>
            <w:vAlign w:val="center"/>
          </w:tcPr>
          <w:p w14:paraId="5D881CA8" w14:textId="77777777" w:rsidR="007E7B19" w:rsidRPr="005D62C9" w:rsidRDefault="005D62C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3.69</w:t>
            </w:r>
          </w:p>
        </w:tc>
        <w:tc>
          <w:tcPr>
            <w:tcW w:w="392" w:type="pct"/>
            <w:gridSpan w:val="2"/>
            <w:tcBorders>
              <w:top w:val="nil"/>
              <w:left w:val="double" w:sz="4" w:space="0" w:color="auto"/>
              <w:bottom w:val="nil"/>
              <w:right w:val="nil"/>
            </w:tcBorders>
            <w:vAlign w:val="center"/>
          </w:tcPr>
          <w:p w14:paraId="49C0412E"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0.3</w:t>
            </w:r>
            <w:r w:rsidR="00A01067" w:rsidRPr="00D570B8">
              <w:rPr>
                <w:rFonts w:cs="Times New Roman"/>
                <w:sz w:val="20"/>
                <w:szCs w:val="20"/>
              </w:rPr>
              <w:t>83</w:t>
            </w:r>
          </w:p>
        </w:tc>
        <w:tc>
          <w:tcPr>
            <w:tcW w:w="362" w:type="pct"/>
            <w:gridSpan w:val="2"/>
            <w:tcBorders>
              <w:top w:val="nil"/>
              <w:left w:val="nil"/>
              <w:bottom w:val="nil"/>
              <w:right w:val="nil"/>
            </w:tcBorders>
            <w:vAlign w:val="center"/>
          </w:tcPr>
          <w:p w14:paraId="6F916DFB"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5.</w:t>
            </w:r>
            <w:r w:rsidR="00A01067" w:rsidRPr="00D570B8">
              <w:rPr>
                <w:rFonts w:cs="Times New Roman"/>
                <w:sz w:val="20"/>
                <w:szCs w:val="20"/>
              </w:rPr>
              <w:t>9</w:t>
            </w:r>
            <w:r w:rsidRPr="00D570B8">
              <w:rPr>
                <w:rFonts w:cs="Times New Roman"/>
                <w:sz w:val="20"/>
                <w:szCs w:val="20"/>
              </w:rPr>
              <w:t>6</w:t>
            </w:r>
          </w:p>
        </w:tc>
        <w:tc>
          <w:tcPr>
            <w:tcW w:w="361" w:type="pct"/>
            <w:gridSpan w:val="2"/>
            <w:tcBorders>
              <w:top w:val="nil"/>
              <w:left w:val="nil"/>
              <w:bottom w:val="nil"/>
              <w:right w:val="nil"/>
            </w:tcBorders>
            <w:vAlign w:val="center"/>
          </w:tcPr>
          <w:p w14:paraId="39352215"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466948AF"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50163F3C"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0084BC97"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06EF9AD3"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5D992F03" w14:textId="77777777" w:rsidR="00A01067" w:rsidRPr="00BA20DE" w:rsidRDefault="00A01067">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$100,000-$149,999 </w:t>
            </w:r>
          </w:p>
        </w:tc>
        <w:tc>
          <w:tcPr>
            <w:tcW w:w="438" w:type="pct"/>
            <w:tcBorders>
              <w:top w:val="nil"/>
              <w:left w:val="double" w:sz="4" w:space="0" w:color="auto"/>
              <w:bottom w:val="nil"/>
              <w:right w:val="nil"/>
            </w:tcBorders>
            <w:vAlign w:val="center"/>
          </w:tcPr>
          <w:p w14:paraId="58AD69AB" w14:textId="77777777" w:rsidR="00A01067" w:rsidRPr="005D62C9" w:rsidRDefault="00A01067"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0FBBAE53" w14:textId="77777777" w:rsidR="00A01067" w:rsidRPr="005D62C9" w:rsidRDefault="00A01067"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2E1B5A87" w14:textId="77777777" w:rsidR="00A01067" w:rsidRPr="00D570B8" w:rsidRDefault="00A01067"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0.383</w:t>
            </w:r>
          </w:p>
        </w:tc>
        <w:tc>
          <w:tcPr>
            <w:tcW w:w="362" w:type="pct"/>
            <w:gridSpan w:val="2"/>
            <w:tcBorders>
              <w:top w:val="nil"/>
              <w:left w:val="nil"/>
              <w:bottom w:val="nil"/>
              <w:right w:val="nil"/>
            </w:tcBorders>
            <w:vAlign w:val="center"/>
          </w:tcPr>
          <w:p w14:paraId="6A6CC59B"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5.96</w:t>
            </w:r>
          </w:p>
        </w:tc>
        <w:tc>
          <w:tcPr>
            <w:tcW w:w="361" w:type="pct"/>
            <w:gridSpan w:val="2"/>
            <w:tcBorders>
              <w:top w:val="nil"/>
              <w:left w:val="nil"/>
              <w:bottom w:val="nil"/>
              <w:right w:val="nil"/>
            </w:tcBorders>
            <w:vAlign w:val="center"/>
          </w:tcPr>
          <w:p w14:paraId="69E5BFF8"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-0.331</w:t>
            </w:r>
          </w:p>
        </w:tc>
        <w:tc>
          <w:tcPr>
            <w:tcW w:w="354" w:type="pct"/>
            <w:tcBorders>
              <w:top w:val="nil"/>
              <w:left w:val="nil"/>
              <w:bottom w:val="nil"/>
              <w:right w:val="nil"/>
            </w:tcBorders>
            <w:vAlign w:val="center"/>
          </w:tcPr>
          <w:p w14:paraId="2E02862E"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-7.38</w:t>
            </w:r>
          </w:p>
        </w:tc>
        <w:tc>
          <w:tcPr>
            <w:tcW w:w="354" w:type="pct"/>
            <w:tcBorders>
              <w:top w:val="nil"/>
              <w:left w:val="nil"/>
              <w:bottom w:val="nil"/>
              <w:right w:val="nil"/>
            </w:tcBorders>
            <w:vAlign w:val="center"/>
          </w:tcPr>
          <w:p w14:paraId="31E25A91"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53B94DEF"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4E8CC2D6"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11351B1" w14:textId="77777777" w:rsidR="00A01067" w:rsidRPr="00BA20DE" w:rsidRDefault="00A01067" w:rsidP="00B23CF1">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$150,000 or more </w:t>
            </w:r>
          </w:p>
        </w:tc>
        <w:tc>
          <w:tcPr>
            <w:tcW w:w="438" w:type="pct"/>
            <w:tcBorders>
              <w:top w:val="nil"/>
              <w:left w:val="double" w:sz="4" w:space="0" w:color="auto"/>
              <w:bottom w:val="nil"/>
              <w:right w:val="nil"/>
            </w:tcBorders>
            <w:vAlign w:val="center"/>
          </w:tcPr>
          <w:p w14:paraId="4D31C040" w14:textId="77777777" w:rsidR="00A01067" w:rsidRPr="005D62C9" w:rsidRDefault="00A01067"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08A945FF" w14:textId="77777777" w:rsidR="00A01067" w:rsidRPr="005D62C9" w:rsidRDefault="00A01067"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60EF0CF2" w14:textId="77777777" w:rsidR="00A01067" w:rsidRPr="00D570B8" w:rsidRDefault="00A01067"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0.497</w:t>
            </w:r>
          </w:p>
        </w:tc>
        <w:tc>
          <w:tcPr>
            <w:tcW w:w="362" w:type="pct"/>
            <w:gridSpan w:val="2"/>
            <w:tcBorders>
              <w:top w:val="nil"/>
              <w:left w:val="nil"/>
              <w:bottom w:val="nil"/>
              <w:right w:val="nil"/>
            </w:tcBorders>
            <w:vAlign w:val="center"/>
          </w:tcPr>
          <w:p w14:paraId="4DD07A6D"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7.33</w:t>
            </w:r>
          </w:p>
        </w:tc>
        <w:tc>
          <w:tcPr>
            <w:tcW w:w="361" w:type="pct"/>
            <w:gridSpan w:val="2"/>
            <w:tcBorders>
              <w:top w:val="nil"/>
              <w:left w:val="nil"/>
              <w:bottom w:val="nil"/>
              <w:right w:val="nil"/>
            </w:tcBorders>
            <w:vAlign w:val="center"/>
          </w:tcPr>
          <w:p w14:paraId="51F5919F"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-0.331</w:t>
            </w:r>
          </w:p>
        </w:tc>
        <w:tc>
          <w:tcPr>
            <w:tcW w:w="354" w:type="pct"/>
            <w:tcBorders>
              <w:top w:val="nil"/>
              <w:left w:val="nil"/>
              <w:bottom w:val="nil"/>
              <w:right w:val="nil"/>
            </w:tcBorders>
            <w:vAlign w:val="center"/>
          </w:tcPr>
          <w:p w14:paraId="54E05B6D"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-7.38</w:t>
            </w:r>
          </w:p>
        </w:tc>
        <w:tc>
          <w:tcPr>
            <w:tcW w:w="354" w:type="pct"/>
            <w:tcBorders>
              <w:top w:val="nil"/>
              <w:left w:val="nil"/>
              <w:bottom w:val="nil"/>
              <w:right w:val="nil"/>
            </w:tcBorders>
            <w:vAlign w:val="center"/>
          </w:tcPr>
          <w:p w14:paraId="3E203632"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74CBEE95"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31AE856D"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091B7D90" w14:textId="66E8CD02"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 xml:space="preserve">Household </w:t>
            </w:r>
            <w:r w:rsidR="00BC6C7C" w:rsidRPr="00BA20DE">
              <w:rPr>
                <w:rFonts w:cs="Times New Roman"/>
                <w:b/>
                <w:bCs/>
                <w:color w:val="000000"/>
                <w:sz w:val="20"/>
                <w:szCs w:val="20"/>
              </w:rPr>
              <w:t>composition (multi-worker</w:t>
            </w:r>
            <w:r w:rsidRPr="00BA20DE">
              <w:rPr>
                <w:rFonts w:cs="Times New Roman"/>
                <w:b/>
                <w:bCs/>
                <w:color w:val="000000"/>
                <w:sz w:val="20"/>
                <w:szCs w:val="20"/>
              </w:rPr>
              <w:t>)</w:t>
            </w:r>
          </w:p>
        </w:tc>
        <w:tc>
          <w:tcPr>
            <w:tcW w:w="818" w:type="pct"/>
            <w:gridSpan w:val="2"/>
            <w:tcBorders>
              <w:top w:val="nil"/>
              <w:left w:val="double" w:sz="4" w:space="0" w:color="auto"/>
              <w:bottom w:val="nil"/>
              <w:right w:val="double" w:sz="4" w:space="0" w:color="auto"/>
            </w:tcBorders>
            <w:vAlign w:val="center"/>
          </w:tcPr>
          <w:p w14:paraId="7EACAD6A" w14:textId="77777777" w:rsidR="009A4F82" w:rsidRPr="005D62C9" w:rsidRDefault="009A4F82" w:rsidP="00BC6C7C">
            <w:pPr>
              <w:tabs>
                <w:tab w:val="decimal" w:pos="247"/>
              </w:tabs>
              <w:autoSpaceDE w:val="0"/>
              <w:autoSpaceDN w:val="0"/>
              <w:adjustRightInd w:val="0"/>
              <w:spacing w:line="240" w:lineRule="auto"/>
              <w:jc w:val="left"/>
              <w:rPr>
                <w:rFonts w:cs="Times New Roman"/>
                <w:b/>
                <w:bCs/>
                <w:color w:val="000000" w:themeColor="text1"/>
                <w:sz w:val="20"/>
                <w:szCs w:val="20"/>
              </w:rPr>
            </w:pPr>
          </w:p>
        </w:tc>
        <w:tc>
          <w:tcPr>
            <w:tcW w:w="392" w:type="pct"/>
            <w:gridSpan w:val="2"/>
            <w:tcBorders>
              <w:top w:val="nil"/>
              <w:left w:val="double" w:sz="4" w:space="0" w:color="auto"/>
              <w:bottom w:val="nil"/>
              <w:right w:val="nil"/>
            </w:tcBorders>
            <w:vAlign w:val="center"/>
          </w:tcPr>
          <w:p w14:paraId="4185ACE0"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722" w:type="pct"/>
            <w:gridSpan w:val="4"/>
            <w:tcBorders>
              <w:top w:val="nil"/>
              <w:left w:val="nil"/>
              <w:bottom w:val="nil"/>
              <w:right w:val="nil"/>
            </w:tcBorders>
            <w:vAlign w:val="center"/>
          </w:tcPr>
          <w:p w14:paraId="4045E079"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53C1464A"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713" w:type="pct"/>
            <w:gridSpan w:val="2"/>
            <w:tcBorders>
              <w:top w:val="nil"/>
              <w:left w:val="nil"/>
              <w:bottom w:val="nil"/>
              <w:right w:val="double" w:sz="4" w:space="0" w:color="auto"/>
            </w:tcBorders>
            <w:vAlign w:val="center"/>
          </w:tcPr>
          <w:p w14:paraId="38B277E6"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4E9BEF81"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0F417C65" w14:textId="77777777" w:rsidR="00A01067" w:rsidRPr="00BA20DE" w:rsidRDefault="00A01067" w:rsidP="007E7B19">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Single person </w:t>
            </w:r>
          </w:p>
        </w:tc>
        <w:tc>
          <w:tcPr>
            <w:tcW w:w="438" w:type="pct"/>
            <w:tcBorders>
              <w:top w:val="nil"/>
              <w:left w:val="double" w:sz="4" w:space="0" w:color="auto"/>
              <w:bottom w:val="nil"/>
              <w:right w:val="nil"/>
            </w:tcBorders>
            <w:vAlign w:val="center"/>
          </w:tcPr>
          <w:p w14:paraId="5E4DE157" w14:textId="77777777" w:rsidR="00A01067" w:rsidRPr="005D62C9" w:rsidRDefault="00A01067"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-0.618</w:t>
            </w:r>
          </w:p>
        </w:tc>
        <w:tc>
          <w:tcPr>
            <w:tcW w:w="380" w:type="pct"/>
            <w:tcBorders>
              <w:top w:val="nil"/>
              <w:left w:val="nil"/>
              <w:bottom w:val="nil"/>
              <w:right w:val="double" w:sz="4" w:space="0" w:color="auto"/>
            </w:tcBorders>
            <w:vAlign w:val="center"/>
          </w:tcPr>
          <w:p w14:paraId="6CCABEB7" w14:textId="77777777" w:rsidR="00A01067" w:rsidRPr="005D62C9" w:rsidRDefault="00A01067"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-13.35</w:t>
            </w:r>
          </w:p>
        </w:tc>
        <w:tc>
          <w:tcPr>
            <w:tcW w:w="392" w:type="pct"/>
            <w:gridSpan w:val="2"/>
            <w:tcBorders>
              <w:top w:val="nil"/>
              <w:left w:val="double" w:sz="4" w:space="0" w:color="auto"/>
              <w:bottom w:val="nil"/>
              <w:right w:val="nil"/>
            </w:tcBorders>
            <w:vAlign w:val="center"/>
          </w:tcPr>
          <w:p w14:paraId="390352D7" w14:textId="77777777" w:rsidR="00A01067" w:rsidRPr="00D570B8" w:rsidRDefault="00A01067"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4F8DCC5C"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0DE5BF7D"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41EFDEA0"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2A3C6D27"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295</w:t>
            </w:r>
          </w:p>
        </w:tc>
        <w:tc>
          <w:tcPr>
            <w:tcW w:w="360" w:type="pct"/>
            <w:tcBorders>
              <w:top w:val="nil"/>
              <w:left w:val="nil"/>
              <w:bottom w:val="nil"/>
              <w:right w:val="double" w:sz="4" w:space="0" w:color="auto"/>
            </w:tcBorders>
            <w:vAlign w:val="center"/>
          </w:tcPr>
          <w:p w14:paraId="6B344084"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-3.</w:t>
            </w:r>
            <w:r w:rsidR="00D570B8" w:rsidRPr="00D570B8">
              <w:rPr>
                <w:rFonts w:cs="Times New Roman"/>
                <w:sz w:val="20"/>
                <w:szCs w:val="20"/>
              </w:rPr>
              <w:t>52</w:t>
            </w:r>
          </w:p>
        </w:tc>
      </w:tr>
      <w:tr w:rsidR="00BC6C7C" w14:paraId="16CDB87D"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F4002E7" w14:textId="77777777" w:rsidR="007E7B19" w:rsidRPr="00BA20DE" w:rsidRDefault="00C524CF" w:rsidP="007E7B19">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 xml:space="preserve">Single worker multi-person </w:t>
            </w:r>
          </w:p>
        </w:tc>
        <w:tc>
          <w:tcPr>
            <w:tcW w:w="438" w:type="pct"/>
            <w:tcBorders>
              <w:top w:val="nil"/>
              <w:left w:val="double" w:sz="4" w:space="0" w:color="auto"/>
              <w:bottom w:val="nil"/>
              <w:right w:val="nil"/>
            </w:tcBorders>
            <w:vAlign w:val="center"/>
          </w:tcPr>
          <w:p w14:paraId="65BC25FE"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7E0A6573"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6FE2E75C" w14:textId="77777777" w:rsidR="007E7B19" w:rsidRPr="00D570B8" w:rsidRDefault="007E7B1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6ED2948D"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1F99E73A"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E48553D"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7FAF5B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316</w:t>
            </w:r>
          </w:p>
        </w:tc>
        <w:tc>
          <w:tcPr>
            <w:tcW w:w="360" w:type="pct"/>
            <w:tcBorders>
              <w:top w:val="nil"/>
              <w:left w:val="nil"/>
              <w:bottom w:val="nil"/>
              <w:right w:val="double" w:sz="4" w:space="0" w:color="auto"/>
            </w:tcBorders>
            <w:vAlign w:val="center"/>
          </w:tcPr>
          <w:p w14:paraId="21B0CDA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4.22</w:t>
            </w:r>
          </w:p>
        </w:tc>
      </w:tr>
      <w:tr w:rsidR="00BC6C7C" w14:paraId="39B3B3B9"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6D2B57D1" w14:textId="0C0DA3EA"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Residential location (rural)</w:t>
            </w:r>
          </w:p>
        </w:tc>
        <w:tc>
          <w:tcPr>
            <w:tcW w:w="438" w:type="pct"/>
            <w:tcBorders>
              <w:top w:val="nil"/>
              <w:left w:val="double" w:sz="4" w:space="0" w:color="auto"/>
              <w:bottom w:val="nil"/>
              <w:right w:val="nil"/>
            </w:tcBorders>
            <w:vAlign w:val="center"/>
          </w:tcPr>
          <w:p w14:paraId="32D4E6E9" w14:textId="77777777" w:rsidR="009A4F82" w:rsidRPr="005D62C9" w:rsidRDefault="009A4F82" w:rsidP="00BC6C7C">
            <w:pPr>
              <w:tabs>
                <w:tab w:val="decimal" w:pos="247"/>
              </w:tabs>
              <w:autoSpaceDE w:val="0"/>
              <w:autoSpaceDN w:val="0"/>
              <w:adjustRightInd w:val="0"/>
              <w:spacing w:line="240" w:lineRule="auto"/>
              <w:jc w:val="center"/>
              <w:rPr>
                <w:rFonts w:cs="Times New Roman"/>
                <w:b/>
                <w:bCs/>
                <w:color w:val="000000" w:themeColor="text1"/>
                <w:sz w:val="20"/>
                <w:szCs w:val="20"/>
              </w:rPr>
            </w:pPr>
          </w:p>
        </w:tc>
        <w:tc>
          <w:tcPr>
            <w:tcW w:w="380" w:type="pct"/>
            <w:tcBorders>
              <w:top w:val="nil"/>
              <w:left w:val="nil"/>
              <w:bottom w:val="nil"/>
              <w:right w:val="double" w:sz="4" w:space="0" w:color="auto"/>
            </w:tcBorders>
            <w:vAlign w:val="center"/>
          </w:tcPr>
          <w:p w14:paraId="2CAB4765" w14:textId="77777777" w:rsidR="009A4F82" w:rsidRPr="005D62C9" w:rsidRDefault="009A4F82" w:rsidP="000A0DF6">
            <w:pPr>
              <w:tabs>
                <w:tab w:val="decimal" w:pos="246"/>
              </w:tabs>
              <w:autoSpaceDE w:val="0"/>
              <w:autoSpaceDN w:val="0"/>
              <w:adjustRightInd w:val="0"/>
              <w:spacing w:line="240" w:lineRule="auto"/>
              <w:jc w:val="center"/>
              <w:rPr>
                <w:rFonts w:cs="Times New Roman"/>
                <w:color w:val="000000" w:themeColor="text1"/>
                <w:sz w:val="20"/>
                <w:szCs w:val="20"/>
              </w:rPr>
            </w:pPr>
          </w:p>
        </w:tc>
        <w:tc>
          <w:tcPr>
            <w:tcW w:w="754" w:type="pct"/>
            <w:gridSpan w:val="4"/>
            <w:tcBorders>
              <w:top w:val="nil"/>
              <w:left w:val="double" w:sz="4" w:space="0" w:color="auto"/>
              <w:bottom w:val="nil"/>
              <w:right w:val="nil"/>
            </w:tcBorders>
            <w:vAlign w:val="center"/>
          </w:tcPr>
          <w:p w14:paraId="41DEC3DC"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5" w:type="pct"/>
            <w:tcBorders>
              <w:top w:val="nil"/>
              <w:left w:val="nil"/>
              <w:bottom w:val="nil"/>
              <w:right w:val="nil"/>
            </w:tcBorders>
            <w:vAlign w:val="center"/>
          </w:tcPr>
          <w:p w14:paraId="1A0CA46B"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60" w:type="pct"/>
            <w:gridSpan w:val="2"/>
            <w:tcBorders>
              <w:top w:val="nil"/>
              <w:left w:val="nil"/>
              <w:bottom w:val="nil"/>
              <w:right w:val="nil"/>
            </w:tcBorders>
            <w:vAlign w:val="center"/>
          </w:tcPr>
          <w:p w14:paraId="720C5A03"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713" w:type="pct"/>
            <w:gridSpan w:val="2"/>
            <w:tcBorders>
              <w:top w:val="nil"/>
              <w:left w:val="nil"/>
              <w:bottom w:val="nil"/>
              <w:right w:val="double" w:sz="4" w:space="0" w:color="auto"/>
            </w:tcBorders>
            <w:vAlign w:val="center"/>
          </w:tcPr>
          <w:p w14:paraId="5EE60752"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4654624A"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E029F5E" w14:textId="3997C849"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Suburb</w:t>
            </w:r>
            <w:r w:rsidR="00631849" w:rsidRPr="00BA20DE">
              <w:rPr>
                <w:rFonts w:cs="Times New Roman"/>
                <w:color w:val="000000"/>
                <w:sz w:val="20"/>
                <w:szCs w:val="20"/>
              </w:rPr>
              <w:t>an</w:t>
            </w:r>
          </w:p>
        </w:tc>
        <w:tc>
          <w:tcPr>
            <w:tcW w:w="438" w:type="pct"/>
            <w:tcBorders>
              <w:top w:val="nil"/>
              <w:left w:val="double" w:sz="4" w:space="0" w:color="auto"/>
              <w:bottom w:val="nil"/>
              <w:right w:val="nil"/>
            </w:tcBorders>
            <w:vAlign w:val="center"/>
          </w:tcPr>
          <w:p w14:paraId="05A8A6DA"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3215BA89"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06A1DC3C"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-0.17</w:t>
            </w:r>
            <w:r w:rsidR="00A01067" w:rsidRPr="00D570B8">
              <w:rPr>
                <w:rFonts w:cs="Times New Roman"/>
                <w:sz w:val="20"/>
                <w:szCs w:val="20"/>
              </w:rPr>
              <w:t>6</w:t>
            </w:r>
          </w:p>
        </w:tc>
        <w:tc>
          <w:tcPr>
            <w:tcW w:w="362" w:type="pct"/>
            <w:gridSpan w:val="2"/>
            <w:tcBorders>
              <w:top w:val="nil"/>
              <w:left w:val="nil"/>
              <w:bottom w:val="nil"/>
              <w:right w:val="nil"/>
            </w:tcBorders>
            <w:vAlign w:val="center"/>
          </w:tcPr>
          <w:p w14:paraId="0A8AA1B2"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-3.2</w:t>
            </w:r>
            <w:r w:rsidR="00A01067" w:rsidRPr="00D570B8">
              <w:rPr>
                <w:rFonts w:cs="Times New Roman"/>
                <w:sz w:val="20"/>
                <w:szCs w:val="20"/>
              </w:rPr>
              <w:t>8</w:t>
            </w:r>
          </w:p>
        </w:tc>
        <w:tc>
          <w:tcPr>
            <w:tcW w:w="361" w:type="pct"/>
            <w:gridSpan w:val="2"/>
            <w:tcBorders>
              <w:top w:val="nil"/>
              <w:left w:val="nil"/>
              <w:bottom w:val="nil"/>
              <w:right w:val="nil"/>
            </w:tcBorders>
            <w:vAlign w:val="center"/>
          </w:tcPr>
          <w:p w14:paraId="0369F07A"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123B1E63"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010979EF"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A01067" w:rsidRPr="00D570B8">
              <w:rPr>
                <w:rFonts w:cs="Times New Roman"/>
                <w:sz w:val="20"/>
                <w:szCs w:val="20"/>
              </w:rPr>
              <w:t>600</w:t>
            </w:r>
          </w:p>
        </w:tc>
        <w:tc>
          <w:tcPr>
            <w:tcW w:w="360" w:type="pct"/>
            <w:tcBorders>
              <w:top w:val="nil"/>
              <w:left w:val="nil"/>
              <w:bottom w:val="nil"/>
              <w:right w:val="double" w:sz="4" w:space="0" w:color="auto"/>
            </w:tcBorders>
            <w:vAlign w:val="center"/>
          </w:tcPr>
          <w:p w14:paraId="6397819D" w14:textId="77777777" w:rsidR="007E7B19"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4.19</w:t>
            </w:r>
          </w:p>
        </w:tc>
      </w:tr>
      <w:tr w:rsidR="00BC6C7C" w14:paraId="62CA3940"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E4B98A9" w14:textId="6AF65B76" w:rsidR="00A01067" w:rsidRPr="00BA20DE" w:rsidRDefault="00A01067">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631849" w:rsidRPr="00BA20DE">
              <w:rPr>
                <w:rFonts w:cs="Times New Roman"/>
                <w:color w:val="000000"/>
                <w:sz w:val="20"/>
                <w:szCs w:val="20"/>
              </w:rPr>
              <w:t>Urban</w:t>
            </w:r>
          </w:p>
        </w:tc>
        <w:tc>
          <w:tcPr>
            <w:tcW w:w="438" w:type="pct"/>
            <w:tcBorders>
              <w:top w:val="nil"/>
              <w:left w:val="double" w:sz="4" w:space="0" w:color="auto"/>
              <w:bottom w:val="nil"/>
              <w:right w:val="nil"/>
            </w:tcBorders>
            <w:vAlign w:val="center"/>
          </w:tcPr>
          <w:p w14:paraId="252C54D4" w14:textId="77777777" w:rsidR="00A01067" w:rsidRPr="005D62C9" w:rsidRDefault="00A01067"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30BEFCCB" w14:textId="77777777" w:rsidR="00A01067" w:rsidRPr="005D62C9" w:rsidRDefault="00A01067"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29F4BEEE" w14:textId="77777777" w:rsidR="00A01067" w:rsidRPr="00D570B8" w:rsidRDefault="00A01067"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-0.269</w:t>
            </w:r>
          </w:p>
        </w:tc>
        <w:tc>
          <w:tcPr>
            <w:tcW w:w="362" w:type="pct"/>
            <w:gridSpan w:val="2"/>
            <w:tcBorders>
              <w:top w:val="nil"/>
              <w:left w:val="nil"/>
              <w:bottom w:val="nil"/>
              <w:right w:val="nil"/>
            </w:tcBorders>
            <w:vAlign w:val="center"/>
          </w:tcPr>
          <w:p w14:paraId="2D4D795E"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-4.65</w:t>
            </w:r>
          </w:p>
        </w:tc>
        <w:tc>
          <w:tcPr>
            <w:tcW w:w="361" w:type="pct"/>
            <w:gridSpan w:val="2"/>
            <w:tcBorders>
              <w:top w:val="nil"/>
              <w:left w:val="nil"/>
              <w:bottom w:val="nil"/>
              <w:right w:val="nil"/>
            </w:tcBorders>
            <w:vAlign w:val="center"/>
          </w:tcPr>
          <w:p w14:paraId="1035DAE0"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7D1A810A" w14:textId="77777777" w:rsidR="00A01067" w:rsidRPr="00D570B8" w:rsidRDefault="00A01067"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7CD54947"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0.600</w:t>
            </w:r>
          </w:p>
        </w:tc>
        <w:tc>
          <w:tcPr>
            <w:tcW w:w="360" w:type="pct"/>
            <w:tcBorders>
              <w:top w:val="nil"/>
              <w:left w:val="nil"/>
              <w:bottom w:val="nil"/>
              <w:right w:val="double" w:sz="4" w:space="0" w:color="auto"/>
            </w:tcBorders>
            <w:vAlign w:val="center"/>
          </w:tcPr>
          <w:p w14:paraId="1D691152" w14:textId="77777777" w:rsidR="00A01067"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4.19</w:t>
            </w:r>
          </w:p>
        </w:tc>
      </w:tr>
      <w:tr w:rsidR="00BC6C7C" w14:paraId="72335363"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03032A84" w14:textId="5FF0B679"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 xml:space="preserve">Vehicle availability </w:t>
            </w:r>
            <w:r w:rsidR="00CA4860" w:rsidRPr="00BA20DE">
              <w:rPr>
                <w:rFonts w:cs="Times New Roman"/>
                <w:b/>
                <w:bCs/>
                <w:color w:val="000000"/>
                <w:sz w:val="20"/>
                <w:szCs w:val="20"/>
              </w:rPr>
              <w:t>(</w:t>
            </w:r>
            <w:r w:rsidR="00BA20DE" w:rsidRPr="00BA20DE">
              <w:rPr>
                <w:rFonts w:cs="Times New Roman"/>
                <w:b/>
                <w:bCs/>
                <w:color w:val="000000"/>
                <w:sz w:val="20"/>
                <w:szCs w:val="20"/>
              </w:rPr>
              <w:t>Less than</w:t>
            </w:r>
            <w:r w:rsidRPr="00BA20DE">
              <w:rPr>
                <w:rFonts w:cs="Times New Roman"/>
                <w:b/>
                <w:bCs/>
                <w:color w:val="000000"/>
                <w:sz w:val="20"/>
                <w:szCs w:val="20"/>
              </w:rPr>
              <w:t xml:space="preserve"> 1 per worker)</w:t>
            </w:r>
          </w:p>
        </w:tc>
        <w:tc>
          <w:tcPr>
            <w:tcW w:w="818" w:type="pct"/>
            <w:gridSpan w:val="2"/>
            <w:tcBorders>
              <w:top w:val="nil"/>
              <w:left w:val="double" w:sz="4" w:space="0" w:color="auto"/>
              <w:bottom w:val="nil"/>
              <w:right w:val="double" w:sz="4" w:space="0" w:color="auto"/>
            </w:tcBorders>
            <w:vAlign w:val="center"/>
          </w:tcPr>
          <w:p w14:paraId="2B82AA66" w14:textId="77777777" w:rsidR="009A4F82" w:rsidRPr="005D62C9" w:rsidRDefault="009A4F82" w:rsidP="00BC6C7C">
            <w:pPr>
              <w:tabs>
                <w:tab w:val="decimal" w:pos="247"/>
              </w:tabs>
              <w:autoSpaceDE w:val="0"/>
              <w:autoSpaceDN w:val="0"/>
              <w:adjustRightInd w:val="0"/>
              <w:spacing w:line="240" w:lineRule="auto"/>
              <w:jc w:val="center"/>
              <w:rPr>
                <w:rFonts w:cs="Times New Roman"/>
                <w:b/>
                <w:bCs/>
                <w:color w:val="000000" w:themeColor="text1"/>
                <w:sz w:val="20"/>
                <w:szCs w:val="20"/>
              </w:rPr>
            </w:pPr>
          </w:p>
        </w:tc>
        <w:tc>
          <w:tcPr>
            <w:tcW w:w="388" w:type="pct"/>
            <w:tcBorders>
              <w:top w:val="nil"/>
              <w:left w:val="double" w:sz="4" w:space="0" w:color="auto"/>
              <w:bottom w:val="nil"/>
              <w:right w:val="nil"/>
            </w:tcBorders>
            <w:vAlign w:val="center"/>
          </w:tcPr>
          <w:p w14:paraId="4ECFD77C" w14:textId="77777777" w:rsidR="009A4F82" w:rsidRPr="00D570B8" w:rsidRDefault="009A4F82" w:rsidP="00800798">
            <w:pPr>
              <w:tabs>
                <w:tab w:val="decimal" w:pos="336"/>
              </w:tabs>
              <w:autoSpaceDE w:val="0"/>
              <w:autoSpaceDN w:val="0"/>
              <w:adjustRightInd w:val="0"/>
              <w:spacing w:line="240" w:lineRule="auto"/>
              <w:jc w:val="left"/>
              <w:rPr>
                <w:rFonts w:cs="Times New Roman"/>
                <w:sz w:val="20"/>
                <w:szCs w:val="20"/>
              </w:rPr>
            </w:pPr>
          </w:p>
        </w:tc>
        <w:tc>
          <w:tcPr>
            <w:tcW w:w="360" w:type="pct"/>
            <w:gridSpan w:val="2"/>
            <w:tcBorders>
              <w:top w:val="nil"/>
              <w:left w:val="nil"/>
              <w:bottom w:val="nil"/>
              <w:right w:val="nil"/>
            </w:tcBorders>
            <w:vAlign w:val="center"/>
          </w:tcPr>
          <w:p w14:paraId="168A8505"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7" w:type="pct"/>
            <w:gridSpan w:val="3"/>
            <w:tcBorders>
              <w:top w:val="nil"/>
              <w:left w:val="nil"/>
              <w:bottom w:val="nil"/>
              <w:right w:val="nil"/>
            </w:tcBorders>
            <w:vAlign w:val="center"/>
          </w:tcPr>
          <w:p w14:paraId="5B1DC38B"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1FE38437"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7653E7DA"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0BF2870A"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69ECE1A9"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612E51E"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1 per worker</w:t>
            </w:r>
          </w:p>
        </w:tc>
        <w:tc>
          <w:tcPr>
            <w:tcW w:w="438" w:type="pct"/>
            <w:tcBorders>
              <w:top w:val="nil"/>
              <w:left w:val="double" w:sz="4" w:space="0" w:color="auto"/>
              <w:bottom w:val="nil"/>
              <w:right w:val="nil"/>
            </w:tcBorders>
            <w:vAlign w:val="center"/>
          </w:tcPr>
          <w:p w14:paraId="0DEC75F6"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43760B79"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22A30823" w14:textId="77777777" w:rsidR="007E7B19" w:rsidRPr="00D570B8" w:rsidRDefault="007E7B19"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-0.1</w:t>
            </w:r>
            <w:r w:rsidR="00A01067" w:rsidRPr="00D570B8">
              <w:rPr>
                <w:rFonts w:cs="Times New Roman"/>
                <w:sz w:val="20"/>
                <w:szCs w:val="20"/>
              </w:rPr>
              <w:t>11</w:t>
            </w:r>
          </w:p>
        </w:tc>
        <w:tc>
          <w:tcPr>
            <w:tcW w:w="362" w:type="pct"/>
            <w:gridSpan w:val="2"/>
            <w:tcBorders>
              <w:top w:val="nil"/>
              <w:left w:val="nil"/>
              <w:bottom w:val="nil"/>
              <w:right w:val="nil"/>
            </w:tcBorders>
            <w:vAlign w:val="center"/>
          </w:tcPr>
          <w:p w14:paraId="637BDEC2"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A01067" w:rsidRPr="00D570B8">
              <w:rPr>
                <w:rFonts w:cs="Times New Roman"/>
                <w:sz w:val="20"/>
                <w:szCs w:val="20"/>
              </w:rPr>
              <w:t>3.95</w:t>
            </w:r>
          </w:p>
        </w:tc>
        <w:tc>
          <w:tcPr>
            <w:tcW w:w="361" w:type="pct"/>
            <w:gridSpan w:val="2"/>
            <w:tcBorders>
              <w:top w:val="nil"/>
              <w:left w:val="nil"/>
              <w:bottom w:val="nil"/>
              <w:right w:val="nil"/>
            </w:tcBorders>
            <w:vAlign w:val="center"/>
          </w:tcPr>
          <w:p w14:paraId="221DB396"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87F45AD"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75A0E2EC"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382E7936"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59309F6E"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F99F074" w14:textId="66A06F86"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BA20DE" w:rsidRPr="00BA20DE">
              <w:rPr>
                <w:rFonts w:cs="Times New Roman"/>
                <w:color w:val="000000"/>
                <w:sz w:val="20"/>
                <w:szCs w:val="20"/>
              </w:rPr>
              <w:t>More than</w:t>
            </w:r>
            <w:r w:rsidR="007E7B19" w:rsidRPr="00BA20DE">
              <w:rPr>
                <w:rFonts w:cs="Times New Roman"/>
                <w:color w:val="000000"/>
                <w:sz w:val="20"/>
                <w:szCs w:val="20"/>
              </w:rPr>
              <w:t xml:space="preserve"> 1 per worker</w:t>
            </w:r>
          </w:p>
        </w:tc>
        <w:tc>
          <w:tcPr>
            <w:tcW w:w="438" w:type="pct"/>
            <w:tcBorders>
              <w:top w:val="nil"/>
              <w:left w:val="double" w:sz="4" w:space="0" w:color="auto"/>
              <w:bottom w:val="nil"/>
              <w:right w:val="nil"/>
            </w:tcBorders>
            <w:vAlign w:val="center"/>
          </w:tcPr>
          <w:p w14:paraId="0FAA66BD"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173416E9"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445FAF9A" w14:textId="77777777" w:rsidR="007E7B19" w:rsidRPr="00D570B8" w:rsidRDefault="007E7B1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25E08150"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30CD8FCA"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5911F4EC"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20EDF8F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A01067" w:rsidRPr="00D570B8">
              <w:rPr>
                <w:rFonts w:cs="Times New Roman"/>
                <w:sz w:val="20"/>
                <w:szCs w:val="20"/>
              </w:rPr>
              <w:t>366</w:t>
            </w:r>
          </w:p>
        </w:tc>
        <w:tc>
          <w:tcPr>
            <w:tcW w:w="360" w:type="pct"/>
            <w:tcBorders>
              <w:top w:val="nil"/>
              <w:left w:val="nil"/>
              <w:bottom w:val="nil"/>
              <w:right w:val="double" w:sz="4" w:space="0" w:color="auto"/>
            </w:tcBorders>
            <w:vAlign w:val="center"/>
          </w:tcPr>
          <w:p w14:paraId="64743560" w14:textId="77777777" w:rsidR="007E7B19"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6.40</w:t>
            </w:r>
          </w:p>
        </w:tc>
      </w:tr>
      <w:tr w:rsidR="00BC6C7C" w14:paraId="1F2C4791"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39612CF5" w14:textId="46E7CD32"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Ride-hailing frequent user (no)</w:t>
            </w:r>
          </w:p>
        </w:tc>
        <w:tc>
          <w:tcPr>
            <w:tcW w:w="438" w:type="pct"/>
            <w:tcBorders>
              <w:top w:val="nil"/>
              <w:left w:val="double" w:sz="4" w:space="0" w:color="auto"/>
              <w:bottom w:val="nil"/>
              <w:right w:val="nil"/>
            </w:tcBorders>
            <w:vAlign w:val="center"/>
          </w:tcPr>
          <w:p w14:paraId="60067F5B" w14:textId="77777777" w:rsidR="009A4F82" w:rsidRPr="005D62C9" w:rsidRDefault="009A4F82" w:rsidP="00BC6C7C">
            <w:pPr>
              <w:tabs>
                <w:tab w:val="decimal" w:pos="247"/>
              </w:tabs>
              <w:autoSpaceDE w:val="0"/>
              <w:autoSpaceDN w:val="0"/>
              <w:adjustRightInd w:val="0"/>
              <w:spacing w:line="240" w:lineRule="auto"/>
              <w:jc w:val="center"/>
              <w:rPr>
                <w:rFonts w:cs="Times New Roman"/>
                <w:b/>
                <w:bCs/>
                <w:color w:val="000000" w:themeColor="text1"/>
                <w:sz w:val="20"/>
                <w:szCs w:val="20"/>
              </w:rPr>
            </w:pPr>
          </w:p>
        </w:tc>
        <w:tc>
          <w:tcPr>
            <w:tcW w:w="380" w:type="pct"/>
            <w:tcBorders>
              <w:top w:val="nil"/>
              <w:left w:val="nil"/>
              <w:bottom w:val="nil"/>
              <w:right w:val="double" w:sz="4" w:space="0" w:color="auto"/>
            </w:tcBorders>
            <w:vAlign w:val="center"/>
          </w:tcPr>
          <w:p w14:paraId="7450A36B" w14:textId="77777777" w:rsidR="009A4F82" w:rsidRPr="005D62C9" w:rsidRDefault="009A4F82" w:rsidP="000A0DF6">
            <w:pPr>
              <w:tabs>
                <w:tab w:val="decimal" w:pos="246"/>
              </w:tabs>
              <w:autoSpaceDE w:val="0"/>
              <w:autoSpaceDN w:val="0"/>
              <w:adjustRightInd w:val="0"/>
              <w:spacing w:line="240" w:lineRule="auto"/>
              <w:jc w:val="center"/>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549A2626" w14:textId="77777777" w:rsidR="009A4F82" w:rsidRPr="00D570B8" w:rsidRDefault="009A4F82"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38B65766"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4643A47E"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2C0A57B5"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23D37DBE"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038BA457"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r>
      <w:tr w:rsidR="00BC6C7C" w14:paraId="57B9FF15"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00C254BB"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Yes</w:t>
            </w:r>
          </w:p>
        </w:tc>
        <w:tc>
          <w:tcPr>
            <w:tcW w:w="438" w:type="pct"/>
            <w:tcBorders>
              <w:top w:val="nil"/>
              <w:left w:val="double" w:sz="4" w:space="0" w:color="auto"/>
              <w:bottom w:val="nil"/>
              <w:right w:val="nil"/>
            </w:tcBorders>
            <w:vAlign w:val="center"/>
          </w:tcPr>
          <w:p w14:paraId="3A392F40"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3ED66F43"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43772772" w14:textId="77777777" w:rsidR="007E7B19" w:rsidRPr="00D570B8" w:rsidRDefault="007E7B1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4D310C8A"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6DBAF8F3"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-0.33</w:t>
            </w:r>
            <w:r w:rsidR="00D570B8" w:rsidRPr="00D570B8">
              <w:rPr>
                <w:rFonts w:cs="Times New Roman"/>
                <w:sz w:val="20"/>
                <w:szCs w:val="20"/>
              </w:rPr>
              <w:t>2</w:t>
            </w:r>
          </w:p>
        </w:tc>
        <w:tc>
          <w:tcPr>
            <w:tcW w:w="354" w:type="pct"/>
            <w:tcBorders>
              <w:top w:val="nil"/>
              <w:left w:val="nil"/>
              <w:bottom w:val="nil"/>
              <w:right w:val="nil"/>
            </w:tcBorders>
            <w:vAlign w:val="center"/>
          </w:tcPr>
          <w:p w14:paraId="38ED74EB" w14:textId="77777777" w:rsidR="007E7B19" w:rsidRPr="00D570B8" w:rsidRDefault="00C16E01"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-6.</w:t>
            </w:r>
            <w:r w:rsidR="00D570B8" w:rsidRPr="00D570B8">
              <w:rPr>
                <w:rFonts w:cs="Times New Roman"/>
                <w:sz w:val="20"/>
                <w:szCs w:val="20"/>
              </w:rPr>
              <w:t>65</w:t>
            </w:r>
          </w:p>
        </w:tc>
        <w:tc>
          <w:tcPr>
            <w:tcW w:w="354" w:type="pct"/>
            <w:tcBorders>
              <w:top w:val="nil"/>
              <w:left w:val="nil"/>
              <w:bottom w:val="nil"/>
              <w:right w:val="nil"/>
            </w:tcBorders>
            <w:vAlign w:val="center"/>
          </w:tcPr>
          <w:p w14:paraId="08AB31EB"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2AA6AFFB"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51BC5666" w14:textId="77777777" w:rsidTr="00BC6C7C">
        <w:trPr>
          <w:trHeight w:val="144"/>
          <w:jc w:val="center"/>
        </w:trPr>
        <w:tc>
          <w:tcPr>
            <w:tcW w:w="2000" w:type="pct"/>
            <w:tcBorders>
              <w:top w:val="nil"/>
              <w:left w:val="double" w:sz="4" w:space="0" w:color="auto"/>
              <w:bottom w:val="nil"/>
              <w:right w:val="nil"/>
            </w:tcBorders>
            <w:tcMar>
              <w:right w:w="43" w:type="dxa"/>
            </w:tcMar>
            <w:vAlign w:val="center"/>
          </w:tcPr>
          <w:p w14:paraId="157BACBC" w14:textId="45B7CD7B" w:rsidR="009A4F82" w:rsidRPr="00BA20DE" w:rsidRDefault="009A4F82" w:rsidP="007E7B19">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Pooled ride-hailing user (no)</w:t>
            </w:r>
          </w:p>
        </w:tc>
        <w:tc>
          <w:tcPr>
            <w:tcW w:w="438" w:type="pct"/>
            <w:tcBorders>
              <w:top w:val="nil"/>
              <w:left w:val="double" w:sz="4" w:space="0" w:color="auto"/>
              <w:bottom w:val="nil"/>
              <w:right w:val="nil"/>
            </w:tcBorders>
            <w:vAlign w:val="center"/>
          </w:tcPr>
          <w:p w14:paraId="449E758C" w14:textId="77777777" w:rsidR="009A4F82" w:rsidRPr="005D62C9" w:rsidRDefault="009A4F82" w:rsidP="00BC6C7C">
            <w:pPr>
              <w:tabs>
                <w:tab w:val="decimal" w:pos="247"/>
              </w:tabs>
              <w:autoSpaceDE w:val="0"/>
              <w:autoSpaceDN w:val="0"/>
              <w:adjustRightInd w:val="0"/>
              <w:spacing w:line="240" w:lineRule="auto"/>
              <w:jc w:val="center"/>
              <w:rPr>
                <w:rFonts w:cs="Times New Roman"/>
                <w:b/>
                <w:bCs/>
                <w:color w:val="000000" w:themeColor="text1"/>
                <w:sz w:val="20"/>
                <w:szCs w:val="20"/>
              </w:rPr>
            </w:pPr>
          </w:p>
        </w:tc>
        <w:tc>
          <w:tcPr>
            <w:tcW w:w="380" w:type="pct"/>
            <w:tcBorders>
              <w:top w:val="nil"/>
              <w:left w:val="nil"/>
              <w:bottom w:val="nil"/>
              <w:right w:val="double" w:sz="4" w:space="0" w:color="auto"/>
            </w:tcBorders>
            <w:vAlign w:val="center"/>
          </w:tcPr>
          <w:p w14:paraId="0E10601E" w14:textId="77777777" w:rsidR="009A4F82" w:rsidRPr="005D62C9" w:rsidRDefault="009A4F82" w:rsidP="000A0DF6">
            <w:pPr>
              <w:tabs>
                <w:tab w:val="decimal" w:pos="246"/>
              </w:tabs>
              <w:autoSpaceDE w:val="0"/>
              <w:autoSpaceDN w:val="0"/>
              <w:adjustRightInd w:val="0"/>
              <w:spacing w:line="240" w:lineRule="auto"/>
              <w:jc w:val="center"/>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254413BA" w14:textId="77777777" w:rsidR="009A4F82" w:rsidRPr="00D570B8" w:rsidRDefault="009A4F82"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3FB57C38"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306B4C48"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1F5A3B21" w14:textId="77777777" w:rsidR="009A4F82" w:rsidRPr="00D570B8" w:rsidRDefault="009A4F82"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639B13B7"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4F502C32" w14:textId="77777777" w:rsidR="009A4F82" w:rsidRPr="00D570B8" w:rsidRDefault="009A4F82" w:rsidP="00800798">
            <w:pPr>
              <w:tabs>
                <w:tab w:val="decimal" w:pos="348"/>
              </w:tabs>
              <w:autoSpaceDE w:val="0"/>
              <w:autoSpaceDN w:val="0"/>
              <w:adjustRightInd w:val="0"/>
              <w:spacing w:line="240" w:lineRule="auto"/>
              <w:jc w:val="center"/>
              <w:rPr>
                <w:rFonts w:cs="Times New Roman"/>
                <w:sz w:val="20"/>
                <w:szCs w:val="20"/>
              </w:rPr>
            </w:pPr>
          </w:p>
        </w:tc>
      </w:tr>
      <w:tr w:rsidR="00BC6C7C" w14:paraId="24A1D272"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14B77E6" w14:textId="77777777" w:rsidR="007E7B19" w:rsidRPr="00BA20DE" w:rsidRDefault="00C524CF">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7E7B19" w:rsidRPr="00BA20DE">
              <w:rPr>
                <w:rFonts w:cs="Times New Roman"/>
                <w:color w:val="000000"/>
                <w:sz w:val="20"/>
                <w:szCs w:val="20"/>
              </w:rPr>
              <w:t>Yes</w:t>
            </w:r>
          </w:p>
        </w:tc>
        <w:tc>
          <w:tcPr>
            <w:tcW w:w="438" w:type="pct"/>
            <w:tcBorders>
              <w:top w:val="nil"/>
              <w:left w:val="double" w:sz="4" w:space="0" w:color="auto"/>
              <w:bottom w:val="nil"/>
              <w:right w:val="nil"/>
            </w:tcBorders>
            <w:vAlign w:val="center"/>
          </w:tcPr>
          <w:p w14:paraId="07437B2A" w14:textId="77777777" w:rsidR="007E7B19" w:rsidRPr="005D62C9" w:rsidRDefault="007E7B19"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42D8AE1C" w14:textId="77777777" w:rsidR="007E7B19" w:rsidRPr="005D62C9" w:rsidRDefault="007E7B19"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0D9C3653" w14:textId="77777777" w:rsidR="007E7B19" w:rsidRPr="00D570B8" w:rsidRDefault="007E7B19"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3CDCD2F0"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7E951148"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w:t>
            </w:r>
            <w:r w:rsidR="00D570B8" w:rsidRPr="00D570B8">
              <w:rPr>
                <w:rFonts w:cs="Times New Roman"/>
                <w:sz w:val="20"/>
                <w:szCs w:val="20"/>
              </w:rPr>
              <w:t>82</w:t>
            </w:r>
          </w:p>
        </w:tc>
        <w:tc>
          <w:tcPr>
            <w:tcW w:w="354" w:type="pct"/>
            <w:tcBorders>
              <w:top w:val="nil"/>
              <w:left w:val="nil"/>
              <w:bottom w:val="nil"/>
              <w:right w:val="nil"/>
            </w:tcBorders>
            <w:vAlign w:val="center"/>
          </w:tcPr>
          <w:p w14:paraId="37C4FE07" w14:textId="77777777" w:rsidR="007E7B19" w:rsidRPr="00D570B8" w:rsidRDefault="007E7B19"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3.</w:t>
            </w:r>
            <w:r w:rsidR="00D570B8" w:rsidRPr="00D570B8">
              <w:rPr>
                <w:rFonts w:cs="Times New Roman"/>
                <w:sz w:val="20"/>
                <w:szCs w:val="20"/>
              </w:rPr>
              <w:t>72</w:t>
            </w:r>
          </w:p>
        </w:tc>
        <w:tc>
          <w:tcPr>
            <w:tcW w:w="354" w:type="pct"/>
            <w:tcBorders>
              <w:top w:val="nil"/>
              <w:left w:val="nil"/>
              <w:bottom w:val="nil"/>
              <w:right w:val="nil"/>
            </w:tcBorders>
            <w:vAlign w:val="center"/>
          </w:tcPr>
          <w:p w14:paraId="1B522A96"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3A388061" w14:textId="77777777" w:rsidR="007E7B19" w:rsidRPr="00D570B8" w:rsidRDefault="007E7B19"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6847315C"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6F1324A5" w14:textId="77777777" w:rsidR="009E2B76" w:rsidRPr="00BA20DE" w:rsidRDefault="009E2B76" w:rsidP="009E2B76">
            <w:pPr>
              <w:autoSpaceDE w:val="0"/>
              <w:autoSpaceDN w:val="0"/>
              <w:adjustRightInd w:val="0"/>
              <w:spacing w:line="240" w:lineRule="auto"/>
              <w:jc w:val="left"/>
              <w:rPr>
                <w:rFonts w:cs="Times New Roman"/>
                <w:i/>
                <w:iCs/>
                <w:color w:val="000000"/>
                <w:sz w:val="20"/>
                <w:szCs w:val="20"/>
              </w:rPr>
            </w:pPr>
            <w:r w:rsidRPr="00BA20DE">
              <w:rPr>
                <w:rFonts w:cs="Times New Roman"/>
                <w:i/>
                <w:iCs/>
                <w:color w:val="000000"/>
                <w:sz w:val="20"/>
                <w:szCs w:val="20"/>
              </w:rPr>
              <w:t>Endogenous Effects</w:t>
            </w:r>
          </w:p>
        </w:tc>
        <w:tc>
          <w:tcPr>
            <w:tcW w:w="438" w:type="pct"/>
            <w:tcBorders>
              <w:top w:val="nil"/>
              <w:left w:val="double" w:sz="4" w:space="0" w:color="auto"/>
              <w:bottom w:val="nil"/>
              <w:right w:val="nil"/>
            </w:tcBorders>
            <w:vAlign w:val="center"/>
          </w:tcPr>
          <w:p w14:paraId="4C71C7D9" w14:textId="77777777" w:rsidR="009E2B76" w:rsidRPr="005D62C9" w:rsidRDefault="009E2B76" w:rsidP="00BC6C7C">
            <w:pPr>
              <w:tabs>
                <w:tab w:val="decimal" w:pos="247"/>
              </w:tabs>
              <w:autoSpaceDE w:val="0"/>
              <w:autoSpaceDN w:val="0"/>
              <w:adjustRightInd w:val="0"/>
              <w:spacing w:line="240" w:lineRule="auto"/>
              <w:jc w:val="center"/>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440CBE0D" w14:textId="77777777" w:rsidR="009E2B76" w:rsidRPr="005D62C9" w:rsidRDefault="009E2B76" w:rsidP="000A0DF6">
            <w:pPr>
              <w:tabs>
                <w:tab w:val="decimal" w:pos="246"/>
              </w:tabs>
              <w:autoSpaceDE w:val="0"/>
              <w:autoSpaceDN w:val="0"/>
              <w:adjustRightInd w:val="0"/>
              <w:spacing w:line="240" w:lineRule="auto"/>
              <w:jc w:val="center"/>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37E3D9FB"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3B2E432F"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78D4231C"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7D53DC7C"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153E6FDE"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17566401"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r>
      <w:tr w:rsidR="00BC6C7C" w14:paraId="4167B56C"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0E3D7CB4" w14:textId="3752CB1D" w:rsidR="009E2B76" w:rsidRPr="00BA20DE" w:rsidRDefault="009E2B76" w:rsidP="009E2B76">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Trip purpose (airport)</w:t>
            </w:r>
          </w:p>
        </w:tc>
        <w:tc>
          <w:tcPr>
            <w:tcW w:w="438" w:type="pct"/>
            <w:tcBorders>
              <w:top w:val="nil"/>
              <w:left w:val="double" w:sz="4" w:space="0" w:color="auto"/>
              <w:bottom w:val="nil"/>
              <w:right w:val="nil"/>
            </w:tcBorders>
            <w:vAlign w:val="center"/>
          </w:tcPr>
          <w:p w14:paraId="67E5B68B"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7298D254"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6BC9C691"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36D391CD"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6D8D3951"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5DDCBC14"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78283B94"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60" w:type="pct"/>
            <w:tcBorders>
              <w:top w:val="nil"/>
              <w:left w:val="nil"/>
              <w:bottom w:val="nil"/>
              <w:right w:val="double" w:sz="4" w:space="0" w:color="auto"/>
            </w:tcBorders>
            <w:vAlign w:val="center"/>
          </w:tcPr>
          <w:p w14:paraId="3A82A7AF"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r>
      <w:tr w:rsidR="00BC6C7C" w14:paraId="45D2D365"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2A7C9B3"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Errands</w:t>
            </w:r>
          </w:p>
        </w:tc>
        <w:tc>
          <w:tcPr>
            <w:tcW w:w="438" w:type="pct"/>
            <w:tcBorders>
              <w:top w:val="nil"/>
              <w:left w:val="double" w:sz="4" w:space="0" w:color="auto"/>
              <w:bottom w:val="nil"/>
              <w:right w:val="nil"/>
            </w:tcBorders>
            <w:vAlign w:val="center"/>
          </w:tcPr>
          <w:p w14:paraId="39F1AD39"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-0.4</w:t>
            </w:r>
            <w:r w:rsidR="005D62C9" w:rsidRPr="005D62C9">
              <w:rPr>
                <w:rFonts w:cs="Times New Roman"/>
                <w:color w:val="000000" w:themeColor="text1"/>
                <w:sz w:val="20"/>
                <w:szCs w:val="20"/>
              </w:rPr>
              <w:t>84</w:t>
            </w:r>
          </w:p>
        </w:tc>
        <w:tc>
          <w:tcPr>
            <w:tcW w:w="380" w:type="pct"/>
            <w:tcBorders>
              <w:top w:val="nil"/>
              <w:left w:val="nil"/>
              <w:bottom w:val="nil"/>
              <w:right w:val="double" w:sz="4" w:space="0" w:color="auto"/>
            </w:tcBorders>
            <w:vAlign w:val="center"/>
          </w:tcPr>
          <w:p w14:paraId="078F2B58"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-7.6</w:t>
            </w:r>
            <w:r w:rsidR="005D62C9" w:rsidRPr="005D62C9">
              <w:rPr>
                <w:rFonts w:cs="Times New Roman"/>
                <w:color w:val="000000" w:themeColor="text1"/>
                <w:sz w:val="20"/>
                <w:szCs w:val="20"/>
              </w:rPr>
              <w:t>5</w:t>
            </w:r>
          </w:p>
        </w:tc>
        <w:tc>
          <w:tcPr>
            <w:tcW w:w="392" w:type="pct"/>
            <w:gridSpan w:val="2"/>
            <w:tcBorders>
              <w:top w:val="nil"/>
              <w:left w:val="double" w:sz="4" w:space="0" w:color="auto"/>
              <w:bottom w:val="nil"/>
              <w:right w:val="nil"/>
            </w:tcBorders>
            <w:vAlign w:val="center"/>
          </w:tcPr>
          <w:p w14:paraId="1A7E74F6"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0059B85E"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0D02AE11"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3ADC7355"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36414BBA"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1.</w:t>
            </w:r>
            <w:r w:rsidR="00A01067" w:rsidRPr="00D570B8">
              <w:rPr>
                <w:rFonts w:cs="Times New Roman"/>
                <w:sz w:val="20"/>
                <w:szCs w:val="20"/>
              </w:rPr>
              <w:t>061</w:t>
            </w:r>
          </w:p>
        </w:tc>
        <w:tc>
          <w:tcPr>
            <w:tcW w:w="360" w:type="pct"/>
            <w:tcBorders>
              <w:top w:val="nil"/>
              <w:left w:val="nil"/>
              <w:bottom w:val="nil"/>
              <w:right w:val="double" w:sz="4" w:space="0" w:color="auto"/>
            </w:tcBorders>
            <w:vAlign w:val="center"/>
          </w:tcPr>
          <w:p w14:paraId="0202F08C" w14:textId="77777777" w:rsidR="009E2B76"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15.88</w:t>
            </w:r>
          </w:p>
        </w:tc>
      </w:tr>
      <w:tr w:rsidR="00BC6C7C" w14:paraId="658B2A70"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404ADCC"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Recreational</w:t>
            </w:r>
          </w:p>
        </w:tc>
        <w:tc>
          <w:tcPr>
            <w:tcW w:w="438" w:type="pct"/>
            <w:tcBorders>
              <w:top w:val="nil"/>
              <w:left w:val="double" w:sz="4" w:space="0" w:color="auto"/>
              <w:bottom w:val="nil"/>
              <w:right w:val="nil"/>
            </w:tcBorders>
            <w:vAlign w:val="center"/>
          </w:tcPr>
          <w:p w14:paraId="028C4F5E"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0.9</w:t>
            </w:r>
            <w:r w:rsidR="005D62C9" w:rsidRPr="005D62C9">
              <w:rPr>
                <w:rFonts w:cs="Times New Roman"/>
                <w:color w:val="000000" w:themeColor="text1"/>
                <w:sz w:val="20"/>
                <w:szCs w:val="20"/>
              </w:rPr>
              <w:t>28</w:t>
            </w:r>
          </w:p>
        </w:tc>
        <w:tc>
          <w:tcPr>
            <w:tcW w:w="380" w:type="pct"/>
            <w:tcBorders>
              <w:top w:val="nil"/>
              <w:left w:val="nil"/>
              <w:bottom w:val="nil"/>
              <w:right w:val="double" w:sz="4" w:space="0" w:color="auto"/>
            </w:tcBorders>
            <w:vAlign w:val="center"/>
          </w:tcPr>
          <w:p w14:paraId="5BCD7DF9"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23.9</w:t>
            </w:r>
            <w:r w:rsidR="005D62C9" w:rsidRPr="005D62C9">
              <w:rPr>
                <w:rFonts w:cs="Times New Roman"/>
                <w:color w:val="000000" w:themeColor="text1"/>
                <w:sz w:val="20"/>
                <w:szCs w:val="20"/>
              </w:rPr>
              <w:t>4</w:t>
            </w:r>
          </w:p>
        </w:tc>
        <w:tc>
          <w:tcPr>
            <w:tcW w:w="392" w:type="pct"/>
            <w:gridSpan w:val="2"/>
            <w:tcBorders>
              <w:top w:val="nil"/>
              <w:left w:val="double" w:sz="4" w:space="0" w:color="auto"/>
              <w:bottom w:val="nil"/>
              <w:right w:val="nil"/>
            </w:tcBorders>
            <w:vAlign w:val="center"/>
          </w:tcPr>
          <w:p w14:paraId="75669578"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7B810F88"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213DC6D3"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5A014E37"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7F226B58" w14:textId="77777777" w:rsidR="009E2B76"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0.527</w:t>
            </w:r>
          </w:p>
        </w:tc>
        <w:tc>
          <w:tcPr>
            <w:tcW w:w="360" w:type="pct"/>
            <w:tcBorders>
              <w:top w:val="nil"/>
              <w:left w:val="nil"/>
              <w:bottom w:val="nil"/>
              <w:right w:val="double" w:sz="4" w:space="0" w:color="auto"/>
            </w:tcBorders>
            <w:vAlign w:val="center"/>
          </w:tcPr>
          <w:p w14:paraId="667D073A" w14:textId="77777777" w:rsidR="009E2B76" w:rsidRPr="00D570B8" w:rsidRDefault="00A01067"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7.52</w:t>
            </w:r>
          </w:p>
        </w:tc>
      </w:tr>
      <w:tr w:rsidR="00BC6C7C" w14:paraId="572EF8FE"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6E7F9E2"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Work</w:t>
            </w:r>
          </w:p>
        </w:tc>
        <w:tc>
          <w:tcPr>
            <w:tcW w:w="438" w:type="pct"/>
            <w:tcBorders>
              <w:top w:val="nil"/>
              <w:left w:val="double" w:sz="4" w:space="0" w:color="auto"/>
              <w:bottom w:val="nil"/>
              <w:right w:val="nil"/>
            </w:tcBorders>
            <w:vAlign w:val="center"/>
          </w:tcPr>
          <w:p w14:paraId="2C6A1BDC"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-0.6</w:t>
            </w:r>
            <w:r w:rsidR="005D62C9" w:rsidRPr="005D62C9">
              <w:rPr>
                <w:rFonts w:cs="Times New Roman"/>
                <w:color w:val="000000" w:themeColor="text1"/>
                <w:sz w:val="20"/>
                <w:szCs w:val="20"/>
              </w:rPr>
              <w:t>71</w:t>
            </w:r>
          </w:p>
        </w:tc>
        <w:tc>
          <w:tcPr>
            <w:tcW w:w="380" w:type="pct"/>
            <w:tcBorders>
              <w:top w:val="nil"/>
              <w:left w:val="nil"/>
              <w:bottom w:val="nil"/>
              <w:right w:val="double" w:sz="4" w:space="0" w:color="auto"/>
            </w:tcBorders>
            <w:vAlign w:val="center"/>
          </w:tcPr>
          <w:p w14:paraId="7DBB88B5"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-12.</w:t>
            </w:r>
            <w:r w:rsidR="005D62C9" w:rsidRPr="005D62C9">
              <w:rPr>
                <w:rFonts w:cs="Times New Roman"/>
                <w:color w:val="000000" w:themeColor="text1"/>
                <w:sz w:val="20"/>
                <w:szCs w:val="20"/>
              </w:rPr>
              <w:t>36</w:t>
            </w:r>
          </w:p>
        </w:tc>
        <w:tc>
          <w:tcPr>
            <w:tcW w:w="392" w:type="pct"/>
            <w:gridSpan w:val="2"/>
            <w:tcBorders>
              <w:top w:val="nil"/>
              <w:left w:val="double" w:sz="4" w:space="0" w:color="auto"/>
              <w:bottom w:val="nil"/>
              <w:right w:val="nil"/>
            </w:tcBorders>
            <w:vAlign w:val="center"/>
          </w:tcPr>
          <w:p w14:paraId="1E787407"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0E07F628"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627B0631"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24A95F58"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10BB68C5"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00AF1115"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722BEBE7"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4013021D" w14:textId="7E46F2CB" w:rsidR="009E2B76" w:rsidRPr="00BA20DE" w:rsidRDefault="009E2B76" w:rsidP="009E2B76">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Trip time (mid-day)</w:t>
            </w:r>
          </w:p>
        </w:tc>
        <w:tc>
          <w:tcPr>
            <w:tcW w:w="438" w:type="pct"/>
            <w:tcBorders>
              <w:top w:val="nil"/>
              <w:left w:val="double" w:sz="4" w:space="0" w:color="auto"/>
              <w:bottom w:val="nil"/>
              <w:right w:val="nil"/>
            </w:tcBorders>
            <w:vAlign w:val="center"/>
          </w:tcPr>
          <w:p w14:paraId="3444EFAC"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bottom w:val="nil"/>
              <w:right w:val="double" w:sz="4" w:space="0" w:color="auto"/>
            </w:tcBorders>
            <w:vAlign w:val="center"/>
          </w:tcPr>
          <w:p w14:paraId="53AB6ADB"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722F376F"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186EA266"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6758ED4E"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5994C9C3"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54" w:type="pct"/>
            <w:tcBorders>
              <w:top w:val="nil"/>
              <w:left w:val="nil"/>
              <w:bottom w:val="nil"/>
              <w:right w:val="nil"/>
            </w:tcBorders>
            <w:vAlign w:val="center"/>
          </w:tcPr>
          <w:p w14:paraId="3C0D246B"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5F3AE9E5"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r>
      <w:tr w:rsidR="00BC6C7C" w14:paraId="69BA1B49"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1A05E479" w14:textId="77777777" w:rsidR="009E2B76" w:rsidRPr="00BA20DE" w:rsidRDefault="009E2B76" w:rsidP="00BE2989">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Morning </w:t>
            </w:r>
          </w:p>
        </w:tc>
        <w:tc>
          <w:tcPr>
            <w:tcW w:w="438" w:type="pct"/>
            <w:tcBorders>
              <w:top w:val="nil"/>
              <w:left w:val="double" w:sz="4" w:space="0" w:color="auto"/>
              <w:bottom w:val="nil"/>
              <w:right w:val="nil"/>
            </w:tcBorders>
            <w:vAlign w:val="center"/>
          </w:tcPr>
          <w:p w14:paraId="6F1AAAA1"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-0.1</w:t>
            </w:r>
            <w:r w:rsidR="005D62C9" w:rsidRPr="005D62C9">
              <w:rPr>
                <w:rFonts w:cs="Times New Roman"/>
                <w:color w:val="000000" w:themeColor="text1"/>
                <w:sz w:val="20"/>
                <w:szCs w:val="20"/>
              </w:rPr>
              <w:t>44</w:t>
            </w:r>
          </w:p>
        </w:tc>
        <w:tc>
          <w:tcPr>
            <w:tcW w:w="380" w:type="pct"/>
            <w:tcBorders>
              <w:top w:val="nil"/>
              <w:left w:val="nil"/>
              <w:bottom w:val="nil"/>
              <w:right w:val="double" w:sz="4" w:space="0" w:color="auto"/>
            </w:tcBorders>
            <w:vAlign w:val="center"/>
          </w:tcPr>
          <w:p w14:paraId="6D10D6ED"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-3.4</w:t>
            </w:r>
            <w:r w:rsidR="005D62C9" w:rsidRPr="005D62C9">
              <w:rPr>
                <w:rFonts w:cs="Times New Roman"/>
                <w:color w:val="000000" w:themeColor="text1"/>
                <w:sz w:val="20"/>
                <w:szCs w:val="20"/>
              </w:rPr>
              <w:t>1</w:t>
            </w:r>
          </w:p>
        </w:tc>
        <w:tc>
          <w:tcPr>
            <w:tcW w:w="392" w:type="pct"/>
            <w:gridSpan w:val="2"/>
            <w:tcBorders>
              <w:top w:val="nil"/>
              <w:left w:val="double" w:sz="4" w:space="0" w:color="auto"/>
              <w:bottom w:val="nil"/>
              <w:right w:val="nil"/>
            </w:tcBorders>
            <w:vAlign w:val="center"/>
          </w:tcPr>
          <w:p w14:paraId="3A12266D"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655905D4"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234174E0"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212D8D91"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54" w:type="pct"/>
            <w:tcBorders>
              <w:top w:val="nil"/>
              <w:left w:val="nil"/>
              <w:bottom w:val="nil"/>
              <w:right w:val="nil"/>
            </w:tcBorders>
            <w:vAlign w:val="center"/>
          </w:tcPr>
          <w:p w14:paraId="6B9CC57F"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78518076"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6A8FFBD5"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23B5B96E" w14:textId="77777777" w:rsidR="009E2B76" w:rsidRPr="00BA20DE" w:rsidRDefault="00BE2989"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Evening</w:t>
            </w:r>
          </w:p>
        </w:tc>
        <w:tc>
          <w:tcPr>
            <w:tcW w:w="438" w:type="pct"/>
            <w:tcBorders>
              <w:top w:val="nil"/>
              <w:left w:val="double" w:sz="4" w:space="0" w:color="auto"/>
              <w:bottom w:val="nil"/>
              <w:right w:val="nil"/>
            </w:tcBorders>
            <w:vAlign w:val="center"/>
          </w:tcPr>
          <w:p w14:paraId="0D9778BF" w14:textId="77777777" w:rsidR="009E2B76" w:rsidRPr="005D62C9" w:rsidRDefault="009E2B76"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06FFEB51" w14:textId="77777777" w:rsidR="009E2B76" w:rsidRPr="005D62C9" w:rsidRDefault="009E2B76"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22F3312F" w14:textId="77777777" w:rsidR="009E2B76" w:rsidRPr="00D570B8" w:rsidRDefault="009E2B76"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138</w:t>
            </w:r>
          </w:p>
        </w:tc>
        <w:tc>
          <w:tcPr>
            <w:tcW w:w="362" w:type="pct"/>
            <w:gridSpan w:val="2"/>
            <w:tcBorders>
              <w:top w:val="nil"/>
              <w:left w:val="nil"/>
              <w:bottom w:val="nil"/>
              <w:right w:val="nil"/>
            </w:tcBorders>
            <w:vAlign w:val="center"/>
          </w:tcPr>
          <w:p w14:paraId="66B298BC"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4.12</w:t>
            </w:r>
          </w:p>
        </w:tc>
        <w:tc>
          <w:tcPr>
            <w:tcW w:w="361" w:type="pct"/>
            <w:gridSpan w:val="2"/>
            <w:tcBorders>
              <w:top w:val="nil"/>
              <w:left w:val="nil"/>
              <w:bottom w:val="nil"/>
              <w:right w:val="nil"/>
            </w:tcBorders>
            <w:vAlign w:val="center"/>
          </w:tcPr>
          <w:p w14:paraId="6C9A5B21"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-0.1</w:t>
            </w:r>
            <w:r w:rsidR="00D570B8" w:rsidRPr="00D570B8">
              <w:rPr>
                <w:rFonts w:cs="Times New Roman"/>
                <w:sz w:val="20"/>
                <w:szCs w:val="20"/>
              </w:rPr>
              <w:t>40</w:t>
            </w:r>
          </w:p>
        </w:tc>
        <w:tc>
          <w:tcPr>
            <w:tcW w:w="354" w:type="pct"/>
            <w:tcBorders>
              <w:top w:val="nil"/>
              <w:left w:val="nil"/>
              <w:bottom w:val="nil"/>
              <w:right w:val="nil"/>
            </w:tcBorders>
            <w:vAlign w:val="center"/>
          </w:tcPr>
          <w:p w14:paraId="78A70456"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2.85</w:t>
            </w:r>
          </w:p>
        </w:tc>
        <w:tc>
          <w:tcPr>
            <w:tcW w:w="354" w:type="pct"/>
            <w:tcBorders>
              <w:top w:val="nil"/>
              <w:left w:val="nil"/>
              <w:bottom w:val="nil"/>
              <w:right w:val="nil"/>
            </w:tcBorders>
            <w:vAlign w:val="center"/>
          </w:tcPr>
          <w:p w14:paraId="3A5E411E"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254</w:t>
            </w:r>
          </w:p>
        </w:tc>
        <w:tc>
          <w:tcPr>
            <w:tcW w:w="360" w:type="pct"/>
            <w:tcBorders>
              <w:top w:val="nil"/>
              <w:left w:val="nil"/>
              <w:bottom w:val="nil"/>
              <w:right w:val="double" w:sz="4" w:space="0" w:color="auto"/>
            </w:tcBorders>
            <w:vAlign w:val="center"/>
          </w:tcPr>
          <w:p w14:paraId="4CF4E8B3"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4.38</w:t>
            </w:r>
          </w:p>
        </w:tc>
      </w:tr>
      <w:tr w:rsidR="00BC6C7C" w14:paraId="0A94C977"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tcPr>
          <w:p w14:paraId="30BD0E4B" w14:textId="77777777" w:rsidR="009E2B76" w:rsidRPr="00BA20DE" w:rsidRDefault="009E2B76" w:rsidP="00BE2989">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w:t>
            </w:r>
            <w:r w:rsidR="00BE2989" w:rsidRPr="00BA20DE">
              <w:rPr>
                <w:rFonts w:cs="Times New Roman"/>
                <w:color w:val="000000"/>
                <w:sz w:val="20"/>
                <w:szCs w:val="20"/>
              </w:rPr>
              <w:t>Night</w:t>
            </w:r>
            <w:r w:rsidRPr="00BA20DE">
              <w:rPr>
                <w:rFonts w:cs="Times New Roman"/>
                <w:color w:val="000000"/>
                <w:sz w:val="20"/>
                <w:szCs w:val="20"/>
              </w:rPr>
              <w:t xml:space="preserve"> </w:t>
            </w:r>
          </w:p>
        </w:tc>
        <w:tc>
          <w:tcPr>
            <w:tcW w:w="438" w:type="pct"/>
            <w:tcBorders>
              <w:top w:val="nil"/>
              <w:left w:val="double" w:sz="4" w:space="0" w:color="auto"/>
              <w:bottom w:val="nil"/>
              <w:right w:val="nil"/>
            </w:tcBorders>
            <w:vAlign w:val="center"/>
          </w:tcPr>
          <w:p w14:paraId="5FDA2D02" w14:textId="77777777" w:rsidR="009E2B76" w:rsidRPr="005D62C9" w:rsidRDefault="009E2B76" w:rsidP="00BC6C7C">
            <w:pPr>
              <w:tabs>
                <w:tab w:val="decimal" w:pos="247"/>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80" w:type="pct"/>
            <w:tcBorders>
              <w:top w:val="nil"/>
              <w:left w:val="nil"/>
              <w:bottom w:val="nil"/>
              <w:right w:val="double" w:sz="4" w:space="0" w:color="auto"/>
            </w:tcBorders>
            <w:vAlign w:val="center"/>
          </w:tcPr>
          <w:p w14:paraId="4FFD96CB" w14:textId="77777777" w:rsidR="009E2B76" w:rsidRPr="005D62C9" w:rsidRDefault="009E2B76" w:rsidP="000A0DF6">
            <w:pPr>
              <w:tabs>
                <w:tab w:val="decimal" w:pos="246"/>
              </w:tabs>
              <w:autoSpaceDE w:val="0"/>
              <w:autoSpaceDN w:val="0"/>
              <w:adjustRightInd w:val="0"/>
              <w:spacing w:line="240" w:lineRule="auto"/>
              <w:jc w:val="center"/>
              <w:rPr>
                <w:rFonts w:cs="Times New Roman"/>
                <w:color w:val="000000" w:themeColor="text1"/>
                <w:sz w:val="20"/>
                <w:szCs w:val="20"/>
              </w:rPr>
            </w:pPr>
            <w:r w:rsidRPr="005D62C9">
              <w:rPr>
                <w:rFonts w:cs="Times New Roman"/>
                <w:color w:val="000000" w:themeColor="text1"/>
                <w:sz w:val="20"/>
                <w:szCs w:val="20"/>
              </w:rPr>
              <w:t>--</w:t>
            </w:r>
          </w:p>
        </w:tc>
        <w:tc>
          <w:tcPr>
            <w:tcW w:w="392" w:type="pct"/>
            <w:gridSpan w:val="2"/>
            <w:tcBorders>
              <w:top w:val="nil"/>
              <w:left w:val="double" w:sz="4" w:space="0" w:color="auto"/>
              <w:bottom w:val="nil"/>
              <w:right w:val="nil"/>
            </w:tcBorders>
            <w:vAlign w:val="center"/>
          </w:tcPr>
          <w:p w14:paraId="4E8EC742"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bottom w:val="nil"/>
              <w:right w:val="nil"/>
            </w:tcBorders>
            <w:vAlign w:val="center"/>
          </w:tcPr>
          <w:p w14:paraId="567EFCD3"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bottom w:val="nil"/>
              <w:right w:val="nil"/>
            </w:tcBorders>
            <w:vAlign w:val="center"/>
          </w:tcPr>
          <w:p w14:paraId="60B6204A"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295</w:t>
            </w:r>
          </w:p>
        </w:tc>
        <w:tc>
          <w:tcPr>
            <w:tcW w:w="354" w:type="pct"/>
            <w:tcBorders>
              <w:top w:val="nil"/>
              <w:left w:val="nil"/>
              <w:bottom w:val="nil"/>
              <w:right w:val="nil"/>
            </w:tcBorders>
            <w:vAlign w:val="center"/>
          </w:tcPr>
          <w:p w14:paraId="46019777"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5.42</w:t>
            </w:r>
          </w:p>
        </w:tc>
        <w:tc>
          <w:tcPr>
            <w:tcW w:w="354" w:type="pct"/>
            <w:tcBorders>
              <w:top w:val="nil"/>
              <w:left w:val="nil"/>
              <w:bottom w:val="nil"/>
              <w:right w:val="nil"/>
            </w:tcBorders>
            <w:vAlign w:val="center"/>
          </w:tcPr>
          <w:p w14:paraId="461C8F3D"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0" w:type="pct"/>
            <w:tcBorders>
              <w:top w:val="nil"/>
              <w:left w:val="nil"/>
              <w:bottom w:val="nil"/>
              <w:right w:val="double" w:sz="4" w:space="0" w:color="auto"/>
            </w:tcBorders>
            <w:vAlign w:val="center"/>
          </w:tcPr>
          <w:p w14:paraId="50AFFD49"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r>
      <w:tr w:rsidR="00BC6C7C" w14:paraId="4F4D97C0" w14:textId="77777777" w:rsidTr="00BC6C7C">
        <w:trPr>
          <w:trHeight w:val="144"/>
          <w:jc w:val="center"/>
        </w:trPr>
        <w:tc>
          <w:tcPr>
            <w:tcW w:w="2000" w:type="pct"/>
            <w:tcBorders>
              <w:top w:val="nil"/>
              <w:left w:val="double" w:sz="4" w:space="0" w:color="auto"/>
              <w:bottom w:val="nil"/>
              <w:right w:val="double" w:sz="4" w:space="0" w:color="auto"/>
            </w:tcBorders>
            <w:tcMar>
              <w:right w:w="43" w:type="dxa"/>
            </w:tcMar>
            <w:vAlign w:val="center"/>
          </w:tcPr>
          <w:p w14:paraId="09019BF2" w14:textId="02DD5F18" w:rsidR="009E2B76" w:rsidRPr="00BA20DE" w:rsidRDefault="009E2B76" w:rsidP="009E2B76">
            <w:pPr>
              <w:autoSpaceDE w:val="0"/>
              <w:autoSpaceDN w:val="0"/>
              <w:adjustRightInd w:val="0"/>
              <w:spacing w:line="240" w:lineRule="auto"/>
              <w:jc w:val="left"/>
              <w:rPr>
                <w:rFonts w:cs="Times New Roman"/>
                <w:b/>
                <w:bCs/>
                <w:color w:val="000000"/>
                <w:sz w:val="20"/>
                <w:szCs w:val="20"/>
              </w:rPr>
            </w:pPr>
            <w:r w:rsidRPr="00BA20DE">
              <w:rPr>
                <w:rFonts w:cs="Times New Roman"/>
                <w:b/>
                <w:bCs/>
                <w:color w:val="000000"/>
                <w:sz w:val="20"/>
                <w:szCs w:val="20"/>
              </w:rPr>
              <w:t>Trip companion (alone)</w:t>
            </w:r>
          </w:p>
        </w:tc>
        <w:tc>
          <w:tcPr>
            <w:tcW w:w="438" w:type="pct"/>
            <w:tcBorders>
              <w:top w:val="nil"/>
              <w:left w:val="double" w:sz="4" w:space="0" w:color="auto"/>
              <w:bottom w:val="nil"/>
              <w:right w:val="nil"/>
            </w:tcBorders>
            <w:vAlign w:val="center"/>
          </w:tcPr>
          <w:p w14:paraId="1DC851DB" w14:textId="77777777" w:rsidR="009E2B76" w:rsidRPr="005D62C9" w:rsidRDefault="009E2B76" w:rsidP="00BC6C7C">
            <w:pPr>
              <w:tabs>
                <w:tab w:val="decimal" w:pos="247"/>
              </w:tabs>
              <w:autoSpaceDE w:val="0"/>
              <w:autoSpaceDN w:val="0"/>
              <w:adjustRightInd w:val="0"/>
              <w:spacing w:line="240" w:lineRule="auto"/>
              <w:jc w:val="left"/>
              <w:rPr>
                <w:rFonts w:cs="Times New Roman"/>
                <w:b/>
                <w:bCs/>
                <w:color w:val="000000" w:themeColor="text1"/>
                <w:sz w:val="20"/>
                <w:szCs w:val="20"/>
              </w:rPr>
            </w:pPr>
          </w:p>
        </w:tc>
        <w:tc>
          <w:tcPr>
            <w:tcW w:w="380" w:type="pct"/>
            <w:tcBorders>
              <w:top w:val="nil"/>
              <w:left w:val="nil"/>
              <w:bottom w:val="nil"/>
              <w:right w:val="double" w:sz="4" w:space="0" w:color="auto"/>
            </w:tcBorders>
            <w:vAlign w:val="center"/>
          </w:tcPr>
          <w:p w14:paraId="28F90837"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bottom w:val="nil"/>
              <w:right w:val="nil"/>
            </w:tcBorders>
            <w:vAlign w:val="center"/>
          </w:tcPr>
          <w:p w14:paraId="74BCEEA8"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p>
        </w:tc>
        <w:tc>
          <w:tcPr>
            <w:tcW w:w="362" w:type="pct"/>
            <w:gridSpan w:val="2"/>
            <w:tcBorders>
              <w:top w:val="nil"/>
              <w:left w:val="nil"/>
              <w:bottom w:val="nil"/>
              <w:right w:val="nil"/>
            </w:tcBorders>
            <w:vAlign w:val="center"/>
          </w:tcPr>
          <w:p w14:paraId="0F1CAA94"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1" w:type="pct"/>
            <w:gridSpan w:val="2"/>
            <w:tcBorders>
              <w:top w:val="nil"/>
              <w:left w:val="nil"/>
              <w:bottom w:val="nil"/>
              <w:right w:val="nil"/>
            </w:tcBorders>
            <w:vAlign w:val="center"/>
          </w:tcPr>
          <w:p w14:paraId="59C8B9DE"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048F6C25"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p>
        </w:tc>
        <w:tc>
          <w:tcPr>
            <w:tcW w:w="354" w:type="pct"/>
            <w:tcBorders>
              <w:top w:val="nil"/>
              <w:left w:val="nil"/>
              <w:bottom w:val="nil"/>
              <w:right w:val="nil"/>
            </w:tcBorders>
            <w:vAlign w:val="center"/>
          </w:tcPr>
          <w:p w14:paraId="0D34698A"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c>
          <w:tcPr>
            <w:tcW w:w="360" w:type="pct"/>
            <w:tcBorders>
              <w:top w:val="nil"/>
              <w:left w:val="nil"/>
              <w:bottom w:val="nil"/>
              <w:right w:val="double" w:sz="4" w:space="0" w:color="auto"/>
            </w:tcBorders>
            <w:vAlign w:val="center"/>
          </w:tcPr>
          <w:p w14:paraId="2EC1790C"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p>
        </w:tc>
      </w:tr>
      <w:tr w:rsidR="00BC6C7C" w14:paraId="68E70A65" w14:textId="77777777" w:rsidTr="00BC6C7C">
        <w:trPr>
          <w:trHeight w:val="144"/>
          <w:jc w:val="center"/>
        </w:trPr>
        <w:tc>
          <w:tcPr>
            <w:tcW w:w="2000" w:type="pct"/>
            <w:tcBorders>
              <w:top w:val="nil"/>
              <w:left w:val="double" w:sz="4" w:space="0" w:color="auto"/>
              <w:right w:val="double" w:sz="4" w:space="0" w:color="auto"/>
            </w:tcBorders>
            <w:tcMar>
              <w:right w:w="43" w:type="dxa"/>
            </w:tcMar>
          </w:tcPr>
          <w:p w14:paraId="6EC38B25" w14:textId="77777777" w:rsidR="009E2B76" w:rsidRPr="00BA20DE" w:rsidRDefault="009E2B76" w:rsidP="009E2B76">
            <w:pPr>
              <w:autoSpaceDE w:val="0"/>
              <w:autoSpaceDN w:val="0"/>
              <w:adjustRightInd w:val="0"/>
              <w:spacing w:line="240" w:lineRule="auto"/>
              <w:jc w:val="left"/>
              <w:rPr>
                <w:rFonts w:cs="Times New Roman"/>
                <w:color w:val="000000"/>
                <w:sz w:val="20"/>
                <w:szCs w:val="20"/>
              </w:rPr>
            </w:pPr>
            <w:r w:rsidRPr="00BA20DE">
              <w:rPr>
                <w:rFonts w:cs="Times New Roman"/>
                <w:color w:val="000000"/>
                <w:sz w:val="20"/>
                <w:szCs w:val="20"/>
              </w:rPr>
              <w:t xml:space="preserve"> Not alone</w:t>
            </w:r>
          </w:p>
        </w:tc>
        <w:tc>
          <w:tcPr>
            <w:tcW w:w="438" w:type="pct"/>
            <w:tcBorders>
              <w:top w:val="nil"/>
              <w:left w:val="double" w:sz="4" w:space="0" w:color="auto"/>
              <w:right w:val="nil"/>
            </w:tcBorders>
            <w:vAlign w:val="center"/>
          </w:tcPr>
          <w:p w14:paraId="5EBE07F2"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p>
        </w:tc>
        <w:tc>
          <w:tcPr>
            <w:tcW w:w="380" w:type="pct"/>
            <w:tcBorders>
              <w:top w:val="nil"/>
              <w:left w:val="nil"/>
              <w:right w:val="double" w:sz="4" w:space="0" w:color="auto"/>
            </w:tcBorders>
            <w:vAlign w:val="center"/>
          </w:tcPr>
          <w:p w14:paraId="3B43B258" w14:textId="77777777" w:rsidR="009E2B76" w:rsidRPr="005D62C9" w:rsidRDefault="009E2B76" w:rsidP="000A0DF6">
            <w:pPr>
              <w:tabs>
                <w:tab w:val="decimal" w:pos="246"/>
              </w:tabs>
              <w:autoSpaceDE w:val="0"/>
              <w:autoSpaceDN w:val="0"/>
              <w:adjustRightInd w:val="0"/>
              <w:spacing w:line="240" w:lineRule="auto"/>
              <w:jc w:val="left"/>
              <w:rPr>
                <w:rFonts w:cs="Times New Roman"/>
                <w:color w:val="000000" w:themeColor="text1"/>
                <w:sz w:val="20"/>
                <w:szCs w:val="20"/>
              </w:rPr>
            </w:pPr>
          </w:p>
        </w:tc>
        <w:tc>
          <w:tcPr>
            <w:tcW w:w="392" w:type="pct"/>
            <w:gridSpan w:val="2"/>
            <w:tcBorders>
              <w:top w:val="nil"/>
              <w:left w:val="double" w:sz="4" w:space="0" w:color="auto"/>
              <w:right w:val="nil"/>
            </w:tcBorders>
            <w:vAlign w:val="center"/>
          </w:tcPr>
          <w:p w14:paraId="2F1DB53C" w14:textId="77777777" w:rsidR="009E2B76" w:rsidRPr="00D570B8" w:rsidRDefault="009E2B76" w:rsidP="00800798">
            <w:pPr>
              <w:tabs>
                <w:tab w:val="decimal" w:pos="336"/>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2" w:type="pct"/>
            <w:gridSpan w:val="2"/>
            <w:tcBorders>
              <w:top w:val="nil"/>
              <w:left w:val="nil"/>
              <w:right w:val="nil"/>
            </w:tcBorders>
            <w:vAlign w:val="center"/>
          </w:tcPr>
          <w:p w14:paraId="21BE7B6B" w14:textId="77777777" w:rsidR="009E2B76" w:rsidRPr="00D570B8" w:rsidRDefault="009E2B76" w:rsidP="00800798">
            <w:pPr>
              <w:tabs>
                <w:tab w:val="decimal" w:pos="348"/>
              </w:tabs>
              <w:autoSpaceDE w:val="0"/>
              <w:autoSpaceDN w:val="0"/>
              <w:adjustRightInd w:val="0"/>
              <w:spacing w:line="240" w:lineRule="auto"/>
              <w:jc w:val="center"/>
              <w:rPr>
                <w:rFonts w:cs="Times New Roman"/>
                <w:sz w:val="20"/>
                <w:szCs w:val="20"/>
              </w:rPr>
            </w:pPr>
            <w:r w:rsidRPr="00D570B8">
              <w:rPr>
                <w:rFonts w:cs="Times New Roman"/>
                <w:sz w:val="20"/>
                <w:szCs w:val="20"/>
              </w:rPr>
              <w:t>--</w:t>
            </w:r>
          </w:p>
        </w:tc>
        <w:tc>
          <w:tcPr>
            <w:tcW w:w="361" w:type="pct"/>
            <w:gridSpan w:val="2"/>
            <w:tcBorders>
              <w:top w:val="nil"/>
              <w:left w:val="nil"/>
              <w:right w:val="nil"/>
            </w:tcBorders>
            <w:vAlign w:val="center"/>
          </w:tcPr>
          <w:p w14:paraId="23916953"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0.2</w:t>
            </w:r>
            <w:r w:rsidR="00D570B8" w:rsidRPr="00D570B8">
              <w:rPr>
                <w:rFonts w:cs="Times New Roman"/>
                <w:sz w:val="20"/>
                <w:szCs w:val="20"/>
              </w:rPr>
              <w:t>18</w:t>
            </w:r>
          </w:p>
        </w:tc>
        <w:tc>
          <w:tcPr>
            <w:tcW w:w="354" w:type="pct"/>
            <w:tcBorders>
              <w:top w:val="nil"/>
              <w:left w:val="nil"/>
              <w:right w:val="nil"/>
            </w:tcBorders>
            <w:vAlign w:val="center"/>
          </w:tcPr>
          <w:p w14:paraId="1C826A80"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5.</w:t>
            </w:r>
            <w:r w:rsidR="00D570B8" w:rsidRPr="00D570B8">
              <w:rPr>
                <w:rFonts w:cs="Times New Roman"/>
                <w:sz w:val="20"/>
                <w:szCs w:val="20"/>
              </w:rPr>
              <w:t>00</w:t>
            </w:r>
          </w:p>
        </w:tc>
        <w:tc>
          <w:tcPr>
            <w:tcW w:w="354" w:type="pct"/>
            <w:tcBorders>
              <w:top w:val="nil"/>
              <w:left w:val="nil"/>
              <w:right w:val="nil"/>
            </w:tcBorders>
            <w:vAlign w:val="center"/>
          </w:tcPr>
          <w:p w14:paraId="523C5FB4"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-0.</w:t>
            </w:r>
            <w:r w:rsidR="00D570B8" w:rsidRPr="00D570B8">
              <w:rPr>
                <w:rFonts w:cs="Times New Roman"/>
                <w:sz w:val="20"/>
                <w:szCs w:val="20"/>
              </w:rPr>
              <w:t>366</w:t>
            </w:r>
          </w:p>
        </w:tc>
        <w:tc>
          <w:tcPr>
            <w:tcW w:w="360" w:type="pct"/>
            <w:tcBorders>
              <w:top w:val="nil"/>
              <w:left w:val="nil"/>
              <w:right w:val="double" w:sz="4" w:space="0" w:color="auto"/>
            </w:tcBorders>
            <w:vAlign w:val="center"/>
          </w:tcPr>
          <w:p w14:paraId="713066DC"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D570B8" w:rsidRPr="00D570B8">
              <w:rPr>
                <w:rFonts w:cs="Times New Roman"/>
                <w:sz w:val="20"/>
                <w:szCs w:val="20"/>
              </w:rPr>
              <w:t>5.50</w:t>
            </w:r>
          </w:p>
        </w:tc>
      </w:tr>
      <w:tr w:rsidR="00BC6C7C" w14:paraId="3CCEC9F5" w14:textId="77777777" w:rsidTr="00BC6C7C">
        <w:trPr>
          <w:trHeight w:val="288"/>
          <w:jc w:val="center"/>
        </w:trPr>
        <w:tc>
          <w:tcPr>
            <w:tcW w:w="2000" w:type="pct"/>
            <w:tcBorders>
              <w:top w:val="nil"/>
              <w:left w:val="double" w:sz="4" w:space="0" w:color="auto"/>
              <w:bottom w:val="double" w:sz="4" w:space="0" w:color="auto"/>
              <w:right w:val="double" w:sz="4" w:space="0" w:color="auto"/>
            </w:tcBorders>
            <w:tcMar>
              <w:right w:w="43" w:type="dxa"/>
            </w:tcMar>
          </w:tcPr>
          <w:p w14:paraId="0286A3EE" w14:textId="77777777" w:rsidR="009E2B76" w:rsidRPr="00BA20DE" w:rsidRDefault="009E2B76" w:rsidP="009E2B76">
            <w:pPr>
              <w:autoSpaceDE w:val="0"/>
              <w:autoSpaceDN w:val="0"/>
              <w:adjustRightInd w:val="0"/>
              <w:spacing w:line="240" w:lineRule="auto"/>
              <w:jc w:val="left"/>
              <w:rPr>
                <w:rFonts w:cs="Times New Roman"/>
                <w:b/>
                <w:color w:val="000000"/>
                <w:sz w:val="20"/>
                <w:szCs w:val="20"/>
              </w:rPr>
            </w:pPr>
            <w:r w:rsidRPr="00BA20DE">
              <w:rPr>
                <w:rFonts w:cs="Times New Roman"/>
                <w:i/>
                <w:color w:val="000000"/>
                <w:sz w:val="20"/>
                <w:szCs w:val="20"/>
              </w:rPr>
              <w:t xml:space="preserve"> </w:t>
            </w:r>
            <w:r w:rsidRPr="00BA20DE">
              <w:rPr>
                <w:rFonts w:cs="Times New Roman"/>
                <w:b/>
                <w:color w:val="000000"/>
                <w:sz w:val="20"/>
                <w:szCs w:val="20"/>
              </w:rPr>
              <w:t>Constant</w:t>
            </w:r>
          </w:p>
        </w:tc>
        <w:tc>
          <w:tcPr>
            <w:tcW w:w="438" w:type="pct"/>
            <w:tcBorders>
              <w:top w:val="nil"/>
              <w:left w:val="double" w:sz="4" w:space="0" w:color="auto"/>
              <w:bottom w:val="double" w:sz="4" w:space="0" w:color="auto"/>
              <w:right w:val="nil"/>
            </w:tcBorders>
            <w:vAlign w:val="center"/>
          </w:tcPr>
          <w:p w14:paraId="024B8FC5" w14:textId="77777777" w:rsidR="009E2B76" w:rsidRPr="005D62C9" w:rsidRDefault="009E2B76" w:rsidP="00BC6C7C">
            <w:pPr>
              <w:tabs>
                <w:tab w:val="decimal" w:pos="247"/>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0.1</w:t>
            </w:r>
            <w:r w:rsidR="005D62C9" w:rsidRPr="005D62C9">
              <w:rPr>
                <w:rFonts w:cs="Times New Roman"/>
                <w:color w:val="000000" w:themeColor="text1"/>
                <w:sz w:val="20"/>
                <w:szCs w:val="20"/>
              </w:rPr>
              <w:t>94</w:t>
            </w:r>
          </w:p>
        </w:tc>
        <w:tc>
          <w:tcPr>
            <w:tcW w:w="380" w:type="pct"/>
            <w:tcBorders>
              <w:top w:val="nil"/>
              <w:left w:val="nil"/>
              <w:bottom w:val="double" w:sz="4" w:space="0" w:color="auto"/>
              <w:right w:val="double" w:sz="4" w:space="0" w:color="auto"/>
            </w:tcBorders>
            <w:vAlign w:val="center"/>
          </w:tcPr>
          <w:p w14:paraId="27D735C9" w14:textId="77777777" w:rsidR="009E2B76" w:rsidRPr="005D62C9" w:rsidRDefault="005D62C9" w:rsidP="000A0DF6">
            <w:pPr>
              <w:tabs>
                <w:tab w:val="decimal" w:pos="246"/>
              </w:tabs>
              <w:autoSpaceDE w:val="0"/>
              <w:autoSpaceDN w:val="0"/>
              <w:adjustRightInd w:val="0"/>
              <w:spacing w:line="240" w:lineRule="auto"/>
              <w:jc w:val="left"/>
              <w:rPr>
                <w:rFonts w:cs="Times New Roman"/>
                <w:color w:val="000000" w:themeColor="text1"/>
                <w:sz w:val="20"/>
                <w:szCs w:val="20"/>
              </w:rPr>
            </w:pPr>
            <w:r w:rsidRPr="005D62C9">
              <w:rPr>
                <w:rFonts w:cs="Times New Roman"/>
                <w:color w:val="000000" w:themeColor="text1"/>
                <w:sz w:val="20"/>
                <w:szCs w:val="20"/>
              </w:rPr>
              <w:t>4.01</w:t>
            </w:r>
          </w:p>
        </w:tc>
        <w:tc>
          <w:tcPr>
            <w:tcW w:w="392" w:type="pct"/>
            <w:gridSpan w:val="2"/>
            <w:tcBorders>
              <w:top w:val="nil"/>
              <w:left w:val="double" w:sz="4" w:space="0" w:color="auto"/>
              <w:bottom w:val="double" w:sz="4" w:space="0" w:color="auto"/>
              <w:right w:val="nil"/>
            </w:tcBorders>
            <w:vAlign w:val="center"/>
          </w:tcPr>
          <w:p w14:paraId="063739DC" w14:textId="77777777" w:rsidR="009E2B76" w:rsidRPr="00D570B8" w:rsidRDefault="009E2B76" w:rsidP="00800798">
            <w:pPr>
              <w:tabs>
                <w:tab w:val="decimal" w:pos="336"/>
              </w:tabs>
              <w:autoSpaceDE w:val="0"/>
              <w:autoSpaceDN w:val="0"/>
              <w:adjustRightInd w:val="0"/>
              <w:spacing w:line="240" w:lineRule="auto"/>
              <w:jc w:val="left"/>
              <w:rPr>
                <w:rFonts w:cs="Times New Roman"/>
                <w:sz w:val="20"/>
                <w:szCs w:val="20"/>
              </w:rPr>
            </w:pPr>
            <w:r w:rsidRPr="00D570B8">
              <w:rPr>
                <w:rFonts w:cs="Times New Roman"/>
                <w:sz w:val="20"/>
                <w:szCs w:val="20"/>
              </w:rPr>
              <w:t>-0.</w:t>
            </w:r>
            <w:r w:rsidR="005D62C9" w:rsidRPr="00D570B8">
              <w:rPr>
                <w:rFonts w:cs="Times New Roman"/>
                <w:sz w:val="20"/>
                <w:szCs w:val="20"/>
              </w:rPr>
              <w:t>292</w:t>
            </w:r>
          </w:p>
        </w:tc>
        <w:tc>
          <w:tcPr>
            <w:tcW w:w="362" w:type="pct"/>
            <w:gridSpan w:val="2"/>
            <w:tcBorders>
              <w:top w:val="nil"/>
              <w:left w:val="nil"/>
              <w:bottom w:val="double" w:sz="4" w:space="0" w:color="auto"/>
              <w:right w:val="nil"/>
            </w:tcBorders>
            <w:vAlign w:val="center"/>
          </w:tcPr>
          <w:p w14:paraId="0FB35097"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5D62C9" w:rsidRPr="00D570B8">
              <w:rPr>
                <w:rFonts w:cs="Times New Roman"/>
                <w:sz w:val="20"/>
                <w:szCs w:val="20"/>
              </w:rPr>
              <w:t>3.6</w:t>
            </w:r>
            <w:r w:rsidRPr="00D570B8">
              <w:rPr>
                <w:rFonts w:cs="Times New Roman"/>
                <w:sz w:val="20"/>
                <w:szCs w:val="20"/>
              </w:rPr>
              <w:t>0</w:t>
            </w:r>
          </w:p>
        </w:tc>
        <w:tc>
          <w:tcPr>
            <w:tcW w:w="361" w:type="pct"/>
            <w:gridSpan w:val="2"/>
            <w:tcBorders>
              <w:top w:val="nil"/>
              <w:left w:val="nil"/>
              <w:bottom w:val="double" w:sz="4" w:space="0" w:color="auto"/>
              <w:right w:val="nil"/>
            </w:tcBorders>
            <w:vAlign w:val="center"/>
          </w:tcPr>
          <w:p w14:paraId="6D277603"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-1.</w:t>
            </w:r>
            <w:r w:rsidR="005D62C9" w:rsidRPr="00D570B8">
              <w:rPr>
                <w:rFonts w:cs="Times New Roman"/>
                <w:sz w:val="20"/>
                <w:szCs w:val="20"/>
              </w:rPr>
              <w:t>286</w:t>
            </w:r>
          </w:p>
        </w:tc>
        <w:tc>
          <w:tcPr>
            <w:tcW w:w="354" w:type="pct"/>
            <w:tcBorders>
              <w:top w:val="nil"/>
              <w:left w:val="nil"/>
              <w:bottom w:val="double" w:sz="4" w:space="0" w:color="auto"/>
              <w:right w:val="nil"/>
            </w:tcBorders>
            <w:vAlign w:val="center"/>
          </w:tcPr>
          <w:p w14:paraId="1DE74408"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5D62C9" w:rsidRPr="00D570B8">
              <w:rPr>
                <w:rFonts w:cs="Times New Roman"/>
                <w:sz w:val="20"/>
                <w:szCs w:val="20"/>
              </w:rPr>
              <w:t>9.31</w:t>
            </w:r>
          </w:p>
        </w:tc>
        <w:tc>
          <w:tcPr>
            <w:tcW w:w="354" w:type="pct"/>
            <w:tcBorders>
              <w:top w:val="nil"/>
              <w:left w:val="nil"/>
              <w:bottom w:val="double" w:sz="4" w:space="0" w:color="auto"/>
              <w:right w:val="nil"/>
            </w:tcBorders>
            <w:vAlign w:val="center"/>
          </w:tcPr>
          <w:p w14:paraId="4C29B2F5"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5D62C9" w:rsidRPr="00D570B8">
              <w:rPr>
                <w:rFonts w:cs="Times New Roman"/>
                <w:sz w:val="20"/>
                <w:szCs w:val="20"/>
              </w:rPr>
              <w:t>1.974</w:t>
            </w:r>
          </w:p>
        </w:tc>
        <w:tc>
          <w:tcPr>
            <w:tcW w:w="360" w:type="pct"/>
            <w:tcBorders>
              <w:top w:val="nil"/>
              <w:left w:val="nil"/>
              <w:bottom w:val="double" w:sz="4" w:space="0" w:color="auto"/>
              <w:right w:val="double" w:sz="4" w:space="0" w:color="auto"/>
            </w:tcBorders>
            <w:vAlign w:val="center"/>
          </w:tcPr>
          <w:p w14:paraId="76C348DA" w14:textId="77777777" w:rsidR="009E2B76" w:rsidRPr="00D570B8" w:rsidRDefault="009E2B76" w:rsidP="00800798">
            <w:pPr>
              <w:tabs>
                <w:tab w:val="decimal" w:pos="348"/>
              </w:tabs>
              <w:autoSpaceDE w:val="0"/>
              <w:autoSpaceDN w:val="0"/>
              <w:adjustRightInd w:val="0"/>
              <w:spacing w:line="240" w:lineRule="auto"/>
              <w:jc w:val="left"/>
              <w:rPr>
                <w:rFonts w:cs="Times New Roman"/>
                <w:sz w:val="20"/>
                <w:szCs w:val="20"/>
              </w:rPr>
            </w:pPr>
            <w:r w:rsidRPr="00D570B8">
              <w:rPr>
                <w:rFonts w:cs="Times New Roman"/>
                <w:sz w:val="20"/>
                <w:szCs w:val="20"/>
              </w:rPr>
              <w:t>-</w:t>
            </w:r>
            <w:r w:rsidR="005D62C9" w:rsidRPr="00D570B8">
              <w:rPr>
                <w:rFonts w:cs="Times New Roman"/>
                <w:sz w:val="20"/>
                <w:szCs w:val="20"/>
              </w:rPr>
              <w:t>1</w:t>
            </w:r>
            <w:r w:rsidRPr="00D570B8">
              <w:rPr>
                <w:rFonts w:cs="Times New Roman"/>
                <w:sz w:val="20"/>
                <w:szCs w:val="20"/>
              </w:rPr>
              <w:t>3.2</w:t>
            </w:r>
            <w:r w:rsidR="005D62C9" w:rsidRPr="00D570B8">
              <w:rPr>
                <w:rFonts w:cs="Times New Roman"/>
                <w:sz w:val="20"/>
                <w:szCs w:val="20"/>
              </w:rPr>
              <w:t>5</w:t>
            </w:r>
          </w:p>
        </w:tc>
      </w:tr>
    </w:tbl>
    <w:p w14:paraId="6F27FCEF" w14:textId="30EA0B69" w:rsidR="00FB7BD2" w:rsidRDefault="00B23CF1" w:rsidP="00BA20DE">
      <w:pPr>
        <w:ind w:left="270"/>
        <w:jc w:val="left"/>
        <w:rPr>
          <w:sz w:val="18"/>
          <w:szCs w:val="18"/>
        </w:rPr>
        <w:sectPr w:rsidR="00FB7BD2" w:rsidSect="00FC5290">
          <w:pgSz w:w="12240" w:h="15840"/>
          <w:pgMar w:top="1440" w:right="1008" w:bottom="1440" w:left="1008" w:header="720" w:footer="720" w:gutter="0"/>
          <w:cols w:space="720"/>
          <w:docGrid w:linePitch="360"/>
        </w:sectPr>
      </w:pPr>
      <w:r w:rsidRPr="009263FC">
        <w:rPr>
          <w:sz w:val="18"/>
          <w:szCs w:val="18"/>
        </w:rPr>
        <w:t>“--”</w:t>
      </w:r>
      <w:r w:rsidRPr="009263FC">
        <w:rPr>
          <w:b/>
          <w:sz w:val="18"/>
          <w:szCs w:val="18"/>
        </w:rPr>
        <w:t xml:space="preserve"> </w:t>
      </w:r>
      <w:r w:rsidR="00F13ABD">
        <w:rPr>
          <w:b/>
          <w:sz w:val="18"/>
          <w:szCs w:val="18"/>
        </w:rPr>
        <w:t xml:space="preserve">= </w:t>
      </w:r>
      <w:r w:rsidRPr="009263FC">
        <w:rPr>
          <w:sz w:val="18"/>
          <w:szCs w:val="18"/>
        </w:rPr>
        <w:t>not statistically significantly different from zero at the 90% level of confidence and removed</w:t>
      </w:r>
      <w:r w:rsidR="00C524CF">
        <w:rPr>
          <w:sz w:val="18"/>
          <w:szCs w:val="18"/>
        </w:rPr>
        <w:t xml:space="preserve"> from the specification</w:t>
      </w:r>
      <w:r w:rsidR="004038BF">
        <w:rPr>
          <w:sz w:val="18"/>
          <w:szCs w:val="18"/>
        </w:rPr>
        <w:t>.</w:t>
      </w:r>
    </w:p>
    <w:p w14:paraId="45EF3B9D" w14:textId="53729D2F" w:rsidR="00F11974" w:rsidRDefault="00F11974" w:rsidP="003309EF">
      <w:pPr>
        <w:spacing w:after="200" w:line="276" w:lineRule="auto"/>
        <w:jc w:val="center"/>
        <w:rPr>
          <w:b/>
        </w:rPr>
      </w:pPr>
      <w:r>
        <w:rPr>
          <w:b/>
        </w:rPr>
        <w:lastRenderedPageBreak/>
        <w:t>Appendix A</w:t>
      </w:r>
    </w:p>
    <w:p w14:paraId="56909169" w14:textId="77777777" w:rsidR="00EB34D7" w:rsidRPr="00EB34D7" w:rsidRDefault="00EB34D7" w:rsidP="00EB34D7">
      <w:pPr>
        <w:rPr>
          <w:b/>
        </w:rPr>
      </w:pPr>
      <w:r w:rsidRPr="00EB34D7">
        <w:rPr>
          <w:b/>
        </w:rPr>
        <w:t>The Multivariate Multinomial Probit (MMNP) Approach</w:t>
      </w:r>
    </w:p>
    <w:p w14:paraId="03275306" w14:textId="2AEE8087" w:rsidR="00EB34D7" w:rsidRPr="006D043D" w:rsidRDefault="00EB34D7" w:rsidP="00EB34D7">
      <w:pPr>
        <w:rPr>
          <w:szCs w:val="24"/>
        </w:rPr>
      </w:pPr>
      <w:r>
        <w:t xml:space="preserve">The model adopted for the analysis of trip-level attributes is the MMNP that allows flexible covariances due to unobserved elements within the utilities of each trip dimension’s alternatives, and also allows covariances across the utilities of different trip dimensions. </w:t>
      </w:r>
      <w:r w:rsidRPr="006D043D">
        <w:rPr>
          <w:szCs w:val="24"/>
        </w:rPr>
        <w:t xml:space="preserve">Let </w:t>
      </w:r>
      <w:r w:rsidRPr="006D043D">
        <w:rPr>
          <w:i/>
          <w:szCs w:val="24"/>
        </w:rPr>
        <w:t>g</w:t>
      </w:r>
      <w:r w:rsidRPr="006D043D">
        <w:rPr>
          <w:szCs w:val="24"/>
        </w:rPr>
        <w:t xml:space="preserve"> be the index for the nominal variables (</w:t>
      </w:r>
      <w:r w:rsidRPr="006D043D">
        <w:rPr>
          <w:i/>
          <w:szCs w:val="24"/>
        </w:rPr>
        <w:t>g</w:t>
      </w:r>
      <w:r w:rsidRPr="006D043D">
        <w:rPr>
          <w:szCs w:val="24"/>
        </w:rPr>
        <w:t xml:space="preserve"> =</w:t>
      </w:r>
      <w:r>
        <w:rPr>
          <w:szCs w:val="24"/>
        </w:rPr>
        <w:t xml:space="preserve"> </w:t>
      </w:r>
      <w:r w:rsidR="00FF0CBE">
        <w:rPr>
          <w:szCs w:val="24"/>
        </w:rPr>
        <w:t>1, 2,</w:t>
      </w:r>
      <w:r w:rsidRPr="006D043D">
        <w:rPr>
          <w:szCs w:val="24"/>
        </w:rPr>
        <w:t>…</w:t>
      </w:r>
      <w:r>
        <w:rPr>
          <w:szCs w:val="24"/>
        </w:rPr>
        <w:t xml:space="preserve">, </w:t>
      </w:r>
      <w:r w:rsidRPr="00660870">
        <w:rPr>
          <w:i/>
          <w:szCs w:val="24"/>
        </w:rPr>
        <w:t>G</w:t>
      </w:r>
      <w:r w:rsidRPr="006D043D">
        <w:rPr>
          <w:szCs w:val="24"/>
        </w:rPr>
        <w:t>)</w:t>
      </w:r>
      <w:r>
        <w:rPr>
          <w:szCs w:val="24"/>
        </w:rPr>
        <w:t>, i</w:t>
      </w:r>
      <w:r w:rsidRPr="006D043D">
        <w:rPr>
          <w:szCs w:val="24"/>
        </w:rPr>
        <w:t xml:space="preserve">n the current empirical context, </w:t>
      </w:r>
      <w:r w:rsidRPr="006D043D">
        <w:rPr>
          <w:i/>
          <w:szCs w:val="24"/>
        </w:rPr>
        <w:t>G</w:t>
      </w:r>
      <w:r>
        <w:rPr>
          <w:szCs w:val="24"/>
        </w:rPr>
        <w:t xml:space="preserve">=4. </w:t>
      </w:r>
      <w:r w:rsidRPr="006D043D">
        <w:rPr>
          <w:szCs w:val="24"/>
        </w:rPr>
        <w:t xml:space="preserve">Also, let </w:t>
      </w:r>
      <w:r w:rsidRPr="006D043D">
        <w:rPr>
          <w:i/>
          <w:szCs w:val="24"/>
        </w:rPr>
        <w:t>I</w:t>
      </w:r>
      <w:r w:rsidRPr="006D043D">
        <w:rPr>
          <w:i/>
          <w:szCs w:val="24"/>
          <w:vertAlign w:val="subscript"/>
        </w:rPr>
        <w:t>g</w:t>
      </w:r>
      <w:r w:rsidRPr="006D043D">
        <w:rPr>
          <w:szCs w:val="24"/>
        </w:rPr>
        <w:t xml:space="preserve"> be the number of alternatives corresponding to the </w:t>
      </w:r>
      <w:r w:rsidRPr="006D043D">
        <w:rPr>
          <w:i/>
          <w:szCs w:val="24"/>
        </w:rPr>
        <w:t>g</w:t>
      </w:r>
      <w:r w:rsidRPr="006D043D">
        <w:rPr>
          <w:szCs w:val="24"/>
          <w:vertAlign w:val="superscript"/>
        </w:rPr>
        <w:t>th</w:t>
      </w:r>
      <w:r w:rsidRPr="006D043D">
        <w:rPr>
          <w:szCs w:val="24"/>
        </w:rPr>
        <w:t xml:space="preserve"> nominal variable (</w:t>
      </w:r>
      <w:r w:rsidRPr="006D043D">
        <w:rPr>
          <w:i/>
          <w:szCs w:val="24"/>
        </w:rPr>
        <w:t>I</w:t>
      </w:r>
      <w:r w:rsidRPr="006D043D">
        <w:rPr>
          <w:i/>
          <w:szCs w:val="24"/>
          <w:vertAlign w:val="subscript"/>
        </w:rPr>
        <w:t>g</w:t>
      </w:r>
      <w:r w:rsidRPr="006D043D">
        <w:rPr>
          <w:szCs w:val="24"/>
        </w:rPr>
        <w:object w:dxaOrig="200" w:dyaOrig="240" w14:anchorId="2D3EA3A0">
          <v:shape id="_x0000_i1054" type="#_x0000_t75" style="width:11.55pt;height:11.55pt" o:ole="">
            <v:imagedata r:id="rId77" o:title=""/>
          </v:shape>
          <o:OLEObject Type="Embed" ProgID="Equation.3" ShapeID="_x0000_i1054" DrawAspect="Content" ObjectID="_1620730251" r:id="rId78"/>
        </w:object>
      </w:r>
      <w:r w:rsidRPr="006D043D">
        <w:rPr>
          <w:szCs w:val="24"/>
        </w:rPr>
        <w:t xml:space="preserve">2) and let </w:t>
      </w:r>
      <w:r w:rsidRPr="006D043D">
        <w:rPr>
          <w:i/>
          <w:szCs w:val="24"/>
        </w:rPr>
        <w:t>i</w:t>
      </w:r>
      <w:r w:rsidRPr="006D043D">
        <w:rPr>
          <w:i/>
          <w:szCs w:val="24"/>
          <w:vertAlign w:val="subscript"/>
        </w:rPr>
        <w:t>g</w:t>
      </w:r>
      <w:r w:rsidRPr="006D043D">
        <w:rPr>
          <w:szCs w:val="24"/>
        </w:rPr>
        <w:t xml:space="preserve"> be the corresponding index (</w:t>
      </w:r>
      <w:r w:rsidRPr="006D043D">
        <w:rPr>
          <w:i/>
          <w:szCs w:val="24"/>
        </w:rPr>
        <w:t>i</w:t>
      </w:r>
      <w:r w:rsidRPr="006D043D">
        <w:rPr>
          <w:i/>
          <w:szCs w:val="24"/>
          <w:vertAlign w:val="subscript"/>
        </w:rPr>
        <w:t>g</w:t>
      </w:r>
      <w:r w:rsidRPr="006D043D">
        <w:rPr>
          <w:szCs w:val="24"/>
          <w:vertAlign w:val="subscript"/>
        </w:rPr>
        <w:t xml:space="preserve"> </w:t>
      </w:r>
      <w:r w:rsidRPr="006D043D">
        <w:rPr>
          <w:szCs w:val="24"/>
        </w:rPr>
        <w:t>= 1, 2, 3</w:t>
      </w:r>
      <w:r w:rsidR="00FF0CBE">
        <w:rPr>
          <w:szCs w:val="24"/>
        </w:rPr>
        <w:t>,</w:t>
      </w:r>
      <w:r>
        <w:rPr>
          <w:szCs w:val="24"/>
        </w:rPr>
        <w:t xml:space="preserve">…, </w:t>
      </w:r>
      <w:r w:rsidRPr="006D043D">
        <w:rPr>
          <w:i/>
          <w:szCs w:val="24"/>
        </w:rPr>
        <w:t>I</w:t>
      </w:r>
      <w:r w:rsidRPr="006D043D">
        <w:rPr>
          <w:i/>
          <w:szCs w:val="24"/>
          <w:vertAlign w:val="subscript"/>
        </w:rPr>
        <w:t>g</w:t>
      </w:r>
      <w:r w:rsidRPr="006D043D">
        <w:rPr>
          <w:szCs w:val="24"/>
        </w:rPr>
        <w:t xml:space="preserve">). In the current empirical context, </w:t>
      </w:r>
      <w:r w:rsidRPr="006D043D">
        <w:rPr>
          <w:i/>
          <w:szCs w:val="24"/>
        </w:rPr>
        <w:t>I</w:t>
      </w:r>
      <w:r w:rsidRPr="00FF0CBE">
        <w:rPr>
          <w:szCs w:val="24"/>
          <w:vertAlign w:val="subscript"/>
        </w:rPr>
        <w:t>1</w:t>
      </w:r>
      <w:r w:rsidRPr="006D043D">
        <w:rPr>
          <w:i/>
          <w:szCs w:val="24"/>
          <w:vertAlign w:val="subscript"/>
        </w:rPr>
        <w:t xml:space="preserve"> </w:t>
      </w:r>
      <w:r w:rsidRPr="00FF0CBE">
        <w:rPr>
          <w:szCs w:val="24"/>
        </w:rPr>
        <w:t>= 4</w:t>
      </w:r>
      <w:r>
        <w:rPr>
          <w:i/>
          <w:szCs w:val="24"/>
        </w:rPr>
        <w:t xml:space="preserve"> </w:t>
      </w:r>
      <w:r w:rsidRPr="008759A7">
        <w:rPr>
          <w:szCs w:val="24"/>
        </w:rPr>
        <w:t>(</w:t>
      </w:r>
      <w:r>
        <w:rPr>
          <w:szCs w:val="24"/>
        </w:rPr>
        <w:t xml:space="preserve">four </w:t>
      </w:r>
      <w:r w:rsidRPr="008759A7">
        <w:rPr>
          <w:szCs w:val="24"/>
        </w:rPr>
        <w:t>trip purpose</w:t>
      </w:r>
      <w:r>
        <w:rPr>
          <w:szCs w:val="24"/>
        </w:rPr>
        <w:t xml:space="preserve"> categories</w:t>
      </w:r>
      <w:r w:rsidRPr="008759A7">
        <w:rPr>
          <w:szCs w:val="24"/>
        </w:rPr>
        <w:t>)</w:t>
      </w:r>
      <w:r w:rsidRPr="00FF0CBE">
        <w:rPr>
          <w:szCs w:val="24"/>
        </w:rPr>
        <w:t xml:space="preserve">, </w:t>
      </w:r>
      <w:r w:rsidRPr="006D043D">
        <w:rPr>
          <w:i/>
          <w:szCs w:val="24"/>
        </w:rPr>
        <w:t>I</w:t>
      </w:r>
      <w:r w:rsidRPr="00FF0CBE">
        <w:rPr>
          <w:szCs w:val="24"/>
          <w:vertAlign w:val="subscript"/>
        </w:rPr>
        <w:t>2</w:t>
      </w:r>
      <w:r w:rsidRPr="00FF0CBE">
        <w:rPr>
          <w:szCs w:val="24"/>
        </w:rPr>
        <w:t xml:space="preserve"> </w:t>
      </w:r>
      <w:r w:rsidRPr="006D043D">
        <w:rPr>
          <w:szCs w:val="24"/>
        </w:rPr>
        <w:t xml:space="preserve">= </w:t>
      </w:r>
      <w:r>
        <w:rPr>
          <w:szCs w:val="24"/>
        </w:rPr>
        <w:t xml:space="preserve">4 (four time of day categories), </w:t>
      </w:r>
      <w:r w:rsidRPr="006D043D">
        <w:rPr>
          <w:i/>
          <w:szCs w:val="24"/>
        </w:rPr>
        <w:t>I</w:t>
      </w:r>
      <w:r w:rsidRPr="00FF0CBE">
        <w:rPr>
          <w:szCs w:val="24"/>
          <w:vertAlign w:val="subscript"/>
        </w:rPr>
        <w:t>3</w:t>
      </w:r>
      <w:r w:rsidRPr="00FF0CBE">
        <w:rPr>
          <w:szCs w:val="24"/>
        </w:rPr>
        <w:t xml:space="preserve"> </w:t>
      </w:r>
      <w:r w:rsidRPr="006D043D">
        <w:rPr>
          <w:szCs w:val="24"/>
        </w:rPr>
        <w:t xml:space="preserve">= </w:t>
      </w:r>
      <w:r>
        <w:rPr>
          <w:szCs w:val="24"/>
        </w:rPr>
        <w:t xml:space="preserve">2 (two companionship categories, and </w:t>
      </w:r>
      <w:r w:rsidRPr="006D043D">
        <w:rPr>
          <w:i/>
          <w:szCs w:val="24"/>
        </w:rPr>
        <w:t>I</w:t>
      </w:r>
      <w:r w:rsidRPr="00FF0CBE">
        <w:rPr>
          <w:szCs w:val="24"/>
          <w:vertAlign w:val="subscript"/>
        </w:rPr>
        <w:t>4</w:t>
      </w:r>
      <w:r w:rsidRPr="006D043D">
        <w:rPr>
          <w:szCs w:val="24"/>
        </w:rPr>
        <w:t xml:space="preserve"> = </w:t>
      </w:r>
      <w:r>
        <w:rPr>
          <w:szCs w:val="24"/>
        </w:rPr>
        <w:t>4 (fo</w:t>
      </w:r>
      <w:r w:rsidR="00CE4BD3">
        <w:rPr>
          <w:szCs w:val="24"/>
        </w:rPr>
        <w:t>ur mode substituted categories)</w:t>
      </w:r>
      <w:r>
        <w:rPr>
          <w:szCs w:val="24"/>
        </w:rPr>
        <w:t xml:space="preserve">. </w:t>
      </w:r>
      <w:r w:rsidRPr="006D043D">
        <w:rPr>
          <w:szCs w:val="24"/>
        </w:rPr>
        <w:t xml:space="preserve">Under the usual assumptions of random utility theory, the utility associated with alternative </w:t>
      </w:r>
      <w:r w:rsidRPr="006D043D">
        <w:rPr>
          <w:i/>
          <w:szCs w:val="24"/>
        </w:rPr>
        <w:t>i</w:t>
      </w:r>
      <w:r w:rsidRPr="006D043D">
        <w:rPr>
          <w:i/>
          <w:szCs w:val="24"/>
          <w:vertAlign w:val="subscript"/>
        </w:rPr>
        <w:t>g</w:t>
      </w:r>
      <w:r w:rsidRPr="006D043D">
        <w:rPr>
          <w:szCs w:val="24"/>
        </w:rPr>
        <w:t xml:space="preserve"> of the </w:t>
      </w:r>
      <w:r w:rsidRPr="006D043D">
        <w:rPr>
          <w:i/>
          <w:szCs w:val="24"/>
        </w:rPr>
        <w:t>g</w:t>
      </w:r>
      <w:r w:rsidRPr="006D043D">
        <w:rPr>
          <w:i/>
          <w:szCs w:val="24"/>
          <w:vertAlign w:val="superscript"/>
        </w:rPr>
        <w:t>th</w:t>
      </w:r>
      <w:r>
        <w:rPr>
          <w:szCs w:val="24"/>
        </w:rPr>
        <w:t xml:space="preserve"> nominal variable may</w:t>
      </w:r>
      <w:r w:rsidRPr="006D043D">
        <w:rPr>
          <w:szCs w:val="24"/>
        </w:rPr>
        <w:t xml:space="preserve"> be written as:</w:t>
      </w:r>
    </w:p>
    <w:p w14:paraId="16A8B38C" w14:textId="7F6C0687" w:rsidR="00EB34D7" w:rsidRPr="006D043D" w:rsidRDefault="0041524F" w:rsidP="00EB34D7">
      <w:pPr>
        <w:autoSpaceDE w:val="0"/>
        <w:autoSpaceDN w:val="0"/>
        <w:adjustRightInd w:val="0"/>
        <w:spacing w:before="120" w:after="120" w:line="240" w:lineRule="auto"/>
        <w:rPr>
          <w:szCs w:val="24"/>
        </w:rPr>
      </w:pPr>
      <w:r w:rsidRPr="00CF013E">
        <w:rPr>
          <w:position w:val="-16"/>
          <w:szCs w:val="24"/>
        </w:rPr>
        <w:object w:dxaOrig="1960" w:dyaOrig="400" w14:anchorId="57180B43">
          <v:shape id="_x0000_i1055" type="#_x0000_t75" style="width:97.8pt;height:20.4pt" o:ole="" o:preferrelative="f">
            <v:imagedata r:id="rId79" o:title=""/>
            <o:lock v:ext="edit" aspectratio="f"/>
          </v:shape>
          <o:OLEObject Type="Embed" ProgID="Equation.3" ShapeID="_x0000_i1055" DrawAspect="Content" ObjectID="_1620730252" r:id="rId80"/>
        </w:object>
      </w:r>
      <w:r w:rsidR="00EB34D7" w:rsidRPr="006D043D" w:rsidDel="00961EAA">
        <w:rPr>
          <w:szCs w:val="24"/>
        </w:rPr>
        <w:t xml:space="preserve"> </w:t>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t xml:space="preserve">       (1)</w:t>
      </w:r>
    </w:p>
    <w:p w14:paraId="60FCB556" w14:textId="76ED9392" w:rsidR="00EB34D7" w:rsidRPr="006D043D" w:rsidRDefault="00EB34D7" w:rsidP="00EB34D7">
      <w:pPr>
        <w:autoSpaceDE w:val="0"/>
        <w:autoSpaceDN w:val="0"/>
        <w:adjustRightInd w:val="0"/>
        <w:spacing w:line="240" w:lineRule="auto"/>
        <w:contextualSpacing/>
        <w:rPr>
          <w:szCs w:val="24"/>
        </w:rPr>
      </w:pPr>
      <w:r w:rsidRPr="006D043D">
        <w:rPr>
          <w:szCs w:val="24"/>
        </w:rPr>
        <w:t xml:space="preserve">where </w:t>
      </w:r>
      <w:r w:rsidR="00FF0CBE" w:rsidRPr="006D043D">
        <w:rPr>
          <w:position w:val="-16"/>
          <w:szCs w:val="24"/>
        </w:rPr>
        <w:object w:dxaOrig="420" w:dyaOrig="400" w14:anchorId="5074F6E2">
          <v:shape id="_x0000_i1056" type="#_x0000_t75" style="width:21.05pt;height:20.4pt" o:ole="" o:preferrelative="f">
            <v:imagedata r:id="rId81" o:title=""/>
            <o:lock v:ext="edit" aspectratio="f"/>
          </v:shape>
          <o:OLEObject Type="Embed" ProgID="Equation.3" ShapeID="_x0000_i1056" DrawAspect="Content" ObjectID="_1620730253" r:id="rId82"/>
        </w:object>
      </w:r>
      <w:r>
        <w:rPr>
          <w:position w:val="-16"/>
          <w:szCs w:val="24"/>
        </w:rPr>
        <w:t xml:space="preserve"> </w:t>
      </w:r>
      <w:r w:rsidRPr="006D043D">
        <w:rPr>
          <w:szCs w:val="24"/>
        </w:rPr>
        <w:t>is a (</w:t>
      </w:r>
      <w:r w:rsidRPr="006D043D">
        <w:rPr>
          <w:i/>
          <w:szCs w:val="24"/>
        </w:rPr>
        <w:t>K</w:t>
      </w:r>
      <w:r w:rsidRPr="006D043D">
        <w:rPr>
          <w:i/>
          <w:szCs w:val="24"/>
          <w:vertAlign w:val="subscript"/>
        </w:rPr>
        <w:t>g</w:t>
      </w:r>
      <w:r>
        <w:rPr>
          <w:szCs w:val="24"/>
        </w:rPr>
        <w:t>×</w:t>
      </w:r>
      <w:r w:rsidRPr="006D043D">
        <w:rPr>
          <w:szCs w:val="24"/>
        </w:rPr>
        <w:t>1)-column ve</w:t>
      </w:r>
      <w:r>
        <w:rPr>
          <w:szCs w:val="24"/>
        </w:rPr>
        <w:t xml:space="preserve">ctor of exogenous and endogenous explanatory variables, following the assumptions and endogeneity hierarchy discussed </w:t>
      </w:r>
      <w:r w:rsidR="00CE4BD3">
        <w:rPr>
          <w:szCs w:val="24"/>
        </w:rPr>
        <w:t>S</w:t>
      </w:r>
      <w:r>
        <w:rPr>
          <w:szCs w:val="24"/>
        </w:rPr>
        <w:t>ection</w:t>
      </w:r>
      <w:r w:rsidR="00CE4BD3">
        <w:rPr>
          <w:szCs w:val="24"/>
        </w:rPr>
        <w:t xml:space="preserve"> 2.3 of the paper</w:t>
      </w:r>
      <w:r>
        <w:rPr>
          <w:szCs w:val="24"/>
        </w:rPr>
        <w:t>.</w:t>
      </w:r>
      <w:r w:rsidRPr="006D043D">
        <w:rPr>
          <w:szCs w:val="24"/>
        </w:rPr>
        <w:t xml:space="preserve"> </w:t>
      </w:r>
      <w:r w:rsidR="00FF0CBE" w:rsidRPr="006D043D">
        <w:rPr>
          <w:position w:val="-14"/>
          <w:szCs w:val="24"/>
        </w:rPr>
        <w:object w:dxaOrig="320" w:dyaOrig="380" w14:anchorId="32302B5F">
          <v:shape id="_x0000_i1057" type="#_x0000_t75" style="width:15.6pt;height:18.35pt" o:ole="" o:preferrelative="f">
            <v:imagedata r:id="rId83" o:title=""/>
            <o:lock v:ext="edit" aspectratio="f"/>
          </v:shape>
          <o:OLEObject Type="Embed" ProgID="Equation.3" ShapeID="_x0000_i1057" DrawAspect="Content" ObjectID="_1620730254" r:id="rId84"/>
        </w:object>
      </w:r>
      <w:r>
        <w:rPr>
          <w:position w:val="-14"/>
          <w:szCs w:val="24"/>
        </w:rPr>
        <w:t xml:space="preserve"> </w:t>
      </w:r>
      <w:r w:rsidRPr="006D043D">
        <w:rPr>
          <w:szCs w:val="24"/>
        </w:rPr>
        <w:t xml:space="preserve">is a column vector of corresponding coefficients, and </w:t>
      </w:r>
      <w:r w:rsidR="00FF0CBE" w:rsidRPr="006D043D">
        <w:rPr>
          <w:position w:val="-16"/>
          <w:szCs w:val="24"/>
        </w:rPr>
        <w:object w:dxaOrig="400" w:dyaOrig="400" w14:anchorId="7CFCAB3B">
          <v:shape id="_x0000_i1058" type="#_x0000_t75" style="width:20.4pt;height:20.4pt" o:ole="" o:preferrelative="f">
            <v:imagedata r:id="rId85" o:title=""/>
            <o:lock v:ext="edit" aspectratio="f"/>
          </v:shape>
          <o:OLEObject Type="Embed" ProgID="Equation.3" ShapeID="_x0000_i1058" DrawAspect="Content" ObjectID="_1620730255" r:id="rId86"/>
        </w:object>
      </w:r>
      <w:r w:rsidRPr="006D043D">
        <w:rPr>
          <w:szCs w:val="24"/>
        </w:rPr>
        <w:t xml:space="preserve">is a normal error term. Let the variance-covariance matrix of the vertically stacked vector of errors </w:t>
      </w:r>
      <w:r w:rsidR="0041524F" w:rsidRPr="006D043D">
        <w:rPr>
          <w:position w:val="-16"/>
          <w:szCs w:val="24"/>
        </w:rPr>
        <w:object w:dxaOrig="2200" w:dyaOrig="400" w14:anchorId="044200D5">
          <v:shape id="_x0000_i1059" type="#_x0000_t75" style="width:110.7pt;height:20.4pt" o:ole="" o:preferrelative="f">
            <v:imagedata r:id="rId87" o:title=""/>
            <o:lock v:ext="edit" aspectratio="f"/>
          </v:shape>
          <o:OLEObject Type="Embed" ProgID="Equation.3" ShapeID="_x0000_i1059" DrawAspect="Content" ObjectID="_1620730256" r:id="rId88"/>
        </w:object>
      </w:r>
      <w:r w:rsidRPr="006D043D">
        <w:rPr>
          <w:szCs w:val="24"/>
        </w:rPr>
        <w:t xml:space="preserve"> be </w:t>
      </w:r>
      <w:r w:rsidR="00FF0CBE" w:rsidRPr="006D043D">
        <w:rPr>
          <w:position w:val="-14"/>
          <w:szCs w:val="24"/>
        </w:rPr>
        <w:object w:dxaOrig="360" w:dyaOrig="380" w14:anchorId="73268B5F">
          <v:shape id="_x0000_i1060" type="#_x0000_t75" style="width:18.35pt;height:18.35pt" o:ole="" o:preferrelative="f">
            <v:imagedata r:id="rId89" o:title=""/>
            <o:lock v:ext="edit" aspectratio="f"/>
          </v:shape>
          <o:OLEObject Type="Embed" ProgID="Equation.3" ShapeID="_x0000_i1060" DrawAspect="Content" ObjectID="_1620730257" r:id="rId90"/>
        </w:object>
      </w:r>
      <w:r w:rsidRPr="006D043D">
        <w:rPr>
          <w:szCs w:val="24"/>
        </w:rPr>
        <w:t xml:space="preserve">. Assuming that the household chooses the alternative </w:t>
      </w:r>
      <w:r w:rsidRPr="006D043D">
        <w:rPr>
          <w:i/>
          <w:szCs w:val="24"/>
        </w:rPr>
        <w:t>m</w:t>
      </w:r>
      <w:r w:rsidRPr="006D043D">
        <w:rPr>
          <w:i/>
          <w:szCs w:val="24"/>
          <w:vertAlign w:val="subscript"/>
        </w:rPr>
        <w:t>g</w:t>
      </w:r>
      <w:r w:rsidRPr="006D043D">
        <w:rPr>
          <w:szCs w:val="24"/>
        </w:rPr>
        <w:t xml:space="preserve">, all the utility differences with respect to this chosen alternative </w:t>
      </w:r>
      <w:r w:rsidRPr="006D043D">
        <w:rPr>
          <w:i/>
          <w:szCs w:val="24"/>
        </w:rPr>
        <w:t>m</w:t>
      </w:r>
      <w:r w:rsidRPr="006D043D">
        <w:rPr>
          <w:i/>
          <w:szCs w:val="24"/>
          <w:vertAlign w:val="subscript"/>
        </w:rPr>
        <w:t>g</w:t>
      </w:r>
      <w:r w:rsidRPr="006D043D">
        <w:rPr>
          <w:szCs w:val="24"/>
        </w:rPr>
        <w:t xml:space="preserve"> must be less than zero. These conditions can be denoted numerically as:</w:t>
      </w:r>
    </w:p>
    <w:p w14:paraId="59C58CEA" w14:textId="6C59C902" w:rsidR="00EB34D7" w:rsidRPr="006D043D" w:rsidRDefault="00715FB2" w:rsidP="00F74FAF">
      <w:pPr>
        <w:autoSpaceDE w:val="0"/>
        <w:autoSpaceDN w:val="0"/>
        <w:adjustRightInd w:val="0"/>
        <w:spacing w:before="120" w:after="120" w:line="240" w:lineRule="auto"/>
        <w:rPr>
          <w:szCs w:val="24"/>
        </w:rPr>
      </w:pPr>
      <w:r w:rsidRPr="006D043D">
        <w:rPr>
          <w:position w:val="-16"/>
          <w:szCs w:val="24"/>
        </w:rPr>
        <w:object w:dxaOrig="2460" w:dyaOrig="400" w14:anchorId="28BDAADB">
          <v:shape id="_x0000_i1061" type="#_x0000_t75" style="width:122.95pt;height:20.4pt" o:ole="" o:preferrelative="f">
            <v:imagedata r:id="rId91" o:title=""/>
            <o:lock v:ext="edit" aspectratio="f"/>
          </v:shape>
          <o:OLEObject Type="Embed" ProgID="Equation.3" ShapeID="_x0000_i1061" DrawAspect="Content" ObjectID="_1620730258" r:id="rId92"/>
        </w:object>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t xml:space="preserve">       (2)</w:t>
      </w:r>
    </w:p>
    <w:p w14:paraId="0ABBE3B3" w14:textId="727DC28C" w:rsidR="00EB34D7" w:rsidRPr="006D043D" w:rsidRDefault="00EB34D7" w:rsidP="00EB34D7">
      <w:pPr>
        <w:autoSpaceDE w:val="0"/>
        <w:autoSpaceDN w:val="0"/>
        <w:adjustRightInd w:val="0"/>
        <w:spacing w:line="240" w:lineRule="auto"/>
        <w:contextualSpacing/>
        <w:rPr>
          <w:szCs w:val="24"/>
        </w:rPr>
      </w:pPr>
      <w:r w:rsidRPr="006D043D">
        <w:rPr>
          <w:szCs w:val="24"/>
        </w:rPr>
        <w:t xml:space="preserve">Let </w:t>
      </w:r>
      <w:r w:rsidR="00715FB2" w:rsidRPr="006D043D">
        <w:rPr>
          <w:position w:val="-16"/>
          <w:szCs w:val="24"/>
        </w:rPr>
        <w:object w:dxaOrig="2820" w:dyaOrig="420" w14:anchorId="0F506A67">
          <v:shape id="_x0000_i1062" type="#_x0000_t75" style="width:141.3pt;height:21.05pt" o:ole="" o:preferrelative="f">
            <v:imagedata r:id="rId93" o:title=""/>
            <o:lock v:ext="edit" aspectratio="f"/>
          </v:shape>
          <o:OLEObject Type="Embed" ProgID="Equation.3" ShapeID="_x0000_i1062" DrawAspect="Content" ObjectID="_1620730259" r:id="rId94"/>
        </w:object>
      </w:r>
      <w:r w:rsidRPr="006D043D">
        <w:rPr>
          <w:szCs w:val="24"/>
        </w:rPr>
        <w:t xml:space="preserve">, and </w:t>
      </w:r>
      <w:r w:rsidR="00715FB2" w:rsidRPr="006D043D">
        <w:rPr>
          <w:position w:val="-14"/>
          <w:szCs w:val="24"/>
        </w:rPr>
        <w:object w:dxaOrig="300" w:dyaOrig="400" w14:anchorId="1B0EB8E7">
          <v:shape id="_x0000_i1063" type="#_x0000_t75" style="width:14.95pt;height:20.4pt" o:ole="" o:preferrelative="f">
            <v:imagedata r:id="rId95" o:title=""/>
            <o:lock v:ext="edit" aspectratio="f"/>
          </v:shape>
          <o:OLEObject Type="Embed" ProgID="Equation.3" ShapeID="_x0000_i1063" DrawAspect="Content" ObjectID="_1620730260" r:id="rId96"/>
        </w:object>
      </w:r>
      <w:r w:rsidRPr="006D043D">
        <w:rPr>
          <w:szCs w:val="24"/>
        </w:rPr>
        <w:t xml:space="preserve"> be the stacked vector of the latent utility differentials </w:t>
      </w:r>
      <w:r w:rsidR="00715FB2" w:rsidRPr="006D043D">
        <w:rPr>
          <w:position w:val="-26"/>
          <w:szCs w:val="24"/>
        </w:rPr>
        <w:object w:dxaOrig="3739" w:dyaOrig="639" w14:anchorId="1ED83456">
          <v:shape id="_x0000_i1064" type="#_x0000_t75" style="width:186.8pt;height:31.9pt" o:ole="" o:preferrelative="f">
            <v:imagedata r:id="rId97" o:title=""/>
            <o:lock v:ext="edit" aspectratio="f"/>
          </v:shape>
          <o:OLEObject Type="Embed" ProgID="Equation.3" ShapeID="_x0000_i1064" DrawAspect="Content" ObjectID="_1620730261" r:id="rId98"/>
        </w:object>
      </w:r>
      <w:r w:rsidRPr="006D043D">
        <w:rPr>
          <w:szCs w:val="24"/>
        </w:rPr>
        <w:t xml:space="preserve">. </w:t>
      </w:r>
      <w:r w:rsidR="00715FB2" w:rsidRPr="006D043D">
        <w:rPr>
          <w:position w:val="-14"/>
          <w:szCs w:val="24"/>
        </w:rPr>
        <w:object w:dxaOrig="300" w:dyaOrig="400" w14:anchorId="675C867B">
          <v:shape id="_x0000_i1065" type="#_x0000_t75" style="width:14.95pt;height:20.4pt" o:ole="" o:preferrelative="f">
            <v:imagedata r:id="rId99" o:title=""/>
            <o:lock v:ext="edit" aspectratio="f"/>
          </v:shape>
          <o:OLEObject Type="Embed" ProgID="Equation.3" ShapeID="_x0000_i1065" DrawAspect="Content" ObjectID="_1620730262" r:id="rId100"/>
        </w:object>
      </w:r>
      <w:r w:rsidRPr="006D043D">
        <w:rPr>
          <w:szCs w:val="24"/>
        </w:rPr>
        <w:t xml:space="preserve"> has a mean vector of </w:t>
      </w:r>
      <w:r w:rsidR="00F74FAF" w:rsidRPr="006D043D">
        <w:rPr>
          <w:position w:val="-16"/>
          <w:szCs w:val="24"/>
        </w:rPr>
        <w:object w:dxaOrig="3159" w:dyaOrig="400" w14:anchorId="63A00236">
          <v:shape id="_x0000_i1066" type="#_x0000_t75" style="width:158.25pt;height:20.4pt" o:ole="" o:preferrelative="f">
            <v:imagedata r:id="rId101" o:title=""/>
            <o:lock v:ext="edit" aspectratio="f"/>
          </v:shape>
          <o:OLEObject Type="Embed" ProgID="Equation.3" ShapeID="_x0000_i1066" DrawAspect="Content" ObjectID="_1620730263" r:id="rId102"/>
        </w:object>
      </w:r>
      <w:r>
        <w:rPr>
          <w:position w:val="-16"/>
          <w:szCs w:val="24"/>
        </w:rPr>
        <w:t xml:space="preserve"> </w:t>
      </w:r>
      <w:r w:rsidRPr="006D043D">
        <w:rPr>
          <w:szCs w:val="24"/>
        </w:rPr>
        <w:t xml:space="preserve">where </w:t>
      </w:r>
      <w:r w:rsidR="0041524F" w:rsidRPr="006D043D">
        <w:rPr>
          <w:position w:val="-16"/>
          <w:szCs w:val="24"/>
        </w:rPr>
        <w:object w:dxaOrig="3920" w:dyaOrig="400" w14:anchorId="0C81B02E">
          <v:shape id="_x0000_i1067" type="#_x0000_t75" style="width:197pt;height:20.4pt" o:ole="" o:preferrelative="f">
            <v:imagedata r:id="rId103" o:title=""/>
            <o:lock v:ext="edit" aspectratio="f"/>
          </v:shape>
          <o:OLEObject Type="Embed" ProgID="Equation.3" ShapeID="_x0000_i1067" DrawAspect="Content" ObjectID="_1620730264" r:id="rId104"/>
        </w:object>
      </w:r>
      <w:r w:rsidRPr="006D043D">
        <w:rPr>
          <w:szCs w:val="24"/>
        </w:rPr>
        <w:t xml:space="preserve"> and a covariance matrix given by </w:t>
      </w:r>
      <w:r w:rsidR="0041524F" w:rsidRPr="006D043D">
        <w:rPr>
          <w:position w:val="-14"/>
          <w:szCs w:val="24"/>
        </w:rPr>
        <w:object w:dxaOrig="1579" w:dyaOrig="400" w14:anchorId="66509107">
          <v:shape id="_x0000_i1068" type="#_x0000_t75" style="width:79.45pt;height:20.4pt" o:ole="" o:preferrelative="f">
            <v:imagedata r:id="rId105" o:title=""/>
            <o:lock v:ext="edit" aspectratio="f"/>
          </v:shape>
          <o:OLEObject Type="Embed" ProgID="Equation.3" ShapeID="_x0000_i1068" DrawAspect="Content" ObjectID="_1620730265" r:id="rId106"/>
        </w:object>
      </w:r>
      <w:r w:rsidRPr="006D043D">
        <w:rPr>
          <w:szCs w:val="24"/>
        </w:rPr>
        <w:t xml:space="preserve">, where </w:t>
      </w:r>
      <w:r w:rsidR="0041524F" w:rsidRPr="006D043D">
        <w:rPr>
          <w:position w:val="-14"/>
          <w:szCs w:val="24"/>
        </w:rPr>
        <w:object w:dxaOrig="400" w:dyaOrig="380" w14:anchorId="3BD89BD9">
          <v:shape id="_x0000_i1069" type="#_x0000_t75" style="width:20.4pt;height:18.35pt" o:ole="" o:preferrelative="f">
            <v:imagedata r:id="rId107" o:title=""/>
            <o:lock v:ext="edit" aspectratio="f"/>
          </v:shape>
          <o:OLEObject Type="Embed" ProgID="Equation.3" ShapeID="_x0000_i1069" DrawAspect="Content" ObjectID="_1620730266" r:id="rId108"/>
        </w:object>
      </w:r>
      <w:r w:rsidRPr="006D043D">
        <w:rPr>
          <w:szCs w:val="24"/>
        </w:rPr>
        <w:t xml:space="preserve"> is an</w:t>
      </w:r>
      <w:r>
        <w:rPr>
          <w:szCs w:val="24"/>
        </w:rPr>
        <w:t xml:space="preserve"> </w:t>
      </w:r>
      <w:r w:rsidR="00715FB2" w:rsidRPr="00660870">
        <w:rPr>
          <w:position w:val="-14"/>
          <w:szCs w:val="24"/>
        </w:rPr>
        <w:object w:dxaOrig="1140" w:dyaOrig="380" w14:anchorId="7FDFB9A8">
          <v:shape id="_x0000_i1070" type="#_x0000_t75" style="width:57.05pt;height:18.35pt" o:ole="" o:preferrelative="f">
            <v:imagedata r:id="rId109" o:title=""/>
            <o:lock v:ext="edit" aspectratio="f"/>
          </v:shape>
          <o:OLEObject Type="Embed" ProgID="Equation.3" ShapeID="_x0000_i1070" DrawAspect="Content" ObjectID="_1620730267" r:id="rId110"/>
        </w:object>
      </w:r>
      <w:r w:rsidRPr="006D043D">
        <w:rPr>
          <w:szCs w:val="24"/>
        </w:rPr>
        <w:t xml:space="preserve"> matrix that corresponds to an</w:t>
      </w:r>
      <w:r>
        <w:rPr>
          <w:szCs w:val="24"/>
        </w:rPr>
        <w:t xml:space="preserve"> </w:t>
      </w:r>
      <w:r w:rsidR="00715FB2" w:rsidRPr="00660870">
        <w:rPr>
          <w:position w:val="-14"/>
          <w:szCs w:val="24"/>
        </w:rPr>
        <w:object w:dxaOrig="740" w:dyaOrig="380" w14:anchorId="44E25C77">
          <v:shape id="_x0000_i1071" type="#_x0000_t75" style="width:36.7pt;height:18.35pt" o:ole="" o:preferrelative="f">
            <v:imagedata r:id="rId111" o:title=""/>
            <o:lock v:ext="edit" aspectratio="f"/>
          </v:shape>
          <o:OLEObject Type="Embed" ProgID="Equation.3" ShapeID="_x0000_i1071" DrawAspect="Content" ObjectID="_1620730268" r:id="rId112"/>
        </w:object>
      </w:r>
      <w:r w:rsidRPr="006D043D">
        <w:rPr>
          <w:szCs w:val="24"/>
        </w:rPr>
        <w:t xml:space="preserve"> identity matrix with an extra column of </w:t>
      </w:r>
      <w:r>
        <w:rPr>
          <w:szCs w:val="24"/>
        </w:rPr>
        <w:t>–</w:t>
      </w:r>
      <w:r w:rsidRPr="006D043D">
        <w:rPr>
          <w:szCs w:val="24"/>
        </w:rPr>
        <w:t xml:space="preserve">1’s added as the </w:t>
      </w:r>
      <w:r w:rsidR="00715FB2" w:rsidRPr="006D043D">
        <w:rPr>
          <w:position w:val="-14"/>
          <w:szCs w:val="24"/>
        </w:rPr>
        <w:object w:dxaOrig="380" w:dyaOrig="400" w14:anchorId="3B021394">
          <v:shape id="_x0000_i1072" type="#_x0000_t75" style="width:18.35pt;height:20.4pt" o:ole="" o:preferrelative="f">
            <v:imagedata r:id="rId113" o:title=""/>
            <o:lock v:ext="edit" aspectratio="f"/>
          </v:shape>
          <o:OLEObject Type="Embed" ProgID="Equation.3" ShapeID="_x0000_i1072" DrawAspect="Content" ObjectID="_1620730269" r:id="rId114"/>
        </w:object>
      </w:r>
      <w:r w:rsidR="000572F9">
        <w:rPr>
          <w:szCs w:val="24"/>
        </w:rPr>
        <w:t xml:space="preserve"> </w:t>
      </w:r>
      <w:r w:rsidRPr="006D043D">
        <w:rPr>
          <w:szCs w:val="24"/>
        </w:rPr>
        <w:t>column. Thus, we can write</w:t>
      </w:r>
    </w:p>
    <w:p w14:paraId="651AF2B6" w14:textId="1A8A70AA" w:rsidR="00EB34D7" w:rsidRPr="006D043D" w:rsidRDefault="0041524F" w:rsidP="00EB34D7">
      <w:pPr>
        <w:autoSpaceDE w:val="0"/>
        <w:autoSpaceDN w:val="0"/>
        <w:adjustRightInd w:val="0"/>
        <w:spacing w:before="120" w:after="120" w:line="240" w:lineRule="auto"/>
        <w:rPr>
          <w:szCs w:val="24"/>
        </w:rPr>
      </w:pPr>
      <w:r w:rsidRPr="006D043D">
        <w:rPr>
          <w:position w:val="-14"/>
          <w:szCs w:val="24"/>
        </w:rPr>
        <w:object w:dxaOrig="1660" w:dyaOrig="400" w14:anchorId="59B5E024">
          <v:shape id="_x0000_i1073" type="#_x0000_t75" style="width:82.85pt;height:20.4pt" o:ole="" o:preferrelative="f">
            <v:imagedata r:id="rId115" o:title=""/>
            <o:lock v:ext="edit" aspectratio="f"/>
          </v:shape>
          <o:OLEObject Type="Embed" ProgID="Equation.3" ShapeID="_x0000_i1073" DrawAspect="Content" ObjectID="_1620730270" r:id="rId116"/>
        </w:object>
      </w:r>
      <w:r w:rsidR="00EB34D7" w:rsidRPr="006D043D">
        <w:rPr>
          <w:szCs w:val="24"/>
        </w:rPr>
        <w:tab/>
      </w:r>
      <w:r w:rsidR="00EB34D7" w:rsidRPr="006D043D">
        <w:rPr>
          <w:szCs w:val="24"/>
        </w:rPr>
        <w:tab/>
      </w:r>
      <w:r w:rsidR="00EB34D7" w:rsidRPr="006D043D">
        <w:rPr>
          <w:szCs w:val="24"/>
        </w:rPr>
        <w:tab/>
        <w:t xml:space="preserve"> </w:t>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t xml:space="preserve">       (3)</w:t>
      </w:r>
    </w:p>
    <w:p w14:paraId="45B93530" w14:textId="77777777" w:rsidR="0041524F" w:rsidRDefault="00EB34D7" w:rsidP="00EB34D7">
      <w:pPr>
        <w:autoSpaceDE w:val="0"/>
        <w:autoSpaceDN w:val="0"/>
        <w:adjustRightInd w:val="0"/>
        <w:spacing w:line="240" w:lineRule="auto"/>
        <w:ind w:firstLine="720"/>
        <w:contextualSpacing/>
        <w:rPr>
          <w:szCs w:val="24"/>
        </w:rPr>
      </w:pPr>
      <w:r w:rsidRPr="006D043D">
        <w:rPr>
          <w:szCs w:val="24"/>
        </w:rPr>
        <w:t xml:space="preserve">Now, for the </w:t>
      </w:r>
      <w:r>
        <w:rPr>
          <w:szCs w:val="24"/>
        </w:rPr>
        <w:t>four</w:t>
      </w:r>
      <w:r w:rsidRPr="006D043D">
        <w:rPr>
          <w:szCs w:val="24"/>
        </w:rPr>
        <w:t xml:space="preserve"> nominal variables, consider the stacked </w:t>
      </w:r>
      <w:r w:rsidR="00715FB2" w:rsidRPr="003C5878">
        <w:rPr>
          <w:position w:val="-12"/>
          <w:szCs w:val="24"/>
        </w:rPr>
        <w:object w:dxaOrig="2380" w:dyaOrig="400" w14:anchorId="3164BAF1">
          <v:shape id="_x0000_i1074" type="#_x0000_t75" style="width:118.85pt;height:20.4pt" o:ole="" o:preferrelative="f">
            <v:imagedata r:id="rId117" o:title=""/>
            <o:lock v:ext="edit" aspectratio="f"/>
          </v:shape>
          <o:OLEObject Type="Embed" ProgID="Equation.DSMT4" ShapeID="_x0000_i1074" DrawAspect="Content" ObjectID="_1620730271" r:id="rId118"/>
        </w:object>
      </w:r>
      <w:r w:rsidRPr="006D043D">
        <w:rPr>
          <w:szCs w:val="24"/>
        </w:rPr>
        <w:t xml:space="preserve"> vector </w:t>
      </w:r>
    </w:p>
    <w:p w14:paraId="55DE2228" w14:textId="7A5EF2A0" w:rsidR="00EB34D7" w:rsidRPr="006D043D" w:rsidRDefault="00F74FAF" w:rsidP="0041524F">
      <w:pPr>
        <w:autoSpaceDE w:val="0"/>
        <w:autoSpaceDN w:val="0"/>
        <w:adjustRightInd w:val="0"/>
        <w:spacing w:line="240" w:lineRule="auto"/>
        <w:contextualSpacing/>
        <w:rPr>
          <w:szCs w:val="24"/>
        </w:rPr>
      </w:pPr>
      <w:r w:rsidRPr="00F74FAF">
        <w:rPr>
          <w:position w:val="-38"/>
          <w:szCs w:val="24"/>
        </w:rPr>
        <w:object w:dxaOrig="2500" w:dyaOrig="880" w14:anchorId="558EB554">
          <v:shape id="_x0000_i1075" type="#_x0000_t75" style="width:125pt;height:43.45pt" o:ole="" o:preferrelative="f">
            <v:imagedata r:id="rId119" o:title=""/>
            <o:lock v:ext="edit" aspectratio="f"/>
          </v:shape>
          <o:OLEObject Type="Embed" ProgID="Equation.3" ShapeID="_x0000_i1075" DrawAspect="Content" ObjectID="_1620730272" r:id="rId120"/>
        </w:object>
      </w:r>
      <w:r w:rsidR="00EB34D7" w:rsidRPr="006D043D">
        <w:rPr>
          <w:szCs w:val="24"/>
        </w:rPr>
        <w:t xml:space="preserve"> each of whose element vectors is formed by differencing utilities of alternatives from the chosen alternative </w:t>
      </w:r>
      <w:r w:rsidR="00EB34D7" w:rsidRPr="006D043D">
        <w:rPr>
          <w:i/>
          <w:szCs w:val="24"/>
        </w:rPr>
        <w:t>m</w:t>
      </w:r>
      <w:r w:rsidR="00EB34D7" w:rsidRPr="006D043D">
        <w:rPr>
          <w:i/>
          <w:szCs w:val="24"/>
          <w:vertAlign w:val="subscript"/>
        </w:rPr>
        <w:t>g</w:t>
      </w:r>
      <w:r w:rsidR="00EB34D7" w:rsidRPr="006D043D">
        <w:rPr>
          <w:szCs w:val="24"/>
        </w:rPr>
        <w:t xml:space="preserve"> for the </w:t>
      </w:r>
      <w:r w:rsidR="00EB34D7" w:rsidRPr="006D043D">
        <w:rPr>
          <w:i/>
          <w:szCs w:val="24"/>
        </w:rPr>
        <w:t>g</w:t>
      </w:r>
      <w:r w:rsidR="00EB34D7" w:rsidRPr="006D043D">
        <w:rPr>
          <w:i/>
          <w:szCs w:val="24"/>
          <w:vertAlign w:val="superscript"/>
        </w:rPr>
        <w:t>th</w:t>
      </w:r>
      <w:r w:rsidR="00EB34D7" w:rsidRPr="006D043D">
        <w:rPr>
          <w:szCs w:val="24"/>
        </w:rPr>
        <w:t xml:space="preserve"> nominal variable. Then, we may write:</w:t>
      </w:r>
      <w:r w:rsidR="00EB34D7">
        <w:rPr>
          <w:szCs w:val="24"/>
        </w:rPr>
        <w:t xml:space="preserve"> </w:t>
      </w:r>
      <w:r w:rsidR="00715FB2" w:rsidRPr="006D043D">
        <w:rPr>
          <w:position w:val="-10"/>
          <w:szCs w:val="24"/>
        </w:rPr>
        <w:object w:dxaOrig="1540" w:dyaOrig="360" w14:anchorId="2A5C857F">
          <v:shape id="_x0000_i1076" type="#_x0000_t75" style="width:76.75pt;height:18.35pt" o:ole="" o:preferrelative="f">
            <v:imagedata r:id="rId121" o:title=""/>
            <o:lock v:ext="edit" aspectratio="f"/>
          </v:shape>
          <o:OLEObject Type="Embed" ProgID="Equation.3" ShapeID="_x0000_i1076" DrawAspect="Content" ObjectID="_1620730273" r:id="rId122"/>
        </w:object>
      </w:r>
      <w:r w:rsidR="00EB34D7" w:rsidRPr="006D043D">
        <w:rPr>
          <w:szCs w:val="24"/>
        </w:rPr>
        <w:t>where</w:t>
      </w:r>
      <w:r>
        <w:rPr>
          <w:szCs w:val="24"/>
        </w:rPr>
        <w:t xml:space="preserve"> </w:t>
      </w:r>
      <w:r w:rsidRPr="00F74FAF">
        <w:rPr>
          <w:position w:val="-12"/>
          <w:szCs w:val="24"/>
        </w:rPr>
        <w:object w:dxaOrig="1939" w:dyaOrig="460" w14:anchorId="1C7E439A">
          <v:shape id="_x0000_i1077" type="#_x0000_t75" style="width:97.15pt;height:22.4pt" o:ole="" o:preferrelative="f">
            <v:imagedata r:id="rId123" o:title=""/>
            <o:lock v:ext="edit" aspectratio="f"/>
          </v:shape>
          <o:OLEObject Type="Embed" ProgID="Equation.3" ShapeID="_x0000_i1077" DrawAspect="Content" ObjectID="_1620730274" r:id="rId124"/>
        </w:object>
      </w:r>
      <w:r>
        <w:rPr>
          <w:szCs w:val="24"/>
        </w:rPr>
        <w:t xml:space="preserve"> </w:t>
      </w:r>
      <w:r w:rsidR="00EB34D7" w:rsidRPr="006D043D">
        <w:rPr>
          <w:szCs w:val="24"/>
        </w:rPr>
        <w:t xml:space="preserve">and </w:t>
      </w:r>
      <w:r w:rsidR="00715FB2" w:rsidRPr="00916140">
        <w:rPr>
          <w:position w:val="-4"/>
          <w:szCs w:val="24"/>
        </w:rPr>
        <w:object w:dxaOrig="300" w:dyaOrig="300" w14:anchorId="79454BF1">
          <v:shape id="_x0000_i1078" type="#_x0000_t75" style="width:14.95pt;height:14.95pt" o:ole="" o:preferrelative="f">
            <v:imagedata r:id="rId125" o:title=""/>
            <o:lock v:ext="edit" aspectratio="f"/>
          </v:shape>
          <o:OLEObject Type="Embed" ProgID="Equation.3" ShapeID="_x0000_i1078" DrawAspect="Content" ObjectID="_1620730275" r:id="rId126"/>
        </w:object>
      </w:r>
      <w:r w:rsidR="00EB34D7" w:rsidRPr="006D043D">
        <w:rPr>
          <w:szCs w:val="24"/>
        </w:rPr>
        <w:t xml:space="preserve"> is a </w:t>
      </w:r>
      <w:r w:rsidR="00715FB2" w:rsidRPr="006D043D">
        <w:rPr>
          <w:position w:val="-6"/>
          <w:szCs w:val="24"/>
        </w:rPr>
        <w:object w:dxaOrig="260" w:dyaOrig="340" w14:anchorId="727F4EBD">
          <v:shape id="_x0000_i1079" type="#_x0000_t75" style="width:12.25pt;height:17.65pt" o:ole="" o:preferrelative="f">
            <v:imagedata r:id="rId127" o:title=""/>
            <o:lock v:ext="edit" aspectratio="f"/>
          </v:shape>
          <o:OLEObject Type="Embed" ProgID="Equation.3" ShapeID="_x0000_i1079" DrawAspect="Content" ObjectID="_1620730276" r:id="rId128"/>
        </w:object>
      </w:r>
      <w:r w:rsidR="000572F9">
        <w:rPr>
          <w:rFonts w:cs="Times New Roman"/>
          <w:szCs w:val="24"/>
        </w:rPr>
        <w:t>×</w:t>
      </w:r>
      <w:r w:rsidR="00715FB2" w:rsidRPr="006D043D">
        <w:rPr>
          <w:position w:val="-6"/>
          <w:szCs w:val="24"/>
        </w:rPr>
        <w:object w:dxaOrig="260" w:dyaOrig="340" w14:anchorId="18FCA1F9">
          <v:shape id="_x0000_i1080" type="#_x0000_t75" style="width:12.25pt;height:17.65pt" o:ole="" o:preferrelative="f">
            <v:imagedata r:id="rId129" o:title=""/>
            <o:lock v:ext="edit" aspectratio="f"/>
          </v:shape>
          <o:OLEObject Type="Embed" ProgID="Equation.3" ShapeID="_x0000_i1080" DrawAspect="Content" ObjectID="_1620730277" r:id="rId130"/>
        </w:object>
      </w:r>
      <w:r w:rsidR="00EB34D7">
        <w:rPr>
          <w:szCs w:val="24"/>
        </w:rPr>
        <w:t xml:space="preserve"> matrix </w:t>
      </w:r>
      <w:r w:rsidR="00EB34D7" w:rsidRPr="006D043D">
        <w:rPr>
          <w:szCs w:val="24"/>
        </w:rPr>
        <w:t>as follows:</w:t>
      </w:r>
    </w:p>
    <w:p w14:paraId="45D143E7" w14:textId="359D4797" w:rsidR="00EB34D7" w:rsidRPr="006D043D" w:rsidRDefault="002B1790" w:rsidP="00EB34D7">
      <w:pPr>
        <w:autoSpaceDE w:val="0"/>
        <w:autoSpaceDN w:val="0"/>
        <w:adjustRightInd w:val="0"/>
        <w:spacing w:before="120" w:after="120" w:line="240" w:lineRule="auto"/>
        <w:rPr>
          <w:szCs w:val="24"/>
        </w:rPr>
      </w:pPr>
      <w:r w:rsidRPr="00CE4BD3">
        <w:rPr>
          <w:position w:val="-68"/>
          <w:szCs w:val="24"/>
        </w:rPr>
        <w:object w:dxaOrig="2720" w:dyaOrig="1480" w14:anchorId="21FBE9FE">
          <v:shape id="_x0000_i1081" type="#_x0000_t75" style="width:137.2pt;height:74.7pt" o:ole="" o:preferrelative="f">
            <v:imagedata r:id="rId131" o:title=""/>
            <o:lock v:ext="edit" aspectratio="f"/>
          </v:shape>
          <o:OLEObject Type="Embed" ProgID="Equation.3" ShapeID="_x0000_i1081" DrawAspect="Content" ObjectID="_1620730278" r:id="rId132"/>
        </w:object>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t xml:space="preserve">       </w:t>
      </w:r>
      <w:r w:rsidR="00EB34D7" w:rsidRPr="006D043D">
        <w:rPr>
          <w:szCs w:val="24"/>
        </w:rPr>
        <w:tab/>
      </w:r>
      <w:r w:rsidR="00EB34D7" w:rsidRPr="006D043D">
        <w:rPr>
          <w:szCs w:val="24"/>
        </w:rPr>
        <w:tab/>
        <w:t xml:space="preserve">    </w:t>
      </w:r>
      <w:r w:rsidR="00EB34D7">
        <w:rPr>
          <w:szCs w:val="24"/>
        </w:rPr>
        <w:t xml:space="preserve">  </w:t>
      </w:r>
      <w:r w:rsidR="00EB34D7" w:rsidRPr="006D043D">
        <w:rPr>
          <w:szCs w:val="24"/>
        </w:rPr>
        <w:t xml:space="preserve"> (4)</w:t>
      </w:r>
    </w:p>
    <w:p w14:paraId="0826D9ED" w14:textId="0723CBBE" w:rsidR="00EB34D7" w:rsidRPr="006D043D" w:rsidRDefault="00EB34D7" w:rsidP="00F74FAF">
      <w:pPr>
        <w:autoSpaceDE w:val="0"/>
        <w:autoSpaceDN w:val="0"/>
        <w:adjustRightInd w:val="0"/>
        <w:spacing w:line="240" w:lineRule="auto"/>
        <w:rPr>
          <w:szCs w:val="24"/>
        </w:rPr>
      </w:pPr>
      <w:r w:rsidRPr="006D043D">
        <w:rPr>
          <w:szCs w:val="24"/>
        </w:rPr>
        <w:t xml:space="preserve">The off-diagonal elements in </w:t>
      </w:r>
      <w:r w:rsidR="00CE4BD3" w:rsidRPr="00916140">
        <w:rPr>
          <w:position w:val="-4"/>
          <w:szCs w:val="24"/>
        </w:rPr>
        <w:object w:dxaOrig="300" w:dyaOrig="300" w14:anchorId="29781D53">
          <v:shape id="_x0000_i1082" type="#_x0000_t75" style="width:14.95pt;height:14.95pt;mso-position-vertical:absolute" o:ole="" o:preferrelative="f">
            <v:imagedata r:id="rId133" o:title=""/>
            <o:lock v:ext="edit" aspectratio="f"/>
          </v:shape>
          <o:OLEObject Type="Embed" ProgID="Equation.3" ShapeID="_x0000_i1082" DrawAspect="Content" ObjectID="_1620730279" r:id="rId134"/>
        </w:object>
      </w:r>
      <w:r w:rsidR="00715FB2">
        <w:rPr>
          <w:szCs w:val="24"/>
        </w:rPr>
        <w:t xml:space="preserve"> </w:t>
      </w:r>
      <w:r w:rsidRPr="006D043D">
        <w:rPr>
          <w:szCs w:val="24"/>
        </w:rPr>
        <w:t xml:space="preserve">capture the dependencies across the utility differentials of the </w:t>
      </w:r>
      <w:r>
        <w:rPr>
          <w:szCs w:val="24"/>
        </w:rPr>
        <w:t>four</w:t>
      </w:r>
      <w:r w:rsidRPr="006D043D">
        <w:rPr>
          <w:szCs w:val="24"/>
        </w:rPr>
        <w:t xml:space="preserve"> nominal variables, the differential being taken with respect to the chosen alternative for each nominal variable. Let</w:t>
      </w:r>
      <w:r>
        <w:rPr>
          <w:szCs w:val="24"/>
        </w:rPr>
        <w:t xml:space="preserve"> </w:t>
      </w:r>
      <w:r w:rsidRPr="00916140">
        <w:rPr>
          <w:b/>
          <w:i/>
          <w:szCs w:val="24"/>
        </w:rPr>
        <w:t>θ</w:t>
      </w:r>
      <w:r w:rsidRPr="006D043D">
        <w:rPr>
          <w:szCs w:val="24"/>
        </w:rPr>
        <w:t xml:space="preserve"> be the collection of parameters to be estimated: </w:t>
      </w:r>
      <w:r w:rsidR="00715FB2" w:rsidRPr="006D043D">
        <w:rPr>
          <w:position w:val="-10"/>
          <w:szCs w:val="24"/>
        </w:rPr>
        <w:object w:dxaOrig="2280" w:dyaOrig="360" w14:anchorId="0009C728">
          <v:shape id="_x0000_i1083" type="#_x0000_t75" style="width:114.1pt;height:18.35pt" o:ole="" o:preferrelative="f">
            <v:imagedata r:id="rId135" o:title=""/>
            <o:lock v:ext="edit" aspectratio="f"/>
          </v:shape>
          <o:OLEObject Type="Embed" ProgID="Equation.3" ShapeID="_x0000_i1083" DrawAspect="Content" ObjectID="_1620730280" r:id="rId136"/>
        </w:object>
      </w:r>
      <w:r w:rsidRPr="006D043D">
        <w:rPr>
          <w:szCs w:val="24"/>
        </w:rPr>
        <w:t xml:space="preserve"> where Vech(</w:t>
      </w:r>
      <w:r w:rsidRPr="00CF013E">
        <w:rPr>
          <w:b/>
          <w:szCs w:val="24"/>
        </w:rPr>
        <w:t>Σ</w:t>
      </w:r>
      <w:r w:rsidRPr="006D043D">
        <w:rPr>
          <w:szCs w:val="24"/>
        </w:rPr>
        <w:t xml:space="preserve">) represents the vector of </w:t>
      </w:r>
      <w:r>
        <w:rPr>
          <w:szCs w:val="24"/>
        </w:rPr>
        <w:t>lower</w:t>
      </w:r>
      <w:r w:rsidRPr="006D043D">
        <w:rPr>
          <w:szCs w:val="24"/>
        </w:rPr>
        <w:t xml:space="preserve"> triangle elements of</w:t>
      </w:r>
      <w:r>
        <w:rPr>
          <w:szCs w:val="24"/>
        </w:rPr>
        <w:t xml:space="preserve"> </w:t>
      </w:r>
      <w:r w:rsidRPr="00CF013E">
        <w:rPr>
          <w:b/>
          <w:szCs w:val="24"/>
        </w:rPr>
        <w:t>Σ</w:t>
      </w:r>
      <w:r>
        <w:rPr>
          <w:b/>
          <w:szCs w:val="24"/>
        </w:rPr>
        <w:t xml:space="preserve"> </w:t>
      </w:r>
      <w:r w:rsidRPr="00B669A5">
        <w:rPr>
          <w:szCs w:val="24"/>
        </w:rPr>
        <w:t>(as represented in Eq. 4)</w:t>
      </w:r>
      <w:r w:rsidRPr="006D043D">
        <w:rPr>
          <w:szCs w:val="24"/>
        </w:rPr>
        <w:t>. Then</w:t>
      </w:r>
      <w:r>
        <w:rPr>
          <w:szCs w:val="24"/>
        </w:rPr>
        <w:t xml:space="preserve"> the likelihood function for a</w:t>
      </w:r>
      <w:r w:rsidRPr="006D043D">
        <w:rPr>
          <w:szCs w:val="24"/>
        </w:rPr>
        <w:t xml:space="preserve"> household may be written as:</w:t>
      </w:r>
    </w:p>
    <w:p w14:paraId="558306E1" w14:textId="1FE10856" w:rsidR="00EB34D7" w:rsidRPr="006D043D" w:rsidRDefault="002B1790" w:rsidP="00F74FAF">
      <w:pPr>
        <w:autoSpaceDE w:val="0"/>
        <w:autoSpaceDN w:val="0"/>
        <w:adjustRightInd w:val="0"/>
        <w:spacing w:before="120" w:after="120" w:line="240" w:lineRule="auto"/>
        <w:rPr>
          <w:szCs w:val="24"/>
        </w:rPr>
      </w:pPr>
      <w:r w:rsidRPr="00CF013E">
        <w:rPr>
          <w:b/>
          <w:position w:val="-20"/>
          <w:szCs w:val="24"/>
        </w:rPr>
        <w:object w:dxaOrig="1980" w:dyaOrig="480" w14:anchorId="122A0062">
          <v:shape id="_x0000_i1084" type="#_x0000_t75" style="width:98.5pt;height:23.75pt" o:ole="" o:preferrelative="f">
            <v:imagedata r:id="rId137" o:title=""/>
            <o:lock v:ext="edit" aspectratio="f"/>
          </v:shape>
          <o:OLEObject Type="Embed" ProgID="Equation.3" ShapeID="_x0000_i1084" DrawAspect="Content" ObjectID="_1620730281" r:id="rId138"/>
        </w:object>
      </w:r>
      <w:r w:rsidR="00EB34D7" w:rsidRPr="006D043D">
        <w:rPr>
          <w:szCs w:val="24"/>
        </w:rPr>
        <w:t xml:space="preserve">, </w:t>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r>
      <w:r w:rsidR="00EB34D7" w:rsidRPr="006D043D">
        <w:rPr>
          <w:szCs w:val="24"/>
        </w:rPr>
        <w:tab/>
        <w:t xml:space="preserve">       </w:t>
      </w:r>
      <w:r w:rsidR="00EB34D7" w:rsidRPr="006D043D">
        <w:rPr>
          <w:szCs w:val="24"/>
        </w:rPr>
        <w:tab/>
      </w:r>
      <w:r w:rsidR="00EB34D7" w:rsidRPr="006D043D">
        <w:rPr>
          <w:szCs w:val="24"/>
        </w:rPr>
        <w:tab/>
        <w:t xml:space="preserve">       </w:t>
      </w:r>
      <w:r w:rsidR="00EB34D7" w:rsidRPr="006D043D">
        <w:rPr>
          <w:szCs w:val="24"/>
        </w:rPr>
        <w:tab/>
        <w:t xml:space="preserve">       (5)</w:t>
      </w:r>
    </w:p>
    <w:p w14:paraId="1EABBEE8" w14:textId="53FA5557" w:rsidR="00EB34D7" w:rsidRPr="006D043D" w:rsidRDefault="00EB34D7" w:rsidP="00F74FAF">
      <w:pPr>
        <w:autoSpaceDE w:val="0"/>
        <w:autoSpaceDN w:val="0"/>
        <w:adjustRightInd w:val="0"/>
        <w:spacing w:line="240" w:lineRule="auto"/>
        <w:rPr>
          <w:szCs w:val="24"/>
        </w:rPr>
      </w:pPr>
      <w:r w:rsidRPr="006D043D">
        <w:rPr>
          <w:szCs w:val="24"/>
        </w:rPr>
        <w:t xml:space="preserve">where </w:t>
      </w:r>
      <w:r w:rsidR="00715FB2" w:rsidRPr="006D043D">
        <w:rPr>
          <w:position w:val="-14"/>
          <w:szCs w:val="24"/>
        </w:rPr>
        <w:object w:dxaOrig="700" w:dyaOrig="380" w14:anchorId="705D6194">
          <v:shape id="_x0000_i1085" type="#_x0000_t75" style="width:35.3pt;height:18.35pt" o:ole="" o:preferrelative="f">
            <v:imagedata r:id="rId139" o:title=""/>
            <o:lock v:ext="edit" aspectratio="f"/>
          </v:shape>
          <o:OLEObject Type="Embed" ProgID="Equation.3" ShapeID="_x0000_i1085" DrawAspect="Content" ObjectID="_1620730282" r:id="rId140"/>
        </w:object>
      </w:r>
      <w:r w:rsidRPr="006D043D">
        <w:rPr>
          <w:szCs w:val="24"/>
        </w:rPr>
        <w:t xml:space="preserve">is the </w:t>
      </w:r>
      <w:r w:rsidR="00715FB2" w:rsidRPr="003C5878">
        <w:rPr>
          <w:position w:val="-12"/>
          <w:szCs w:val="24"/>
        </w:rPr>
        <w:object w:dxaOrig="2380" w:dyaOrig="400" w14:anchorId="4975582E">
          <v:shape id="_x0000_i1086" type="#_x0000_t75" style="width:118.85pt;height:20.4pt" o:ole="" o:preferrelative="f">
            <v:imagedata r:id="rId117" o:title=""/>
            <o:lock v:ext="edit" aspectratio="f"/>
          </v:shape>
          <o:OLEObject Type="Embed" ProgID="Equation.DSMT4" ShapeID="_x0000_i1086" DrawAspect="Content" ObjectID="_1620730283" r:id="rId141"/>
        </w:object>
      </w:r>
      <w:r w:rsidRPr="006D043D">
        <w:rPr>
          <w:szCs w:val="24"/>
        </w:rPr>
        <w:t xml:space="preserve">-dimensional normal cumulative distribution function. </w:t>
      </w:r>
    </w:p>
    <w:p w14:paraId="3DC7839A" w14:textId="2C917824" w:rsidR="00EB34D7" w:rsidRDefault="00EB34D7" w:rsidP="00715FB2">
      <w:pPr>
        <w:ind w:firstLine="720"/>
      </w:pPr>
      <w:r w:rsidRPr="006D043D">
        <w:rPr>
          <w:szCs w:val="24"/>
        </w:rPr>
        <w:t xml:space="preserve">The above likelihood function involves the evaluation of a </w:t>
      </w:r>
      <w:r w:rsidR="00715FB2" w:rsidRPr="003C5878">
        <w:rPr>
          <w:position w:val="-12"/>
          <w:szCs w:val="24"/>
        </w:rPr>
        <w:object w:dxaOrig="2380" w:dyaOrig="400" w14:anchorId="35C4B640">
          <v:shape id="_x0000_i1087" type="#_x0000_t75" style="width:118.85pt;height:20.4pt" o:ole="" o:preferrelative="f">
            <v:imagedata r:id="rId117" o:title=""/>
            <o:lock v:ext="edit" aspectratio="f"/>
          </v:shape>
          <o:OLEObject Type="Embed" ProgID="Equation.DSMT4" ShapeID="_x0000_i1087" DrawAspect="Content" ObjectID="_1620730284" r:id="rId142"/>
        </w:object>
      </w:r>
      <w:r w:rsidRPr="006D043D">
        <w:rPr>
          <w:szCs w:val="24"/>
        </w:rPr>
        <w:t xml:space="preserve">-dimensional integral for each individual, which can be very </w:t>
      </w:r>
      <w:r>
        <w:rPr>
          <w:szCs w:val="24"/>
        </w:rPr>
        <w:t xml:space="preserve">computationally </w:t>
      </w:r>
      <w:r w:rsidRPr="006D043D">
        <w:rPr>
          <w:szCs w:val="24"/>
        </w:rPr>
        <w:t xml:space="preserve">expensive if each nominal variable can take a large number of values. </w:t>
      </w:r>
      <w:r>
        <w:rPr>
          <w:szCs w:val="24"/>
        </w:rPr>
        <w:t>Therefore, in this study, the</w:t>
      </w:r>
      <w:r w:rsidRPr="006D043D">
        <w:rPr>
          <w:szCs w:val="24"/>
        </w:rPr>
        <w:t xml:space="preserve"> Maximum Approximate Composite Marginal Li</w:t>
      </w:r>
      <w:r>
        <w:rPr>
          <w:szCs w:val="24"/>
        </w:rPr>
        <w:t>kelihood (MACML) approach (</w:t>
      </w:r>
      <w:r w:rsidRPr="00145F6A">
        <w:t>Bhat</w:t>
      </w:r>
      <w:r>
        <w:t xml:space="preserve">, </w:t>
      </w:r>
      <w:r w:rsidRPr="00145F6A">
        <w:t xml:space="preserve">2011) </w:t>
      </w:r>
      <w:r>
        <w:rPr>
          <w:szCs w:val="24"/>
        </w:rPr>
        <w:t>is used.  In this approach,</w:t>
      </w:r>
      <w:r w:rsidRPr="006D043D">
        <w:rPr>
          <w:szCs w:val="24"/>
        </w:rPr>
        <w:t xml:space="preserve"> the likelihood function only involves the computation of univariate and bivariate cumulative distributive functions.</w:t>
      </w:r>
      <w:r w:rsidRPr="00B62AA6">
        <w:t xml:space="preserve"> </w:t>
      </w:r>
      <w:r w:rsidRPr="00145F6A">
        <w:t>We refer the reader to Bhat (2011) for more details</w:t>
      </w:r>
      <w:r w:rsidR="00CE4BD3">
        <w:t xml:space="preserve"> regarding identification considerations and estimation</w:t>
      </w:r>
      <w:r w:rsidRPr="00145F6A">
        <w:t xml:space="preserve">. </w:t>
      </w:r>
    </w:p>
    <w:p w14:paraId="6F04FBD9" w14:textId="77777777" w:rsidR="00EB34D7" w:rsidRDefault="00EB34D7" w:rsidP="00A90536">
      <w:pPr>
        <w:spacing w:after="200" w:line="276" w:lineRule="auto"/>
        <w:jc w:val="center"/>
        <w:rPr>
          <w:b/>
        </w:rPr>
      </w:pPr>
    </w:p>
    <w:p w14:paraId="4080CE58" w14:textId="2878D120" w:rsidR="004F4036" w:rsidRDefault="004F4036" w:rsidP="00A90536">
      <w:pPr>
        <w:spacing w:after="200" w:line="276" w:lineRule="auto"/>
        <w:jc w:val="center"/>
        <w:rPr>
          <w:b/>
        </w:rPr>
      </w:pPr>
    </w:p>
    <w:p w14:paraId="551B2CA4" w14:textId="2F2AF740" w:rsidR="008F26A2" w:rsidRDefault="008F26A2">
      <w:pPr>
        <w:spacing w:after="200" w:line="276" w:lineRule="auto"/>
        <w:jc w:val="left"/>
        <w:rPr>
          <w:b/>
        </w:rPr>
        <w:sectPr w:rsidR="008F26A2" w:rsidSect="009E4748">
          <w:pgSz w:w="12240" w:h="15840"/>
          <w:pgMar w:top="1440" w:right="1440" w:bottom="1440" w:left="1440" w:header="720" w:footer="720" w:gutter="0"/>
          <w:cols w:space="720"/>
          <w:docGrid w:linePitch="360"/>
        </w:sectPr>
      </w:pPr>
    </w:p>
    <w:p w14:paraId="55E6A007" w14:textId="1E5C0C9F" w:rsidR="00D01EBB" w:rsidRDefault="00F11974" w:rsidP="00A90536">
      <w:pPr>
        <w:spacing w:after="200" w:line="276" w:lineRule="auto"/>
        <w:jc w:val="center"/>
        <w:rPr>
          <w:b/>
        </w:rPr>
      </w:pPr>
      <w:r>
        <w:rPr>
          <w:b/>
        </w:rPr>
        <w:lastRenderedPageBreak/>
        <w:t>Appendix B</w:t>
      </w:r>
    </w:p>
    <w:p w14:paraId="25636BDB" w14:textId="3E69C40E" w:rsidR="00EB34D7" w:rsidRDefault="00EB34D7" w:rsidP="00EB34D7">
      <w:pPr>
        <w:spacing w:after="200" w:line="276" w:lineRule="auto"/>
        <w:jc w:val="center"/>
        <w:rPr>
          <w:b/>
        </w:rPr>
      </w:pPr>
      <w:r>
        <w:rPr>
          <w:rFonts w:eastAsia="Calibri" w:cs="Times New Roman"/>
          <w:b/>
        </w:rPr>
        <w:t xml:space="preserve">Table B1. </w:t>
      </w:r>
      <w:r w:rsidRPr="007A50A5">
        <w:rPr>
          <w:rFonts w:eastAsia="Calibri" w:cs="Times New Roman"/>
          <w:b/>
        </w:rPr>
        <w:t>Thresholds and constants of indicators and loadings of latent variables on indicators</w:t>
      </w:r>
    </w:p>
    <w:tbl>
      <w:tblPr>
        <w:tblW w:w="11437" w:type="dxa"/>
        <w:jc w:val="center"/>
        <w:tblLook w:val="04A0" w:firstRow="1" w:lastRow="0" w:firstColumn="1" w:lastColumn="0" w:noHBand="0" w:noVBand="1"/>
      </w:tblPr>
      <w:tblGrid>
        <w:gridCol w:w="4280"/>
        <w:gridCol w:w="723"/>
        <w:gridCol w:w="667"/>
        <w:gridCol w:w="723"/>
        <w:gridCol w:w="766"/>
        <w:gridCol w:w="722"/>
        <w:gridCol w:w="666"/>
        <w:gridCol w:w="722"/>
        <w:gridCol w:w="666"/>
        <w:gridCol w:w="722"/>
        <w:gridCol w:w="780"/>
      </w:tblGrid>
      <w:tr w:rsidR="00EB34D7" w:rsidRPr="007A50A5" w14:paraId="651B71AC" w14:textId="77777777" w:rsidTr="00715FB2">
        <w:trPr>
          <w:trHeight w:val="300"/>
          <w:jc w:val="center"/>
        </w:trPr>
        <w:tc>
          <w:tcPr>
            <w:tcW w:w="4279" w:type="dxa"/>
            <w:vMerge w:val="restart"/>
            <w:tcBorders>
              <w:top w:val="double" w:sz="6" w:space="0" w:color="auto"/>
              <w:left w:val="double" w:sz="6" w:space="0" w:color="auto"/>
              <w:right w:val="nil"/>
            </w:tcBorders>
            <w:shd w:val="clear" w:color="auto" w:fill="auto"/>
            <w:noWrap/>
            <w:vAlign w:val="center"/>
            <w:hideMark/>
          </w:tcPr>
          <w:p w14:paraId="55D0377F" w14:textId="48480634" w:rsidR="00EB34D7" w:rsidRPr="007A50A5" w:rsidRDefault="00EB34D7" w:rsidP="005A3FCB">
            <w:pPr>
              <w:spacing w:line="240" w:lineRule="auto"/>
              <w:rPr>
                <w:rFonts w:eastAsia="Times New Roman" w:cs="Times New Roman"/>
                <w:b/>
                <w:color w:val="000000"/>
                <w:sz w:val="20"/>
                <w:szCs w:val="20"/>
              </w:rPr>
            </w:pPr>
            <w:r w:rsidRPr="007A50A5">
              <w:rPr>
                <w:rFonts w:eastAsia="Times New Roman" w:cs="Times New Roman"/>
                <w:b/>
                <w:color w:val="000000"/>
                <w:sz w:val="20"/>
                <w:szCs w:val="20"/>
              </w:rPr>
              <w:t>Attitudinal and lifestyle indicators</w:t>
            </w:r>
          </w:p>
        </w:tc>
        <w:tc>
          <w:tcPr>
            <w:tcW w:w="0" w:type="auto"/>
            <w:gridSpan w:val="2"/>
            <w:tcBorders>
              <w:top w:val="double" w:sz="6" w:space="0" w:color="auto"/>
              <w:left w:val="double" w:sz="6" w:space="0" w:color="auto"/>
              <w:bottom w:val="nil"/>
              <w:right w:val="nil"/>
            </w:tcBorders>
            <w:shd w:val="clear" w:color="auto" w:fill="auto"/>
            <w:noWrap/>
            <w:vAlign w:val="center"/>
            <w:hideMark/>
          </w:tcPr>
          <w:p w14:paraId="2FEDE5A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Threshold 2</w:t>
            </w:r>
          </w:p>
        </w:tc>
        <w:tc>
          <w:tcPr>
            <w:tcW w:w="0" w:type="auto"/>
            <w:gridSpan w:val="2"/>
            <w:tcBorders>
              <w:top w:val="double" w:sz="6" w:space="0" w:color="auto"/>
              <w:left w:val="nil"/>
              <w:bottom w:val="nil"/>
              <w:right w:val="nil"/>
            </w:tcBorders>
            <w:shd w:val="clear" w:color="auto" w:fill="auto"/>
            <w:noWrap/>
            <w:vAlign w:val="center"/>
            <w:hideMark/>
          </w:tcPr>
          <w:p w14:paraId="5490A57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Threshold 3</w:t>
            </w:r>
          </w:p>
        </w:tc>
        <w:tc>
          <w:tcPr>
            <w:tcW w:w="0" w:type="auto"/>
            <w:gridSpan w:val="2"/>
            <w:tcBorders>
              <w:top w:val="double" w:sz="6" w:space="0" w:color="auto"/>
              <w:left w:val="nil"/>
              <w:bottom w:val="nil"/>
              <w:right w:val="double" w:sz="6" w:space="0" w:color="000000"/>
            </w:tcBorders>
            <w:shd w:val="clear" w:color="auto" w:fill="auto"/>
            <w:noWrap/>
            <w:vAlign w:val="center"/>
            <w:hideMark/>
          </w:tcPr>
          <w:p w14:paraId="4C299A7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Threshold 4</w:t>
            </w:r>
          </w:p>
        </w:tc>
        <w:tc>
          <w:tcPr>
            <w:tcW w:w="0" w:type="auto"/>
            <w:gridSpan w:val="2"/>
            <w:tcBorders>
              <w:top w:val="double" w:sz="6" w:space="0" w:color="auto"/>
              <w:left w:val="nil"/>
              <w:bottom w:val="nil"/>
              <w:right w:val="double" w:sz="6" w:space="0" w:color="000000"/>
            </w:tcBorders>
            <w:shd w:val="clear" w:color="auto" w:fill="auto"/>
            <w:noWrap/>
            <w:vAlign w:val="center"/>
            <w:hideMark/>
          </w:tcPr>
          <w:p w14:paraId="7318340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Constant</w:t>
            </w:r>
          </w:p>
        </w:tc>
        <w:tc>
          <w:tcPr>
            <w:tcW w:w="1506" w:type="dxa"/>
            <w:gridSpan w:val="2"/>
            <w:tcBorders>
              <w:top w:val="double" w:sz="6" w:space="0" w:color="auto"/>
              <w:left w:val="nil"/>
              <w:bottom w:val="nil"/>
              <w:right w:val="double" w:sz="6" w:space="0" w:color="000000"/>
            </w:tcBorders>
            <w:shd w:val="clear" w:color="auto" w:fill="auto"/>
            <w:noWrap/>
            <w:vAlign w:val="center"/>
            <w:hideMark/>
          </w:tcPr>
          <w:p w14:paraId="028FE39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Latent variable loading</w:t>
            </w:r>
          </w:p>
        </w:tc>
      </w:tr>
      <w:tr w:rsidR="00EB34D7" w:rsidRPr="007A50A5" w14:paraId="7E4E8750" w14:textId="77777777" w:rsidTr="00715FB2">
        <w:trPr>
          <w:trHeight w:val="300"/>
          <w:jc w:val="center"/>
        </w:trPr>
        <w:tc>
          <w:tcPr>
            <w:tcW w:w="4279" w:type="dxa"/>
            <w:vMerge/>
            <w:tcBorders>
              <w:left w:val="double" w:sz="6" w:space="0" w:color="auto"/>
              <w:bottom w:val="double" w:sz="6" w:space="0" w:color="auto"/>
              <w:right w:val="nil"/>
            </w:tcBorders>
            <w:shd w:val="clear" w:color="auto" w:fill="auto"/>
            <w:noWrap/>
            <w:vAlign w:val="bottom"/>
            <w:hideMark/>
          </w:tcPr>
          <w:p w14:paraId="68E4AE73" w14:textId="77777777" w:rsidR="00EB34D7" w:rsidRPr="007A50A5" w:rsidRDefault="00EB34D7" w:rsidP="005A3FCB">
            <w:pPr>
              <w:spacing w:line="240" w:lineRule="auto"/>
              <w:rPr>
                <w:rFonts w:eastAsia="Times New Roman" w:cs="Times New Roman"/>
                <w:color w:val="000000"/>
                <w:sz w:val="20"/>
                <w:szCs w:val="20"/>
              </w:rPr>
            </w:pPr>
          </w:p>
        </w:tc>
        <w:tc>
          <w:tcPr>
            <w:tcW w:w="0" w:type="auto"/>
            <w:tcBorders>
              <w:top w:val="nil"/>
              <w:left w:val="double" w:sz="6" w:space="0" w:color="auto"/>
              <w:bottom w:val="double" w:sz="6" w:space="0" w:color="auto"/>
              <w:right w:val="nil"/>
            </w:tcBorders>
            <w:shd w:val="clear" w:color="auto" w:fill="auto"/>
            <w:vAlign w:val="center"/>
            <w:hideMark/>
          </w:tcPr>
          <w:p w14:paraId="28054FE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Coeff.</w:t>
            </w:r>
          </w:p>
        </w:tc>
        <w:tc>
          <w:tcPr>
            <w:tcW w:w="0" w:type="auto"/>
            <w:tcBorders>
              <w:top w:val="nil"/>
              <w:left w:val="nil"/>
              <w:bottom w:val="double" w:sz="6" w:space="0" w:color="auto"/>
              <w:right w:val="nil"/>
            </w:tcBorders>
            <w:shd w:val="clear" w:color="auto" w:fill="auto"/>
            <w:vAlign w:val="center"/>
            <w:hideMark/>
          </w:tcPr>
          <w:p w14:paraId="6ED696B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t-stat</w:t>
            </w:r>
          </w:p>
        </w:tc>
        <w:tc>
          <w:tcPr>
            <w:tcW w:w="0" w:type="auto"/>
            <w:tcBorders>
              <w:top w:val="nil"/>
              <w:left w:val="nil"/>
              <w:bottom w:val="double" w:sz="6" w:space="0" w:color="auto"/>
              <w:right w:val="nil"/>
            </w:tcBorders>
            <w:shd w:val="clear" w:color="auto" w:fill="auto"/>
            <w:vAlign w:val="center"/>
            <w:hideMark/>
          </w:tcPr>
          <w:p w14:paraId="396025B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Coeff.</w:t>
            </w:r>
          </w:p>
        </w:tc>
        <w:tc>
          <w:tcPr>
            <w:tcW w:w="0" w:type="auto"/>
            <w:tcBorders>
              <w:top w:val="nil"/>
              <w:left w:val="nil"/>
              <w:bottom w:val="double" w:sz="6" w:space="0" w:color="auto"/>
              <w:right w:val="nil"/>
            </w:tcBorders>
            <w:shd w:val="clear" w:color="auto" w:fill="auto"/>
            <w:vAlign w:val="center"/>
            <w:hideMark/>
          </w:tcPr>
          <w:p w14:paraId="3893016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t-stat</w:t>
            </w:r>
          </w:p>
        </w:tc>
        <w:tc>
          <w:tcPr>
            <w:tcW w:w="0" w:type="auto"/>
            <w:tcBorders>
              <w:top w:val="nil"/>
              <w:left w:val="nil"/>
              <w:bottom w:val="double" w:sz="6" w:space="0" w:color="auto"/>
              <w:right w:val="nil"/>
            </w:tcBorders>
            <w:shd w:val="clear" w:color="auto" w:fill="auto"/>
            <w:vAlign w:val="center"/>
            <w:hideMark/>
          </w:tcPr>
          <w:p w14:paraId="7AA9507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Coeff.</w:t>
            </w:r>
          </w:p>
        </w:tc>
        <w:tc>
          <w:tcPr>
            <w:tcW w:w="0" w:type="auto"/>
            <w:tcBorders>
              <w:top w:val="nil"/>
              <w:left w:val="nil"/>
              <w:bottom w:val="double" w:sz="6" w:space="0" w:color="auto"/>
              <w:right w:val="double" w:sz="6" w:space="0" w:color="auto"/>
            </w:tcBorders>
            <w:shd w:val="clear" w:color="auto" w:fill="auto"/>
            <w:vAlign w:val="center"/>
            <w:hideMark/>
          </w:tcPr>
          <w:p w14:paraId="4C80B7BA"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t-stat</w:t>
            </w:r>
          </w:p>
        </w:tc>
        <w:tc>
          <w:tcPr>
            <w:tcW w:w="0" w:type="auto"/>
            <w:tcBorders>
              <w:top w:val="nil"/>
              <w:left w:val="nil"/>
              <w:bottom w:val="double" w:sz="6" w:space="0" w:color="auto"/>
              <w:right w:val="nil"/>
            </w:tcBorders>
            <w:shd w:val="clear" w:color="auto" w:fill="auto"/>
            <w:vAlign w:val="center"/>
            <w:hideMark/>
          </w:tcPr>
          <w:p w14:paraId="011533F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Coeff.</w:t>
            </w:r>
          </w:p>
        </w:tc>
        <w:tc>
          <w:tcPr>
            <w:tcW w:w="0" w:type="auto"/>
            <w:tcBorders>
              <w:top w:val="nil"/>
              <w:left w:val="nil"/>
              <w:bottom w:val="double" w:sz="6" w:space="0" w:color="auto"/>
              <w:right w:val="double" w:sz="6" w:space="0" w:color="auto"/>
            </w:tcBorders>
            <w:shd w:val="clear" w:color="auto" w:fill="auto"/>
            <w:vAlign w:val="center"/>
            <w:hideMark/>
          </w:tcPr>
          <w:p w14:paraId="2577329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t-stat</w:t>
            </w:r>
          </w:p>
        </w:tc>
        <w:tc>
          <w:tcPr>
            <w:tcW w:w="0" w:type="auto"/>
            <w:tcBorders>
              <w:top w:val="nil"/>
              <w:left w:val="nil"/>
              <w:bottom w:val="double" w:sz="6" w:space="0" w:color="auto"/>
              <w:right w:val="nil"/>
            </w:tcBorders>
            <w:shd w:val="clear" w:color="auto" w:fill="auto"/>
            <w:vAlign w:val="center"/>
            <w:hideMark/>
          </w:tcPr>
          <w:p w14:paraId="68DCBCF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Coeff.</w:t>
            </w:r>
          </w:p>
        </w:tc>
        <w:tc>
          <w:tcPr>
            <w:tcW w:w="780" w:type="dxa"/>
            <w:tcBorders>
              <w:top w:val="nil"/>
              <w:left w:val="nil"/>
              <w:bottom w:val="double" w:sz="6" w:space="0" w:color="auto"/>
              <w:right w:val="double" w:sz="6" w:space="0" w:color="auto"/>
            </w:tcBorders>
            <w:shd w:val="clear" w:color="auto" w:fill="auto"/>
            <w:vAlign w:val="center"/>
            <w:hideMark/>
          </w:tcPr>
          <w:p w14:paraId="774A73E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t-stat</w:t>
            </w:r>
          </w:p>
        </w:tc>
      </w:tr>
      <w:tr w:rsidR="00EB34D7" w:rsidRPr="007A50A5" w14:paraId="7BEC3532" w14:textId="77777777" w:rsidTr="00715FB2">
        <w:trPr>
          <w:trHeight w:val="300"/>
          <w:jc w:val="center"/>
        </w:trPr>
        <w:tc>
          <w:tcPr>
            <w:tcW w:w="4279" w:type="dxa"/>
            <w:tcBorders>
              <w:top w:val="nil"/>
              <w:left w:val="double" w:sz="6" w:space="0" w:color="auto"/>
              <w:bottom w:val="nil"/>
              <w:right w:val="nil"/>
            </w:tcBorders>
            <w:shd w:val="clear" w:color="auto" w:fill="auto"/>
            <w:noWrap/>
            <w:vAlign w:val="bottom"/>
            <w:hideMark/>
          </w:tcPr>
          <w:p w14:paraId="25AA130E" w14:textId="77777777" w:rsidR="00EB34D7" w:rsidRPr="007A50A5" w:rsidRDefault="00EB34D7" w:rsidP="00715FB2">
            <w:pPr>
              <w:spacing w:line="240" w:lineRule="auto"/>
              <w:jc w:val="left"/>
              <w:rPr>
                <w:rFonts w:eastAsia="Times New Roman" w:cs="Times New Roman"/>
                <w:b/>
                <w:bCs/>
                <w:color w:val="000000"/>
                <w:sz w:val="20"/>
                <w:szCs w:val="20"/>
              </w:rPr>
            </w:pPr>
            <w:r w:rsidRPr="007A50A5">
              <w:rPr>
                <w:rFonts w:eastAsia="Times New Roman" w:cs="Times New Roman"/>
                <w:b/>
                <w:bCs/>
                <w:color w:val="000000"/>
                <w:sz w:val="20"/>
                <w:szCs w:val="20"/>
              </w:rPr>
              <w:t xml:space="preserve">Privacy-sensitivity </w:t>
            </w:r>
          </w:p>
        </w:tc>
        <w:tc>
          <w:tcPr>
            <w:tcW w:w="0" w:type="auto"/>
            <w:tcBorders>
              <w:top w:val="nil"/>
              <w:left w:val="double" w:sz="6" w:space="0" w:color="auto"/>
              <w:bottom w:val="nil"/>
              <w:right w:val="nil"/>
            </w:tcBorders>
            <w:shd w:val="clear" w:color="auto" w:fill="auto"/>
            <w:vAlign w:val="center"/>
            <w:hideMark/>
          </w:tcPr>
          <w:p w14:paraId="08A9D7D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76C9AE63"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32340C05"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hideMark/>
          </w:tcPr>
          <w:p w14:paraId="11BDDFA1"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hideMark/>
          </w:tcPr>
          <w:p w14:paraId="3C38E5BA"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double" w:sz="6" w:space="0" w:color="auto"/>
            </w:tcBorders>
            <w:shd w:val="clear" w:color="auto" w:fill="auto"/>
            <w:noWrap/>
            <w:vAlign w:val="center"/>
            <w:hideMark/>
          </w:tcPr>
          <w:p w14:paraId="6DD1D9EC"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26A22C4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double" w:sz="6" w:space="0" w:color="auto"/>
            </w:tcBorders>
            <w:shd w:val="clear" w:color="auto" w:fill="auto"/>
            <w:noWrap/>
            <w:vAlign w:val="center"/>
            <w:hideMark/>
          </w:tcPr>
          <w:p w14:paraId="36891E8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hideMark/>
          </w:tcPr>
          <w:p w14:paraId="4564AAC9" w14:textId="77777777" w:rsidR="00EB34D7" w:rsidRPr="007A50A5" w:rsidRDefault="00EB34D7" w:rsidP="005A3FCB">
            <w:pPr>
              <w:spacing w:line="240" w:lineRule="auto"/>
              <w:jc w:val="center"/>
              <w:rPr>
                <w:rFonts w:eastAsia="Times New Roman" w:cs="Times New Roman"/>
                <w:color w:val="000000"/>
                <w:sz w:val="20"/>
                <w:szCs w:val="20"/>
              </w:rPr>
            </w:pPr>
          </w:p>
        </w:tc>
        <w:tc>
          <w:tcPr>
            <w:tcW w:w="780" w:type="dxa"/>
            <w:tcBorders>
              <w:top w:val="nil"/>
              <w:left w:val="nil"/>
              <w:bottom w:val="nil"/>
              <w:right w:val="double" w:sz="6" w:space="0" w:color="auto"/>
            </w:tcBorders>
            <w:shd w:val="clear" w:color="auto" w:fill="auto"/>
            <w:noWrap/>
            <w:vAlign w:val="center"/>
            <w:hideMark/>
          </w:tcPr>
          <w:p w14:paraId="41F8AC06" w14:textId="77777777" w:rsidR="00EB34D7" w:rsidRPr="007A50A5" w:rsidRDefault="00EB34D7" w:rsidP="005A3FCB">
            <w:pPr>
              <w:spacing w:line="240" w:lineRule="auto"/>
              <w:jc w:val="center"/>
              <w:rPr>
                <w:rFonts w:eastAsia="Times New Roman" w:cs="Times New Roman"/>
                <w:color w:val="000000"/>
                <w:sz w:val="20"/>
                <w:szCs w:val="20"/>
              </w:rPr>
            </w:pPr>
          </w:p>
        </w:tc>
      </w:tr>
      <w:tr w:rsidR="00EB34D7" w:rsidRPr="007A50A5" w14:paraId="3887DCD3" w14:textId="77777777" w:rsidTr="00715FB2">
        <w:trPr>
          <w:trHeight w:val="552"/>
          <w:jc w:val="center"/>
        </w:trPr>
        <w:tc>
          <w:tcPr>
            <w:tcW w:w="4279" w:type="dxa"/>
            <w:tcBorders>
              <w:top w:val="nil"/>
              <w:left w:val="double" w:sz="6" w:space="0" w:color="auto"/>
              <w:bottom w:val="nil"/>
              <w:right w:val="nil"/>
            </w:tcBorders>
            <w:shd w:val="clear" w:color="auto" w:fill="auto"/>
            <w:vAlign w:val="center"/>
            <w:hideMark/>
          </w:tcPr>
          <w:p w14:paraId="2FC1C942"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I don’t mind sharing a ride with strangers if it reduces my costs (inverse scale)</w:t>
            </w:r>
          </w:p>
        </w:tc>
        <w:tc>
          <w:tcPr>
            <w:tcW w:w="0" w:type="auto"/>
            <w:tcBorders>
              <w:top w:val="nil"/>
              <w:left w:val="double" w:sz="6" w:space="0" w:color="auto"/>
              <w:bottom w:val="nil"/>
              <w:right w:val="nil"/>
            </w:tcBorders>
            <w:shd w:val="clear" w:color="auto" w:fill="auto"/>
            <w:noWrap/>
            <w:vAlign w:val="center"/>
          </w:tcPr>
          <w:p w14:paraId="3852B9D3"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2.523</w:t>
            </w:r>
          </w:p>
        </w:tc>
        <w:tc>
          <w:tcPr>
            <w:tcW w:w="0" w:type="auto"/>
            <w:tcBorders>
              <w:top w:val="nil"/>
              <w:left w:val="nil"/>
              <w:bottom w:val="nil"/>
              <w:right w:val="nil"/>
            </w:tcBorders>
            <w:shd w:val="clear" w:color="auto" w:fill="auto"/>
            <w:noWrap/>
            <w:vAlign w:val="center"/>
          </w:tcPr>
          <w:p w14:paraId="58AFAD1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19.85</w:t>
            </w:r>
          </w:p>
        </w:tc>
        <w:tc>
          <w:tcPr>
            <w:tcW w:w="0" w:type="auto"/>
            <w:tcBorders>
              <w:top w:val="nil"/>
              <w:left w:val="nil"/>
              <w:bottom w:val="nil"/>
              <w:right w:val="nil"/>
            </w:tcBorders>
            <w:shd w:val="clear" w:color="auto" w:fill="auto"/>
            <w:noWrap/>
            <w:vAlign w:val="center"/>
          </w:tcPr>
          <w:p w14:paraId="66912D1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3.598</w:t>
            </w:r>
          </w:p>
        </w:tc>
        <w:tc>
          <w:tcPr>
            <w:tcW w:w="0" w:type="auto"/>
            <w:tcBorders>
              <w:top w:val="nil"/>
              <w:left w:val="nil"/>
              <w:bottom w:val="nil"/>
              <w:right w:val="nil"/>
            </w:tcBorders>
            <w:shd w:val="clear" w:color="auto" w:fill="auto"/>
            <w:noWrap/>
            <w:vAlign w:val="center"/>
          </w:tcPr>
          <w:p w14:paraId="6A7BB959"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21.06</w:t>
            </w:r>
          </w:p>
        </w:tc>
        <w:tc>
          <w:tcPr>
            <w:tcW w:w="0" w:type="auto"/>
            <w:tcBorders>
              <w:top w:val="nil"/>
              <w:left w:val="nil"/>
              <w:bottom w:val="nil"/>
              <w:right w:val="nil"/>
            </w:tcBorders>
            <w:shd w:val="clear" w:color="auto" w:fill="auto"/>
            <w:noWrap/>
            <w:vAlign w:val="center"/>
          </w:tcPr>
          <w:p w14:paraId="27827E0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5.123</w:t>
            </w:r>
          </w:p>
        </w:tc>
        <w:tc>
          <w:tcPr>
            <w:tcW w:w="0" w:type="auto"/>
            <w:tcBorders>
              <w:top w:val="nil"/>
              <w:left w:val="nil"/>
              <w:bottom w:val="nil"/>
              <w:right w:val="double" w:sz="6" w:space="0" w:color="auto"/>
            </w:tcBorders>
            <w:shd w:val="clear" w:color="auto" w:fill="auto"/>
            <w:noWrap/>
            <w:vAlign w:val="center"/>
          </w:tcPr>
          <w:p w14:paraId="542A6FB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19.08</w:t>
            </w:r>
          </w:p>
        </w:tc>
        <w:tc>
          <w:tcPr>
            <w:tcW w:w="0" w:type="auto"/>
            <w:tcBorders>
              <w:top w:val="nil"/>
              <w:left w:val="nil"/>
              <w:bottom w:val="nil"/>
              <w:right w:val="nil"/>
            </w:tcBorders>
            <w:shd w:val="clear" w:color="auto" w:fill="auto"/>
            <w:noWrap/>
            <w:vAlign w:val="center"/>
          </w:tcPr>
          <w:p w14:paraId="7B0CCC1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2.504</w:t>
            </w:r>
          </w:p>
        </w:tc>
        <w:tc>
          <w:tcPr>
            <w:tcW w:w="0" w:type="auto"/>
            <w:tcBorders>
              <w:top w:val="nil"/>
              <w:left w:val="nil"/>
              <w:bottom w:val="nil"/>
              <w:right w:val="double" w:sz="6" w:space="0" w:color="auto"/>
            </w:tcBorders>
            <w:shd w:val="clear" w:color="auto" w:fill="auto"/>
            <w:noWrap/>
            <w:vAlign w:val="center"/>
          </w:tcPr>
          <w:p w14:paraId="34FF98C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12.84</w:t>
            </w:r>
          </w:p>
        </w:tc>
        <w:tc>
          <w:tcPr>
            <w:tcW w:w="0" w:type="auto"/>
            <w:tcBorders>
              <w:top w:val="nil"/>
              <w:left w:val="nil"/>
              <w:bottom w:val="nil"/>
              <w:right w:val="nil"/>
            </w:tcBorders>
            <w:shd w:val="clear" w:color="auto" w:fill="auto"/>
            <w:noWrap/>
            <w:vAlign w:val="center"/>
          </w:tcPr>
          <w:p w14:paraId="4C94EA2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1.792</w:t>
            </w:r>
          </w:p>
        </w:tc>
        <w:tc>
          <w:tcPr>
            <w:tcW w:w="780" w:type="dxa"/>
            <w:tcBorders>
              <w:top w:val="nil"/>
              <w:left w:val="nil"/>
              <w:bottom w:val="nil"/>
              <w:right w:val="double" w:sz="6" w:space="0" w:color="auto"/>
            </w:tcBorders>
            <w:shd w:val="clear" w:color="auto" w:fill="auto"/>
            <w:noWrap/>
            <w:vAlign w:val="center"/>
          </w:tcPr>
          <w:p w14:paraId="07E6B3A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14.09</w:t>
            </w:r>
          </w:p>
        </w:tc>
      </w:tr>
      <w:tr w:rsidR="00EB34D7" w:rsidRPr="007A50A5" w14:paraId="0316F0C7" w14:textId="77777777" w:rsidTr="00715FB2">
        <w:trPr>
          <w:trHeight w:val="552"/>
          <w:jc w:val="center"/>
        </w:trPr>
        <w:tc>
          <w:tcPr>
            <w:tcW w:w="4279" w:type="dxa"/>
            <w:tcBorders>
              <w:top w:val="nil"/>
              <w:left w:val="double" w:sz="6" w:space="0" w:color="auto"/>
              <w:bottom w:val="nil"/>
              <w:right w:val="nil"/>
            </w:tcBorders>
            <w:shd w:val="clear" w:color="auto" w:fill="auto"/>
            <w:vAlign w:val="center"/>
            <w:hideMark/>
          </w:tcPr>
          <w:p w14:paraId="4F2F507C"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 xml:space="preserve">Having privacy is important to me when I make a trip </w:t>
            </w:r>
          </w:p>
        </w:tc>
        <w:tc>
          <w:tcPr>
            <w:tcW w:w="0" w:type="auto"/>
            <w:tcBorders>
              <w:top w:val="nil"/>
              <w:left w:val="double" w:sz="6" w:space="0" w:color="auto"/>
              <w:bottom w:val="nil"/>
              <w:right w:val="nil"/>
            </w:tcBorders>
            <w:shd w:val="clear" w:color="auto" w:fill="auto"/>
            <w:noWrap/>
            <w:vAlign w:val="center"/>
          </w:tcPr>
          <w:p w14:paraId="652F89F9"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0.922</w:t>
            </w:r>
          </w:p>
        </w:tc>
        <w:tc>
          <w:tcPr>
            <w:tcW w:w="0" w:type="auto"/>
            <w:tcBorders>
              <w:top w:val="nil"/>
              <w:left w:val="nil"/>
              <w:bottom w:val="nil"/>
              <w:right w:val="nil"/>
            </w:tcBorders>
            <w:shd w:val="clear" w:color="auto" w:fill="auto"/>
            <w:noWrap/>
            <w:vAlign w:val="center"/>
          </w:tcPr>
          <w:p w14:paraId="6BCD08F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12.13</w:t>
            </w:r>
          </w:p>
        </w:tc>
        <w:tc>
          <w:tcPr>
            <w:tcW w:w="0" w:type="auto"/>
            <w:tcBorders>
              <w:top w:val="nil"/>
              <w:left w:val="nil"/>
              <w:bottom w:val="nil"/>
              <w:right w:val="nil"/>
            </w:tcBorders>
            <w:shd w:val="clear" w:color="auto" w:fill="auto"/>
            <w:noWrap/>
            <w:vAlign w:val="center"/>
          </w:tcPr>
          <w:p w14:paraId="33DEFBE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1.799</w:t>
            </w:r>
          </w:p>
        </w:tc>
        <w:tc>
          <w:tcPr>
            <w:tcW w:w="0" w:type="auto"/>
            <w:tcBorders>
              <w:top w:val="nil"/>
              <w:left w:val="nil"/>
              <w:bottom w:val="nil"/>
              <w:right w:val="nil"/>
            </w:tcBorders>
            <w:shd w:val="clear" w:color="auto" w:fill="auto"/>
            <w:noWrap/>
            <w:vAlign w:val="center"/>
          </w:tcPr>
          <w:p w14:paraId="0C736C1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22.17</w:t>
            </w:r>
          </w:p>
        </w:tc>
        <w:tc>
          <w:tcPr>
            <w:tcW w:w="0" w:type="auto"/>
            <w:tcBorders>
              <w:top w:val="nil"/>
              <w:left w:val="nil"/>
              <w:bottom w:val="nil"/>
              <w:right w:val="nil"/>
            </w:tcBorders>
            <w:shd w:val="clear" w:color="auto" w:fill="auto"/>
            <w:noWrap/>
            <w:vAlign w:val="center"/>
          </w:tcPr>
          <w:p w14:paraId="43079D8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3.076</w:t>
            </w:r>
          </w:p>
        </w:tc>
        <w:tc>
          <w:tcPr>
            <w:tcW w:w="0" w:type="auto"/>
            <w:tcBorders>
              <w:top w:val="nil"/>
              <w:left w:val="nil"/>
              <w:bottom w:val="nil"/>
              <w:right w:val="double" w:sz="6" w:space="0" w:color="auto"/>
            </w:tcBorders>
            <w:shd w:val="clear" w:color="auto" w:fill="auto"/>
            <w:noWrap/>
            <w:vAlign w:val="center"/>
          </w:tcPr>
          <w:p w14:paraId="1632393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33.69</w:t>
            </w:r>
          </w:p>
        </w:tc>
        <w:tc>
          <w:tcPr>
            <w:tcW w:w="0" w:type="auto"/>
            <w:tcBorders>
              <w:top w:val="nil"/>
              <w:left w:val="nil"/>
              <w:bottom w:val="nil"/>
              <w:right w:val="nil"/>
            </w:tcBorders>
            <w:shd w:val="clear" w:color="auto" w:fill="auto"/>
            <w:noWrap/>
            <w:vAlign w:val="center"/>
          </w:tcPr>
          <w:p w14:paraId="1FC9437A"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2.101</w:t>
            </w:r>
          </w:p>
        </w:tc>
        <w:tc>
          <w:tcPr>
            <w:tcW w:w="0" w:type="auto"/>
            <w:tcBorders>
              <w:top w:val="nil"/>
              <w:left w:val="nil"/>
              <w:bottom w:val="nil"/>
              <w:right w:val="double" w:sz="6" w:space="0" w:color="auto"/>
            </w:tcBorders>
            <w:shd w:val="clear" w:color="auto" w:fill="auto"/>
            <w:noWrap/>
            <w:vAlign w:val="center"/>
          </w:tcPr>
          <w:p w14:paraId="072E730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23.01</w:t>
            </w:r>
          </w:p>
        </w:tc>
        <w:tc>
          <w:tcPr>
            <w:tcW w:w="0" w:type="auto"/>
            <w:tcBorders>
              <w:top w:val="nil"/>
              <w:left w:val="nil"/>
              <w:bottom w:val="nil"/>
              <w:right w:val="nil"/>
            </w:tcBorders>
            <w:shd w:val="clear" w:color="auto" w:fill="auto"/>
            <w:noWrap/>
            <w:vAlign w:val="center"/>
          </w:tcPr>
          <w:p w14:paraId="1BFF362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0.575</w:t>
            </w:r>
          </w:p>
        </w:tc>
        <w:tc>
          <w:tcPr>
            <w:tcW w:w="780" w:type="dxa"/>
            <w:tcBorders>
              <w:top w:val="nil"/>
              <w:left w:val="nil"/>
              <w:bottom w:val="nil"/>
              <w:right w:val="double" w:sz="6" w:space="0" w:color="auto"/>
            </w:tcBorders>
            <w:shd w:val="clear" w:color="auto" w:fill="auto"/>
            <w:noWrap/>
            <w:vAlign w:val="center"/>
          </w:tcPr>
          <w:p w14:paraId="28CE080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16.21</w:t>
            </w:r>
          </w:p>
        </w:tc>
      </w:tr>
      <w:tr w:rsidR="00EB34D7" w:rsidRPr="007A50A5" w14:paraId="7AFBD886" w14:textId="77777777" w:rsidTr="00715FB2">
        <w:trPr>
          <w:trHeight w:val="288"/>
          <w:jc w:val="center"/>
        </w:trPr>
        <w:tc>
          <w:tcPr>
            <w:tcW w:w="4279" w:type="dxa"/>
            <w:tcBorders>
              <w:top w:val="nil"/>
              <w:left w:val="double" w:sz="6" w:space="0" w:color="auto"/>
              <w:bottom w:val="nil"/>
              <w:right w:val="nil"/>
            </w:tcBorders>
            <w:shd w:val="clear" w:color="auto" w:fill="auto"/>
            <w:vAlign w:val="center"/>
            <w:hideMark/>
          </w:tcPr>
          <w:p w14:paraId="221FBBEA"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 xml:space="preserve">I feel uncomfortable sitting close to strangers </w:t>
            </w:r>
          </w:p>
        </w:tc>
        <w:tc>
          <w:tcPr>
            <w:tcW w:w="0" w:type="auto"/>
            <w:tcBorders>
              <w:top w:val="nil"/>
              <w:left w:val="double" w:sz="6" w:space="0" w:color="auto"/>
              <w:bottom w:val="nil"/>
              <w:right w:val="nil"/>
            </w:tcBorders>
            <w:shd w:val="clear" w:color="auto" w:fill="auto"/>
            <w:noWrap/>
            <w:vAlign w:val="center"/>
          </w:tcPr>
          <w:p w14:paraId="3678CDA3"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0.954</w:t>
            </w:r>
          </w:p>
        </w:tc>
        <w:tc>
          <w:tcPr>
            <w:tcW w:w="0" w:type="auto"/>
            <w:tcBorders>
              <w:top w:val="nil"/>
              <w:left w:val="nil"/>
              <w:bottom w:val="nil"/>
              <w:right w:val="nil"/>
            </w:tcBorders>
            <w:shd w:val="clear" w:color="auto" w:fill="auto"/>
            <w:noWrap/>
            <w:vAlign w:val="center"/>
          </w:tcPr>
          <w:p w14:paraId="5375B79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17.55</w:t>
            </w:r>
          </w:p>
        </w:tc>
        <w:tc>
          <w:tcPr>
            <w:tcW w:w="0" w:type="auto"/>
            <w:tcBorders>
              <w:top w:val="nil"/>
              <w:left w:val="nil"/>
              <w:bottom w:val="nil"/>
              <w:right w:val="nil"/>
            </w:tcBorders>
            <w:shd w:val="clear" w:color="auto" w:fill="auto"/>
            <w:noWrap/>
            <w:vAlign w:val="center"/>
          </w:tcPr>
          <w:p w14:paraId="6610D95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1.737</w:t>
            </w:r>
          </w:p>
        </w:tc>
        <w:tc>
          <w:tcPr>
            <w:tcW w:w="0" w:type="auto"/>
            <w:tcBorders>
              <w:top w:val="nil"/>
              <w:left w:val="nil"/>
              <w:bottom w:val="nil"/>
              <w:right w:val="nil"/>
            </w:tcBorders>
            <w:shd w:val="clear" w:color="auto" w:fill="auto"/>
            <w:noWrap/>
            <w:vAlign w:val="center"/>
          </w:tcPr>
          <w:p w14:paraId="2F6FF039"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25.04</w:t>
            </w:r>
          </w:p>
        </w:tc>
        <w:tc>
          <w:tcPr>
            <w:tcW w:w="0" w:type="auto"/>
            <w:tcBorders>
              <w:top w:val="nil"/>
              <w:left w:val="nil"/>
              <w:bottom w:val="nil"/>
              <w:right w:val="nil"/>
            </w:tcBorders>
            <w:shd w:val="clear" w:color="auto" w:fill="auto"/>
            <w:noWrap/>
            <w:vAlign w:val="center"/>
          </w:tcPr>
          <w:p w14:paraId="745F84F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2.777</w:t>
            </w:r>
          </w:p>
        </w:tc>
        <w:tc>
          <w:tcPr>
            <w:tcW w:w="0" w:type="auto"/>
            <w:tcBorders>
              <w:top w:val="nil"/>
              <w:left w:val="nil"/>
              <w:bottom w:val="nil"/>
              <w:right w:val="double" w:sz="6" w:space="0" w:color="auto"/>
            </w:tcBorders>
            <w:shd w:val="clear" w:color="auto" w:fill="auto"/>
            <w:noWrap/>
            <w:vAlign w:val="center"/>
          </w:tcPr>
          <w:p w14:paraId="0F7CAB6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25.44</w:t>
            </w:r>
          </w:p>
        </w:tc>
        <w:tc>
          <w:tcPr>
            <w:tcW w:w="0" w:type="auto"/>
            <w:tcBorders>
              <w:top w:val="nil"/>
              <w:left w:val="nil"/>
              <w:bottom w:val="nil"/>
              <w:right w:val="nil"/>
            </w:tcBorders>
            <w:shd w:val="clear" w:color="auto" w:fill="auto"/>
            <w:noWrap/>
            <w:vAlign w:val="center"/>
          </w:tcPr>
          <w:p w14:paraId="3CC981B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1.409</w:t>
            </w:r>
          </w:p>
        </w:tc>
        <w:tc>
          <w:tcPr>
            <w:tcW w:w="0" w:type="auto"/>
            <w:tcBorders>
              <w:top w:val="nil"/>
              <w:left w:val="nil"/>
              <w:bottom w:val="nil"/>
              <w:right w:val="double" w:sz="6" w:space="0" w:color="auto"/>
            </w:tcBorders>
            <w:shd w:val="clear" w:color="auto" w:fill="auto"/>
            <w:noWrap/>
            <w:vAlign w:val="center"/>
          </w:tcPr>
          <w:p w14:paraId="198117E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22.24</w:t>
            </w:r>
          </w:p>
        </w:tc>
        <w:tc>
          <w:tcPr>
            <w:tcW w:w="0" w:type="auto"/>
            <w:tcBorders>
              <w:top w:val="nil"/>
              <w:left w:val="nil"/>
              <w:bottom w:val="nil"/>
              <w:right w:val="nil"/>
            </w:tcBorders>
            <w:shd w:val="clear" w:color="auto" w:fill="auto"/>
            <w:noWrap/>
            <w:vAlign w:val="center"/>
          </w:tcPr>
          <w:p w14:paraId="087EC00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0.427</w:t>
            </w:r>
          </w:p>
        </w:tc>
        <w:tc>
          <w:tcPr>
            <w:tcW w:w="780" w:type="dxa"/>
            <w:tcBorders>
              <w:top w:val="nil"/>
              <w:left w:val="nil"/>
              <w:bottom w:val="nil"/>
              <w:right w:val="double" w:sz="6" w:space="0" w:color="auto"/>
            </w:tcBorders>
            <w:shd w:val="clear" w:color="auto" w:fill="auto"/>
            <w:noWrap/>
            <w:vAlign w:val="center"/>
          </w:tcPr>
          <w:p w14:paraId="01998E7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6.19</w:t>
            </w:r>
          </w:p>
        </w:tc>
      </w:tr>
      <w:tr w:rsidR="00EB34D7" w:rsidRPr="007A50A5" w14:paraId="55110DB9" w14:textId="77777777" w:rsidTr="00715FB2">
        <w:trPr>
          <w:trHeight w:val="288"/>
          <w:jc w:val="center"/>
        </w:trPr>
        <w:tc>
          <w:tcPr>
            <w:tcW w:w="4279" w:type="dxa"/>
            <w:tcBorders>
              <w:top w:val="nil"/>
              <w:left w:val="double" w:sz="6" w:space="0" w:color="auto"/>
              <w:bottom w:val="nil"/>
              <w:right w:val="nil"/>
            </w:tcBorders>
            <w:shd w:val="clear" w:color="auto" w:fill="auto"/>
            <w:noWrap/>
            <w:vAlign w:val="center"/>
            <w:hideMark/>
          </w:tcPr>
          <w:p w14:paraId="2AAE96B3" w14:textId="77777777" w:rsidR="00EB34D7" w:rsidRPr="007A50A5" w:rsidRDefault="00EB34D7" w:rsidP="00715FB2">
            <w:pPr>
              <w:spacing w:line="240" w:lineRule="auto"/>
              <w:jc w:val="left"/>
              <w:rPr>
                <w:rFonts w:eastAsia="Times New Roman" w:cs="Times New Roman"/>
                <w:b/>
                <w:bCs/>
                <w:color w:val="000000"/>
                <w:sz w:val="20"/>
                <w:szCs w:val="20"/>
              </w:rPr>
            </w:pPr>
            <w:r w:rsidRPr="007A50A5">
              <w:rPr>
                <w:rFonts w:eastAsia="Times New Roman" w:cs="Times New Roman"/>
                <w:b/>
                <w:bCs/>
                <w:color w:val="000000"/>
                <w:sz w:val="20"/>
                <w:szCs w:val="20"/>
              </w:rPr>
              <w:t>Tech-savviness</w:t>
            </w:r>
          </w:p>
        </w:tc>
        <w:tc>
          <w:tcPr>
            <w:tcW w:w="0" w:type="auto"/>
            <w:tcBorders>
              <w:top w:val="nil"/>
              <w:left w:val="double" w:sz="6" w:space="0" w:color="auto"/>
              <w:bottom w:val="nil"/>
              <w:right w:val="nil"/>
            </w:tcBorders>
            <w:shd w:val="clear" w:color="auto" w:fill="auto"/>
            <w:vAlign w:val="center"/>
          </w:tcPr>
          <w:p w14:paraId="06D82660"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2D44E01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465549BD"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50FAB5C5"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3D1C25CD"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double" w:sz="6" w:space="0" w:color="auto"/>
            </w:tcBorders>
            <w:shd w:val="clear" w:color="auto" w:fill="auto"/>
            <w:noWrap/>
            <w:vAlign w:val="center"/>
          </w:tcPr>
          <w:p w14:paraId="7BE2FE23"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4E3C8EA8"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double" w:sz="6" w:space="0" w:color="auto"/>
            </w:tcBorders>
            <w:shd w:val="clear" w:color="auto" w:fill="auto"/>
            <w:noWrap/>
            <w:vAlign w:val="center"/>
          </w:tcPr>
          <w:p w14:paraId="0439AC4F"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33940E0B" w14:textId="77777777" w:rsidR="00EB34D7" w:rsidRPr="007A50A5" w:rsidRDefault="00EB34D7" w:rsidP="005A3FCB">
            <w:pPr>
              <w:spacing w:line="240" w:lineRule="auto"/>
              <w:jc w:val="center"/>
              <w:rPr>
                <w:rFonts w:eastAsia="Times New Roman" w:cs="Times New Roman"/>
                <w:color w:val="000000"/>
                <w:sz w:val="20"/>
                <w:szCs w:val="20"/>
              </w:rPr>
            </w:pPr>
          </w:p>
        </w:tc>
        <w:tc>
          <w:tcPr>
            <w:tcW w:w="780" w:type="dxa"/>
            <w:tcBorders>
              <w:top w:val="nil"/>
              <w:left w:val="nil"/>
              <w:bottom w:val="nil"/>
              <w:right w:val="double" w:sz="6" w:space="0" w:color="auto"/>
            </w:tcBorders>
            <w:shd w:val="clear" w:color="auto" w:fill="auto"/>
            <w:noWrap/>
            <w:vAlign w:val="center"/>
          </w:tcPr>
          <w:p w14:paraId="51EB9071" w14:textId="77777777" w:rsidR="00EB34D7" w:rsidRPr="007A50A5" w:rsidRDefault="00EB34D7" w:rsidP="005A3FCB">
            <w:pPr>
              <w:spacing w:line="240" w:lineRule="auto"/>
              <w:jc w:val="center"/>
              <w:rPr>
                <w:rFonts w:eastAsia="Times New Roman" w:cs="Times New Roman"/>
                <w:color w:val="000000"/>
                <w:sz w:val="20"/>
                <w:szCs w:val="20"/>
              </w:rPr>
            </w:pPr>
          </w:p>
        </w:tc>
      </w:tr>
      <w:tr w:rsidR="00EB34D7" w:rsidRPr="007A50A5" w14:paraId="23AC74C1" w14:textId="77777777" w:rsidTr="00715FB2">
        <w:trPr>
          <w:trHeight w:val="288"/>
          <w:jc w:val="center"/>
        </w:trPr>
        <w:tc>
          <w:tcPr>
            <w:tcW w:w="4279" w:type="dxa"/>
            <w:tcBorders>
              <w:top w:val="nil"/>
              <w:left w:val="double" w:sz="6" w:space="0" w:color="auto"/>
              <w:bottom w:val="nil"/>
              <w:right w:val="nil"/>
            </w:tcBorders>
            <w:shd w:val="clear" w:color="auto" w:fill="auto"/>
            <w:vAlign w:val="center"/>
            <w:hideMark/>
          </w:tcPr>
          <w:p w14:paraId="0A4867C6"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 xml:space="preserve">I frequently use online banking services </w:t>
            </w:r>
          </w:p>
        </w:tc>
        <w:tc>
          <w:tcPr>
            <w:tcW w:w="0" w:type="auto"/>
            <w:tcBorders>
              <w:top w:val="nil"/>
              <w:left w:val="double" w:sz="6" w:space="0" w:color="auto"/>
              <w:bottom w:val="nil"/>
              <w:right w:val="nil"/>
            </w:tcBorders>
            <w:shd w:val="clear" w:color="auto" w:fill="auto"/>
            <w:noWrap/>
            <w:vAlign w:val="center"/>
          </w:tcPr>
          <w:p w14:paraId="16C1CA2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1.133</w:t>
            </w:r>
          </w:p>
        </w:tc>
        <w:tc>
          <w:tcPr>
            <w:tcW w:w="0" w:type="auto"/>
            <w:tcBorders>
              <w:top w:val="nil"/>
              <w:left w:val="nil"/>
              <w:bottom w:val="nil"/>
              <w:right w:val="nil"/>
            </w:tcBorders>
            <w:shd w:val="clear" w:color="auto" w:fill="auto"/>
            <w:noWrap/>
            <w:vAlign w:val="center"/>
          </w:tcPr>
          <w:p w14:paraId="237629D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8.67</w:t>
            </w:r>
          </w:p>
        </w:tc>
        <w:tc>
          <w:tcPr>
            <w:tcW w:w="0" w:type="auto"/>
            <w:tcBorders>
              <w:top w:val="nil"/>
              <w:left w:val="nil"/>
              <w:bottom w:val="nil"/>
              <w:right w:val="nil"/>
            </w:tcBorders>
            <w:shd w:val="clear" w:color="auto" w:fill="auto"/>
            <w:noWrap/>
            <w:vAlign w:val="center"/>
          </w:tcPr>
          <w:p w14:paraId="073002D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2.606</w:t>
            </w:r>
          </w:p>
        </w:tc>
        <w:tc>
          <w:tcPr>
            <w:tcW w:w="0" w:type="auto"/>
            <w:tcBorders>
              <w:top w:val="nil"/>
              <w:left w:val="nil"/>
              <w:bottom w:val="nil"/>
              <w:right w:val="nil"/>
            </w:tcBorders>
            <w:shd w:val="clear" w:color="auto" w:fill="auto"/>
            <w:noWrap/>
            <w:vAlign w:val="center"/>
          </w:tcPr>
          <w:p w14:paraId="57EA7F0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18.136</w:t>
            </w:r>
          </w:p>
        </w:tc>
        <w:tc>
          <w:tcPr>
            <w:tcW w:w="0" w:type="auto"/>
            <w:tcBorders>
              <w:top w:val="nil"/>
              <w:left w:val="nil"/>
              <w:bottom w:val="nil"/>
              <w:right w:val="nil"/>
            </w:tcBorders>
            <w:shd w:val="clear" w:color="auto" w:fill="auto"/>
            <w:noWrap/>
            <w:vAlign w:val="center"/>
          </w:tcPr>
          <w:p w14:paraId="5A17DF7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4.099</w:t>
            </w:r>
          </w:p>
        </w:tc>
        <w:tc>
          <w:tcPr>
            <w:tcW w:w="0" w:type="auto"/>
            <w:tcBorders>
              <w:top w:val="nil"/>
              <w:left w:val="nil"/>
              <w:bottom w:val="nil"/>
              <w:right w:val="double" w:sz="6" w:space="0" w:color="auto"/>
            </w:tcBorders>
            <w:shd w:val="clear" w:color="auto" w:fill="auto"/>
            <w:noWrap/>
            <w:vAlign w:val="center"/>
          </w:tcPr>
          <w:p w14:paraId="60E5EE9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28.56</w:t>
            </w:r>
          </w:p>
        </w:tc>
        <w:tc>
          <w:tcPr>
            <w:tcW w:w="0" w:type="auto"/>
            <w:tcBorders>
              <w:top w:val="nil"/>
              <w:left w:val="nil"/>
              <w:bottom w:val="nil"/>
              <w:right w:val="nil"/>
            </w:tcBorders>
            <w:shd w:val="clear" w:color="auto" w:fill="auto"/>
            <w:noWrap/>
            <w:vAlign w:val="center"/>
          </w:tcPr>
          <w:p w14:paraId="6FFE0BF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2.559</w:t>
            </w:r>
          </w:p>
        </w:tc>
        <w:tc>
          <w:tcPr>
            <w:tcW w:w="0" w:type="auto"/>
            <w:tcBorders>
              <w:top w:val="nil"/>
              <w:left w:val="nil"/>
              <w:bottom w:val="nil"/>
              <w:right w:val="double" w:sz="6" w:space="0" w:color="auto"/>
            </w:tcBorders>
            <w:shd w:val="clear" w:color="auto" w:fill="auto"/>
            <w:noWrap/>
            <w:vAlign w:val="center"/>
          </w:tcPr>
          <w:p w14:paraId="001CD92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12.83</w:t>
            </w:r>
          </w:p>
        </w:tc>
        <w:tc>
          <w:tcPr>
            <w:tcW w:w="0" w:type="auto"/>
            <w:tcBorders>
              <w:top w:val="nil"/>
              <w:left w:val="nil"/>
              <w:bottom w:val="nil"/>
              <w:right w:val="nil"/>
            </w:tcBorders>
            <w:shd w:val="clear" w:color="auto" w:fill="auto"/>
            <w:noWrap/>
            <w:vAlign w:val="center"/>
          </w:tcPr>
          <w:p w14:paraId="6DC41E8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1.601</w:t>
            </w:r>
          </w:p>
        </w:tc>
        <w:tc>
          <w:tcPr>
            <w:tcW w:w="780" w:type="dxa"/>
            <w:tcBorders>
              <w:top w:val="nil"/>
              <w:left w:val="nil"/>
              <w:bottom w:val="nil"/>
              <w:right w:val="double" w:sz="6" w:space="0" w:color="auto"/>
            </w:tcBorders>
            <w:shd w:val="clear" w:color="auto" w:fill="auto"/>
            <w:noWrap/>
            <w:vAlign w:val="center"/>
          </w:tcPr>
          <w:p w14:paraId="17D363E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55.44</w:t>
            </w:r>
          </w:p>
        </w:tc>
      </w:tr>
      <w:tr w:rsidR="00EB34D7" w:rsidRPr="007A50A5" w14:paraId="508337AC" w14:textId="77777777" w:rsidTr="00715FB2">
        <w:trPr>
          <w:trHeight w:val="288"/>
          <w:jc w:val="center"/>
        </w:trPr>
        <w:tc>
          <w:tcPr>
            <w:tcW w:w="4279" w:type="dxa"/>
            <w:tcBorders>
              <w:top w:val="nil"/>
              <w:left w:val="double" w:sz="6" w:space="0" w:color="auto"/>
              <w:bottom w:val="nil"/>
              <w:right w:val="nil"/>
            </w:tcBorders>
            <w:shd w:val="clear" w:color="auto" w:fill="auto"/>
            <w:vAlign w:val="center"/>
            <w:hideMark/>
          </w:tcPr>
          <w:p w14:paraId="2A07CFCE"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 xml:space="preserve">I frequently purchase products online </w:t>
            </w:r>
          </w:p>
        </w:tc>
        <w:tc>
          <w:tcPr>
            <w:tcW w:w="0" w:type="auto"/>
            <w:tcBorders>
              <w:top w:val="nil"/>
              <w:left w:val="double" w:sz="6" w:space="0" w:color="auto"/>
              <w:bottom w:val="nil"/>
              <w:right w:val="nil"/>
            </w:tcBorders>
            <w:shd w:val="clear" w:color="auto" w:fill="auto"/>
            <w:noWrap/>
            <w:vAlign w:val="center"/>
          </w:tcPr>
          <w:p w14:paraId="08BBD473"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0.506</w:t>
            </w:r>
          </w:p>
        </w:tc>
        <w:tc>
          <w:tcPr>
            <w:tcW w:w="0" w:type="auto"/>
            <w:tcBorders>
              <w:top w:val="nil"/>
              <w:left w:val="nil"/>
              <w:bottom w:val="nil"/>
              <w:right w:val="nil"/>
            </w:tcBorders>
            <w:shd w:val="clear" w:color="auto" w:fill="auto"/>
            <w:noWrap/>
            <w:vAlign w:val="center"/>
          </w:tcPr>
          <w:p w14:paraId="28D2059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6.475</w:t>
            </w:r>
          </w:p>
        </w:tc>
        <w:tc>
          <w:tcPr>
            <w:tcW w:w="0" w:type="auto"/>
            <w:tcBorders>
              <w:top w:val="nil"/>
              <w:left w:val="nil"/>
              <w:bottom w:val="nil"/>
              <w:right w:val="nil"/>
            </w:tcBorders>
            <w:shd w:val="clear" w:color="auto" w:fill="auto"/>
            <w:noWrap/>
            <w:vAlign w:val="center"/>
          </w:tcPr>
          <w:p w14:paraId="1C2E169A"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1.017</w:t>
            </w:r>
          </w:p>
        </w:tc>
        <w:tc>
          <w:tcPr>
            <w:tcW w:w="0" w:type="auto"/>
            <w:tcBorders>
              <w:top w:val="nil"/>
              <w:left w:val="nil"/>
              <w:bottom w:val="nil"/>
              <w:right w:val="nil"/>
            </w:tcBorders>
            <w:shd w:val="clear" w:color="auto" w:fill="auto"/>
            <w:noWrap/>
            <w:vAlign w:val="center"/>
          </w:tcPr>
          <w:p w14:paraId="2F25DF1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11.17</w:t>
            </w:r>
          </w:p>
        </w:tc>
        <w:tc>
          <w:tcPr>
            <w:tcW w:w="0" w:type="auto"/>
            <w:tcBorders>
              <w:top w:val="nil"/>
              <w:left w:val="nil"/>
              <w:bottom w:val="nil"/>
              <w:right w:val="nil"/>
            </w:tcBorders>
            <w:shd w:val="clear" w:color="auto" w:fill="auto"/>
            <w:noWrap/>
            <w:vAlign w:val="center"/>
          </w:tcPr>
          <w:p w14:paraId="5AED858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1.849</w:t>
            </w:r>
          </w:p>
        </w:tc>
        <w:tc>
          <w:tcPr>
            <w:tcW w:w="0" w:type="auto"/>
            <w:tcBorders>
              <w:top w:val="nil"/>
              <w:left w:val="nil"/>
              <w:bottom w:val="nil"/>
              <w:right w:val="double" w:sz="6" w:space="0" w:color="auto"/>
            </w:tcBorders>
            <w:shd w:val="clear" w:color="auto" w:fill="auto"/>
            <w:noWrap/>
            <w:vAlign w:val="center"/>
          </w:tcPr>
          <w:p w14:paraId="65292B2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19.27</w:t>
            </w:r>
          </w:p>
        </w:tc>
        <w:tc>
          <w:tcPr>
            <w:tcW w:w="0" w:type="auto"/>
            <w:tcBorders>
              <w:top w:val="nil"/>
              <w:left w:val="nil"/>
              <w:bottom w:val="nil"/>
              <w:right w:val="nil"/>
            </w:tcBorders>
            <w:shd w:val="clear" w:color="auto" w:fill="auto"/>
            <w:noWrap/>
            <w:vAlign w:val="center"/>
          </w:tcPr>
          <w:p w14:paraId="7769EC4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1.861</w:t>
            </w:r>
          </w:p>
        </w:tc>
        <w:tc>
          <w:tcPr>
            <w:tcW w:w="0" w:type="auto"/>
            <w:tcBorders>
              <w:top w:val="nil"/>
              <w:left w:val="nil"/>
              <w:bottom w:val="nil"/>
              <w:right w:val="double" w:sz="6" w:space="0" w:color="auto"/>
            </w:tcBorders>
            <w:shd w:val="clear" w:color="auto" w:fill="auto"/>
            <w:noWrap/>
            <w:vAlign w:val="center"/>
          </w:tcPr>
          <w:p w14:paraId="35997F7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14.69</w:t>
            </w:r>
          </w:p>
        </w:tc>
        <w:tc>
          <w:tcPr>
            <w:tcW w:w="0" w:type="auto"/>
            <w:tcBorders>
              <w:top w:val="nil"/>
              <w:left w:val="nil"/>
              <w:bottom w:val="nil"/>
              <w:right w:val="nil"/>
            </w:tcBorders>
            <w:shd w:val="clear" w:color="auto" w:fill="auto"/>
            <w:noWrap/>
            <w:vAlign w:val="center"/>
          </w:tcPr>
          <w:p w14:paraId="5CBAAF0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0.681</w:t>
            </w:r>
          </w:p>
        </w:tc>
        <w:tc>
          <w:tcPr>
            <w:tcW w:w="780" w:type="dxa"/>
            <w:tcBorders>
              <w:top w:val="nil"/>
              <w:left w:val="nil"/>
              <w:bottom w:val="nil"/>
              <w:right w:val="double" w:sz="6" w:space="0" w:color="auto"/>
            </w:tcBorders>
            <w:shd w:val="clear" w:color="auto" w:fill="auto"/>
            <w:noWrap/>
            <w:vAlign w:val="center"/>
          </w:tcPr>
          <w:p w14:paraId="00DA448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26.15</w:t>
            </w:r>
          </w:p>
        </w:tc>
      </w:tr>
      <w:tr w:rsidR="00EB34D7" w:rsidRPr="007A50A5" w14:paraId="0F11E489" w14:textId="77777777" w:rsidTr="00715FB2">
        <w:trPr>
          <w:trHeight w:val="288"/>
          <w:jc w:val="center"/>
        </w:trPr>
        <w:tc>
          <w:tcPr>
            <w:tcW w:w="4279" w:type="dxa"/>
            <w:tcBorders>
              <w:top w:val="nil"/>
              <w:left w:val="double" w:sz="6" w:space="0" w:color="auto"/>
              <w:bottom w:val="nil"/>
              <w:right w:val="nil"/>
            </w:tcBorders>
            <w:shd w:val="clear" w:color="auto" w:fill="auto"/>
            <w:vAlign w:val="center"/>
            <w:hideMark/>
          </w:tcPr>
          <w:p w14:paraId="54FB9268"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 xml:space="preserve">Learning how to use new smartphone apps is easy for me </w:t>
            </w:r>
          </w:p>
        </w:tc>
        <w:tc>
          <w:tcPr>
            <w:tcW w:w="0" w:type="auto"/>
            <w:tcBorders>
              <w:top w:val="nil"/>
              <w:left w:val="double" w:sz="6" w:space="0" w:color="auto"/>
              <w:bottom w:val="nil"/>
              <w:right w:val="nil"/>
            </w:tcBorders>
            <w:shd w:val="clear" w:color="auto" w:fill="auto"/>
            <w:noWrap/>
            <w:vAlign w:val="center"/>
          </w:tcPr>
          <w:p w14:paraId="522C8BA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1.138</w:t>
            </w:r>
          </w:p>
        </w:tc>
        <w:tc>
          <w:tcPr>
            <w:tcW w:w="0" w:type="auto"/>
            <w:tcBorders>
              <w:top w:val="nil"/>
              <w:left w:val="nil"/>
              <w:bottom w:val="nil"/>
              <w:right w:val="nil"/>
            </w:tcBorders>
            <w:shd w:val="clear" w:color="auto" w:fill="auto"/>
            <w:noWrap/>
            <w:vAlign w:val="center"/>
          </w:tcPr>
          <w:p w14:paraId="11F75B4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9.685</w:t>
            </w:r>
          </w:p>
        </w:tc>
        <w:tc>
          <w:tcPr>
            <w:tcW w:w="0" w:type="auto"/>
            <w:tcBorders>
              <w:top w:val="nil"/>
              <w:left w:val="nil"/>
              <w:bottom w:val="nil"/>
              <w:right w:val="nil"/>
            </w:tcBorders>
            <w:shd w:val="clear" w:color="auto" w:fill="auto"/>
            <w:noWrap/>
            <w:vAlign w:val="center"/>
          </w:tcPr>
          <w:p w14:paraId="59751D5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1.993</w:t>
            </w:r>
          </w:p>
        </w:tc>
        <w:tc>
          <w:tcPr>
            <w:tcW w:w="0" w:type="auto"/>
            <w:tcBorders>
              <w:top w:val="nil"/>
              <w:left w:val="nil"/>
              <w:bottom w:val="nil"/>
              <w:right w:val="nil"/>
            </w:tcBorders>
            <w:shd w:val="clear" w:color="auto" w:fill="auto"/>
            <w:noWrap/>
            <w:vAlign w:val="center"/>
          </w:tcPr>
          <w:p w14:paraId="7CF4549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16.22</w:t>
            </w:r>
          </w:p>
        </w:tc>
        <w:tc>
          <w:tcPr>
            <w:tcW w:w="0" w:type="auto"/>
            <w:tcBorders>
              <w:top w:val="nil"/>
              <w:left w:val="nil"/>
              <w:bottom w:val="nil"/>
              <w:right w:val="nil"/>
            </w:tcBorders>
            <w:shd w:val="clear" w:color="auto" w:fill="auto"/>
            <w:noWrap/>
            <w:vAlign w:val="center"/>
          </w:tcPr>
          <w:p w14:paraId="445D526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2.859</w:t>
            </w:r>
          </w:p>
        </w:tc>
        <w:tc>
          <w:tcPr>
            <w:tcW w:w="0" w:type="auto"/>
            <w:tcBorders>
              <w:top w:val="nil"/>
              <w:left w:val="nil"/>
              <w:bottom w:val="nil"/>
              <w:right w:val="double" w:sz="6" w:space="0" w:color="auto"/>
            </w:tcBorders>
            <w:shd w:val="clear" w:color="auto" w:fill="auto"/>
            <w:noWrap/>
            <w:vAlign w:val="center"/>
          </w:tcPr>
          <w:p w14:paraId="4B304DA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23.18</w:t>
            </w:r>
          </w:p>
        </w:tc>
        <w:tc>
          <w:tcPr>
            <w:tcW w:w="0" w:type="auto"/>
            <w:tcBorders>
              <w:top w:val="nil"/>
              <w:left w:val="nil"/>
              <w:bottom w:val="nil"/>
              <w:right w:val="nil"/>
            </w:tcBorders>
            <w:shd w:val="clear" w:color="auto" w:fill="auto"/>
            <w:noWrap/>
            <w:vAlign w:val="center"/>
          </w:tcPr>
          <w:p w14:paraId="171FFE0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2.255</w:t>
            </w:r>
          </w:p>
        </w:tc>
        <w:tc>
          <w:tcPr>
            <w:tcW w:w="0" w:type="auto"/>
            <w:tcBorders>
              <w:top w:val="nil"/>
              <w:left w:val="nil"/>
              <w:bottom w:val="nil"/>
              <w:right w:val="double" w:sz="6" w:space="0" w:color="auto"/>
            </w:tcBorders>
            <w:shd w:val="clear" w:color="auto" w:fill="auto"/>
            <w:noWrap/>
            <w:vAlign w:val="center"/>
          </w:tcPr>
          <w:p w14:paraId="416002E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15.08</w:t>
            </w:r>
          </w:p>
        </w:tc>
        <w:tc>
          <w:tcPr>
            <w:tcW w:w="0" w:type="auto"/>
            <w:tcBorders>
              <w:top w:val="nil"/>
              <w:left w:val="nil"/>
              <w:bottom w:val="nil"/>
              <w:right w:val="nil"/>
            </w:tcBorders>
            <w:shd w:val="clear" w:color="auto" w:fill="auto"/>
            <w:noWrap/>
            <w:vAlign w:val="center"/>
          </w:tcPr>
          <w:p w14:paraId="1B5CBEB3"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0.787</w:t>
            </w:r>
          </w:p>
        </w:tc>
        <w:tc>
          <w:tcPr>
            <w:tcW w:w="780" w:type="dxa"/>
            <w:tcBorders>
              <w:top w:val="nil"/>
              <w:left w:val="nil"/>
              <w:bottom w:val="nil"/>
              <w:right w:val="double" w:sz="6" w:space="0" w:color="auto"/>
            </w:tcBorders>
            <w:shd w:val="clear" w:color="auto" w:fill="auto"/>
            <w:noWrap/>
            <w:vAlign w:val="center"/>
          </w:tcPr>
          <w:p w14:paraId="500C9DE3"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30.61</w:t>
            </w:r>
          </w:p>
        </w:tc>
      </w:tr>
      <w:tr w:rsidR="00EB34D7" w:rsidRPr="007A50A5" w14:paraId="47826B17" w14:textId="77777777" w:rsidTr="00715FB2">
        <w:trPr>
          <w:trHeight w:val="432"/>
          <w:jc w:val="center"/>
        </w:trPr>
        <w:tc>
          <w:tcPr>
            <w:tcW w:w="4279" w:type="dxa"/>
            <w:tcBorders>
              <w:top w:val="nil"/>
              <w:left w:val="double" w:sz="6" w:space="0" w:color="auto"/>
              <w:bottom w:val="nil"/>
              <w:right w:val="nil"/>
            </w:tcBorders>
            <w:shd w:val="clear" w:color="auto" w:fill="auto"/>
            <w:noWrap/>
            <w:vAlign w:val="center"/>
            <w:hideMark/>
          </w:tcPr>
          <w:p w14:paraId="3C7911CB" w14:textId="77777777" w:rsidR="00EB34D7" w:rsidRPr="007A50A5" w:rsidRDefault="00EB34D7" w:rsidP="00715FB2">
            <w:pPr>
              <w:spacing w:line="240" w:lineRule="auto"/>
              <w:jc w:val="left"/>
              <w:rPr>
                <w:rFonts w:eastAsia="Times New Roman" w:cs="Times New Roman"/>
                <w:b/>
                <w:bCs/>
                <w:color w:val="000000"/>
                <w:sz w:val="20"/>
                <w:szCs w:val="20"/>
              </w:rPr>
            </w:pPr>
            <w:r w:rsidRPr="007A50A5">
              <w:rPr>
                <w:rFonts w:eastAsia="Times New Roman" w:cs="Times New Roman"/>
                <w:b/>
                <w:bCs/>
                <w:color w:val="000000"/>
                <w:sz w:val="20"/>
                <w:szCs w:val="20"/>
              </w:rPr>
              <w:t>Variety-seeking lifestyle propensity (VSLP)</w:t>
            </w:r>
          </w:p>
        </w:tc>
        <w:tc>
          <w:tcPr>
            <w:tcW w:w="0" w:type="auto"/>
            <w:tcBorders>
              <w:top w:val="nil"/>
              <w:left w:val="double" w:sz="6" w:space="0" w:color="auto"/>
              <w:bottom w:val="nil"/>
              <w:right w:val="nil"/>
            </w:tcBorders>
            <w:shd w:val="clear" w:color="auto" w:fill="auto"/>
            <w:noWrap/>
            <w:vAlign w:val="center"/>
          </w:tcPr>
          <w:p w14:paraId="0BAC712A" w14:textId="77777777" w:rsidR="00EB34D7" w:rsidRPr="007A50A5" w:rsidRDefault="00EB34D7" w:rsidP="005A3FCB">
            <w:pPr>
              <w:spacing w:line="240" w:lineRule="auto"/>
              <w:jc w:val="center"/>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center"/>
          </w:tcPr>
          <w:p w14:paraId="717E189E" w14:textId="77777777" w:rsidR="00EB34D7" w:rsidRPr="007A50A5" w:rsidRDefault="00EB34D7" w:rsidP="005A3FCB">
            <w:pPr>
              <w:spacing w:line="240" w:lineRule="auto"/>
              <w:jc w:val="center"/>
              <w:rPr>
                <w:rFonts w:eastAsia="Times New Roman" w:cs="Times New Roman"/>
                <w:b/>
                <w:bCs/>
                <w:color w:val="000000"/>
                <w:sz w:val="20"/>
                <w:szCs w:val="20"/>
              </w:rPr>
            </w:pPr>
          </w:p>
        </w:tc>
        <w:tc>
          <w:tcPr>
            <w:tcW w:w="0" w:type="auto"/>
            <w:tcBorders>
              <w:top w:val="nil"/>
              <w:left w:val="nil"/>
              <w:bottom w:val="nil"/>
              <w:right w:val="nil"/>
            </w:tcBorders>
            <w:shd w:val="clear" w:color="auto" w:fill="auto"/>
            <w:noWrap/>
            <w:vAlign w:val="center"/>
          </w:tcPr>
          <w:p w14:paraId="0D8366BA"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0508B4D5"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3A0DF8E4"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double" w:sz="6" w:space="0" w:color="auto"/>
            </w:tcBorders>
            <w:shd w:val="clear" w:color="auto" w:fill="auto"/>
            <w:noWrap/>
            <w:vAlign w:val="center"/>
          </w:tcPr>
          <w:p w14:paraId="45120E6E"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60C0765D"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double" w:sz="6" w:space="0" w:color="auto"/>
            </w:tcBorders>
            <w:shd w:val="clear" w:color="auto" w:fill="auto"/>
            <w:noWrap/>
            <w:vAlign w:val="center"/>
          </w:tcPr>
          <w:p w14:paraId="5289B6E9"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083ADC6B" w14:textId="77777777" w:rsidR="00EB34D7" w:rsidRPr="007A50A5" w:rsidRDefault="00EB34D7" w:rsidP="005A3FCB">
            <w:pPr>
              <w:spacing w:line="240" w:lineRule="auto"/>
              <w:jc w:val="center"/>
              <w:rPr>
                <w:rFonts w:eastAsia="Times New Roman" w:cs="Times New Roman"/>
                <w:color w:val="000000"/>
                <w:sz w:val="20"/>
                <w:szCs w:val="20"/>
              </w:rPr>
            </w:pPr>
          </w:p>
        </w:tc>
        <w:tc>
          <w:tcPr>
            <w:tcW w:w="780" w:type="dxa"/>
            <w:tcBorders>
              <w:top w:val="nil"/>
              <w:left w:val="nil"/>
              <w:bottom w:val="nil"/>
              <w:right w:val="double" w:sz="6" w:space="0" w:color="auto"/>
            </w:tcBorders>
            <w:shd w:val="clear" w:color="auto" w:fill="auto"/>
            <w:noWrap/>
            <w:vAlign w:val="center"/>
          </w:tcPr>
          <w:p w14:paraId="5526AB31" w14:textId="77777777" w:rsidR="00EB34D7" w:rsidRPr="007A50A5" w:rsidRDefault="00EB34D7" w:rsidP="005A3FCB">
            <w:pPr>
              <w:spacing w:line="240" w:lineRule="auto"/>
              <w:jc w:val="center"/>
              <w:rPr>
                <w:rFonts w:eastAsia="Times New Roman" w:cs="Times New Roman"/>
                <w:color w:val="000000"/>
                <w:sz w:val="20"/>
                <w:szCs w:val="20"/>
              </w:rPr>
            </w:pPr>
          </w:p>
        </w:tc>
      </w:tr>
      <w:tr w:rsidR="00EB34D7" w:rsidRPr="007A50A5" w14:paraId="2CF2014D" w14:textId="77777777" w:rsidTr="00715FB2">
        <w:trPr>
          <w:trHeight w:val="432"/>
          <w:jc w:val="center"/>
        </w:trPr>
        <w:tc>
          <w:tcPr>
            <w:tcW w:w="4279" w:type="dxa"/>
            <w:tcBorders>
              <w:top w:val="nil"/>
              <w:left w:val="double" w:sz="6" w:space="0" w:color="auto"/>
              <w:bottom w:val="nil"/>
              <w:right w:val="nil"/>
            </w:tcBorders>
            <w:shd w:val="clear" w:color="auto" w:fill="auto"/>
            <w:vAlign w:val="center"/>
            <w:hideMark/>
          </w:tcPr>
          <w:p w14:paraId="71532798"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I think it is important to have all sorts of new experiences and I am always trying new things</w:t>
            </w:r>
          </w:p>
        </w:tc>
        <w:tc>
          <w:tcPr>
            <w:tcW w:w="0" w:type="auto"/>
            <w:tcBorders>
              <w:top w:val="nil"/>
              <w:left w:val="double" w:sz="6" w:space="0" w:color="auto"/>
              <w:bottom w:val="nil"/>
              <w:right w:val="nil"/>
            </w:tcBorders>
            <w:shd w:val="clear" w:color="auto" w:fill="auto"/>
            <w:noWrap/>
            <w:vAlign w:val="center"/>
          </w:tcPr>
          <w:p w14:paraId="1E22F50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1.159</w:t>
            </w:r>
          </w:p>
        </w:tc>
        <w:tc>
          <w:tcPr>
            <w:tcW w:w="0" w:type="auto"/>
            <w:tcBorders>
              <w:top w:val="nil"/>
              <w:left w:val="nil"/>
              <w:bottom w:val="nil"/>
              <w:right w:val="nil"/>
            </w:tcBorders>
            <w:shd w:val="clear" w:color="auto" w:fill="auto"/>
            <w:noWrap/>
            <w:vAlign w:val="center"/>
          </w:tcPr>
          <w:p w14:paraId="3E1F868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13.78</w:t>
            </w:r>
          </w:p>
        </w:tc>
        <w:tc>
          <w:tcPr>
            <w:tcW w:w="0" w:type="auto"/>
            <w:tcBorders>
              <w:top w:val="nil"/>
              <w:left w:val="nil"/>
              <w:bottom w:val="nil"/>
              <w:right w:val="nil"/>
            </w:tcBorders>
            <w:shd w:val="clear" w:color="auto" w:fill="auto"/>
            <w:noWrap/>
            <w:vAlign w:val="center"/>
          </w:tcPr>
          <w:p w14:paraId="5A78D99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2.374</w:t>
            </w:r>
          </w:p>
        </w:tc>
        <w:tc>
          <w:tcPr>
            <w:tcW w:w="0" w:type="auto"/>
            <w:tcBorders>
              <w:top w:val="nil"/>
              <w:left w:val="nil"/>
              <w:bottom w:val="nil"/>
              <w:right w:val="nil"/>
            </w:tcBorders>
            <w:shd w:val="clear" w:color="auto" w:fill="auto"/>
            <w:noWrap/>
            <w:vAlign w:val="center"/>
          </w:tcPr>
          <w:p w14:paraId="6940229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26.41</w:t>
            </w:r>
          </w:p>
        </w:tc>
        <w:tc>
          <w:tcPr>
            <w:tcW w:w="0" w:type="auto"/>
            <w:tcBorders>
              <w:top w:val="nil"/>
              <w:left w:val="nil"/>
              <w:bottom w:val="nil"/>
              <w:right w:val="nil"/>
            </w:tcBorders>
            <w:shd w:val="clear" w:color="auto" w:fill="auto"/>
            <w:noWrap/>
            <w:vAlign w:val="center"/>
          </w:tcPr>
          <w:p w14:paraId="5C7BBF3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3.676</w:t>
            </w:r>
          </w:p>
        </w:tc>
        <w:tc>
          <w:tcPr>
            <w:tcW w:w="0" w:type="auto"/>
            <w:tcBorders>
              <w:top w:val="nil"/>
              <w:left w:val="nil"/>
              <w:bottom w:val="nil"/>
              <w:right w:val="double" w:sz="6" w:space="0" w:color="auto"/>
            </w:tcBorders>
            <w:shd w:val="clear" w:color="auto" w:fill="auto"/>
            <w:noWrap/>
            <w:vAlign w:val="center"/>
          </w:tcPr>
          <w:p w14:paraId="1262877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35.80</w:t>
            </w:r>
          </w:p>
        </w:tc>
        <w:tc>
          <w:tcPr>
            <w:tcW w:w="0" w:type="auto"/>
            <w:tcBorders>
              <w:top w:val="nil"/>
              <w:left w:val="nil"/>
              <w:bottom w:val="nil"/>
              <w:right w:val="nil"/>
            </w:tcBorders>
            <w:shd w:val="clear" w:color="auto" w:fill="auto"/>
            <w:noWrap/>
            <w:vAlign w:val="center"/>
          </w:tcPr>
          <w:p w14:paraId="68F3400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2.631</w:t>
            </w:r>
          </w:p>
        </w:tc>
        <w:tc>
          <w:tcPr>
            <w:tcW w:w="0" w:type="auto"/>
            <w:tcBorders>
              <w:top w:val="nil"/>
              <w:left w:val="nil"/>
              <w:bottom w:val="nil"/>
              <w:right w:val="double" w:sz="6" w:space="0" w:color="auto"/>
            </w:tcBorders>
            <w:shd w:val="clear" w:color="auto" w:fill="auto"/>
            <w:noWrap/>
            <w:vAlign w:val="center"/>
          </w:tcPr>
          <w:p w14:paraId="56EB88E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19.33</w:t>
            </w:r>
          </w:p>
        </w:tc>
        <w:tc>
          <w:tcPr>
            <w:tcW w:w="0" w:type="auto"/>
            <w:tcBorders>
              <w:top w:val="nil"/>
              <w:left w:val="nil"/>
              <w:bottom w:val="nil"/>
              <w:right w:val="nil"/>
            </w:tcBorders>
            <w:shd w:val="clear" w:color="auto" w:fill="auto"/>
            <w:noWrap/>
            <w:vAlign w:val="center"/>
          </w:tcPr>
          <w:p w14:paraId="24EF1F1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0.930</w:t>
            </w:r>
          </w:p>
        </w:tc>
        <w:tc>
          <w:tcPr>
            <w:tcW w:w="780" w:type="dxa"/>
            <w:tcBorders>
              <w:top w:val="nil"/>
              <w:left w:val="nil"/>
              <w:bottom w:val="nil"/>
              <w:right w:val="double" w:sz="6" w:space="0" w:color="auto"/>
            </w:tcBorders>
            <w:shd w:val="clear" w:color="auto" w:fill="auto"/>
            <w:noWrap/>
            <w:vAlign w:val="center"/>
          </w:tcPr>
          <w:p w14:paraId="048993A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22.40</w:t>
            </w:r>
          </w:p>
        </w:tc>
      </w:tr>
      <w:tr w:rsidR="00EB34D7" w:rsidRPr="007A50A5" w14:paraId="167B7CA5" w14:textId="77777777" w:rsidTr="00715FB2">
        <w:trPr>
          <w:trHeight w:val="432"/>
          <w:jc w:val="center"/>
        </w:trPr>
        <w:tc>
          <w:tcPr>
            <w:tcW w:w="4279" w:type="dxa"/>
            <w:tcBorders>
              <w:top w:val="nil"/>
              <w:left w:val="double" w:sz="6" w:space="0" w:color="auto"/>
              <w:bottom w:val="nil"/>
              <w:right w:val="nil"/>
            </w:tcBorders>
            <w:shd w:val="clear" w:color="auto" w:fill="auto"/>
            <w:vAlign w:val="center"/>
            <w:hideMark/>
          </w:tcPr>
          <w:p w14:paraId="5B28B113"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Looking for adventures and taking risks is important to me</w:t>
            </w:r>
          </w:p>
        </w:tc>
        <w:tc>
          <w:tcPr>
            <w:tcW w:w="0" w:type="auto"/>
            <w:tcBorders>
              <w:top w:val="nil"/>
              <w:left w:val="double" w:sz="6" w:space="0" w:color="auto"/>
              <w:bottom w:val="nil"/>
              <w:right w:val="nil"/>
            </w:tcBorders>
            <w:shd w:val="clear" w:color="auto" w:fill="auto"/>
            <w:noWrap/>
            <w:vAlign w:val="center"/>
          </w:tcPr>
          <w:p w14:paraId="431E186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1.195</w:t>
            </w:r>
          </w:p>
        </w:tc>
        <w:tc>
          <w:tcPr>
            <w:tcW w:w="0" w:type="auto"/>
            <w:tcBorders>
              <w:top w:val="nil"/>
              <w:left w:val="nil"/>
              <w:bottom w:val="nil"/>
              <w:right w:val="nil"/>
            </w:tcBorders>
            <w:shd w:val="clear" w:color="auto" w:fill="auto"/>
            <w:noWrap/>
            <w:vAlign w:val="center"/>
          </w:tcPr>
          <w:p w14:paraId="749AA32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2.45</w:t>
            </w:r>
          </w:p>
        </w:tc>
        <w:tc>
          <w:tcPr>
            <w:tcW w:w="0" w:type="auto"/>
            <w:tcBorders>
              <w:top w:val="nil"/>
              <w:left w:val="nil"/>
              <w:bottom w:val="nil"/>
              <w:right w:val="nil"/>
            </w:tcBorders>
            <w:shd w:val="clear" w:color="auto" w:fill="auto"/>
            <w:noWrap/>
            <w:vAlign w:val="center"/>
          </w:tcPr>
          <w:p w14:paraId="6B71B51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2.468</w:t>
            </w:r>
          </w:p>
        </w:tc>
        <w:tc>
          <w:tcPr>
            <w:tcW w:w="0" w:type="auto"/>
            <w:tcBorders>
              <w:top w:val="nil"/>
              <w:left w:val="nil"/>
              <w:bottom w:val="nil"/>
              <w:right w:val="nil"/>
            </w:tcBorders>
            <w:shd w:val="clear" w:color="auto" w:fill="auto"/>
            <w:noWrap/>
            <w:vAlign w:val="center"/>
          </w:tcPr>
          <w:p w14:paraId="043CBD2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2.33</w:t>
            </w:r>
          </w:p>
        </w:tc>
        <w:tc>
          <w:tcPr>
            <w:tcW w:w="0" w:type="auto"/>
            <w:tcBorders>
              <w:top w:val="nil"/>
              <w:left w:val="nil"/>
              <w:bottom w:val="nil"/>
              <w:right w:val="nil"/>
            </w:tcBorders>
            <w:shd w:val="clear" w:color="auto" w:fill="auto"/>
            <w:noWrap/>
            <w:vAlign w:val="center"/>
          </w:tcPr>
          <w:p w14:paraId="2932130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3.834</w:t>
            </w:r>
          </w:p>
        </w:tc>
        <w:tc>
          <w:tcPr>
            <w:tcW w:w="0" w:type="auto"/>
            <w:tcBorders>
              <w:top w:val="nil"/>
              <w:left w:val="nil"/>
              <w:bottom w:val="nil"/>
              <w:right w:val="double" w:sz="6" w:space="0" w:color="auto"/>
            </w:tcBorders>
            <w:shd w:val="clear" w:color="auto" w:fill="auto"/>
            <w:noWrap/>
            <w:vAlign w:val="center"/>
          </w:tcPr>
          <w:p w14:paraId="0110EFC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2.17</w:t>
            </w:r>
          </w:p>
        </w:tc>
        <w:tc>
          <w:tcPr>
            <w:tcW w:w="0" w:type="auto"/>
            <w:tcBorders>
              <w:top w:val="nil"/>
              <w:left w:val="nil"/>
              <w:bottom w:val="nil"/>
              <w:right w:val="nil"/>
            </w:tcBorders>
            <w:shd w:val="clear" w:color="auto" w:fill="auto"/>
            <w:noWrap/>
            <w:vAlign w:val="center"/>
          </w:tcPr>
          <w:p w14:paraId="01CB5EE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1.739</w:t>
            </w:r>
          </w:p>
        </w:tc>
        <w:tc>
          <w:tcPr>
            <w:tcW w:w="0" w:type="auto"/>
            <w:tcBorders>
              <w:top w:val="nil"/>
              <w:left w:val="nil"/>
              <w:bottom w:val="nil"/>
              <w:right w:val="double" w:sz="6" w:space="0" w:color="auto"/>
            </w:tcBorders>
            <w:shd w:val="clear" w:color="auto" w:fill="auto"/>
            <w:noWrap/>
            <w:vAlign w:val="center"/>
          </w:tcPr>
          <w:p w14:paraId="720504A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2.67</w:t>
            </w:r>
          </w:p>
        </w:tc>
        <w:tc>
          <w:tcPr>
            <w:tcW w:w="0" w:type="auto"/>
            <w:tcBorders>
              <w:top w:val="nil"/>
              <w:left w:val="nil"/>
              <w:bottom w:val="nil"/>
              <w:right w:val="nil"/>
            </w:tcBorders>
            <w:shd w:val="clear" w:color="auto" w:fill="auto"/>
            <w:noWrap/>
            <w:vAlign w:val="center"/>
          </w:tcPr>
          <w:p w14:paraId="458FA71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1.033</w:t>
            </w:r>
          </w:p>
        </w:tc>
        <w:tc>
          <w:tcPr>
            <w:tcW w:w="780" w:type="dxa"/>
            <w:tcBorders>
              <w:top w:val="nil"/>
              <w:left w:val="nil"/>
              <w:bottom w:val="nil"/>
              <w:right w:val="double" w:sz="6" w:space="0" w:color="auto"/>
            </w:tcBorders>
            <w:shd w:val="clear" w:color="auto" w:fill="auto"/>
            <w:noWrap/>
            <w:vAlign w:val="center"/>
          </w:tcPr>
          <w:p w14:paraId="3309B54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23.83</w:t>
            </w:r>
          </w:p>
        </w:tc>
      </w:tr>
      <w:tr w:rsidR="00EB34D7" w:rsidRPr="007A50A5" w14:paraId="19C49F36" w14:textId="77777777" w:rsidTr="00715FB2">
        <w:trPr>
          <w:trHeight w:val="288"/>
          <w:jc w:val="center"/>
        </w:trPr>
        <w:tc>
          <w:tcPr>
            <w:tcW w:w="4279" w:type="dxa"/>
            <w:tcBorders>
              <w:top w:val="nil"/>
              <w:left w:val="double" w:sz="6" w:space="0" w:color="auto"/>
              <w:bottom w:val="nil"/>
              <w:right w:val="nil"/>
            </w:tcBorders>
            <w:shd w:val="clear" w:color="auto" w:fill="auto"/>
            <w:vAlign w:val="center"/>
            <w:hideMark/>
          </w:tcPr>
          <w:p w14:paraId="1A698D5A"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I love to try new products before anyone else</w:t>
            </w:r>
          </w:p>
        </w:tc>
        <w:tc>
          <w:tcPr>
            <w:tcW w:w="0" w:type="auto"/>
            <w:tcBorders>
              <w:top w:val="nil"/>
              <w:left w:val="double" w:sz="6" w:space="0" w:color="auto"/>
              <w:bottom w:val="nil"/>
              <w:right w:val="nil"/>
            </w:tcBorders>
            <w:shd w:val="clear" w:color="auto" w:fill="auto"/>
            <w:noWrap/>
            <w:vAlign w:val="center"/>
          </w:tcPr>
          <w:p w14:paraId="5E606D2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0.910</w:t>
            </w:r>
          </w:p>
        </w:tc>
        <w:tc>
          <w:tcPr>
            <w:tcW w:w="0" w:type="auto"/>
            <w:tcBorders>
              <w:top w:val="nil"/>
              <w:left w:val="nil"/>
              <w:bottom w:val="nil"/>
              <w:right w:val="nil"/>
            </w:tcBorders>
            <w:shd w:val="clear" w:color="auto" w:fill="auto"/>
            <w:noWrap/>
            <w:vAlign w:val="center"/>
          </w:tcPr>
          <w:p w14:paraId="3447E7CE"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6.67</w:t>
            </w:r>
          </w:p>
        </w:tc>
        <w:tc>
          <w:tcPr>
            <w:tcW w:w="0" w:type="auto"/>
            <w:tcBorders>
              <w:top w:val="nil"/>
              <w:left w:val="nil"/>
              <w:bottom w:val="nil"/>
              <w:right w:val="nil"/>
            </w:tcBorders>
            <w:shd w:val="clear" w:color="auto" w:fill="auto"/>
            <w:noWrap/>
            <w:vAlign w:val="center"/>
          </w:tcPr>
          <w:p w14:paraId="459488A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1.859</w:t>
            </w:r>
          </w:p>
        </w:tc>
        <w:tc>
          <w:tcPr>
            <w:tcW w:w="0" w:type="auto"/>
            <w:tcBorders>
              <w:top w:val="nil"/>
              <w:left w:val="nil"/>
              <w:bottom w:val="nil"/>
              <w:right w:val="nil"/>
            </w:tcBorders>
            <w:shd w:val="clear" w:color="auto" w:fill="auto"/>
            <w:noWrap/>
            <w:vAlign w:val="center"/>
          </w:tcPr>
          <w:p w14:paraId="6E4A443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7.37</w:t>
            </w:r>
          </w:p>
        </w:tc>
        <w:tc>
          <w:tcPr>
            <w:tcW w:w="0" w:type="auto"/>
            <w:tcBorders>
              <w:top w:val="nil"/>
              <w:left w:val="nil"/>
              <w:bottom w:val="nil"/>
              <w:right w:val="nil"/>
            </w:tcBorders>
            <w:shd w:val="clear" w:color="auto" w:fill="auto"/>
            <w:noWrap/>
            <w:vAlign w:val="center"/>
          </w:tcPr>
          <w:p w14:paraId="3227762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2.934</w:t>
            </w:r>
          </w:p>
        </w:tc>
        <w:tc>
          <w:tcPr>
            <w:tcW w:w="0" w:type="auto"/>
            <w:tcBorders>
              <w:top w:val="nil"/>
              <w:left w:val="nil"/>
              <w:bottom w:val="nil"/>
              <w:right w:val="double" w:sz="6" w:space="0" w:color="auto"/>
            </w:tcBorders>
            <w:shd w:val="clear" w:color="auto" w:fill="auto"/>
            <w:noWrap/>
            <w:vAlign w:val="center"/>
          </w:tcPr>
          <w:p w14:paraId="2EED7CC8"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7.38</w:t>
            </w:r>
          </w:p>
        </w:tc>
        <w:tc>
          <w:tcPr>
            <w:tcW w:w="0" w:type="auto"/>
            <w:tcBorders>
              <w:top w:val="nil"/>
              <w:left w:val="nil"/>
              <w:bottom w:val="nil"/>
              <w:right w:val="nil"/>
            </w:tcBorders>
            <w:shd w:val="clear" w:color="auto" w:fill="auto"/>
            <w:noWrap/>
            <w:vAlign w:val="center"/>
          </w:tcPr>
          <w:p w14:paraId="67D8D5BA"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1.908</w:t>
            </w:r>
          </w:p>
        </w:tc>
        <w:tc>
          <w:tcPr>
            <w:tcW w:w="0" w:type="auto"/>
            <w:tcBorders>
              <w:top w:val="nil"/>
              <w:left w:val="nil"/>
              <w:bottom w:val="nil"/>
              <w:right w:val="double" w:sz="6" w:space="0" w:color="auto"/>
            </w:tcBorders>
            <w:shd w:val="clear" w:color="auto" w:fill="auto"/>
            <w:noWrap/>
            <w:vAlign w:val="center"/>
          </w:tcPr>
          <w:p w14:paraId="048C2EF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6.88</w:t>
            </w:r>
          </w:p>
        </w:tc>
        <w:tc>
          <w:tcPr>
            <w:tcW w:w="0" w:type="auto"/>
            <w:tcBorders>
              <w:top w:val="nil"/>
              <w:left w:val="nil"/>
              <w:bottom w:val="nil"/>
              <w:right w:val="nil"/>
            </w:tcBorders>
            <w:shd w:val="clear" w:color="auto" w:fill="auto"/>
            <w:noWrap/>
            <w:vAlign w:val="center"/>
          </w:tcPr>
          <w:p w14:paraId="10F19C62"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0.704</w:t>
            </w:r>
          </w:p>
        </w:tc>
        <w:tc>
          <w:tcPr>
            <w:tcW w:w="780" w:type="dxa"/>
            <w:tcBorders>
              <w:top w:val="nil"/>
              <w:left w:val="nil"/>
              <w:bottom w:val="nil"/>
              <w:right w:val="double" w:sz="6" w:space="0" w:color="auto"/>
            </w:tcBorders>
            <w:shd w:val="clear" w:color="auto" w:fill="auto"/>
            <w:noWrap/>
            <w:vAlign w:val="center"/>
          </w:tcPr>
          <w:p w14:paraId="2009245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2.69</w:t>
            </w:r>
          </w:p>
        </w:tc>
      </w:tr>
      <w:tr w:rsidR="00EB34D7" w:rsidRPr="007A50A5" w14:paraId="15DF48DF" w14:textId="77777777" w:rsidTr="00715FB2">
        <w:trPr>
          <w:trHeight w:val="288"/>
          <w:jc w:val="center"/>
        </w:trPr>
        <w:tc>
          <w:tcPr>
            <w:tcW w:w="4279" w:type="dxa"/>
            <w:tcBorders>
              <w:top w:val="nil"/>
              <w:left w:val="double" w:sz="6" w:space="0" w:color="auto"/>
              <w:bottom w:val="nil"/>
              <w:right w:val="nil"/>
            </w:tcBorders>
            <w:shd w:val="clear" w:color="auto" w:fill="auto"/>
            <w:noWrap/>
            <w:vAlign w:val="center"/>
            <w:hideMark/>
          </w:tcPr>
          <w:p w14:paraId="271CA087" w14:textId="77777777" w:rsidR="00EB34D7" w:rsidRPr="007A50A5" w:rsidRDefault="00EB34D7" w:rsidP="00715FB2">
            <w:pPr>
              <w:spacing w:line="240" w:lineRule="auto"/>
              <w:jc w:val="left"/>
              <w:rPr>
                <w:rFonts w:eastAsia="Times New Roman" w:cs="Times New Roman"/>
                <w:b/>
                <w:bCs/>
                <w:color w:val="000000"/>
                <w:sz w:val="20"/>
                <w:szCs w:val="20"/>
              </w:rPr>
            </w:pPr>
            <w:r w:rsidRPr="007A50A5">
              <w:rPr>
                <w:rFonts w:eastAsia="Times New Roman" w:cs="Times New Roman"/>
                <w:b/>
                <w:bCs/>
                <w:color w:val="000000"/>
                <w:sz w:val="20"/>
                <w:szCs w:val="20"/>
              </w:rPr>
              <w:t>Green lifestyle propensity (GLP)</w:t>
            </w:r>
          </w:p>
        </w:tc>
        <w:tc>
          <w:tcPr>
            <w:tcW w:w="0" w:type="auto"/>
            <w:tcBorders>
              <w:top w:val="nil"/>
              <w:left w:val="double" w:sz="6" w:space="0" w:color="auto"/>
              <w:bottom w:val="nil"/>
              <w:right w:val="nil"/>
            </w:tcBorders>
            <w:shd w:val="clear" w:color="auto" w:fill="auto"/>
            <w:vAlign w:val="center"/>
          </w:tcPr>
          <w:p w14:paraId="10472094"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13B996D3"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51DBD3F3"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795EED10"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nil"/>
            </w:tcBorders>
            <w:shd w:val="clear" w:color="auto" w:fill="auto"/>
            <w:noWrap/>
            <w:vAlign w:val="center"/>
          </w:tcPr>
          <w:p w14:paraId="49B96C35" w14:textId="77777777" w:rsidR="00EB34D7" w:rsidRPr="007A50A5" w:rsidRDefault="00EB34D7" w:rsidP="005A3FCB">
            <w:pPr>
              <w:spacing w:line="240" w:lineRule="auto"/>
              <w:jc w:val="center"/>
              <w:rPr>
                <w:rFonts w:eastAsia="Times New Roman" w:cs="Times New Roman"/>
                <w:sz w:val="20"/>
                <w:szCs w:val="20"/>
              </w:rPr>
            </w:pPr>
          </w:p>
        </w:tc>
        <w:tc>
          <w:tcPr>
            <w:tcW w:w="0" w:type="auto"/>
            <w:tcBorders>
              <w:top w:val="nil"/>
              <w:left w:val="nil"/>
              <w:bottom w:val="nil"/>
              <w:right w:val="double" w:sz="6" w:space="0" w:color="auto"/>
            </w:tcBorders>
            <w:shd w:val="clear" w:color="auto" w:fill="auto"/>
            <w:noWrap/>
            <w:vAlign w:val="center"/>
          </w:tcPr>
          <w:p w14:paraId="69790E9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64316875"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double" w:sz="6" w:space="0" w:color="auto"/>
            </w:tcBorders>
            <w:shd w:val="clear" w:color="auto" w:fill="auto"/>
            <w:noWrap/>
            <w:vAlign w:val="center"/>
          </w:tcPr>
          <w:p w14:paraId="568133C8" w14:textId="77777777" w:rsidR="00EB34D7" w:rsidRPr="007A50A5" w:rsidRDefault="00EB34D7" w:rsidP="005A3FCB">
            <w:pPr>
              <w:spacing w:line="240" w:lineRule="auto"/>
              <w:jc w:val="center"/>
              <w:rPr>
                <w:rFonts w:eastAsia="Times New Roman" w:cs="Times New Roman"/>
                <w:color w:val="000000"/>
                <w:sz w:val="20"/>
                <w:szCs w:val="20"/>
              </w:rPr>
            </w:pPr>
          </w:p>
        </w:tc>
        <w:tc>
          <w:tcPr>
            <w:tcW w:w="0" w:type="auto"/>
            <w:tcBorders>
              <w:top w:val="nil"/>
              <w:left w:val="nil"/>
              <w:bottom w:val="nil"/>
              <w:right w:val="nil"/>
            </w:tcBorders>
            <w:shd w:val="clear" w:color="auto" w:fill="auto"/>
            <w:noWrap/>
            <w:vAlign w:val="center"/>
          </w:tcPr>
          <w:p w14:paraId="35AC7359" w14:textId="77777777" w:rsidR="00EB34D7" w:rsidRPr="007A50A5" w:rsidRDefault="00EB34D7" w:rsidP="005A3FCB">
            <w:pPr>
              <w:spacing w:line="240" w:lineRule="auto"/>
              <w:jc w:val="center"/>
              <w:rPr>
                <w:rFonts w:eastAsia="Times New Roman" w:cs="Times New Roman"/>
                <w:color w:val="000000"/>
                <w:sz w:val="20"/>
                <w:szCs w:val="20"/>
              </w:rPr>
            </w:pPr>
          </w:p>
        </w:tc>
        <w:tc>
          <w:tcPr>
            <w:tcW w:w="780" w:type="dxa"/>
            <w:tcBorders>
              <w:top w:val="nil"/>
              <w:left w:val="nil"/>
              <w:bottom w:val="nil"/>
              <w:right w:val="double" w:sz="6" w:space="0" w:color="auto"/>
            </w:tcBorders>
            <w:shd w:val="clear" w:color="auto" w:fill="auto"/>
            <w:noWrap/>
            <w:vAlign w:val="center"/>
          </w:tcPr>
          <w:p w14:paraId="33D1E231" w14:textId="77777777" w:rsidR="00EB34D7" w:rsidRPr="007A50A5" w:rsidRDefault="00EB34D7" w:rsidP="005A3FCB">
            <w:pPr>
              <w:spacing w:line="240" w:lineRule="auto"/>
              <w:jc w:val="center"/>
              <w:rPr>
                <w:rFonts w:eastAsia="Times New Roman" w:cs="Times New Roman"/>
                <w:color w:val="000000"/>
                <w:sz w:val="20"/>
                <w:szCs w:val="20"/>
              </w:rPr>
            </w:pPr>
          </w:p>
        </w:tc>
      </w:tr>
      <w:tr w:rsidR="00EB34D7" w:rsidRPr="007A50A5" w14:paraId="57979E92" w14:textId="77777777" w:rsidTr="00715FB2">
        <w:trPr>
          <w:trHeight w:val="828"/>
          <w:jc w:val="center"/>
        </w:trPr>
        <w:tc>
          <w:tcPr>
            <w:tcW w:w="4279" w:type="dxa"/>
            <w:tcBorders>
              <w:top w:val="nil"/>
              <w:left w:val="double" w:sz="6" w:space="0" w:color="auto"/>
              <w:bottom w:val="nil"/>
              <w:right w:val="nil"/>
            </w:tcBorders>
            <w:shd w:val="clear" w:color="auto" w:fill="auto"/>
            <w:vAlign w:val="center"/>
            <w:hideMark/>
          </w:tcPr>
          <w:p w14:paraId="31FB4909"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When choosing my commute mode, there are many things that are more important than being environmentally friendly (inverse scale)</w:t>
            </w:r>
          </w:p>
        </w:tc>
        <w:tc>
          <w:tcPr>
            <w:tcW w:w="0" w:type="auto"/>
            <w:tcBorders>
              <w:top w:val="nil"/>
              <w:left w:val="double" w:sz="6" w:space="0" w:color="auto"/>
              <w:bottom w:val="nil"/>
              <w:right w:val="nil"/>
            </w:tcBorders>
            <w:shd w:val="clear" w:color="auto" w:fill="auto"/>
            <w:noWrap/>
            <w:vAlign w:val="center"/>
          </w:tcPr>
          <w:p w14:paraId="102DB6B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1.045</w:t>
            </w:r>
          </w:p>
        </w:tc>
        <w:tc>
          <w:tcPr>
            <w:tcW w:w="0" w:type="auto"/>
            <w:tcBorders>
              <w:top w:val="nil"/>
              <w:left w:val="nil"/>
              <w:bottom w:val="nil"/>
              <w:right w:val="nil"/>
            </w:tcBorders>
            <w:shd w:val="clear" w:color="auto" w:fill="auto"/>
            <w:noWrap/>
            <w:vAlign w:val="center"/>
          </w:tcPr>
          <w:p w14:paraId="44C63E4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15.37</w:t>
            </w:r>
          </w:p>
        </w:tc>
        <w:tc>
          <w:tcPr>
            <w:tcW w:w="0" w:type="auto"/>
            <w:tcBorders>
              <w:top w:val="nil"/>
              <w:left w:val="nil"/>
              <w:bottom w:val="nil"/>
              <w:right w:val="nil"/>
            </w:tcBorders>
            <w:shd w:val="clear" w:color="auto" w:fill="auto"/>
            <w:noWrap/>
            <w:vAlign w:val="center"/>
          </w:tcPr>
          <w:p w14:paraId="0450EAF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1.860</w:t>
            </w:r>
          </w:p>
        </w:tc>
        <w:tc>
          <w:tcPr>
            <w:tcW w:w="0" w:type="auto"/>
            <w:tcBorders>
              <w:top w:val="nil"/>
              <w:left w:val="nil"/>
              <w:bottom w:val="nil"/>
              <w:right w:val="nil"/>
            </w:tcBorders>
            <w:shd w:val="clear" w:color="auto" w:fill="auto"/>
            <w:noWrap/>
            <w:vAlign w:val="center"/>
          </w:tcPr>
          <w:p w14:paraId="2F51C04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16.49</w:t>
            </w:r>
          </w:p>
        </w:tc>
        <w:tc>
          <w:tcPr>
            <w:tcW w:w="0" w:type="auto"/>
            <w:tcBorders>
              <w:top w:val="nil"/>
              <w:left w:val="nil"/>
              <w:bottom w:val="nil"/>
              <w:right w:val="nil"/>
            </w:tcBorders>
            <w:shd w:val="clear" w:color="auto" w:fill="auto"/>
            <w:noWrap/>
            <w:vAlign w:val="center"/>
          </w:tcPr>
          <w:p w14:paraId="6E4AE58B"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2.746</w:t>
            </w:r>
          </w:p>
        </w:tc>
        <w:tc>
          <w:tcPr>
            <w:tcW w:w="0" w:type="auto"/>
            <w:tcBorders>
              <w:top w:val="nil"/>
              <w:left w:val="nil"/>
              <w:bottom w:val="nil"/>
              <w:right w:val="double" w:sz="6" w:space="0" w:color="auto"/>
            </w:tcBorders>
            <w:shd w:val="clear" w:color="auto" w:fill="auto"/>
            <w:noWrap/>
            <w:vAlign w:val="center"/>
          </w:tcPr>
          <w:p w14:paraId="4A54FFB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15.00</w:t>
            </w:r>
          </w:p>
        </w:tc>
        <w:tc>
          <w:tcPr>
            <w:tcW w:w="0" w:type="auto"/>
            <w:tcBorders>
              <w:top w:val="nil"/>
              <w:left w:val="nil"/>
              <w:bottom w:val="nil"/>
              <w:right w:val="nil"/>
            </w:tcBorders>
            <w:shd w:val="clear" w:color="auto" w:fill="auto"/>
            <w:noWrap/>
            <w:vAlign w:val="center"/>
          </w:tcPr>
          <w:p w14:paraId="39E2801F"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0.988</w:t>
            </w:r>
          </w:p>
        </w:tc>
        <w:tc>
          <w:tcPr>
            <w:tcW w:w="0" w:type="auto"/>
            <w:tcBorders>
              <w:top w:val="nil"/>
              <w:left w:val="nil"/>
              <w:bottom w:val="nil"/>
              <w:right w:val="double" w:sz="6" w:space="0" w:color="auto"/>
            </w:tcBorders>
            <w:shd w:val="clear" w:color="auto" w:fill="auto"/>
            <w:noWrap/>
            <w:vAlign w:val="center"/>
          </w:tcPr>
          <w:p w14:paraId="4159F609"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12.66</w:t>
            </w:r>
          </w:p>
        </w:tc>
        <w:tc>
          <w:tcPr>
            <w:tcW w:w="0" w:type="auto"/>
            <w:tcBorders>
              <w:top w:val="nil"/>
              <w:left w:val="nil"/>
              <w:bottom w:val="nil"/>
              <w:right w:val="nil"/>
            </w:tcBorders>
            <w:shd w:val="clear" w:color="auto" w:fill="auto"/>
            <w:noWrap/>
            <w:vAlign w:val="center"/>
          </w:tcPr>
          <w:p w14:paraId="334089C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0.158</w:t>
            </w:r>
          </w:p>
        </w:tc>
        <w:tc>
          <w:tcPr>
            <w:tcW w:w="780" w:type="dxa"/>
            <w:tcBorders>
              <w:top w:val="nil"/>
              <w:left w:val="nil"/>
              <w:bottom w:val="nil"/>
              <w:right w:val="double" w:sz="6" w:space="0" w:color="auto"/>
            </w:tcBorders>
            <w:shd w:val="clear" w:color="auto" w:fill="auto"/>
            <w:noWrap/>
            <w:vAlign w:val="center"/>
          </w:tcPr>
          <w:p w14:paraId="4DF1FD8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1.84</w:t>
            </w:r>
          </w:p>
        </w:tc>
      </w:tr>
      <w:tr w:rsidR="00EB34D7" w:rsidRPr="007A50A5" w14:paraId="21ED2698" w14:textId="77777777" w:rsidTr="00715FB2">
        <w:trPr>
          <w:trHeight w:val="564"/>
          <w:jc w:val="center"/>
        </w:trPr>
        <w:tc>
          <w:tcPr>
            <w:tcW w:w="4279" w:type="dxa"/>
            <w:tcBorders>
              <w:top w:val="nil"/>
              <w:left w:val="double" w:sz="6" w:space="0" w:color="auto"/>
              <w:bottom w:val="double" w:sz="6" w:space="0" w:color="auto"/>
              <w:right w:val="nil"/>
            </w:tcBorders>
            <w:shd w:val="clear" w:color="auto" w:fill="auto"/>
            <w:vAlign w:val="center"/>
            <w:hideMark/>
          </w:tcPr>
          <w:p w14:paraId="6EAB3D46" w14:textId="77777777" w:rsidR="00EB34D7" w:rsidRPr="007A50A5" w:rsidRDefault="00EB34D7" w:rsidP="00715FB2">
            <w:pPr>
              <w:spacing w:line="240" w:lineRule="auto"/>
              <w:jc w:val="left"/>
              <w:rPr>
                <w:rFonts w:eastAsia="Times New Roman" w:cs="Times New Roman"/>
                <w:color w:val="000000"/>
                <w:sz w:val="20"/>
                <w:szCs w:val="20"/>
              </w:rPr>
            </w:pPr>
            <w:r w:rsidRPr="007A50A5">
              <w:rPr>
                <w:rFonts w:eastAsia="Times New Roman" w:cs="Times New Roman"/>
                <w:color w:val="000000"/>
                <w:sz w:val="20"/>
                <w:szCs w:val="20"/>
              </w:rPr>
              <w:t>I don’t give much thought to saving energy at home (inverse scale)</w:t>
            </w:r>
          </w:p>
        </w:tc>
        <w:tc>
          <w:tcPr>
            <w:tcW w:w="0" w:type="auto"/>
            <w:tcBorders>
              <w:top w:val="nil"/>
              <w:left w:val="double" w:sz="6" w:space="0" w:color="auto"/>
              <w:bottom w:val="double" w:sz="6" w:space="0" w:color="auto"/>
              <w:right w:val="nil"/>
            </w:tcBorders>
            <w:shd w:val="clear" w:color="auto" w:fill="auto"/>
            <w:noWrap/>
            <w:vAlign w:val="center"/>
          </w:tcPr>
          <w:p w14:paraId="3A5A9865"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0.708</w:t>
            </w:r>
          </w:p>
        </w:tc>
        <w:tc>
          <w:tcPr>
            <w:tcW w:w="0" w:type="auto"/>
            <w:tcBorders>
              <w:top w:val="nil"/>
              <w:left w:val="nil"/>
              <w:bottom w:val="double" w:sz="6" w:space="0" w:color="auto"/>
              <w:right w:val="nil"/>
            </w:tcBorders>
            <w:shd w:val="clear" w:color="auto" w:fill="auto"/>
            <w:noWrap/>
            <w:vAlign w:val="center"/>
          </w:tcPr>
          <w:p w14:paraId="40953F2C"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10.87</w:t>
            </w:r>
          </w:p>
        </w:tc>
        <w:tc>
          <w:tcPr>
            <w:tcW w:w="0" w:type="auto"/>
            <w:tcBorders>
              <w:top w:val="nil"/>
              <w:left w:val="nil"/>
              <w:bottom w:val="double" w:sz="6" w:space="0" w:color="auto"/>
              <w:right w:val="nil"/>
            </w:tcBorders>
            <w:shd w:val="clear" w:color="auto" w:fill="auto"/>
            <w:noWrap/>
            <w:vAlign w:val="center"/>
          </w:tcPr>
          <w:p w14:paraId="38A544B7"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1.182</w:t>
            </w:r>
          </w:p>
        </w:tc>
        <w:tc>
          <w:tcPr>
            <w:tcW w:w="0" w:type="auto"/>
            <w:tcBorders>
              <w:top w:val="nil"/>
              <w:left w:val="nil"/>
              <w:bottom w:val="double" w:sz="6" w:space="0" w:color="auto"/>
              <w:right w:val="nil"/>
            </w:tcBorders>
            <w:shd w:val="clear" w:color="auto" w:fill="auto"/>
            <w:noWrap/>
            <w:vAlign w:val="center"/>
          </w:tcPr>
          <w:p w14:paraId="3749F02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16.44</w:t>
            </w:r>
          </w:p>
        </w:tc>
        <w:tc>
          <w:tcPr>
            <w:tcW w:w="0" w:type="auto"/>
            <w:tcBorders>
              <w:top w:val="nil"/>
              <w:left w:val="nil"/>
              <w:bottom w:val="double" w:sz="6" w:space="0" w:color="auto"/>
              <w:right w:val="nil"/>
            </w:tcBorders>
            <w:shd w:val="clear" w:color="auto" w:fill="auto"/>
            <w:noWrap/>
            <w:vAlign w:val="center"/>
          </w:tcPr>
          <w:p w14:paraId="2A8DFF0D"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2.203</w:t>
            </w:r>
          </w:p>
        </w:tc>
        <w:tc>
          <w:tcPr>
            <w:tcW w:w="0" w:type="auto"/>
            <w:tcBorders>
              <w:top w:val="nil"/>
              <w:left w:val="nil"/>
              <w:bottom w:val="double" w:sz="6" w:space="0" w:color="auto"/>
              <w:right w:val="double" w:sz="6" w:space="0" w:color="auto"/>
            </w:tcBorders>
            <w:shd w:val="clear" w:color="auto" w:fill="auto"/>
            <w:noWrap/>
            <w:vAlign w:val="center"/>
          </w:tcPr>
          <w:p w14:paraId="247E602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25.18</w:t>
            </w:r>
          </w:p>
        </w:tc>
        <w:tc>
          <w:tcPr>
            <w:tcW w:w="0" w:type="auto"/>
            <w:tcBorders>
              <w:top w:val="nil"/>
              <w:left w:val="nil"/>
              <w:bottom w:val="double" w:sz="6" w:space="0" w:color="auto"/>
              <w:right w:val="nil"/>
            </w:tcBorders>
            <w:shd w:val="clear" w:color="auto" w:fill="auto"/>
            <w:noWrap/>
            <w:vAlign w:val="center"/>
          </w:tcPr>
          <w:p w14:paraId="1F3A93A1"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1.910</w:t>
            </w:r>
          </w:p>
        </w:tc>
        <w:tc>
          <w:tcPr>
            <w:tcW w:w="0" w:type="auto"/>
            <w:tcBorders>
              <w:top w:val="nil"/>
              <w:left w:val="nil"/>
              <w:bottom w:val="double" w:sz="6" w:space="0" w:color="auto"/>
              <w:right w:val="double" w:sz="6" w:space="0" w:color="auto"/>
            </w:tcBorders>
            <w:shd w:val="clear" w:color="auto" w:fill="auto"/>
            <w:noWrap/>
            <w:vAlign w:val="center"/>
          </w:tcPr>
          <w:p w14:paraId="253E3F76"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21.34</w:t>
            </w:r>
          </w:p>
        </w:tc>
        <w:tc>
          <w:tcPr>
            <w:tcW w:w="0" w:type="auto"/>
            <w:tcBorders>
              <w:top w:val="nil"/>
              <w:left w:val="nil"/>
              <w:bottom w:val="double" w:sz="6" w:space="0" w:color="auto"/>
              <w:right w:val="nil"/>
            </w:tcBorders>
            <w:shd w:val="clear" w:color="auto" w:fill="auto"/>
            <w:noWrap/>
            <w:vAlign w:val="center"/>
          </w:tcPr>
          <w:p w14:paraId="60155FA4"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0.132</w:t>
            </w:r>
          </w:p>
        </w:tc>
        <w:tc>
          <w:tcPr>
            <w:tcW w:w="780" w:type="dxa"/>
            <w:tcBorders>
              <w:top w:val="nil"/>
              <w:left w:val="nil"/>
              <w:bottom w:val="double" w:sz="6" w:space="0" w:color="auto"/>
              <w:right w:val="double" w:sz="6" w:space="0" w:color="auto"/>
            </w:tcBorders>
            <w:shd w:val="clear" w:color="auto" w:fill="auto"/>
            <w:noWrap/>
            <w:vAlign w:val="center"/>
          </w:tcPr>
          <w:p w14:paraId="2F030540" w14:textId="77777777" w:rsidR="00EB34D7" w:rsidRPr="007A50A5" w:rsidRDefault="00EB34D7" w:rsidP="005A3FCB">
            <w:pPr>
              <w:spacing w:line="240" w:lineRule="auto"/>
              <w:jc w:val="center"/>
              <w:rPr>
                <w:rFonts w:eastAsia="Times New Roman" w:cs="Times New Roman"/>
                <w:color w:val="000000"/>
                <w:sz w:val="20"/>
                <w:szCs w:val="20"/>
              </w:rPr>
            </w:pPr>
            <w:r w:rsidRPr="007A50A5">
              <w:rPr>
                <w:rFonts w:eastAsia="Times New Roman" w:cs="Times New Roman"/>
                <w:color w:val="000000"/>
                <w:sz w:val="20"/>
                <w:szCs w:val="20"/>
              </w:rPr>
              <w:t>1.80</w:t>
            </w:r>
          </w:p>
        </w:tc>
      </w:tr>
    </w:tbl>
    <w:p w14:paraId="21EE4D7E" w14:textId="77777777" w:rsidR="00EB34D7" w:rsidRDefault="00EB34D7" w:rsidP="00EB34D7">
      <w:pPr>
        <w:spacing w:after="200" w:line="276" w:lineRule="auto"/>
        <w:jc w:val="center"/>
        <w:rPr>
          <w:b/>
        </w:rPr>
      </w:pPr>
    </w:p>
    <w:p w14:paraId="4C5CF658" w14:textId="4E1F9E0F" w:rsidR="00EB34D7" w:rsidRDefault="00EB34D7" w:rsidP="00EB34D7">
      <w:pPr>
        <w:spacing w:after="200" w:line="276" w:lineRule="auto"/>
        <w:jc w:val="center"/>
        <w:rPr>
          <w:b/>
        </w:rPr>
      </w:pPr>
      <w:r>
        <w:rPr>
          <w:b/>
        </w:rPr>
        <w:br w:type="page"/>
      </w:r>
    </w:p>
    <w:p w14:paraId="532FEA37" w14:textId="78E4B3CE" w:rsidR="00567D01" w:rsidRDefault="00567D01" w:rsidP="00567D01">
      <w:pPr>
        <w:jc w:val="center"/>
        <w:rPr>
          <w:b/>
        </w:rPr>
      </w:pPr>
      <w:r>
        <w:rPr>
          <w:b/>
        </w:rPr>
        <w:lastRenderedPageBreak/>
        <w:t>Table B</w:t>
      </w:r>
      <w:r w:rsidR="00EB34D7">
        <w:rPr>
          <w:b/>
        </w:rPr>
        <w:t>2</w:t>
      </w:r>
      <w:r>
        <w:rPr>
          <w:b/>
        </w:rPr>
        <w:t>. Dependence between choice dimensions and choice alternatives</w:t>
      </w:r>
    </w:p>
    <w:tbl>
      <w:tblPr>
        <w:tblW w:w="4559" w:type="pct"/>
        <w:tblInd w:w="5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68"/>
        <w:gridCol w:w="1400"/>
        <w:gridCol w:w="928"/>
        <w:gridCol w:w="987"/>
        <w:gridCol w:w="813"/>
        <w:gridCol w:w="992"/>
        <w:gridCol w:w="994"/>
        <w:gridCol w:w="997"/>
        <w:gridCol w:w="901"/>
        <w:gridCol w:w="880"/>
        <w:gridCol w:w="813"/>
        <w:gridCol w:w="1050"/>
      </w:tblGrid>
      <w:tr w:rsidR="00CE4BD3" w:rsidRPr="00AB1F19" w14:paraId="37F06296" w14:textId="77777777" w:rsidTr="00CE4BD3">
        <w:trPr>
          <w:trHeight w:val="432"/>
        </w:trPr>
        <w:tc>
          <w:tcPr>
            <w:tcW w:w="1077" w:type="pct"/>
            <w:gridSpan w:val="2"/>
            <w:vMerge w:val="restart"/>
            <w:shd w:val="clear" w:color="auto" w:fill="auto"/>
            <w:vAlign w:val="center"/>
            <w:hideMark/>
          </w:tcPr>
          <w:p w14:paraId="70393218" w14:textId="77777777" w:rsidR="00567D01" w:rsidRPr="00AB1F19" w:rsidRDefault="00567D01" w:rsidP="005A3FCB">
            <w:pPr>
              <w:spacing w:line="240" w:lineRule="auto"/>
              <w:jc w:val="center"/>
              <w:rPr>
                <w:rFonts w:eastAsia="Times New Roman" w:cs="Times New Roman"/>
                <w:sz w:val="20"/>
                <w:szCs w:val="20"/>
              </w:rPr>
            </w:pPr>
          </w:p>
        </w:tc>
        <w:tc>
          <w:tcPr>
            <w:tcW w:w="1144" w:type="pct"/>
            <w:gridSpan w:val="3"/>
            <w:shd w:val="clear" w:color="auto" w:fill="auto"/>
            <w:vAlign w:val="center"/>
            <w:hideMark/>
          </w:tcPr>
          <w:p w14:paraId="5D43B50F"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Purpose</w:t>
            </w:r>
          </w:p>
        </w:tc>
        <w:tc>
          <w:tcPr>
            <w:tcW w:w="1251" w:type="pct"/>
            <w:gridSpan w:val="3"/>
            <w:shd w:val="clear" w:color="auto" w:fill="auto"/>
            <w:vAlign w:val="center"/>
            <w:hideMark/>
          </w:tcPr>
          <w:p w14:paraId="0985E17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Time</w:t>
            </w:r>
          </w:p>
        </w:tc>
        <w:tc>
          <w:tcPr>
            <w:tcW w:w="1088" w:type="pct"/>
            <w:gridSpan w:val="3"/>
            <w:shd w:val="clear" w:color="auto" w:fill="auto"/>
            <w:vAlign w:val="center"/>
            <w:hideMark/>
          </w:tcPr>
          <w:p w14:paraId="70280E23"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Mode substituted</w:t>
            </w:r>
          </w:p>
        </w:tc>
        <w:tc>
          <w:tcPr>
            <w:tcW w:w="440" w:type="pct"/>
            <w:shd w:val="clear" w:color="auto" w:fill="auto"/>
            <w:vAlign w:val="center"/>
            <w:hideMark/>
          </w:tcPr>
          <w:p w14:paraId="4BB3487B"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Companion</w:t>
            </w:r>
          </w:p>
        </w:tc>
      </w:tr>
      <w:tr w:rsidR="00CE4BD3" w:rsidRPr="00AB1F19" w14:paraId="3C81CB41" w14:textId="77777777" w:rsidTr="00CE4BD3">
        <w:trPr>
          <w:trHeight w:val="432"/>
        </w:trPr>
        <w:tc>
          <w:tcPr>
            <w:tcW w:w="1077" w:type="pct"/>
            <w:gridSpan w:val="2"/>
            <w:vMerge/>
            <w:vAlign w:val="center"/>
            <w:hideMark/>
          </w:tcPr>
          <w:p w14:paraId="1C02EE69" w14:textId="77777777" w:rsidR="00567D01" w:rsidRPr="00AB1F19" w:rsidRDefault="00567D01" w:rsidP="005A3FCB">
            <w:pPr>
              <w:spacing w:line="240" w:lineRule="auto"/>
              <w:jc w:val="center"/>
              <w:rPr>
                <w:rFonts w:eastAsia="Times New Roman" w:cs="Times New Roman"/>
                <w:sz w:val="20"/>
                <w:szCs w:val="20"/>
              </w:rPr>
            </w:pPr>
          </w:p>
        </w:tc>
        <w:tc>
          <w:tcPr>
            <w:tcW w:w="389" w:type="pct"/>
            <w:shd w:val="clear" w:color="auto" w:fill="auto"/>
            <w:vAlign w:val="center"/>
            <w:hideMark/>
          </w:tcPr>
          <w:p w14:paraId="3780E46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Errands</w:t>
            </w:r>
          </w:p>
        </w:tc>
        <w:tc>
          <w:tcPr>
            <w:tcW w:w="414" w:type="pct"/>
            <w:shd w:val="clear" w:color="auto" w:fill="auto"/>
            <w:vAlign w:val="center"/>
            <w:hideMark/>
          </w:tcPr>
          <w:p w14:paraId="66C7D88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Recreation</w:t>
            </w:r>
          </w:p>
        </w:tc>
        <w:tc>
          <w:tcPr>
            <w:tcW w:w="341" w:type="pct"/>
            <w:shd w:val="clear" w:color="auto" w:fill="auto"/>
            <w:vAlign w:val="center"/>
            <w:hideMark/>
          </w:tcPr>
          <w:p w14:paraId="1BC99B7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Work</w:t>
            </w:r>
          </w:p>
        </w:tc>
        <w:tc>
          <w:tcPr>
            <w:tcW w:w="416" w:type="pct"/>
            <w:shd w:val="clear" w:color="auto" w:fill="auto"/>
            <w:vAlign w:val="center"/>
            <w:hideMark/>
          </w:tcPr>
          <w:p w14:paraId="205DEC7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Morning peak</w:t>
            </w:r>
          </w:p>
        </w:tc>
        <w:tc>
          <w:tcPr>
            <w:tcW w:w="417" w:type="pct"/>
            <w:shd w:val="clear" w:color="auto" w:fill="auto"/>
            <w:vAlign w:val="center"/>
            <w:hideMark/>
          </w:tcPr>
          <w:p w14:paraId="4E45489A"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Afternoon peak</w:t>
            </w:r>
          </w:p>
        </w:tc>
        <w:tc>
          <w:tcPr>
            <w:tcW w:w="417" w:type="pct"/>
            <w:shd w:val="clear" w:color="auto" w:fill="auto"/>
            <w:vAlign w:val="center"/>
            <w:hideMark/>
          </w:tcPr>
          <w:p w14:paraId="52FF1EB3" w14:textId="77777777" w:rsidR="00567D01"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Evening/</w:t>
            </w:r>
          </w:p>
          <w:p w14:paraId="2049A24E"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night</w:t>
            </w:r>
          </w:p>
        </w:tc>
        <w:tc>
          <w:tcPr>
            <w:tcW w:w="378" w:type="pct"/>
            <w:shd w:val="clear" w:color="auto" w:fill="auto"/>
            <w:vAlign w:val="center"/>
            <w:hideMark/>
          </w:tcPr>
          <w:p w14:paraId="43E445AE"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Taxi</w:t>
            </w:r>
          </w:p>
        </w:tc>
        <w:tc>
          <w:tcPr>
            <w:tcW w:w="369" w:type="pct"/>
            <w:shd w:val="clear" w:color="auto" w:fill="auto"/>
            <w:vAlign w:val="center"/>
            <w:hideMark/>
          </w:tcPr>
          <w:p w14:paraId="2751F8A8" w14:textId="77777777" w:rsidR="00567D01" w:rsidRPr="00AB1F19" w:rsidRDefault="00567D01" w:rsidP="005A3FCB">
            <w:pPr>
              <w:spacing w:line="240" w:lineRule="auto"/>
              <w:jc w:val="center"/>
              <w:rPr>
                <w:rFonts w:eastAsia="Times New Roman" w:cs="Times New Roman"/>
                <w:color w:val="000000"/>
                <w:sz w:val="20"/>
                <w:szCs w:val="20"/>
              </w:rPr>
            </w:pPr>
            <w:r>
              <w:rPr>
                <w:rFonts w:eastAsia="Times New Roman" w:cs="Times New Roman"/>
                <w:color w:val="000000"/>
                <w:sz w:val="20"/>
                <w:szCs w:val="20"/>
              </w:rPr>
              <w:t>Active/</w:t>
            </w:r>
            <w:r w:rsidRPr="00AB1F19">
              <w:rPr>
                <w:rFonts w:eastAsia="Times New Roman" w:cs="Times New Roman"/>
                <w:color w:val="000000"/>
                <w:sz w:val="20"/>
                <w:szCs w:val="20"/>
              </w:rPr>
              <w:t xml:space="preserve"> transit</w:t>
            </w:r>
          </w:p>
        </w:tc>
        <w:tc>
          <w:tcPr>
            <w:tcW w:w="341" w:type="pct"/>
            <w:shd w:val="clear" w:color="auto" w:fill="auto"/>
            <w:vAlign w:val="center"/>
            <w:hideMark/>
          </w:tcPr>
          <w:p w14:paraId="0EBD13B6"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No trip</w:t>
            </w:r>
          </w:p>
        </w:tc>
        <w:tc>
          <w:tcPr>
            <w:tcW w:w="440" w:type="pct"/>
            <w:shd w:val="clear" w:color="auto" w:fill="auto"/>
            <w:vAlign w:val="center"/>
            <w:hideMark/>
          </w:tcPr>
          <w:p w14:paraId="06A9D5F5"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Not alone</w:t>
            </w:r>
          </w:p>
        </w:tc>
      </w:tr>
      <w:tr w:rsidR="00CE4BD3" w:rsidRPr="00AB1F19" w14:paraId="1DEA94BD" w14:textId="77777777" w:rsidTr="00CE4BD3">
        <w:trPr>
          <w:trHeight w:val="432"/>
        </w:trPr>
        <w:tc>
          <w:tcPr>
            <w:tcW w:w="490" w:type="pct"/>
            <w:vMerge w:val="restart"/>
            <w:shd w:val="clear" w:color="auto" w:fill="auto"/>
            <w:vAlign w:val="center"/>
            <w:hideMark/>
          </w:tcPr>
          <w:p w14:paraId="5A5F5FBE"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Purpose</w:t>
            </w:r>
          </w:p>
        </w:tc>
        <w:tc>
          <w:tcPr>
            <w:tcW w:w="587" w:type="pct"/>
            <w:shd w:val="clear" w:color="auto" w:fill="auto"/>
            <w:vAlign w:val="center"/>
            <w:hideMark/>
          </w:tcPr>
          <w:p w14:paraId="17E8E1C7"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Errands</w:t>
            </w:r>
          </w:p>
        </w:tc>
        <w:tc>
          <w:tcPr>
            <w:tcW w:w="389" w:type="pct"/>
            <w:shd w:val="clear" w:color="auto" w:fill="D9D9D9" w:themeFill="background1" w:themeFillShade="D9"/>
            <w:vAlign w:val="center"/>
            <w:hideMark/>
          </w:tcPr>
          <w:p w14:paraId="5C2A5C65"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 xml:space="preserve">.0 </w:t>
            </w:r>
          </w:p>
        </w:tc>
        <w:tc>
          <w:tcPr>
            <w:tcW w:w="414" w:type="pct"/>
            <w:shd w:val="clear" w:color="auto" w:fill="D9D9D9" w:themeFill="background1" w:themeFillShade="D9"/>
            <w:vAlign w:val="center"/>
            <w:hideMark/>
          </w:tcPr>
          <w:p w14:paraId="60276502" w14:textId="77777777" w:rsidR="00567D01" w:rsidRPr="00AB1F19" w:rsidRDefault="00567D01" w:rsidP="005A3FCB">
            <w:pPr>
              <w:spacing w:line="240" w:lineRule="auto"/>
              <w:jc w:val="center"/>
              <w:rPr>
                <w:rFonts w:eastAsia="Times New Roman" w:cs="Times New Roman"/>
                <w:color w:val="000000"/>
                <w:sz w:val="20"/>
                <w:szCs w:val="20"/>
              </w:rPr>
            </w:pPr>
          </w:p>
        </w:tc>
        <w:tc>
          <w:tcPr>
            <w:tcW w:w="341" w:type="pct"/>
            <w:shd w:val="clear" w:color="auto" w:fill="D9D9D9" w:themeFill="background1" w:themeFillShade="D9"/>
            <w:vAlign w:val="center"/>
            <w:hideMark/>
          </w:tcPr>
          <w:p w14:paraId="625AE128" w14:textId="77777777" w:rsidR="00567D01" w:rsidRPr="00AB1F19" w:rsidRDefault="00567D01" w:rsidP="005A3FCB">
            <w:pPr>
              <w:spacing w:line="240" w:lineRule="auto"/>
              <w:jc w:val="center"/>
              <w:rPr>
                <w:rFonts w:eastAsia="Times New Roman" w:cs="Times New Roman"/>
                <w:sz w:val="20"/>
                <w:szCs w:val="20"/>
              </w:rPr>
            </w:pPr>
          </w:p>
        </w:tc>
        <w:tc>
          <w:tcPr>
            <w:tcW w:w="416" w:type="pct"/>
            <w:shd w:val="clear" w:color="auto" w:fill="auto"/>
            <w:vAlign w:val="center"/>
            <w:hideMark/>
          </w:tcPr>
          <w:p w14:paraId="537C96CB" w14:textId="77777777" w:rsidR="00567D01" w:rsidRPr="00AB1F19" w:rsidRDefault="00567D01" w:rsidP="005A3FCB">
            <w:pPr>
              <w:spacing w:line="240" w:lineRule="auto"/>
              <w:jc w:val="center"/>
              <w:rPr>
                <w:rFonts w:eastAsia="Times New Roman" w:cs="Times New Roman"/>
                <w:sz w:val="20"/>
                <w:szCs w:val="20"/>
              </w:rPr>
            </w:pPr>
          </w:p>
        </w:tc>
        <w:tc>
          <w:tcPr>
            <w:tcW w:w="417" w:type="pct"/>
            <w:shd w:val="clear" w:color="auto" w:fill="auto"/>
            <w:vAlign w:val="center"/>
            <w:hideMark/>
          </w:tcPr>
          <w:p w14:paraId="6DB1CCB9" w14:textId="77777777" w:rsidR="00567D01" w:rsidRPr="00AB1F19" w:rsidRDefault="00567D01" w:rsidP="005A3FCB">
            <w:pPr>
              <w:spacing w:line="240" w:lineRule="auto"/>
              <w:jc w:val="center"/>
              <w:rPr>
                <w:rFonts w:eastAsia="Times New Roman" w:cs="Times New Roman"/>
                <w:sz w:val="20"/>
                <w:szCs w:val="20"/>
              </w:rPr>
            </w:pPr>
          </w:p>
        </w:tc>
        <w:tc>
          <w:tcPr>
            <w:tcW w:w="417" w:type="pct"/>
            <w:shd w:val="clear" w:color="auto" w:fill="auto"/>
            <w:vAlign w:val="center"/>
            <w:hideMark/>
          </w:tcPr>
          <w:p w14:paraId="5907D363" w14:textId="77777777" w:rsidR="00567D01" w:rsidRPr="00AB1F19" w:rsidRDefault="00567D01" w:rsidP="005A3FCB">
            <w:pPr>
              <w:spacing w:line="240" w:lineRule="auto"/>
              <w:jc w:val="center"/>
              <w:rPr>
                <w:rFonts w:eastAsia="Times New Roman" w:cs="Times New Roman"/>
                <w:sz w:val="20"/>
                <w:szCs w:val="20"/>
              </w:rPr>
            </w:pPr>
          </w:p>
        </w:tc>
        <w:tc>
          <w:tcPr>
            <w:tcW w:w="378" w:type="pct"/>
            <w:shd w:val="clear" w:color="auto" w:fill="auto"/>
            <w:vAlign w:val="center"/>
            <w:hideMark/>
          </w:tcPr>
          <w:p w14:paraId="1C455250" w14:textId="77777777" w:rsidR="00567D01" w:rsidRPr="00AB1F19" w:rsidRDefault="00567D01" w:rsidP="005A3FCB">
            <w:pPr>
              <w:spacing w:line="240" w:lineRule="auto"/>
              <w:jc w:val="center"/>
              <w:rPr>
                <w:rFonts w:eastAsia="Times New Roman" w:cs="Times New Roman"/>
                <w:sz w:val="20"/>
                <w:szCs w:val="20"/>
              </w:rPr>
            </w:pPr>
          </w:p>
        </w:tc>
        <w:tc>
          <w:tcPr>
            <w:tcW w:w="369" w:type="pct"/>
            <w:shd w:val="clear" w:color="auto" w:fill="auto"/>
            <w:vAlign w:val="center"/>
            <w:hideMark/>
          </w:tcPr>
          <w:p w14:paraId="2A737645"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2A8CF92E"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7D401174"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1374E0D3" w14:textId="77777777" w:rsidTr="00CE4BD3">
        <w:trPr>
          <w:trHeight w:val="432"/>
        </w:trPr>
        <w:tc>
          <w:tcPr>
            <w:tcW w:w="490" w:type="pct"/>
            <w:vMerge/>
            <w:vAlign w:val="center"/>
            <w:hideMark/>
          </w:tcPr>
          <w:p w14:paraId="4B58EB67"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2D4BB8F8"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Recreation</w:t>
            </w:r>
          </w:p>
        </w:tc>
        <w:tc>
          <w:tcPr>
            <w:tcW w:w="389" w:type="pct"/>
            <w:shd w:val="clear" w:color="auto" w:fill="D9D9D9" w:themeFill="background1" w:themeFillShade="D9"/>
            <w:vAlign w:val="center"/>
            <w:hideMark/>
          </w:tcPr>
          <w:p w14:paraId="4D03C0CF"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414" w:type="pct"/>
            <w:shd w:val="clear" w:color="auto" w:fill="D9D9D9" w:themeFill="background1" w:themeFillShade="D9"/>
            <w:vAlign w:val="center"/>
            <w:hideMark/>
          </w:tcPr>
          <w:p w14:paraId="2408A05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341" w:type="pct"/>
            <w:shd w:val="clear" w:color="auto" w:fill="D9D9D9" w:themeFill="background1" w:themeFillShade="D9"/>
            <w:vAlign w:val="center"/>
            <w:hideMark/>
          </w:tcPr>
          <w:p w14:paraId="79FAF21A" w14:textId="77777777" w:rsidR="00567D01" w:rsidRPr="00AB1F19" w:rsidRDefault="00567D01" w:rsidP="005A3FCB">
            <w:pPr>
              <w:spacing w:line="240" w:lineRule="auto"/>
              <w:jc w:val="center"/>
              <w:rPr>
                <w:rFonts w:eastAsia="Times New Roman" w:cs="Times New Roman"/>
                <w:color w:val="000000"/>
                <w:sz w:val="20"/>
                <w:szCs w:val="20"/>
              </w:rPr>
            </w:pPr>
          </w:p>
        </w:tc>
        <w:tc>
          <w:tcPr>
            <w:tcW w:w="416" w:type="pct"/>
            <w:shd w:val="clear" w:color="auto" w:fill="auto"/>
            <w:vAlign w:val="center"/>
            <w:hideMark/>
          </w:tcPr>
          <w:p w14:paraId="2B26D5DE" w14:textId="77777777" w:rsidR="00567D01" w:rsidRPr="00AB1F19" w:rsidRDefault="00567D01" w:rsidP="005A3FCB">
            <w:pPr>
              <w:spacing w:line="240" w:lineRule="auto"/>
              <w:jc w:val="center"/>
              <w:rPr>
                <w:rFonts w:eastAsia="Times New Roman" w:cs="Times New Roman"/>
                <w:sz w:val="20"/>
                <w:szCs w:val="20"/>
              </w:rPr>
            </w:pPr>
          </w:p>
        </w:tc>
        <w:tc>
          <w:tcPr>
            <w:tcW w:w="417" w:type="pct"/>
            <w:shd w:val="clear" w:color="auto" w:fill="auto"/>
            <w:vAlign w:val="center"/>
            <w:hideMark/>
          </w:tcPr>
          <w:p w14:paraId="0BE77A65" w14:textId="77777777" w:rsidR="00567D01" w:rsidRPr="00AB1F19" w:rsidRDefault="00567D01" w:rsidP="005A3FCB">
            <w:pPr>
              <w:spacing w:line="240" w:lineRule="auto"/>
              <w:jc w:val="center"/>
              <w:rPr>
                <w:rFonts w:eastAsia="Times New Roman" w:cs="Times New Roman"/>
                <w:sz w:val="20"/>
                <w:szCs w:val="20"/>
              </w:rPr>
            </w:pPr>
          </w:p>
        </w:tc>
        <w:tc>
          <w:tcPr>
            <w:tcW w:w="417" w:type="pct"/>
            <w:shd w:val="clear" w:color="auto" w:fill="auto"/>
            <w:vAlign w:val="center"/>
            <w:hideMark/>
          </w:tcPr>
          <w:p w14:paraId="4A4F38E0" w14:textId="77777777" w:rsidR="00567D01" w:rsidRPr="00AB1F19" w:rsidRDefault="00567D01" w:rsidP="005A3FCB">
            <w:pPr>
              <w:spacing w:line="240" w:lineRule="auto"/>
              <w:jc w:val="center"/>
              <w:rPr>
                <w:rFonts w:eastAsia="Times New Roman" w:cs="Times New Roman"/>
                <w:sz w:val="20"/>
                <w:szCs w:val="20"/>
              </w:rPr>
            </w:pPr>
          </w:p>
        </w:tc>
        <w:tc>
          <w:tcPr>
            <w:tcW w:w="378" w:type="pct"/>
            <w:shd w:val="clear" w:color="auto" w:fill="auto"/>
            <w:vAlign w:val="center"/>
            <w:hideMark/>
          </w:tcPr>
          <w:p w14:paraId="5C45CE74" w14:textId="77777777" w:rsidR="00567D01" w:rsidRPr="00AB1F19" w:rsidRDefault="00567D01" w:rsidP="005A3FCB">
            <w:pPr>
              <w:spacing w:line="240" w:lineRule="auto"/>
              <w:jc w:val="center"/>
              <w:rPr>
                <w:rFonts w:eastAsia="Times New Roman" w:cs="Times New Roman"/>
                <w:sz w:val="20"/>
                <w:szCs w:val="20"/>
              </w:rPr>
            </w:pPr>
          </w:p>
        </w:tc>
        <w:tc>
          <w:tcPr>
            <w:tcW w:w="369" w:type="pct"/>
            <w:shd w:val="clear" w:color="auto" w:fill="auto"/>
            <w:vAlign w:val="center"/>
            <w:hideMark/>
          </w:tcPr>
          <w:p w14:paraId="7D0E1340"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200579A9"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0D19022B"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13A83758" w14:textId="77777777" w:rsidTr="00CE4BD3">
        <w:trPr>
          <w:trHeight w:val="432"/>
        </w:trPr>
        <w:tc>
          <w:tcPr>
            <w:tcW w:w="490" w:type="pct"/>
            <w:vMerge/>
            <w:vAlign w:val="center"/>
            <w:hideMark/>
          </w:tcPr>
          <w:p w14:paraId="05E1B0C9"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3E47AFFD"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Work</w:t>
            </w:r>
          </w:p>
        </w:tc>
        <w:tc>
          <w:tcPr>
            <w:tcW w:w="389" w:type="pct"/>
            <w:shd w:val="clear" w:color="auto" w:fill="D9D9D9" w:themeFill="background1" w:themeFillShade="D9"/>
            <w:vAlign w:val="center"/>
            <w:hideMark/>
          </w:tcPr>
          <w:p w14:paraId="5F3753C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414" w:type="pct"/>
            <w:shd w:val="clear" w:color="auto" w:fill="D9D9D9" w:themeFill="background1" w:themeFillShade="D9"/>
            <w:vAlign w:val="center"/>
            <w:hideMark/>
          </w:tcPr>
          <w:p w14:paraId="6894DA98"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341" w:type="pct"/>
            <w:shd w:val="clear" w:color="auto" w:fill="D9D9D9" w:themeFill="background1" w:themeFillShade="D9"/>
            <w:vAlign w:val="center"/>
            <w:hideMark/>
          </w:tcPr>
          <w:p w14:paraId="3192DE00" w14:textId="1521D405"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sidR="00845FA7">
              <w:rPr>
                <w:rFonts w:eastAsia="Times New Roman" w:cs="Times New Roman"/>
                <w:color w:val="000000"/>
                <w:sz w:val="20"/>
                <w:szCs w:val="20"/>
              </w:rPr>
              <w:t>0</w:t>
            </w:r>
            <w:r w:rsidRPr="00AB1F19">
              <w:rPr>
                <w:rFonts w:eastAsia="Times New Roman" w:cs="Times New Roman"/>
                <w:color w:val="000000"/>
                <w:sz w:val="20"/>
                <w:szCs w:val="20"/>
              </w:rPr>
              <w:t xml:space="preserve"> </w:t>
            </w:r>
          </w:p>
        </w:tc>
        <w:tc>
          <w:tcPr>
            <w:tcW w:w="416" w:type="pct"/>
            <w:shd w:val="clear" w:color="auto" w:fill="auto"/>
            <w:vAlign w:val="center"/>
            <w:hideMark/>
          </w:tcPr>
          <w:p w14:paraId="6A5B653D" w14:textId="77777777" w:rsidR="00567D01" w:rsidRPr="00AB1F19" w:rsidRDefault="00567D01" w:rsidP="005A3FCB">
            <w:pPr>
              <w:spacing w:line="240" w:lineRule="auto"/>
              <w:jc w:val="center"/>
              <w:rPr>
                <w:rFonts w:eastAsia="Times New Roman" w:cs="Times New Roman"/>
                <w:color w:val="000000"/>
                <w:sz w:val="20"/>
                <w:szCs w:val="20"/>
              </w:rPr>
            </w:pPr>
          </w:p>
        </w:tc>
        <w:tc>
          <w:tcPr>
            <w:tcW w:w="417" w:type="pct"/>
            <w:shd w:val="clear" w:color="auto" w:fill="auto"/>
            <w:vAlign w:val="center"/>
            <w:hideMark/>
          </w:tcPr>
          <w:p w14:paraId="4F47BAB0" w14:textId="77777777" w:rsidR="00567D01" w:rsidRPr="00AB1F19" w:rsidRDefault="00567D01" w:rsidP="005A3FCB">
            <w:pPr>
              <w:spacing w:line="240" w:lineRule="auto"/>
              <w:jc w:val="center"/>
              <w:rPr>
                <w:rFonts w:eastAsia="Times New Roman" w:cs="Times New Roman"/>
                <w:sz w:val="20"/>
                <w:szCs w:val="20"/>
              </w:rPr>
            </w:pPr>
          </w:p>
        </w:tc>
        <w:tc>
          <w:tcPr>
            <w:tcW w:w="417" w:type="pct"/>
            <w:shd w:val="clear" w:color="auto" w:fill="auto"/>
            <w:vAlign w:val="center"/>
            <w:hideMark/>
          </w:tcPr>
          <w:p w14:paraId="0DD1D080" w14:textId="77777777" w:rsidR="00567D01" w:rsidRPr="00AB1F19" w:rsidRDefault="00567D01" w:rsidP="005A3FCB">
            <w:pPr>
              <w:spacing w:line="240" w:lineRule="auto"/>
              <w:jc w:val="center"/>
              <w:rPr>
                <w:rFonts w:eastAsia="Times New Roman" w:cs="Times New Roman"/>
                <w:sz w:val="20"/>
                <w:szCs w:val="20"/>
              </w:rPr>
            </w:pPr>
          </w:p>
        </w:tc>
        <w:tc>
          <w:tcPr>
            <w:tcW w:w="378" w:type="pct"/>
            <w:shd w:val="clear" w:color="auto" w:fill="auto"/>
            <w:vAlign w:val="center"/>
            <w:hideMark/>
          </w:tcPr>
          <w:p w14:paraId="45387AD1" w14:textId="77777777" w:rsidR="00567D01" w:rsidRPr="00AB1F19" w:rsidRDefault="00567D01" w:rsidP="005A3FCB">
            <w:pPr>
              <w:spacing w:line="240" w:lineRule="auto"/>
              <w:jc w:val="center"/>
              <w:rPr>
                <w:rFonts w:eastAsia="Times New Roman" w:cs="Times New Roman"/>
                <w:sz w:val="20"/>
                <w:szCs w:val="20"/>
              </w:rPr>
            </w:pPr>
          </w:p>
        </w:tc>
        <w:tc>
          <w:tcPr>
            <w:tcW w:w="369" w:type="pct"/>
            <w:shd w:val="clear" w:color="auto" w:fill="auto"/>
            <w:vAlign w:val="center"/>
            <w:hideMark/>
          </w:tcPr>
          <w:p w14:paraId="22CC863C"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1B466B44"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778DBD68"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24303967" w14:textId="77777777" w:rsidTr="00CE4BD3">
        <w:trPr>
          <w:trHeight w:val="432"/>
        </w:trPr>
        <w:tc>
          <w:tcPr>
            <w:tcW w:w="490" w:type="pct"/>
            <w:vMerge w:val="restart"/>
            <w:shd w:val="clear" w:color="auto" w:fill="auto"/>
            <w:vAlign w:val="center"/>
            <w:hideMark/>
          </w:tcPr>
          <w:p w14:paraId="375FE87C"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Time</w:t>
            </w:r>
          </w:p>
        </w:tc>
        <w:tc>
          <w:tcPr>
            <w:tcW w:w="587" w:type="pct"/>
            <w:shd w:val="clear" w:color="auto" w:fill="auto"/>
            <w:vAlign w:val="center"/>
            <w:hideMark/>
          </w:tcPr>
          <w:p w14:paraId="7566BBC1"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Morning peak</w:t>
            </w:r>
          </w:p>
        </w:tc>
        <w:tc>
          <w:tcPr>
            <w:tcW w:w="389" w:type="pct"/>
            <w:shd w:val="clear" w:color="auto" w:fill="auto"/>
            <w:vAlign w:val="center"/>
            <w:hideMark/>
          </w:tcPr>
          <w:p w14:paraId="013DCBB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3ABD9F13"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178C631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D9D9D9" w:themeFill="background1" w:themeFillShade="D9"/>
            <w:vAlign w:val="center"/>
            <w:hideMark/>
          </w:tcPr>
          <w:p w14:paraId="7FC2175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417" w:type="pct"/>
            <w:shd w:val="clear" w:color="auto" w:fill="D9D9D9" w:themeFill="background1" w:themeFillShade="D9"/>
            <w:vAlign w:val="center"/>
            <w:hideMark/>
          </w:tcPr>
          <w:p w14:paraId="5407127E" w14:textId="77777777" w:rsidR="00567D01" w:rsidRPr="00AB1F19" w:rsidRDefault="00567D01" w:rsidP="005A3FCB">
            <w:pPr>
              <w:spacing w:line="240" w:lineRule="auto"/>
              <w:jc w:val="center"/>
              <w:rPr>
                <w:rFonts w:eastAsia="Times New Roman" w:cs="Times New Roman"/>
                <w:color w:val="000000"/>
                <w:sz w:val="20"/>
                <w:szCs w:val="20"/>
              </w:rPr>
            </w:pPr>
          </w:p>
        </w:tc>
        <w:tc>
          <w:tcPr>
            <w:tcW w:w="417" w:type="pct"/>
            <w:shd w:val="clear" w:color="auto" w:fill="D9D9D9" w:themeFill="background1" w:themeFillShade="D9"/>
            <w:vAlign w:val="center"/>
            <w:hideMark/>
          </w:tcPr>
          <w:p w14:paraId="2E5D3F2C" w14:textId="77777777" w:rsidR="00567D01" w:rsidRPr="00AB1F19" w:rsidRDefault="00567D01" w:rsidP="005A3FCB">
            <w:pPr>
              <w:spacing w:line="240" w:lineRule="auto"/>
              <w:jc w:val="center"/>
              <w:rPr>
                <w:rFonts w:eastAsia="Times New Roman" w:cs="Times New Roman"/>
                <w:sz w:val="20"/>
                <w:szCs w:val="20"/>
              </w:rPr>
            </w:pPr>
          </w:p>
        </w:tc>
        <w:tc>
          <w:tcPr>
            <w:tcW w:w="378" w:type="pct"/>
            <w:shd w:val="clear" w:color="auto" w:fill="auto"/>
            <w:vAlign w:val="center"/>
            <w:hideMark/>
          </w:tcPr>
          <w:p w14:paraId="4A4D34D4" w14:textId="77777777" w:rsidR="00567D01" w:rsidRPr="00AB1F19" w:rsidRDefault="00567D01" w:rsidP="005A3FCB">
            <w:pPr>
              <w:spacing w:line="240" w:lineRule="auto"/>
              <w:jc w:val="center"/>
              <w:rPr>
                <w:rFonts w:eastAsia="Times New Roman" w:cs="Times New Roman"/>
                <w:sz w:val="20"/>
                <w:szCs w:val="20"/>
              </w:rPr>
            </w:pPr>
          </w:p>
        </w:tc>
        <w:tc>
          <w:tcPr>
            <w:tcW w:w="369" w:type="pct"/>
            <w:shd w:val="clear" w:color="auto" w:fill="auto"/>
            <w:vAlign w:val="center"/>
            <w:hideMark/>
          </w:tcPr>
          <w:p w14:paraId="0EF08B8D"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3D264E3B"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0193F525"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620AB353" w14:textId="77777777" w:rsidTr="00CE4BD3">
        <w:trPr>
          <w:trHeight w:val="432"/>
        </w:trPr>
        <w:tc>
          <w:tcPr>
            <w:tcW w:w="490" w:type="pct"/>
            <w:vMerge/>
            <w:vAlign w:val="center"/>
            <w:hideMark/>
          </w:tcPr>
          <w:p w14:paraId="6916D74B"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2C4E4A67"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Afternoon peak</w:t>
            </w:r>
          </w:p>
        </w:tc>
        <w:tc>
          <w:tcPr>
            <w:tcW w:w="389" w:type="pct"/>
            <w:shd w:val="clear" w:color="auto" w:fill="auto"/>
            <w:vAlign w:val="center"/>
            <w:hideMark/>
          </w:tcPr>
          <w:p w14:paraId="52890DA9"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6EDDE7BB"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520FDAE2"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D9D9D9" w:themeFill="background1" w:themeFillShade="D9"/>
            <w:vAlign w:val="center"/>
            <w:hideMark/>
          </w:tcPr>
          <w:p w14:paraId="454CE3F2"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417" w:type="pct"/>
            <w:shd w:val="clear" w:color="auto" w:fill="D9D9D9" w:themeFill="background1" w:themeFillShade="D9"/>
            <w:vAlign w:val="center"/>
            <w:hideMark/>
          </w:tcPr>
          <w:p w14:paraId="31D19E92"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417" w:type="pct"/>
            <w:shd w:val="clear" w:color="auto" w:fill="D9D9D9" w:themeFill="background1" w:themeFillShade="D9"/>
            <w:vAlign w:val="center"/>
            <w:hideMark/>
          </w:tcPr>
          <w:p w14:paraId="51BD10D8" w14:textId="77777777" w:rsidR="00567D01" w:rsidRPr="00AB1F19" w:rsidRDefault="00567D01" w:rsidP="005A3FCB">
            <w:pPr>
              <w:spacing w:line="240" w:lineRule="auto"/>
              <w:jc w:val="center"/>
              <w:rPr>
                <w:rFonts w:eastAsia="Times New Roman" w:cs="Times New Roman"/>
                <w:color w:val="000000"/>
                <w:sz w:val="20"/>
                <w:szCs w:val="20"/>
              </w:rPr>
            </w:pPr>
          </w:p>
        </w:tc>
        <w:tc>
          <w:tcPr>
            <w:tcW w:w="378" w:type="pct"/>
            <w:shd w:val="clear" w:color="auto" w:fill="auto"/>
            <w:vAlign w:val="center"/>
            <w:hideMark/>
          </w:tcPr>
          <w:p w14:paraId="5D3C0516" w14:textId="77777777" w:rsidR="00567D01" w:rsidRPr="00AB1F19" w:rsidRDefault="00567D01" w:rsidP="005A3FCB">
            <w:pPr>
              <w:spacing w:line="240" w:lineRule="auto"/>
              <w:jc w:val="center"/>
              <w:rPr>
                <w:rFonts w:eastAsia="Times New Roman" w:cs="Times New Roman"/>
                <w:sz w:val="20"/>
                <w:szCs w:val="20"/>
              </w:rPr>
            </w:pPr>
          </w:p>
        </w:tc>
        <w:tc>
          <w:tcPr>
            <w:tcW w:w="369" w:type="pct"/>
            <w:shd w:val="clear" w:color="auto" w:fill="auto"/>
            <w:vAlign w:val="center"/>
            <w:hideMark/>
          </w:tcPr>
          <w:p w14:paraId="629BF5EE"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14369C9B"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0E22A46D"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142AF5E6" w14:textId="77777777" w:rsidTr="00CE4BD3">
        <w:trPr>
          <w:trHeight w:val="432"/>
        </w:trPr>
        <w:tc>
          <w:tcPr>
            <w:tcW w:w="490" w:type="pct"/>
            <w:vMerge/>
            <w:vAlign w:val="center"/>
            <w:hideMark/>
          </w:tcPr>
          <w:p w14:paraId="4F8E6D2A"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25FEC152" w14:textId="77777777" w:rsidR="00567D01"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Evening/</w:t>
            </w:r>
          </w:p>
          <w:p w14:paraId="394B3132"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night</w:t>
            </w:r>
          </w:p>
        </w:tc>
        <w:tc>
          <w:tcPr>
            <w:tcW w:w="389" w:type="pct"/>
            <w:shd w:val="clear" w:color="auto" w:fill="auto"/>
            <w:vAlign w:val="center"/>
            <w:hideMark/>
          </w:tcPr>
          <w:p w14:paraId="14AB0CCE"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0116F2D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686DBCF9"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D9D9D9" w:themeFill="background1" w:themeFillShade="D9"/>
            <w:vAlign w:val="center"/>
            <w:hideMark/>
          </w:tcPr>
          <w:p w14:paraId="54F78B2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417" w:type="pct"/>
            <w:shd w:val="clear" w:color="auto" w:fill="D9D9D9" w:themeFill="background1" w:themeFillShade="D9"/>
            <w:vAlign w:val="center"/>
            <w:hideMark/>
          </w:tcPr>
          <w:p w14:paraId="37A13ACB"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417" w:type="pct"/>
            <w:shd w:val="clear" w:color="auto" w:fill="D9D9D9" w:themeFill="background1" w:themeFillShade="D9"/>
            <w:vAlign w:val="center"/>
            <w:hideMark/>
          </w:tcPr>
          <w:p w14:paraId="3F59545D"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378" w:type="pct"/>
            <w:shd w:val="clear" w:color="auto" w:fill="auto"/>
            <w:vAlign w:val="center"/>
            <w:hideMark/>
          </w:tcPr>
          <w:p w14:paraId="61064CB9" w14:textId="77777777" w:rsidR="00567D01" w:rsidRPr="00AB1F19" w:rsidRDefault="00567D01" w:rsidP="005A3FCB">
            <w:pPr>
              <w:spacing w:line="240" w:lineRule="auto"/>
              <w:jc w:val="center"/>
              <w:rPr>
                <w:rFonts w:eastAsia="Times New Roman" w:cs="Times New Roman"/>
                <w:color w:val="000000"/>
                <w:sz w:val="20"/>
                <w:szCs w:val="20"/>
              </w:rPr>
            </w:pPr>
          </w:p>
        </w:tc>
        <w:tc>
          <w:tcPr>
            <w:tcW w:w="369" w:type="pct"/>
            <w:shd w:val="clear" w:color="auto" w:fill="auto"/>
            <w:vAlign w:val="center"/>
            <w:hideMark/>
          </w:tcPr>
          <w:p w14:paraId="49BA4659" w14:textId="77777777" w:rsidR="00567D01" w:rsidRPr="00AB1F19" w:rsidRDefault="00567D01" w:rsidP="005A3FCB">
            <w:pPr>
              <w:spacing w:line="240" w:lineRule="auto"/>
              <w:jc w:val="center"/>
              <w:rPr>
                <w:rFonts w:eastAsia="Times New Roman" w:cs="Times New Roman"/>
                <w:sz w:val="20"/>
                <w:szCs w:val="20"/>
              </w:rPr>
            </w:pPr>
          </w:p>
        </w:tc>
        <w:tc>
          <w:tcPr>
            <w:tcW w:w="341" w:type="pct"/>
            <w:shd w:val="clear" w:color="auto" w:fill="auto"/>
            <w:vAlign w:val="center"/>
            <w:hideMark/>
          </w:tcPr>
          <w:p w14:paraId="0A29A8D1"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7B3DFD4A"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33D824AE" w14:textId="77777777" w:rsidTr="00CE4BD3">
        <w:trPr>
          <w:trHeight w:val="432"/>
        </w:trPr>
        <w:tc>
          <w:tcPr>
            <w:tcW w:w="490" w:type="pct"/>
            <w:vMerge w:val="restart"/>
            <w:shd w:val="clear" w:color="auto" w:fill="auto"/>
            <w:vAlign w:val="center"/>
            <w:hideMark/>
          </w:tcPr>
          <w:p w14:paraId="4F282F54"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Mode substituted</w:t>
            </w:r>
          </w:p>
        </w:tc>
        <w:tc>
          <w:tcPr>
            <w:tcW w:w="587" w:type="pct"/>
            <w:shd w:val="clear" w:color="auto" w:fill="auto"/>
            <w:vAlign w:val="center"/>
            <w:hideMark/>
          </w:tcPr>
          <w:p w14:paraId="53AC7AE3"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Taxi</w:t>
            </w:r>
          </w:p>
        </w:tc>
        <w:tc>
          <w:tcPr>
            <w:tcW w:w="389" w:type="pct"/>
            <w:shd w:val="clear" w:color="auto" w:fill="auto"/>
            <w:vAlign w:val="center"/>
            <w:hideMark/>
          </w:tcPr>
          <w:p w14:paraId="1AF33A59"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001220AF"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527C7D7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auto"/>
            <w:vAlign w:val="center"/>
            <w:hideMark/>
          </w:tcPr>
          <w:p w14:paraId="0CE6184D" w14:textId="6636DFF8" w:rsidR="00567D01"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-0.1</w:t>
            </w:r>
            <w:r w:rsidR="004450EA">
              <w:rPr>
                <w:rFonts w:eastAsia="Times New Roman" w:cs="Times New Roman"/>
                <w:color w:val="000000"/>
                <w:sz w:val="20"/>
                <w:szCs w:val="20"/>
              </w:rPr>
              <w:t>81</w:t>
            </w:r>
          </w:p>
          <w:p w14:paraId="723EE975" w14:textId="36314F2B"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 xml:space="preserve"> (-</w:t>
            </w:r>
            <w:r w:rsidR="004450EA">
              <w:rPr>
                <w:rFonts w:eastAsia="Times New Roman" w:cs="Times New Roman"/>
                <w:color w:val="000000"/>
                <w:sz w:val="20"/>
                <w:szCs w:val="20"/>
              </w:rPr>
              <w:t>3.14</w:t>
            </w:r>
            <w:r w:rsidRPr="00AB1F19">
              <w:rPr>
                <w:rFonts w:eastAsia="Times New Roman" w:cs="Times New Roman"/>
                <w:color w:val="000000"/>
                <w:sz w:val="20"/>
                <w:szCs w:val="20"/>
              </w:rPr>
              <w:t>)</w:t>
            </w:r>
          </w:p>
        </w:tc>
        <w:tc>
          <w:tcPr>
            <w:tcW w:w="417" w:type="pct"/>
            <w:shd w:val="clear" w:color="auto" w:fill="auto"/>
            <w:vAlign w:val="center"/>
            <w:hideMark/>
          </w:tcPr>
          <w:p w14:paraId="728F2323"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63467E38" w14:textId="57B4ECB1" w:rsidR="00567D01" w:rsidRPr="00AB1F19" w:rsidRDefault="008809B5" w:rsidP="005A3FCB">
            <w:pPr>
              <w:spacing w:line="240" w:lineRule="auto"/>
              <w:jc w:val="center"/>
              <w:rPr>
                <w:rFonts w:eastAsia="Times New Roman" w:cs="Times New Roman"/>
                <w:color w:val="000000"/>
                <w:sz w:val="20"/>
                <w:szCs w:val="20"/>
              </w:rPr>
            </w:pPr>
            <w:r>
              <w:rPr>
                <w:rFonts w:eastAsia="Times New Roman" w:cs="Times New Roman"/>
                <w:color w:val="000000"/>
                <w:sz w:val="20"/>
                <w:szCs w:val="20"/>
              </w:rPr>
              <w:t>0.0</w:t>
            </w:r>
          </w:p>
        </w:tc>
        <w:tc>
          <w:tcPr>
            <w:tcW w:w="378" w:type="pct"/>
            <w:shd w:val="clear" w:color="auto" w:fill="D9D9D9" w:themeFill="background1" w:themeFillShade="D9"/>
            <w:vAlign w:val="center"/>
            <w:hideMark/>
          </w:tcPr>
          <w:p w14:paraId="22650F46"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369" w:type="pct"/>
            <w:shd w:val="clear" w:color="auto" w:fill="D9D9D9" w:themeFill="background1" w:themeFillShade="D9"/>
            <w:vAlign w:val="center"/>
            <w:hideMark/>
          </w:tcPr>
          <w:p w14:paraId="1A07BD9C" w14:textId="77777777" w:rsidR="00567D01" w:rsidRPr="00AB1F19" w:rsidRDefault="00567D01" w:rsidP="005A3FCB">
            <w:pPr>
              <w:spacing w:line="240" w:lineRule="auto"/>
              <w:jc w:val="center"/>
              <w:rPr>
                <w:rFonts w:eastAsia="Times New Roman" w:cs="Times New Roman"/>
                <w:color w:val="000000"/>
                <w:sz w:val="20"/>
                <w:szCs w:val="20"/>
              </w:rPr>
            </w:pPr>
          </w:p>
        </w:tc>
        <w:tc>
          <w:tcPr>
            <w:tcW w:w="341" w:type="pct"/>
            <w:shd w:val="clear" w:color="auto" w:fill="D9D9D9" w:themeFill="background1" w:themeFillShade="D9"/>
            <w:vAlign w:val="center"/>
            <w:hideMark/>
          </w:tcPr>
          <w:p w14:paraId="3601C098" w14:textId="77777777" w:rsidR="00567D01" w:rsidRPr="00AB1F19" w:rsidRDefault="00567D01" w:rsidP="005A3FCB">
            <w:pPr>
              <w:spacing w:line="240" w:lineRule="auto"/>
              <w:jc w:val="center"/>
              <w:rPr>
                <w:rFonts w:eastAsia="Times New Roman" w:cs="Times New Roman"/>
                <w:sz w:val="20"/>
                <w:szCs w:val="20"/>
              </w:rPr>
            </w:pPr>
          </w:p>
        </w:tc>
        <w:tc>
          <w:tcPr>
            <w:tcW w:w="440" w:type="pct"/>
            <w:shd w:val="clear" w:color="auto" w:fill="auto"/>
            <w:vAlign w:val="center"/>
            <w:hideMark/>
          </w:tcPr>
          <w:p w14:paraId="7C466686"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049F88AE" w14:textId="77777777" w:rsidTr="00CE4BD3">
        <w:trPr>
          <w:trHeight w:val="432"/>
        </w:trPr>
        <w:tc>
          <w:tcPr>
            <w:tcW w:w="490" w:type="pct"/>
            <w:vMerge/>
            <w:vAlign w:val="center"/>
            <w:hideMark/>
          </w:tcPr>
          <w:p w14:paraId="060406C0"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63839790"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Active or transit</w:t>
            </w:r>
          </w:p>
        </w:tc>
        <w:tc>
          <w:tcPr>
            <w:tcW w:w="389" w:type="pct"/>
            <w:shd w:val="clear" w:color="auto" w:fill="auto"/>
            <w:vAlign w:val="center"/>
            <w:hideMark/>
          </w:tcPr>
          <w:p w14:paraId="4A5A68C5"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09723845"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7DE5555A"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auto"/>
            <w:vAlign w:val="center"/>
            <w:hideMark/>
          </w:tcPr>
          <w:p w14:paraId="620856ED"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74FBBE6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78C45C5E"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78" w:type="pct"/>
            <w:shd w:val="clear" w:color="auto" w:fill="D9D9D9" w:themeFill="background1" w:themeFillShade="D9"/>
            <w:vAlign w:val="center"/>
            <w:hideMark/>
          </w:tcPr>
          <w:p w14:paraId="2018722B" w14:textId="2F5C8613"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369" w:type="pct"/>
            <w:shd w:val="clear" w:color="auto" w:fill="D9D9D9" w:themeFill="background1" w:themeFillShade="D9"/>
            <w:vAlign w:val="center"/>
            <w:hideMark/>
          </w:tcPr>
          <w:p w14:paraId="64E0A460"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c>
          <w:tcPr>
            <w:tcW w:w="341" w:type="pct"/>
            <w:shd w:val="clear" w:color="auto" w:fill="D9D9D9" w:themeFill="background1" w:themeFillShade="D9"/>
            <w:vAlign w:val="center"/>
            <w:hideMark/>
          </w:tcPr>
          <w:p w14:paraId="190EDF07" w14:textId="77777777" w:rsidR="00567D01" w:rsidRPr="00AB1F19" w:rsidRDefault="00567D01" w:rsidP="005A3FCB">
            <w:pPr>
              <w:spacing w:line="240" w:lineRule="auto"/>
              <w:jc w:val="center"/>
              <w:rPr>
                <w:rFonts w:eastAsia="Times New Roman" w:cs="Times New Roman"/>
                <w:color w:val="000000"/>
                <w:sz w:val="20"/>
                <w:szCs w:val="20"/>
              </w:rPr>
            </w:pPr>
          </w:p>
        </w:tc>
        <w:tc>
          <w:tcPr>
            <w:tcW w:w="440" w:type="pct"/>
            <w:shd w:val="clear" w:color="auto" w:fill="auto"/>
            <w:vAlign w:val="center"/>
            <w:hideMark/>
          </w:tcPr>
          <w:p w14:paraId="6A8ED573" w14:textId="77777777" w:rsidR="00567D01" w:rsidRPr="00AB1F19" w:rsidRDefault="00567D01" w:rsidP="005A3FCB">
            <w:pPr>
              <w:spacing w:line="240" w:lineRule="auto"/>
              <w:jc w:val="center"/>
              <w:rPr>
                <w:rFonts w:eastAsia="Times New Roman" w:cs="Times New Roman"/>
                <w:sz w:val="20"/>
                <w:szCs w:val="20"/>
              </w:rPr>
            </w:pPr>
          </w:p>
        </w:tc>
      </w:tr>
      <w:tr w:rsidR="00CE4BD3" w:rsidRPr="00AB1F19" w14:paraId="385116DC" w14:textId="77777777" w:rsidTr="00CE4BD3">
        <w:trPr>
          <w:trHeight w:val="432"/>
        </w:trPr>
        <w:tc>
          <w:tcPr>
            <w:tcW w:w="490" w:type="pct"/>
            <w:vMerge/>
            <w:vAlign w:val="center"/>
            <w:hideMark/>
          </w:tcPr>
          <w:p w14:paraId="774B1DE6" w14:textId="77777777" w:rsidR="00567D01" w:rsidRPr="00AB1F19" w:rsidRDefault="00567D01" w:rsidP="005A3FCB">
            <w:pPr>
              <w:spacing w:line="240" w:lineRule="auto"/>
              <w:jc w:val="left"/>
              <w:rPr>
                <w:rFonts w:eastAsia="Times New Roman" w:cs="Times New Roman"/>
                <w:color w:val="000000"/>
                <w:sz w:val="20"/>
                <w:szCs w:val="20"/>
              </w:rPr>
            </w:pPr>
          </w:p>
        </w:tc>
        <w:tc>
          <w:tcPr>
            <w:tcW w:w="587" w:type="pct"/>
            <w:shd w:val="clear" w:color="auto" w:fill="auto"/>
            <w:vAlign w:val="center"/>
            <w:hideMark/>
          </w:tcPr>
          <w:p w14:paraId="17C70495"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No trip</w:t>
            </w:r>
          </w:p>
        </w:tc>
        <w:tc>
          <w:tcPr>
            <w:tcW w:w="389" w:type="pct"/>
            <w:shd w:val="clear" w:color="auto" w:fill="auto"/>
            <w:vAlign w:val="center"/>
            <w:hideMark/>
          </w:tcPr>
          <w:p w14:paraId="49077DB4"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3F6E375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024E9D84"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auto"/>
            <w:vAlign w:val="center"/>
            <w:hideMark/>
          </w:tcPr>
          <w:p w14:paraId="1CFD834F"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44A32393"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41989FE2"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78" w:type="pct"/>
            <w:shd w:val="clear" w:color="auto" w:fill="D9D9D9" w:themeFill="background1" w:themeFillShade="D9"/>
            <w:vAlign w:val="center"/>
            <w:hideMark/>
          </w:tcPr>
          <w:p w14:paraId="173A8702" w14:textId="3BF8B56E"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sidR="00845FA7">
              <w:rPr>
                <w:rFonts w:eastAsia="Times New Roman" w:cs="Times New Roman"/>
                <w:color w:val="000000"/>
                <w:sz w:val="20"/>
                <w:szCs w:val="20"/>
              </w:rPr>
              <w:t>5</w:t>
            </w:r>
          </w:p>
        </w:tc>
        <w:tc>
          <w:tcPr>
            <w:tcW w:w="369" w:type="pct"/>
            <w:shd w:val="clear" w:color="auto" w:fill="D9D9D9" w:themeFill="background1" w:themeFillShade="D9"/>
            <w:vAlign w:val="center"/>
            <w:hideMark/>
          </w:tcPr>
          <w:p w14:paraId="3B5A0C67"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0.5</w:t>
            </w:r>
          </w:p>
        </w:tc>
        <w:tc>
          <w:tcPr>
            <w:tcW w:w="341" w:type="pct"/>
            <w:shd w:val="clear" w:color="auto" w:fill="D9D9D9" w:themeFill="background1" w:themeFillShade="D9"/>
            <w:vAlign w:val="center"/>
            <w:hideMark/>
          </w:tcPr>
          <w:p w14:paraId="089A997F" w14:textId="0DF3ECAD"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sidR="00845FA7">
              <w:rPr>
                <w:rFonts w:eastAsia="Times New Roman" w:cs="Times New Roman"/>
                <w:color w:val="000000"/>
                <w:sz w:val="20"/>
                <w:szCs w:val="20"/>
              </w:rPr>
              <w:t>0</w:t>
            </w:r>
          </w:p>
        </w:tc>
        <w:tc>
          <w:tcPr>
            <w:tcW w:w="440" w:type="pct"/>
            <w:shd w:val="clear" w:color="auto" w:fill="auto"/>
            <w:vAlign w:val="center"/>
            <w:hideMark/>
          </w:tcPr>
          <w:p w14:paraId="2DFF5AF4" w14:textId="77777777" w:rsidR="00567D01" w:rsidRPr="00AB1F19" w:rsidRDefault="00567D01" w:rsidP="005A3FCB">
            <w:pPr>
              <w:spacing w:line="240" w:lineRule="auto"/>
              <w:jc w:val="center"/>
              <w:rPr>
                <w:rFonts w:eastAsia="Times New Roman" w:cs="Times New Roman"/>
                <w:color w:val="000000"/>
                <w:sz w:val="20"/>
                <w:szCs w:val="20"/>
              </w:rPr>
            </w:pPr>
          </w:p>
        </w:tc>
      </w:tr>
      <w:tr w:rsidR="00CE4BD3" w:rsidRPr="00AB1F19" w14:paraId="3936BA27" w14:textId="77777777" w:rsidTr="00CE4BD3">
        <w:trPr>
          <w:trHeight w:val="432"/>
        </w:trPr>
        <w:tc>
          <w:tcPr>
            <w:tcW w:w="490" w:type="pct"/>
            <w:shd w:val="clear" w:color="auto" w:fill="auto"/>
            <w:vAlign w:val="center"/>
            <w:hideMark/>
          </w:tcPr>
          <w:p w14:paraId="19E6D60F" w14:textId="77777777" w:rsidR="00567D01" w:rsidRPr="00AB1F19" w:rsidRDefault="00567D01" w:rsidP="005A3FCB">
            <w:pPr>
              <w:spacing w:line="240" w:lineRule="auto"/>
              <w:jc w:val="left"/>
              <w:rPr>
                <w:rFonts w:eastAsia="Times New Roman" w:cs="Times New Roman"/>
                <w:color w:val="000000"/>
                <w:sz w:val="20"/>
                <w:szCs w:val="20"/>
              </w:rPr>
            </w:pPr>
            <w:r w:rsidRPr="00AB1F19">
              <w:rPr>
                <w:rFonts w:eastAsia="Times New Roman" w:cs="Times New Roman"/>
                <w:color w:val="000000"/>
                <w:sz w:val="20"/>
                <w:szCs w:val="20"/>
              </w:rPr>
              <w:t>Companion</w:t>
            </w:r>
          </w:p>
        </w:tc>
        <w:tc>
          <w:tcPr>
            <w:tcW w:w="587" w:type="pct"/>
            <w:shd w:val="clear" w:color="auto" w:fill="auto"/>
            <w:vAlign w:val="center"/>
            <w:hideMark/>
          </w:tcPr>
          <w:p w14:paraId="47AEB2A6" w14:textId="21A8CDDC" w:rsidR="00567D01" w:rsidRPr="00AB1F19" w:rsidRDefault="008809B5" w:rsidP="005A3FCB">
            <w:pPr>
              <w:spacing w:line="240" w:lineRule="auto"/>
              <w:jc w:val="left"/>
              <w:rPr>
                <w:rFonts w:eastAsia="Times New Roman" w:cs="Times New Roman"/>
                <w:color w:val="000000"/>
                <w:sz w:val="20"/>
                <w:szCs w:val="20"/>
              </w:rPr>
            </w:pPr>
            <w:r>
              <w:rPr>
                <w:rFonts w:eastAsia="Times New Roman" w:cs="Times New Roman"/>
                <w:color w:val="000000"/>
                <w:sz w:val="20"/>
                <w:szCs w:val="20"/>
              </w:rPr>
              <w:t>With others</w:t>
            </w:r>
          </w:p>
        </w:tc>
        <w:tc>
          <w:tcPr>
            <w:tcW w:w="389" w:type="pct"/>
            <w:shd w:val="clear" w:color="auto" w:fill="auto"/>
            <w:vAlign w:val="center"/>
            <w:hideMark/>
          </w:tcPr>
          <w:p w14:paraId="140862C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4" w:type="pct"/>
            <w:shd w:val="clear" w:color="auto" w:fill="auto"/>
            <w:vAlign w:val="center"/>
            <w:hideMark/>
          </w:tcPr>
          <w:p w14:paraId="20C2F371"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72020CE4"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6" w:type="pct"/>
            <w:shd w:val="clear" w:color="auto" w:fill="auto"/>
            <w:vAlign w:val="center"/>
            <w:hideMark/>
          </w:tcPr>
          <w:p w14:paraId="53B574A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7349CF69"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17" w:type="pct"/>
            <w:shd w:val="clear" w:color="auto" w:fill="auto"/>
            <w:vAlign w:val="center"/>
            <w:hideMark/>
          </w:tcPr>
          <w:p w14:paraId="71A6E2AE"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78" w:type="pct"/>
            <w:shd w:val="clear" w:color="auto" w:fill="auto"/>
            <w:vAlign w:val="center"/>
            <w:hideMark/>
          </w:tcPr>
          <w:p w14:paraId="2A533103" w14:textId="0F4BD2E8"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0.1</w:t>
            </w:r>
            <w:r w:rsidR="008809B5">
              <w:rPr>
                <w:rFonts w:eastAsia="Times New Roman" w:cs="Times New Roman"/>
                <w:color w:val="000000"/>
                <w:sz w:val="20"/>
                <w:szCs w:val="20"/>
              </w:rPr>
              <w:t>47</w:t>
            </w:r>
            <w:r w:rsidRPr="00AB1F19">
              <w:rPr>
                <w:rFonts w:eastAsia="Times New Roman" w:cs="Times New Roman"/>
                <w:color w:val="000000"/>
                <w:sz w:val="20"/>
                <w:szCs w:val="20"/>
              </w:rPr>
              <w:t xml:space="preserve"> (2.4</w:t>
            </w:r>
            <w:r w:rsidR="008809B5">
              <w:rPr>
                <w:rFonts w:eastAsia="Times New Roman" w:cs="Times New Roman"/>
                <w:color w:val="000000"/>
                <w:sz w:val="20"/>
                <w:szCs w:val="20"/>
              </w:rPr>
              <w:t>9</w:t>
            </w:r>
            <w:r w:rsidRPr="00AB1F19">
              <w:rPr>
                <w:rFonts w:eastAsia="Times New Roman" w:cs="Times New Roman"/>
                <w:color w:val="000000"/>
                <w:sz w:val="20"/>
                <w:szCs w:val="20"/>
              </w:rPr>
              <w:t>)</w:t>
            </w:r>
          </w:p>
        </w:tc>
        <w:tc>
          <w:tcPr>
            <w:tcW w:w="369" w:type="pct"/>
            <w:shd w:val="clear" w:color="auto" w:fill="auto"/>
            <w:vAlign w:val="center"/>
            <w:hideMark/>
          </w:tcPr>
          <w:p w14:paraId="548C070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341" w:type="pct"/>
            <w:shd w:val="clear" w:color="auto" w:fill="auto"/>
            <w:vAlign w:val="center"/>
            <w:hideMark/>
          </w:tcPr>
          <w:p w14:paraId="1AF731BA"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0</w:t>
            </w:r>
            <w:r>
              <w:rPr>
                <w:rFonts w:eastAsia="Times New Roman" w:cs="Times New Roman"/>
                <w:color w:val="000000"/>
                <w:sz w:val="20"/>
                <w:szCs w:val="20"/>
              </w:rPr>
              <w:t>.0</w:t>
            </w:r>
          </w:p>
        </w:tc>
        <w:tc>
          <w:tcPr>
            <w:tcW w:w="440" w:type="pct"/>
            <w:shd w:val="clear" w:color="auto" w:fill="D9D9D9" w:themeFill="background1" w:themeFillShade="D9"/>
            <w:vAlign w:val="center"/>
            <w:hideMark/>
          </w:tcPr>
          <w:p w14:paraId="183B624C" w14:textId="77777777" w:rsidR="00567D01" w:rsidRPr="00AB1F19" w:rsidRDefault="00567D01" w:rsidP="005A3FCB">
            <w:pPr>
              <w:spacing w:line="240" w:lineRule="auto"/>
              <w:jc w:val="center"/>
              <w:rPr>
                <w:rFonts w:eastAsia="Times New Roman" w:cs="Times New Roman"/>
                <w:color w:val="000000"/>
                <w:sz w:val="20"/>
                <w:szCs w:val="20"/>
              </w:rPr>
            </w:pPr>
            <w:r w:rsidRPr="00AB1F19">
              <w:rPr>
                <w:rFonts w:eastAsia="Times New Roman" w:cs="Times New Roman"/>
                <w:color w:val="000000"/>
                <w:sz w:val="20"/>
                <w:szCs w:val="20"/>
              </w:rPr>
              <w:t>1</w:t>
            </w:r>
            <w:r>
              <w:rPr>
                <w:rFonts w:eastAsia="Times New Roman" w:cs="Times New Roman"/>
                <w:color w:val="000000"/>
                <w:sz w:val="20"/>
                <w:szCs w:val="20"/>
              </w:rPr>
              <w:t>.0</w:t>
            </w:r>
          </w:p>
        </w:tc>
      </w:tr>
    </w:tbl>
    <w:p w14:paraId="03903B05" w14:textId="4B95391A" w:rsidR="00567D01" w:rsidRDefault="004A694F" w:rsidP="006C2E55">
      <w:pPr>
        <w:spacing w:line="240" w:lineRule="auto"/>
        <w:ind w:left="450" w:right="720"/>
        <w:jc w:val="left"/>
        <w:rPr>
          <w:sz w:val="20"/>
          <w:szCs w:val="20"/>
        </w:rPr>
      </w:pPr>
      <w:r w:rsidRPr="006C2E55">
        <w:rPr>
          <w:i/>
          <w:sz w:val="20"/>
          <w:szCs w:val="20"/>
        </w:rPr>
        <w:t>Note</w:t>
      </w:r>
      <w:r>
        <w:rPr>
          <w:sz w:val="20"/>
          <w:szCs w:val="20"/>
        </w:rPr>
        <w:t xml:space="preserve">: </w:t>
      </w:r>
      <w:r w:rsidR="00A47BFB" w:rsidRPr="004A694F">
        <w:rPr>
          <w:sz w:val="20"/>
          <w:szCs w:val="20"/>
        </w:rPr>
        <w:t xml:space="preserve">Covariance parameters are </w:t>
      </w:r>
      <w:r w:rsidRPr="004A694F">
        <w:rPr>
          <w:sz w:val="20"/>
          <w:szCs w:val="20"/>
        </w:rPr>
        <w:t xml:space="preserve">represented in gray </w:t>
      </w:r>
      <w:r w:rsidR="00BA20DE">
        <w:rPr>
          <w:sz w:val="20"/>
          <w:szCs w:val="20"/>
        </w:rPr>
        <w:t>cells</w:t>
      </w:r>
      <w:r w:rsidRPr="004A694F">
        <w:rPr>
          <w:sz w:val="20"/>
          <w:szCs w:val="20"/>
        </w:rPr>
        <w:t xml:space="preserve"> and correlation parameters in white </w:t>
      </w:r>
      <w:r w:rsidR="00BA20DE">
        <w:rPr>
          <w:sz w:val="20"/>
          <w:szCs w:val="20"/>
        </w:rPr>
        <w:t>cells</w:t>
      </w:r>
      <w:r w:rsidRPr="004A694F">
        <w:rPr>
          <w:sz w:val="20"/>
          <w:szCs w:val="20"/>
        </w:rPr>
        <w:t>.</w:t>
      </w:r>
      <w:r w:rsidR="00BA20DE" w:rsidRPr="00BA20DE">
        <w:rPr>
          <w:rFonts w:eastAsia="Times New Roman" w:cs="Times New Roman"/>
          <w:sz w:val="20"/>
          <w:szCs w:val="20"/>
        </w:rPr>
        <w:t xml:space="preserve"> </w:t>
      </w:r>
      <w:r w:rsidR="00BA20DE" w:rsidRPr="00BA20DE">
        <w:rPr>
          <w:rFonts w:eastAsia="Times New Roman" w:cs="Times New Roman"/>
          <w:sz w:val="20"/>
          <w:szCs w:val="20"/>
        </w:rPr>
        <w:t>T-statistics ar</w:t>
      </w:r>
      <w:r w:rsidR="006C2E55">
        <w:rPr>
          <w:rFonts w:eastAsia="Times New Roman" w:cs="Times New Roman"/>
          <w:sz w:val="20"/>
          <w:szCs w:val="20"/>
        </w:rPr>
        <w:t>e represented between parenthese</w:t>
      </w:r>
      <w:r w:rsidR="00BA20DE" w:rsidRPr="00BA20DE">
        <w:rPr>
          <w:rFonts w:eastAsia="Times New Roman" w:cs="Times New Roman"/>
          <w:sz w:val="20"/>
          <w:szCs w:val="20"/>
        </w:rPr>
        <w:t>s when applicable.</w:t>
      </w:r>
    </w:p>
    <w:p w14:paraId="5142773A" w14:textId="77777777" w:rsidR="00BA20DE" w:rsidRDefault="00BA20DE" w:rsidP="006C2E55">
      <w:pPr>
        <w:spacing w:line="240" w:lineRule="auto"/>
        <w:jc w:val="center"/>
        <w:rPr>
          <w:sz w:val="20"/>
          <w:szCs w:val="20"/>
        </w:rPr>
      </w:pPr>
    </w:p>
    <w:p w14:paraId="7DE4D916" w14:textId="77777777" w:rsidR="00BA20DE" w:rsidRPr="004A694F" w:rsidRDefault="00BA20DE" w:rsidP="004A694F">
      <w:pPr>
        <w:jc w:val="center"/>
        <w:rPr>
          <w:sz w:val="20"/>
          <w:szCs w:val="20"/>
        </w:rPr>
      </w:pPr>
    </w:p>
    <w:p w14:paraId="5905F1FA" w14:textId="77777777" w:rsidR="004F4036" w:rsidRDefault="004F4036" w:rsidP="00A90536">
      <w:pPr>
        <w:spacing w:after="200" w:line="276" w:lineRule="auto"/>
        <w:jc w:val="center"/>
        <w:rPr>
          <w:b/>
        </w:rPr>
      </w:pPr>
    </w:p>
    <w:sectPr w:rsidR="004F4036" w:rsidSect="008F26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946E9" w14:textId="77777777" w:rsidR="001F3CE0" w:rsidRDefault="001F3CE0" w:rsidP="009B20E7">
      <w:pPr>
        <w:spacing w:line="240" w:lineRule="auto"/>
      </w:pPr>
      <w:r>
        <w:separator/>
      </w:r>
    </w:p>
  </w:endnote>
  <w:endnote w:type="continuationSeparator" w:id="0">
    <w:p w14:paraId="098E21F7" w14:textId="77777777" w:rsidR="001F3CE0" w:rsidRDefault="001F3CE0" w:rsidP="009B2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664A3" w14:textId="3B6539FD" w:rsidR="001F3CE0" w:rsidRDefault="001F3CE0" w:rsidP="000939E3">
    <w:pPr>
      <w:pStyle w:val="Footer"/>
    </w:pPr>
  </w:p>
  <w:p w14:paraId="65BFAD56" w14:textId="77777777" w:rsidR="001F3CE0" w:rsidRDefault="001F3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68259"/>
      <w:docPartObj>
        <w:docPartGallery w:val="Page Numbers (Bottom of Page)"/>
        <w:docPartUnique/>
      </w:docPartObj>
    </w:sdtPr>
    <w:sdtEndPr>
      <w:rPr>
        <w:noProof/>
      </w:rPr>
    </w:sdtEndPr>
    <w:sdtContent>
      <w:p w14:paraId="7867F8A4" w14:textId="47648BDF" w:rsidR="001F3CE0" w:rsidRDefault="001F3CE0" w:rsidP="000939E3">
        <w:pPr>
          <w:pStyle w:val="Footer"/>
          <w:jc w:val="center"/>
        </w:pPr>
        <w:r>
          <w:fldChar w:fldCharType="begin"/>
        </w:r>
        <w:r>
          <w:instrText xml:space="preserve"> PAGE   \* MERGEFORMAT </w:instrText>
        </w:r>
        <w:r>
          <w:fldChar w:fldCharType="separate"/>
        </w:r>
        <w:r w:rsidR="00E0706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0BD3F" w14:textId="77777777" w:rsidR="001F3CE0" w:rsidRDefault="001F3CE0" w:rsidP="009B20E7">
      <w:pPr>
        <w:spacing w:line="240" w:lineRule="auto"/>
      </w:pPr>
      <w:r>
        <w:separator/>
      </w:r>
    </w:p>
  </w:footnote>
  <w:footnote w:type="continuationSeparator" w:id="0">
    <w:p w14:paraId="6AA0671D" w14:textId="77777777" w:rsidR="001F3CE0" w:rsidRDefault="001F3CE0" w:rsidP="009B20E7">
      <w:pPr>
        <w:spacing w:line="240" w:lineRule="auto"/>
      </w:pPr>
      <w:r>
        <w:continuationSeparator/>
      </w:r>
    </w:p>
  </w:footnote>
  <w:footnote w:id="1">
    <w:p w14:paraId="510CA2A0" w14:textId="2A6E4D7B" w:rsidR="001F3CE0" w:rsidRDefault="001F3CE0" w:rsidP="00FF0CBE">
      <w:pPr>
        <w:pStyle w:val="FootnoteText"/>
        <w:spacing w:after="60"/>
      </w:pPr>
      <w:r>
        <w:rPr>
          <w:rStyle w:val="FootnoteReference"/>
        </w:rPr>
        <w:footnoteRef/>
      </w:r>
      <w:r>
        <w:t xml:space="preserve"> Ride-hailing refers to ride services provided by a </w:t>
      </w:r>
      <w:r w:rsidRPr="007702CB">
        <w:t>loose collection of drivers to the wider public through a smartphone application</w:t>
      </w:r>
      <w:r>
        <w:t>.</w:t>
      </w:r>
    </w:p>
  </w:footnote>
  <w:footnote w:id="2">
    <w:p w14:paraId="7804F51F" w14:textId="77777777" w:rsidR="001F3CE0" w:rsidRDefault="001F3CE0" w:rsidP="00845643">
      <w:pPr>
        <w:pStyle w:val="FootnoteText"/>
      </w:pPr>
      <w:r>
        <w:rPr>
          <w:rStyle w:val="FootnoteReference"/>
        </w:rPr>
        <w:footnoteRef/>
      </w:r>
      <w:r>
        <w:t xml:space="preserve"> R</w:t>
      </w:r>
      <w:r w:rsidRPr="001071CB">
        <w:t>ide-hailing services</w:t>
      </w:r>
      <w:r>
        <w:t xml:space="preserve"> can be hired in a pooled mode, in which </w:t>
      </w:r>
      <w:r w:rsidRPr="001071CB">
        <w:t>the user accepts to share a ride with strangers</w:t>
      </w:r>
      <w:r>
        <w:t xml:space="preserve"> in exchange for a cheaper fare.</w:t>
      </w:r>
    </w:p>
  </w:footnote>
  <w:footnote w:id="3">
    <w:p w14:paraId="6BDE2F4A" w14:textId="4FCC2326" w:rsidR="001F3CE0" w:rsidRDefault="001F3CE0">
      <w:pPr>
        <w:pStyle w:val="FootnoteText"/>
      </w:pPr>
      <w:r>
        <w:rPr>
          <w:rStyle w:val="FootnoteReference"/>
        </w:rPr>
        <w:footnoteRef/>
      </w:r>
      <w:r>
        <w:t xml:space="preserve"> </w:t>
      </w:r>
      <w:r w:rsidRPr="00E2482B">
        <w:t>The decision to focus on individuals with commute travel was guided by</w:t>
      </w:r>
      <w:r>
        <w:t xml:space="preserve"> factors external to the current study. The authors acknowledge that understanding the preferences and ride-hailing travel behavior of non-commuters is also important from a transportation policy standpoint, and we encourage future studies to explore this limitation of our study.  </w:t>
      </w:r>
    </w:p>
  </w:footnote>
  <w:footnote w:id="4">
    <w:p w14:paraId="44EDAD96" w14:textId="558E321A" w:rsidR="001F3CE0" w:rsidRDefault="001F3CE0">
      <w:pPr>
        <w:pStyle w:val="FootnoteText"/>
      </w:pPr>
      <w:r>
        <w:rPr>
          <w:rStyle w:val="FootnoteReference"/>
        </w:rPr>
        <w:footnoteRef/>
      </w:r>
      <w:r>
        <w:t xml:space="preserve"> As discussed at length in Bhat (2015a), the latent construct indicators are not needed for the GHDM model estimation, though their presence provides much needed additional stability and information to “pin” down the SEM relationship. In particular, the presence of these indicators play a role in model identification, as discussed in detail in Bhat (2015a). Suffice it to say that, in the current context, the presence of the indicators allows us to estimate all possible stochastic latent construct effects on each endogenous outcome. </w:t>
      </w:r>
    </w:p>
  </w:footnote>
  <w:footnote w:id="5">
    <w:p w14:paraId="1E86C8F3" w14:textId="079F1084" w:rsidR="001F3CE0" w:rsidRDefault="001F3CE0" w:rsidP="00FF0CBE">
      <w:pPr>
        <w:pStyle w:val="FootnoteText"/>
        <w:spacing w:after="60"/>
      </w:pPr>
      <w:r w:rsidRPr="006B3405">
        <w:rPr>
          <w:rStyle w:val="FootnoteReference"/>
        </w:rPr>
        <w:footnoteRef/>
      </w:r>
      <w:r>
        <w:t xml:space="preserve"> In joint limited-dependent variables systems in which one or more dependent variables are not observed on a continuous scale, such as the joint system considered in this paper that has ordinal and nominal discrete dependent variables, the structural effects of one limited-dependent variable on another can only be in a single direction. See Maddala (1983) and Bhat (2015a) for a more detailed explanation. </w:t>
      </w:r>
    </w:p>
  </w:footnote>
  <w:footnote w:id="6">
    <w:p w14:paraId="551E0025" w14:textId="3B1CD9DC" w:rsidR="001F3CE0" w:rsidRDefault="001F3CE0">
      <w:pPr>
        <w:pStyle w:val="FootnoteText"/>
      </w:pPr>
      <w:r>
        <w:rPr>
          <w:rStyle w:val="FootnoteReference"/>
        </w:rPr>
        <w:footnoteRef/>
      </w:r>
      <w:r>
        <w:t xml:space="preserve"> As will be discussed in Section 2.4, for modeling purposes, it was necessary to merge </w:t>
      </w:r>
      <w:r w:rsidRPr="00401DA2">
        <w:t>trips with strangers</w:t>
      </w:r>
      <w:r>
        <w:t xml:space="preserve"> and trips with acquaintances and define a generic “with others” category because the sample of trips with strangers was very low (only 13 observations). Also note that among individuals who traveled alone, we are not able to identify whether they initially called for a pooled ride but had to travel alone because of an unsuccessful match, or whether they intended to travel alone from the very beginning.</w:t>
      </w:r>
    </w:p>
  </w:footnote>
  <w:footnote w:id="7">
    <w:p w14:paraId="106AA06F" w14:textId="251D64EC" w:rsidR="001F3CE0" w:rsidRDefault="001F3CE0" w:rsidP="00FF0CBE">
      <w:pPr>
        <w:pStyle w:val="FootnoteText"/>
        <w:spacing w:after="60"/>
      </w:pPr>
      <w:r>
        <w:rPr>
          <w:rStyle w:val="FootnoteReference"/>
        </w:rPr>
        <w:footnoteRef/>
      </w:r>
      <w:r>
        <w:t xml:space="preserve"> </w:t>
      </w:r>
      <w:r w:rsidRPr="00926A4A">
        <w:t xml:space="preserve">The last of the endogenous variables from the individual-level model, ride-hailing frequency, is introduced as a binary variable in the trip-level analysis, by classifying individuals as either frequent users (at least 4 rides in the past 30 days) or not. </w:t>
      </w:r>
      <w:r>
        <w:t xml:space="preserve"> </w:t>
      </w:r>
    </w:p>
  </w:footnote>
  <w:footnote w:id="8">
    <w:p w14:paraId="5D4B57EC" w14:textId="6AB97976" w:rsidR="001F3CE0" w:rsidRDefault="001F3CE0" w:rsidP="00A54AF2">
      <w:pPr>
        <w:pStyle w:val="FootnoteText"/>
      </w:pPr>
      <w:r>
        <w:rPr>
          <w:rStyle w:val="FootnoteReference"/>
        </w:rPr>
        <w:footnoteRef/>
      </w:r>
      <w:r>
        <w:t xml:space="preserve"> The choice to adopt this approach of treating the latent constructs as exogenous rather than endogenous for our trip-level model (instead of estimating another elaborate GHDM for the trip-level model) is based on two considerations. First, the dependence between the trip-level choice dimensions is likely more due to unobserved factors associated with the nature of activities and trips (for example, bars and pubs generally open at night, so recreational trips may be more likely at this time), rather than individuals’ psychological and lifestyle factors. Second, we believe that the characterization of the latent attitudinal and life-style constructs would be better based on broad individual-level decisions rather than trip-level decisions. Of course, given the smaller sample available for this trip-level analysis, we also felt a simpler exploratory modeling approach relative to the GHDM would be more appropriate. </w:t>
      </w:r>
    </w:p>
  </w:footnote>
  <w:footnote w:id="9">
    <w:p w14:paraId="78B3244E" w14:textId="77777777" w:rsidR="001F3CE0" w:rsidRDefault="001F3CE0">
      <w:pPr>
        <w:pStyle w:val="FootnoteText"/>
      </w:pPr>
      <w:r w:rsidRPr="00A36681">
        <w:rPr>
          <w:rStyle w:val="FootnoteReference"/>
        </w:rPr>
        <w:footnoteRef/>
      </w:r>
      <w:r w:rsidRPr="00A36681">
        <w:t xml:space="preserve"> Note that the attitudinal and lifestyle latent variables and indicators used in this study do not reflect individual’s direct attitudes, beliefs and perceptions about ride-hailing services. Instead, they reflect more general lifestyle dimensions.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6EB"/>
    <w:multiLevelType w:val="hybridMultilevel"/>
    <w:tmpl w:val="8DCEACE8"/>
    <w:lvl w:ilvl="0" w:tplc="FE1296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0762E"/>
    <w:multiLevelType w:val="hybridMultilevel"/>
    <w:tmpl w:val="314A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1E2"/>
    <w:multiLevelType w:val="hybridMultilevel"/>
    <w:tmpl w:val="8D48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9595A"/>
    <w:multiLevelType w:val="hybridMultilevel"/>
    <w:tmpl w:val="44447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26B87"/>
    <w:multiLevelType w:val="hybridMultilevel"/>
    <w:tmpl w:val="84A41F9E"/>
    <w:lvl w:ilvl="0" w:tplc="A9C0CB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548B5"/>
    <w:multiLevelType w:val="hybridMultilevel"/>
    <w:tmpl w:val="FEEC268E"/>
    <w:lvl w:ilvl="0" w:tplc="841831AA">
      <w:start w:val="1"/>
      <w:numFmt w:val="bullet"/>
      <w:lvlText w:val="•"/>
      <w:lvlJc w:val="left"/>
      <w:pPr>
        <w:tabs>
          <w:tab w:val="num" w:pos="720"/>
        </w:tabs>
        <w:ind w:left="720" w:hanging="360"/>
      </w:pPr>
      <w:rPr>
        <w:rFonts w:ascii="Arial" w:hAnsi="Arial" w:hint="default"/>
      </w:rPr>
    </w:lvl>
    <w:lvl w:ilvl="1" w:tplc="C470B5AA" w:tentative="1">
      <w:start w:val="1"/>
      <w:numFmt w:val="bullet"/>
      <w:lvlText w:val="•"/>
      <w:lvlJc w:val="left"/>
      <w:pPr>
        <w:tabs>
          <w:tab w:val="num" w:pos="1440"/>
        </w:tabs>
        <w:ind w:left="1440" w:hanging="360"/>
      </w:pPr>
      <w:rPr>
        <w:rFonts w:ascii="Arial" w:hAnsi="Arial" w:hint="default"/>
      </w:rPr>
    </w:lvl>
    <w:lvl w:ilvl="2" w:tplc="D8640D08" w:tentative="1">
      <w:start w:val="1"/>
      <w:numFmt w:val="bullet"/>
      <w:lvlText w:val="•"/>
      <w:lvlJc w:val="left"/>
      <w:pPr>
        <w:tabs>
          <w:tab w:val="num" w:pos="2160"/>
        </w:tabs>
        <w:ind w:left="2160" w:hanging="360"/>
      </w:pPr>
      <w:rPr>
        <w:rFonts w:ascii="Arial" w:hAnsi="Arial" w:hint="default"/>
      </w:rPr>
    </w:lvl>
    <w:lvl w:ilvl="3" w:tplc="48BCB6EA" w:tentative="1">
      <w:start w:val="1"/>
      <w:numFmt w:val="bullet"/>
      <w:lvlText w:val="•"/>
      <w:lvlJc w:val="left"/>
      <w:pPr>
        <w:tabs>
          <w:tab w:val="num" w:pos="2880"/>
        </w:tabs>
        <w:ind w:left="2880" w:hanging="360"/>
      </w:pPr>
      <w:rPr>
        <w:rFonts w:ascii="Arial" w:hAnsi="Arial" w:hint="default"/>
      </w:rPr>
    </w:lvl>
    <w:lvl w:ilvl="4" w:tplc="CCDE17D0" w:tentative="1">
      <w:start w:val="1"/>
      <w:numFmt w:val="bullet"/>
      <w:lvlText w:val="•"/>
      <w:lvlJc w:val="left"/>
      <w:pPr>
        <w:tabs>
          <w:tab w:val="num" w:pos="3600"/>
        </w:tabs>
        <w:ind w:left="3600" w:hanging="360"/>
      </w:pPr>
      <w:rPr>
        <w:rFonts w:ascii="Arial" w:hAnsi="Arial" w:hint="default"/>
      </w:rPr>
    </w:lvl>
    <w:lvl w:ilvl="5" w:tplc="0A966904" w:tentative="1">
      <w:start w:val="1"/>
      <w:numFmt w:val="bullet"/>
      <w:lvlText w:val="•"/>
      <w:lvlJc w:val="left"/>
      <w:pPr>
        <w:tabs>
          <w:tab w:val="num" w:pos="4320"/>
        </w:tabs>
        <w:ind w:left="4320" w:hanging="360"/>
      </w:pPr>
      <w:rPr>
        <w:rFonts w:ascii="Arial" w:hAnsi="Arial" w:hint="default"/>
      </w:rPr>
    </w:lvl>
    <w:lvl w:ilvl="6" w:tplc="43A8FB7A" w:tentative="1">
      <w:start w:val="1"/>
      <w:numFmt w:val="bullet"/>
      <w:lvlText w:val="•"/>
      <w:lvlJc w:val="left"/>
      <w:pPr>
        <w:tabs>
          <w:tab w:val="num" w:pos="5040"/>
        </w:tabs>
        <w:ind w:left="5040" w:hanging="360"/>
      </w:pPr>
      <w:rPr>
        <w:rFonts w:ascii="Arial" w:hAnsi="Arial" w:hint="default"/>
      </w:rPr>
    </w:lvl>
    <w:lvl w:ilvl="7" w:tplc="08BC80C6" w:tentative="1">
      <w:start w:val="1"/>
      <w:numFmt w:val="bullet"/>
      <w:lvlText w:val="•"/>
      <w:lvlJc w:val="left"/>
      <w:pPr>
        <w:tabs>
          <w:tab w:val="num" w:pos="5760"/>
        </w:tabs>
        <w:ind w:left="5760" w:hanging="360"/>
      </w:pPr>
      <w:rPr>
        <w:rFonts w:ascii="Arial" w:hAnsi="Arial" w:hint="default"/>
      </w:rPr>
    </w:lvl>
    <w:lvl w:ilvl="8" w:tplc="D1C628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6E5AF1"/>
    <w:multiLevelType w:val="hybridMultilevel"/>
    <w:tmpl w:val="52446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A31BA8"/>
    <w:multiLevelType w:val="hybridMultilevel"/>
    <w:tmpl w:val="4378BF66"/>
    <w:lvl w:ilvl="0" w:tplc="65F49C78">
      <w:start w:val="1"/>
      <w:numFmt w:val="bullet"/>
      <w:lvlText w:val="•"/>
      <w:lvlJc w:val="left"/>
      <w:pPr>
        <w:tabs>
          <w:tab w:val="num" w:pos="720"/>
        </w:tabs>
        <w:ind w:left="720" w:hanging="360"/>
      </w:pPr>
      <w:rPr>
        <w:rFonts w:ascii="Arial" w:hAnsi="Arial" w:hint="default"/>
      </w:rPr>
    </w:lvl>
    <w:lvl w:ilvl="1" w:tplc="33AA724E" w:tentative="1">
      <w:start w:val="1"/>
      <w:numFmt w:val="bullet"/>
      <w:lvlText w:val="•"/>
      <w:lvlJc w:val="left"/>
      <w:pPr>
        <w:tabs>
          <w:tab w:val="num" w:pos="1440"/>
        </w:tabs>
        <w:ind w:left="1440" w:hanging="360"/>
      </w:pPr>
      <w:rPr>
        <w:rFonts w:ascii="Arial" w:hAnsi="Arial" w:hint="default"/>
      </w:rPr>
    </w:lvl>
    <w:lvl w:ilvl="2" w:tplc="A0D6D786" w:tentative="1">
      <w:start w:val="1"/>
      <w:numFmt w:val="bullet"/>
      <w:lvlText w:val="•"/>
      <w:lvlJc w:val="left"/>
      <w:pPr>
        <w:tabs>
          <w:tab w:val="num" w:pos="2160"/>
        </w:tabs>
        <w:ind w:left="2160" w:hanging="360"/>
      </w:pPr>
      <w:rPr>
        <w:rFonts w:ascii="Arial" w:hAnsi="Arial" w:hint="default"/>
      </w:rPr>
    </w:lvl>
    <w:lvl w:ilvl="3" w:tplc="C6449530" w:tentative="1">
      <w:start w:val="1"/>
      <w:numFmt w:val="bullet"/>
      <w:lvlText w:val="•"/>
      <w:lvlJc w:val="left"/>
      <w:pPr>
        <w:tabs>
          <w:tab w:val="num" w:pos="2880"/>
        </w:tabs>
        <w:ind w:left="2880" w:hanging="360"/>
      </w:pPr>
      <w:rPr>
        <w:rFonts w:ascii="Arial" w:hAnsi="Arial" w:hint="default"/>
      </w:rPr>
    </w:lvl>
    <w:lvl w:ilvl="4" w:tplc="E8442454" w:tentative="1">
      <w:start w:val="1"/>
      <w:numFmt w:val="bullet"/>
      <w:lvlText w:val="•"/>
      <w:lvlJc w:val="left"/>
      <w:pPr>
        <w:tabs>
          <w:tab w:val="num" w:pos="3600"/>
        </w:tabs>
        <w:ind w:left="3600" w:hanging="360"/>
      </w:pPr>
      <w:rPr>
        <w:rFonts w:ascii="Arial" w:hAnsi="Arial" w:hint="default"/>
      </w:rPr>
    </w:lvl>
    <w:lvl w:ilvl="5" w:tplc="2B4C61CC" w:tentative="1">
      <w:start w:val="1"/>
      <w:numFmt w:val="bullet"/>
      <w:lvlText w:val="•"/>
      <w:lvlJc w:val="left"/>
      <w:pPr>
        <w:tabs>
          <w:tab w:val="num" w:pos="4320"/>
        </w:tabs>
        <w:ind w:left="4320" w:hanging="360"/>
      </w:pPr>
      <w:rPr>
        <w:rFonts w:ascii="Arial" w:hAnsi="Arial" w:hint="default"/>
      </w:rPr>
    </w:lvl>
    <w:lvl w:ilvl="6" w:tplc="5D62D4AC" w:tentative="1">
      <w:start w:val="1"/>
      <w:numFmt w:val="bullet"/>
      <w:lvlText w:val="•"/>
      <w:lvlJc w:val="left"/>
      <w:pPr>
        <w:tabs>
          <w:tab w:val="num" w:pos="5040"/>
        </w:tabs>
        <w:ind w:left="5040" w:hanging="360"/>
      </w:pPr>
      <w:rPr>
        <w:rFonts w:ascii="Arial" w:hAnsi="Arial" w:hint="default"/>
      </w:rPr>
    </w:lvl>
    <w:lvl w:ilvl="7" w:tplc="5AC48A32" w:tentative="1">
      <w:start w:val="1"/>
      <w:numFmt w:val="bullet"/>
      <w:lvlText w:val="•"/>
      <w:lvlJc w:val="left"/>
      <w:pPr>
        <w:tabs>
          <w:tab w:val="num" w:pos="5760"/>
        </w:tabs>
        <w:ind w:left="5760" w:hanging="360"/>
      </w:pPr>
      <w:rPr>
        <w:rFonts w:ascii="Arial" w:hAnsi="Arial" w:hint="default"/>
      </w:rPr>
    </w:lvl>
    <w:lvl w:ilvl="8" w:tplc="0B843B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5422A2"/>
    <w:multiLevelType w:val="hybridMultilevel"/>
    <w:tmpl w:val="9578998E"/>
    <w:lvl w:ilvl="0" w:tplc="539CE6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435A4"/>
    <w:multiLevelType w:val="hybridMultilevel"/>
    <w:tmpl w:val="27565112"/>
    <w:lvl w:ilvl="0" w:tplc="B67A04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C2718"/>
    <w:multiLevelType w:val="multilevel"/>
    <w:tmpl w:val="1CB6D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3B2F24"/>
    <w:multiLevelType w:val="multilevel"/>
    <w:tmpl w:val="1CB6D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DD6F0D"/>
    <w:multiLevelType w:val="hybridMultilevel"/>
    <w:tmpl w:val="1B281BBC"/>
    <w:lvl w:ilvl="0" w:tplc="704A56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A62D0"/>
    <w:multiLevelType w:val="hybridMultilevel"/>
    <w:tmpl w:val="748EF1C0"/>
    <w:lvl w:ilvl="0" w:tplc="E92CDB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B62F9"/>
    <w:multiLevelType w:val="hybridMultilevel"/>
    <w:tmpl w:val="8E666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1D5DCE"/>
    <w:multiLevelType w:val="hybridMultilevel"/>
    <w:tmpl w:val="D856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04AD7"/>
    <w:multiLevelType w:val="hybridMultilevel"/>
    <w:tmpl w:val="B49689F0"/>
    <w:lvl w:ilvl="0" w:tplc="7C9AC5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D1DF3"/>
    <w:multiLevelType w:val="multilevel"/>
    <w:tmpl w:val="66E02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8385C"/>
    <w:multiLevelType w:val="multilevel"/>
    <w:tmpl w:val="7B142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2D47F1"/>
    <w:multiLevelType w:val="hybridMultilevel"/>
    <w:tmpl w:val="6C183B18"/>
    <w:lvl w:ilvl="0" w:tplc="539CE63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E23183"/>
    <w:multiLevelType w:val="multilevel"/>
    <w:tmpl w:val="1CB6D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7F32C5"/>
    <w:multiLevelType w:val="hybridMultilevel"/>
    <w:tmpl w:val="D470559A"/>
    <w:lvl w:ilvl="0" w:tplc="60947C1E">
      <w:start w:val="1"/>
      <w:numFmt w:val="bullet"/>
      <w:lvlText w:val="•"/>
      <w:lvlJc w:val="left"/>
      <w:pPr>
        <w:tabs>
          <w:tab w:val="num" w:pos="720"/>
        </w:tabs>
        <w:ind w:left="720" w:hanging="360"/>
      </w:pPr>
      <w:rPr>
        <w:rFonts w:ascii="Arial" w:hAnsi="Arial" w:hint="default"/>
      </w:rPr>
    </w:lvl>
    <w:lvl w:ilvl="1" w:tplc="007CFC80" w:tentative="1">
      <w:start w:val="1"/>
      <w:numFmt w:val="bullet"/>
      <w:lvlText w:val="•"/>
      <w:lvlJc w:val="left"/>
      <w:pPr>
        <w:tabs>
          <w:tab w:val="num" w:pos="1440"/>
        </w:tabs>
        <w:ind w:left="1440" w:hanging="360"/>
      </w:pPr>
      <w:rPr>
        <w:rFonts w:ascii="Arial" w:hAnsi="Arial" w:hint="default"/>
      </w:rPr>
    </w:lvl>
    <w:lvl w:ilvl="2" w:tplc="7BD049BA" w:tentative="1">
      <w:start w:val="1"/>
      <w:numFmt w:val="bullet"/>
      <w:lvlText w:val="•"/>
      <w:lvlJc w:val="left"/>
      <w:pPr>
        <w:tabs>
          <w:tab w:val="num" w:pos="2160"/>
        </w:tabs>
        <w:ind w:left="2160" w:hanging="360"/>
      </w:pPr>
      <w:rPr>
        <w:rFonts w:ascii="Arial" w:hAnsi="Arial" w:hint="default"/>
      </w:rPr>
    </w:lvl>
    <w:lvl w:ilvl="3" w:tplc="B77229EA" w:tentative="1">
      <w:start w:val="1"/>
      <w:numFmt w:val="bullet"/>
      <w:lvlText w:val="•"/>
      <w:lvlJc w:val="left"/>
      <w:pPr>
        <w:tabs>
          <w:tab w:val="num" w:pos="2880"/>
        </w:tabs>
        <w:ind w:left="2880" w:hanging="360"/>
      </w:pPr>
      <w:rPr>
        <w:rFonts w:ascii="Arial" w:hAnsi="Arial" w:hint="default"/>
      </w:rPr>
    </w:lvl>
    <w:lvl w:ilvl="4" w:tplc="852E93C2" w:tentative="1">
      <w:start w:val="1"/>
      <w:numFmt w:val="bullet"/>
      <w:lvlText w:val="•"/>
      <w:lvlJc w:val="left"/>
      <w:pPr>
        <w:tabs>
          <w:tab w:val="num" w:pos="3600"/>
        </w:tabs>
        <w:ind w:left="3600" w:hanging="360"/>
      </w:pPr>
      <w:rPr>
        <w:rFonts w:ascii="Arial" w:hAnsi="Arial" w:hint="default"/>
      </w:rPr>
    </w:lvl>
    <w:lvl w:ilvl="5" w:tplc="FD901A8E" w:tentative="1">
      <w:start w:val="1"/>
      <w:numFmt w:val="bullet"/>
      <w:lvlText w:val="•"/>
      <w:lvlJc w:val="left"/>
      <w:pPr>
        <w:tabs>
          <w:tab w:val="num" w:pos="4320"/>
        </w:tabs>
        <w:ind w:left="4320" w:hanging="360"/>
      </w:pPr>
      <w:rPr>
        <w:rFonts w:ascii="Arial" w:hAnsi="Arial" w:hint="default"/>
      </w:rPr>
    </w:lvl>
    <w:lvl w:ilvl="6" w:tplc="18886AAC" w:tentative="1">
      <w:start w:val="1"/>
      <w:numFmt w:val="bullet"/>
      <w:lvlText w:val="•"/>
      <w:lvlJc w:val="left"/>
      <w:pPr>
        <w:tabs>
          <w:tab w:val="num" w:pos="5040"/>
        </w:tabs>
        <w:ind w:left="5040" w:hanging="360"/>
      </w:pPr>
      <w:rPr>
        <w:rFonts w:ascii="Arial" w:hAnsi="Arial" w:hint="default"/>
      </w:rPr>
    </w:lvl>
    <w:lvl w:ilvl="7" w:tplc="DE56361C" w:tentative="1">
      <w:start w:val="1"/>
      <w:numFmt w:val="bullet"/>
      <w:lvlText w:val="•"/>
      <w:lvlJc w:val="left"/>
      <w:pPr>
        <w:tabs>
          <w:tab w:val="num" w:pos="5760"/>
        </w:tabs>
        <w:ind w:left="5760" w:hanging="360"/>
      </w:pPr>
      <w:rPr>
        <w:rFonts w:ascii="Arial" w:hAnsi="Arial" w:hint="default"/>
      </w:rPr>
    </w:lvl>
    <w:lvl w:ilvl="8" w:tplc="379015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E55285"/>
    <w:multiLevelType w:val="hybridMultilevel"/>
    <w:tmpl w:val="EDF6A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E062E1"/>
    <w:multiLevelType w:val="hybridMultilevel"/>
    <w:tmpl w:val="9F44790C"/>
    <w:lvl w:ilvl="0" w:tplc="B3E290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D10E5"/>
    <w:multiLevelType w:val="hybridMultilevel"/>
    <w:tmpl w:val="1B3ADB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3C057BC"/>
    <w:multiLevelType w:val="multilevel"/>
    <w:tmpl w:val="9C38BED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6"/>
  </w:num>
  <w:num w:numId="3">
    <w:abstractNumId w:val="18"/>
  </w:num>
  <w:num w:numId="4">
    <w:abstractNumId w:val="25"/>
  </w:num>
  <w:num w:numId="5">
    <w:abstractNumId w:val="24"/>
  </w:num>
  <w:num w:numId="6">
    <w:abstractNumId w:val="0"/>
  </w:num>
  <w:num w:numId="7">
    <w:abstractNumId w:val="9"/>
  </w:num>
  <w:num w:numId="8">
    <w:abstractNumId w:val="13"/>
  </w:num>
  <w:num w:numId="9">
    <w:abstractNumId w:val="23"/>
  </w:num>
  <w:num w:numId="10">
    <w:abstractNumId w:val="12"/>
  </w:num>
  <w:num w:numId="11">
    <w:abstractNumId w:val="4"/>
  </w:num>
  <w:num w:numId="12">
    <w:abstractNumId w:val="8"/>
  </w:num>
  <w:num w:numId="13">
    <w:abstractNumId w:val="19"/>
  </w:num>
  <w:num w:numId="14">
    <w:abstractNumId w:val="15"/>
  </w:num>
  <w:num w:numId="15">
    <w:abstractNumId w:val="2"/>
  </w:num>
  <w:num w:numId="16">
    <w:abstractNumId w:val="20"/>
  </w:num>
  <w:num w:numId="17">
    <w:abstractNumId w:val="22"/>
  </w:num>
  <w:num w:numId="18">
    <w:abstractNumId w:val="14"/>
  </w:num>
  <w:num w:numId="19">
    <w:abstractNumId w:val="6"/>
  </w:num>
  <w:num w:numId="20">
    <w:abstractNumId w:val="1"/>
  </w:num>
  <w:num w:numId="21">
    <w:abstractNumId w:val="3"/>
  </w:num>
  <w:num w:numId="22">
    <w:abstractNumId w:val="11"/>
  </w:num>
  <w:num w:numId="23">
    <w:abstractNumId w:val="17"/>
  </w:num>
  <w:num w:numId="24">
    <w:abstractNumId w:val="21"/>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5A2"/>
    <w:rsid w:val="00000526"/>
    <w:rsid w:val="00000E25"/>
    <w:rsid w:val="00000FE3"/>
    <w:rsid w:val="000014D0"/>
    <w:rsid w:val="0000172B"/>
    <w:rsid w:val="00002EF8"/>
    <w:rsid w:val="0000478F"/>
    <w:rsid w:val="000057F4"/>
    <w:rsid w:val="00006897"/>
    <w:rsid w:val="0001126F"/>
    <w:rsid w:val="0001186C"/>
    <w:rsid w:val="00012B32"/>
    <w:rsid w:val="00012E77"/>
    <w:rsid w:val="00013425"/>
    <w:rsid w:val="000138FC"/>
    <w:rsid w:val="00013FF0"/>
    <w:rsid w:val="00015631"/>
    <w:rsid w:val="00016220"/>
    <w:rsid w:val="00016D01"/>
    <w:rsid w:val="000170D2"/>
    <w:rsid w:val="000177AE"/>
    <w:rsid w:val="00017C52"/>
    <w:rsid w:val="00017E3F"/>
    <w:rsid w:val="00020471"/>
    <w:rsid w:val="00022596"/>
    <w:rsid w:val="00022970"/>
    <w:rsid w:val="00023250"/>
    <w:rsid w:val="000240B2"/>
    <w:rsid w:val="00024C00"/>
    <w:rsid w:val="00025303"/>
    <w:rsid w:val="000256F3"/>
    <w:rsid w:val="00025DF8"/>
    <w:rsid w:val="000260E1"/>
    <w:rsid w:val="00026A55"/>
    <w:rsid w:val="00026B69"/>
    <w:rsid w:val="0003098B"/>
    <w:rsid w:val="00031F92"/>
    <w:rsid w:val="00032A41"/>
    <w:rsid w:val="0003581A"/>
    <w:rsid w:val="000362C7"/>
    <w:rsid w:val="00036442"/>
    <w:rsid w:val="00036518"/>
    <w:rsid w:val="00036EAF"/>
    <w:rsid w:val="00037267"/>
    <w:rsid w:val="000372A8"/>
    <w:rsid w:val="0003780B"/>
    <w:rsid w:val="00040201"/>
    <w:rsid w:val="00040365"/>
    <w:rsid w:val="00040E78"/>
    <w:rsid w:val="000412B6"/>
    <w:rsid w:val="00041354"/>
    <w:rsid w:val="000422EF"/>
    <w:rsid w:val="000435A6"/>
    <w:rsid w:val="00043706"/>
    <w:rsid w:val="0004408C"/>
    <w:rsid w:val="000445FA"/>
    <w:rsid w:val="00044668"/>
    <w:rsid w:val="00044EAE"/>
    <w:rsid w:val="000452FE"/>
    <w:rsid w:val="00045477"/>
    <w:rsid w:val="00045DC2"/>
    <w:rsid w:val="00046627"/>
    <w:rsid w:val="00046765"/>
    <w:rsid w:val="00046BE5"/>
    <w:rsid w:val="000475B8"/>
    <w:rsid w:val="00047610"/>
    <w:rsid w:val="0004770E"/>
    <w:rsid w:val="000478AB"/>
    <w:rsid w:val="00052157"/>
    <w:rsid w:val="000522D9"/>
    <w:rsid w:val="000529B0"/>
    <w:rsid w:val="00055806"/>
    <w:rsid w:val="0005616C"/>
    <w:rsid w:val="000572F9"/>
    <w:rsid w:val="00057F66"/>
    <w:rsid w:val="00060B5C"/>
    <w:rsid w:val="00061853"/>
    <w:rsid w:val="000651CC"/>
    <w:rsid w:val="000658F8"/>
    <w:rsid w:val="00065D42"/>
    <w:rsid w:val="000666D6"/>
    <w:rsid w:val="00067391"/>
    <w:rsid w:val="00071795"/>
    <w:rsid w:val="000718A2"/>
    <w:rsid w:val="00071DD4"/>
    <w:rsid w:val="00071DE4"/>
    <w:rsid w:val="00072BA9"/>
    <w:rsid w:val="00073294"/>
    <w:rsid w:val="000737DA"/>
    <w:rsid w:val="00075944"/>
    <w:rsid w:val="000770AE"/>
    <w:rsid w:val="00077C8B"/>
    <w:rsid w:val="0008115E"/>
    <w:rsid w:val="00081C92"/>
    <w:rsid w:val="000829AE"/>
    <w:rsid w:val="000838DA"/>
    <w:rsid w:val="000844AA"/>
    <w:rsid w:val="000845BB"/>
    <w:rsid w:val="00084AE7"/>
    <w:rsid w:val="000860CF"/>
    <w:rsid w:val="000868E4"/>
    <w:rsid w:val="000906ED"/>
    <w:rsid w:val="000906F2"/>
    <w:rsid w:val="00091536"/>
    <w:rsid w:val="000927D6"/>
    <w:rsid w:val="00092A77"/>
    <w:rsid w:val="00092DED"/>
    <w:rsid w:val="000932BF"/>
    <w:rsid w:val="0009389E"/>
    <w:rsid w:val="000939E3"/>
    <w:rsid w:val="000942B0"/>
    <w:rsid w:val="000944DF"/>
    <w:rsid w:val="00095B40"/>
    <w:rsid w:val="00095D8D"/>
    <w:rsid w:val="000965A2"/>
    <w:rsid w:val="000970D6"/>
    <w:rsid w:val="0009745E"/>
    <w:rsid w:val="000A0177"/>
    <w:rsid w:val="000A0752"/>
    <w:rsid w:val="000A0DF6"/>
    <w:rsid w:val="000A158B"/>
    <w:rsid w:val="000A22FA"/>
    <w:rsid w:val="000A26AC"/>
    <w:rsid w:val="000A4240"/>
    <w:rsid w:val="000A448D"/>
    <w:rsid w:val="000A5113"/>
    <w:rsid w:val="000A68A3"/>
    <w:rsid w:val="000A7B03"/>
    <w:rsid w:val="000A7E70"/>
    <w:rsid w:val="000A7EC9"/>
    <w:rsid w:val="000B240F"/>
    <w:rsid w:val="000B25F3"/>
    <w:rsid w:val="000B2B21"/>
    <w:rsid w:val="000B2E86"/>
    <w:rsid w:val="000B364E"/>
    <w:rsid w:val="000B37F9"/>
    <w:rsid w:val="000B5790"/>
    <w:rsid w:val="000B5E13"/>
    <w:rsid w:val="000B7588"/>
    <w:rsid w:val="000C121C"/>
    <w:rsid w:val="000C4564"/>
    <w:rsid w:val="000C4A23"/>
    <w:rsid w:val="000C4D72"/>
    <w:rsid w:val="000C5906"/>
    <w:rsid w:val="000C7104"/>
    <w:rsid w:val="000C71E9"/>
    <w:rsid w:val="000C7232"/>
    <w:rsid w:val="000C7444"/>
    <w:rsid w:val="000C74F3"/>
    <w:rsid w:val="000C7B6C"/>
    <w:rsid w:val="000C7DA5"/>
    <w:rsid w:val="000D021A"/>
    <w:rsid w:val="000D0592"/>
    <w:rsid w:val="000D078B"/>
    <w:rsid w:val="000D16FA"/>
    <w:rsid w:val="000D1717"/>
    <w:rsid w:val="000D3425"/>
    <w:rsid w:val="000D3AD3"/>
    <w:rsid w:val="000D4890"/>
    <w:rsid w:val="000D4BA4"/>
    <w:rsid w:val="000D556B"/>
    <w:rsid w:val="000D5AC7"/>
    <w:rsid w:val="000D665E"/>
    <w:rsid w:val="000E01F6"/>
    <w:rsid w:val="000E023E"/>
    <w:rsid w:val="000E2190"/>
    <w:rsid w:val="000E2EFD"/>
    <w:rsid w:val="000E31FC"/>
    <w:rsid w:val="000E4666"/>
    <w:rsid w:val="000E48C4"/>
    <w:rsid w:val="000E4A5C"/>
    <w:rsid w:val="000E78C5"/>
    <w:rsid w:val="000E79CA"/>
    <w:rsid w:val="000F0CC0"/>
    <w:rsid w:val="000F54D1"/>
    <w:rsid w:val="000F5CC9"/>
    <w:rsid w:val="000F5FD5"/>
    <w:rsid w:val="000F7016"/>
    <w:rsid w:val="000F7B4C"/>
    <w:rsid w:val="00102004"/>
    <w:rsid w:val="0010372D"/>
    <w:rsid w:val="00103FC2"/>
    <w:rsid w:val="001052A7"/>
    <w:rsid w:val="00105E30"/>
    <w:rsid w:val="001064E6"/>
    <w:rsid w:val="00106521"/>
    <w:rsid w:val="00106B30"/>
    <w:rsid w:val="00107404"/>
    <w:rsid w:val="00107BE7"/>
    <w:rsid w:val="00107DEC"/>
    <w:rsid w:val="00110648"/>
    <w:rsid w:val="00110C16"/>
    <w:rsid w:val="0011111A"/>
    <w:rsid w:val="0011117A"/>
    <w:rsid w:val="001114D6"/>
    <w:rsid w:val="0011254C"/>
    <w:rsid w:val="00112C91"/>
    <w:rsid w:val="00112F29"/>
    <w:rsid w:val="001133F0"/>
    <w:rsid w:val="00113C82"/>
    <w:rsid w:val="00115957"/>
    <w:rsid w:val="00115CD5"/>
    <w:rsid w:val="00116532"/>
    <w:rsid w:val="001165B2"/>
    <w:rsid w:val="0011716A"/>
    <w:rsid w:val="00120119"/>
    <w:rsid w:val="001205AB"/>
    <w:rsid w:val="001205CC"/>
    <w:rsid w:val="001207DD"/>
    <w:rsid w:val="00121EF7"/>
    <w:rsid w:val="00124080"/>
    <w:rsid w:val="00125947"/>
    <w:rsid w:val="001264BF"/>
    <w:rsid w:val="001265F8"/>
    <w:rsid w:val="00126F17"/>
    <w:rsid w:val="00131F31"/>
    <w:rsid w:val="00132DD4"/>
    <w:rsid w:val="00133BE1"/>
    <w:rsid w:val="00134559"/>
    <w:rsid w:val="001358BC"/>
    <w:rsid w:val="00135B5E"/>
    <w:rsid w:val="001366A3"/>
    <w:rsid w:val="00137030"/>
    <w:rsid w:val="001373D5"/>
    <w:rsid w:val="00140446"/>
    <w:rsid w:val="001405CF"/>
    <w:rsid w:val="00140AF4"/>
    <w:rsid w:val="001411DB"/>
    <w:rsid w:val="00141410"/>
    <w:rsid w:val="0014230E"/>
    <w:rsid w:val="0014308C"/>
    <w:rsid w:val="00143613"/>
    <w:rsid w:val="00143BE8"/>
    <w:rsid w:val="00143D10"/>
    <w:rsid w:val="00145512"/>
    <w:rsid w:val="00145B1F"/>
    <w:rsid w:val="00145F6A"/>
    <w:rsid w:val="00146609"/>
    <w:rsid w:val="00146676"/>
    <w:rsid w:val="00146C2F"/>
    <w:rsid w:val="0014739A"/>
    <w:rsid w:val="0015039F"/>
    <w:rsid w:val="00150429"/>
    <w:rsid w:val="00150511"/>
    <w:rsid w:val="00150AF2"/>
    <w:rsid w:val="00150DE9"/>
    <w:rsid w:val="001515E8"/>
    <w:rsid w:val="00151D42"/>
    <w:rsid w:val="00151E6C"/>
    <w:rsid w:val="00152638"/>
    <w:rsid w:val="00154AEA"/>
    <w:rsid w:val="00154B1D"/>
    <w:rsid w:val="00155848"/>
    <w:rsid w:val="00156AD3"/>
    <w:rsid w:val="001570BB"/>
    <w:rsid w:val="001573BA"/>
    <w:rsid w:val="00161A19"/>
    <w:rsid w:val="00162B6A"/>
    <w:rsid w:val="0016371B"/>
    <w:rsid w:val="001637EA"/>
    <w:rsid w:val="00165139"/>
    <w:rsid w:val="0016723A"/>
    <w:rsid w:val="00170DC0"/>
    <w:rsid w:val="00170F9D"/>
    <w:rsid w:val="00170FC1"/>
    <w:rsid w:val="00170FF0"/>
    <w:rsid w:val="00173473"/>
    <w:rsid w:val="00176030"/>
    <w:rsid w:val="001779F2"/>
    <w:rsid w:val="00180D90"/>
    <w:rsid w:val="001822A2"/>
    <w:rsid w:val="001822E1"/>
    <w:rsid w:val="001825D9"/>
    <w:rsid w:val="00182BB9"/>
    <w:rsid w:val="00184878"/>
    <w:rsid w:val="001864CB"/>
    <w:rsid w:val="001865B7"/>
    <w:rsid w:val="00187189"/>
    <w:rsid w:val="001877C8"/>
    <w:rsid w:val="00187ED4"/>
    <w:rsid w:val="00190933"/>
    <w:rsid w:val="00191139"/>
    <w:rsid w:val="0019121C"/>
    <w:rsid w:val="001915A2"/>
    <w:rsid w:val="00192943"/>
    <w:rsid w:val="0019411C"/>
    <w:rsid w:val="00195410"/>
    <w:rsid w:val="00195B51"/>
    <w:rsid w:val="00196591"/>
    <w:rsid w:val="00197A63"/>
    <w:rsid w:val="00197C84"/>
    <w:rsid w:val="00197FB3"/>
    <w:rsid w:val="001A07C1"/>
    <w:rsid w:val="001A0CD6"/>
    <w:rsid w:val="001A131D"/>
    <w:rsid w:val="001A2BD0"/>
    <w:rsid w:val="001A3D11"/>
    <w:rsid w:val="001A41CE"/>
    <w:rsid w:val="001A508B"/>
    <w:rsid w:val="001A54C1"/>
    <w:rsid w:val="001A57C4"/>
    <w:rsid w:val="001A593E"/>
    <w:rsid w:val="001A7E64"/>
    <w:rsid w:val="001B0B03"/>
    <w:rsid w:val="001B3C88"/>
    <w:rsid w:val="001B4256"/>
    <w:rsid w:val="001B5621"/>
    <w:rsid w:val="001B566C"/>
    <w:rsid w:val="001B58CE"/>
    <w:rsid w:val="001B5CAA"/>
    <w:rsid w:val="001B6573"/>
    <w:rsid w:val="001B65E1"/>
    <w:rsid w:val="001B6E79"/>
    <w:rsid w:val="001B74DE"/>
    <w:rsid w:val="001B762D"/>
    <w:rsid w:val="001C0D7C"/>
    <w:rsid w:val="001C2E71"/>
    <w:rsid w:val="001C355E"/>
    <w:rsid w:val="001C4AE3"/>
    <w:rsid w:val="001C65FF"/>
    <w:rsid w:val="001C6789"/>
    <w:rsid w:val="001C6A7B"/>
    <w:rsid w:val="001C7321"/>
    <w:rsid w:val="001C78D4"/>
    <w:rsid w:val="001C7A2A"/>
    <w:rsid w:val="001C7A62"/>
    <w:rsid w:val="001D03DA"/>
    <w:rsid w:val="001D1E55"/>
    <w:rsid w:val="001D4755"/>
    <w:rsid w:val="001D575E"/>
    <w:rsid w:val="001E1349"/>
    <w:rsid w:val="001E25F9"/>
    <w:rsid w:val="001E2A5C"/>
    <w:rsid w:val="001E39FB"/>
    <w:rsid w:val="001E3F5B"/>
    <w:rsid w:val="001E6449"/>
    <w:rsid w:val="001E7691"/>
    <w:rsid w:val="001F0145"/>
    <w:rsid w:val="001F0434"/>
    <w:rsid w:val="001F11C9"/>
    <w:rsid w:val="001F1E61"/>
    <w:rsid w:val="001F1E76"/>
    <w:rsid w:val="001F3CE0"/>
    <w:rsid w:val="001F54A0"/>
    <w:rsid w:val="001F54CF"/>
    <w:rsid w:val="001F5765"/>
    <w:rsid w:val="001F6061"/>
    <w:rsid w:val="001F6530"/>
    <w:rsid w:val="001F66EC"/>
    <w:rsid w:val="001F7521"/>
    <w:rsid w:val="001F7542"/>
    <w:rsid w:val="001F790F"/>
    <w:rsid w:val="002009E2"/>
    <w:rsid w:val="00200AC4"/>
    <w:rsid w:val="00200F25"/>
    <w:rsid w:val="002022C2"/>
    <w:rsid w:val="00203D26"/>
    <w:rsid w:val="002041AB"/>
    <w:rsid w:val="002048BF"/>
    <w:rsid w:val="00204B2D"/>
    <w:rsid w:val="00205C29"/>
    <w:rsid w:val="00206ABA"/>
    <w:rsid w:val="00206BE5"/>
    <w:rsid w:val="00207343"/>
    <w:rsid w:val="002074F8"/>
    <w:rsid w:val="00207A0A"/>
    <w:rsid w:val="002111A4"/>
    <w:rsid w:val="002113E9"/>
    <w:rsid w:val="00211B05"/>
    <w:rsid w:val="00211B0F"/>
    <w:rsid w:val="00211DEF"/>
    <w:rsid w:val="002128B3"/>
    <w:rsid w:val="00212B21"/>
    <w:rsid w:val="0021477C"/>
    <w:rsid w:val="00214AE9"/>
    <w:rsid w:val="00216888"/>
    <w:rsid w:val="00216DB2"/>
    <w:rsid w:val="00217B73"/>
    <w:rsid w:val="0022092F"/>
    <w:rsid w:val="00222139"/>
    <w:rsid w:val="002223BA"/>
    <w:rsid w:val="00222906"/>
    <w:rsid w:val="00222FD8"/>
    <w:rsid w:val="002230C3"/>
    <w:rsid w:val="002237A7"/>
    <w:rsid w:val="00223B57"/>
    <w:rsid w:val="0022518B"/>
    <w:rsid w:val="00227A09"/>
    <w:rsid w:val="002304E3"/>
    <w:rsid w:val="00232A83"/>
    <w:rsid w:val="00232B75"/>
    <w:rsid w:val="00233192"/>
    <w:rsid w:val="0023416C"/>
    <w:rsid w:val="00235A84"/>
    <w:rsid w:val="00237B74"/>
    <w:rsid w:val="00237E79"/>
    <w:rsid w:val="0024057D"/>
    <w:rsid w:val="002409B2"/>
    <w:rsid w:val="00240CB4"/>
    <w:rsid w:val="00243328"/>
    <w:rsid w:val="00244B73"/>
    <w:rsid w:val="00245933"/>
    <w:rsid w:val="00246758"/>
    <w:rsid w:val="00246D8F"/>
    <w:rsid w:val="00247944"/>
    <w:rsid w:val="00247EFD"/>
    <w:rsid w:val="00250501"/>
    <w:rsid w:val="002509C4"/>
    <w:rsid w:val="00253240"/>
    <w:rsid w:val="0025358D"/>
    <w:rsid w:val="00253D5A"/>
    <w:rsid w:val="002540BE"/>
    <w:rsid w:val="002546F2"/>
    <w:rsid w:val="002548ED"/>
    <w:rsid w:val="002559DD"/>
    <w:rsid w:val="00255D70"/>
    <w:rsid w:val="00257135"/>
    <w:rsid w:val="00257430"/>
    <w:rsid w:val="002578A3"/>
    <w:rsid w:val="00260C02"/>
    <w:rsid w:val="00260E16"/>
    <w:rsid w:val="00261473"/>
    <w:rsid w:val="00262E9B"/>
    <w:rsid w:val="00263B9F"/>
    <w:rsid w:val="00264707"/>
    <w:rsid w:val="00265021"/>
    <w:rsid w:val="0026581A"/>
    <w:rsid w:val="002665E4"/>
    <w:rsid w:val="00266DDC"/>
    <w:rsid w:val="00270A54"/>
    <w:rsid w:val="002716E7"/>
    <w:rsid w:val="002720EB"/>
    <w:rsid w:val="00272FD0"/>
    <w:rsid w:val="00274F8C"/>
    <w:rsid w:val="00275DE3"/>
    <w:rsid w:val="00276CF4"/>
    <w:rsid w:val="002805C7"/>
    <w:rsid w:val="00281246"/>
    <w:rsid w:val="002835A4"/>
    <w:rsid w:val="0028467E"/>
    <w:rsid w:val="0028539F"/>
    <w:rsid w:val="0028615C"/>
    <w:rsid w:val="00286CA2"/>
    <w:rsid w:val="00287629"/>
    <w:rsid w:val="00287E46"/>
    <w:rsid w:val="00290417"/>
    <w:rsid w:val="002907F4"/>
    <w:rsid w:val="00290A05"/>
    <w:rsid w:val="00292A62"/>
    <w:rsid w:val="00293535"/>
    <w:rsid w:val="00296881"/>
    <w:rsid w:val="00297BF7"/>
    <w:rsid w:val="00297FDF"/>
    <w:rsid w:val="002A029B"/>
    <w:rsid w:val="002A05AB"/>
    <w:rsid w:val="002A0BE5"/>
    <w:rsid w:val="002A1D88"/>
    <w:rsid w:val="002A3BF9"/>
    <w:rsid w:val="002A420A"/>
    <w:rsid w:val="002A4903"/>
    <w:rsid w:val="002A4D18"/>
    <w:rsid w:val="002A528E"/>
    <w:rsid w:val="002A60C0"/>
    <w:rsid w:val="002A666F"/>
    <w:rsid w:val="002A67A1"/>
    <w:rsid w:val="002B0604"/>
    <w:rsid w:val="002B09B9"/>
    <w:rsid w:val="002B0F87"/>
    <w:rsid w:val="002B1790"/>
    <w:rsid w:val="002B1C63"/>
    <w:rsid w:val="002B2550"/>
    <w:rsid w:val="002B30DE"/>
    <w:rsid w:val="002B3118"/>
    <w:rsid w:val="002B3789"/>
    <w:rsid w:val="002B37FC"/>
    <w:rsid w:val="002B39A5"/>
    <w:rsid w:val="002B5238"/>
    <w:rsid w:val="002B5A06"/>
    <w:rsid w:val="002B5A23"/>
    <w:rsid w:val="002B78A3"/>
    <w:rsid w:val="002B796A"/>
    <w:rsid w:val="002B7B57"/>
    <w:rsid w:val="002B7CAC"/>
    <w:rsid w:val="002C0683"/>
    <w:rsid w:val="002C0F0A"/>
    <w:rsid w:val="002C100B"/>
    <w:rsid w:val="002C1413"/>
    <w:rsid w:val="002C29BF"/>
    <w:rsid w:val="002C369D"/>
    <w:rsid w:val="002C5B82"/>
    <w:rsid w:val="002C6168"/>
    <w:rsid w:val="002C6C2F"/>
    <w:rsid w:val="002C7823"/>
    <w:rsid w:val="002D02C5"/>
    <w:rsid w:val="002D143A"/>
    <w:rsid w:val="002D1A1B"/>
    <w:rsid w:val="002D2214"/>
    <w:rsid w:val="002D22C0"/>
    <w:rsid w:val="002D2AAA"/>
    <w:rsid w:val="002D3F8C"/>
    <w:rsid w:val="002D4304"/>
    <w:rsid w:val="002D4B69"/>
    <w:rsid w:val="002D566C"/>
    <w:rsid w:val="002D5965"/>
    <w:rsid w:val="002D5CB2"/>
    <w:rsid w:val="002D67EF"/>
    <w:rsid w:val="002D7688"/>
    <w:rsid w:val="002D7CF9"/>
    <w:rsid w:val="002E209F"/>
    <w:rsid w:val="002E2F37"/>
    <w:rsid w:val="002E32EF"/>
    <w:rsid w:val="002E6530"/>
    <w:rsid w:val="002E7FD2"/>
    <w:rsid w:val="002F04D2"/>
    <w:rsid w:val="002F1289"/>
    <w:rsid w:val="002F144B"/>
    <w:rsid w:val="002F1B2C"/>
    <w:rsid w:val="002F2437"/>
    <w:rsid w:val="002F269E"/>
    <w:rsid w:val="002F2BDD"/>
    <w:rsid w:val="002F42AB"/>
    <w:rsid w:val="002F4DA3"/>
    <w:rsid w:val="002F6414"/>
    <w:rsid w:val="002F6471"/>
    <w:rsid w:val="002F6E15"/>
    <w:rsid w:val="00300259"/>
    <w:rsid w:val="00303123"/>
    <w:rsid w:val="00303E21"/>
    <w:rsid w:val="0030546A"/>
    <w:rsid w:val="00305F80"/>
    <w:rsid w:val="00306CF6"/>
    <w:rsid w:val="00307314"/>
    <w:rsid w:val="00307690"/>
    <w:rsid w:val="00310612"/>
    <w:rsid w:val="00310AEB"/>
    <w:rsid w:val="0031128D"/>
    <w:rsid w:val="0031226E"/>
    <w:rsid w:val="00312647"/>
    <w:rsid w:val="003130F0"/>
    <w:rsid w:val="00313D34"/>
    <w:rsid w:val="0031564A"/>
    <w:rsid w:val="00315DE2"/>
    <w:rsid w:val="00320A22"/>
    <w:rsid w:val="00320B53"/>
    <w:rsid w:val="00322012"/>
    <w:rsid w:val="00322C68"/>
    <w:rsid w:val="0032348F"/>
    <w:rsid w:val="00325161"/>
    <w:rsid w:val="00326B5F"/>
    <w:rsid w:val="00327D5D"/>
    <w:rsid w:val="0033088D"/>
    <w:rsid w:val="003309EF"/>
    <w:rsid w:val="00330BEC"/>
    <w:rsid w:val="003314D1"/>
    <w:rsid w:val="00332059"/>
    <w:rsid w:val="003329B4"/>
    <w:rsid w:val="0033345F"/>
    <w:rsid w:val="003341C5"/>
    <w:rsid w:val="00335006"/>
    <w:rsid w:val="00335392"/>
    <w:rsid w:val="003357DE"/>
    <w:rsid w:val="00335F3C"/>
    <w:rsid w:val="00335F64"/>
    <w:rsid w:val="00337764"/>
    <w:rsid w:val="00340283"/>
    <w:rsid w:val="003403B8"/>
    <w:rsid w:val="00340402"/>
    <w:rsid w:val="003413DC"/>
    <w:rsid w:val="003416AE"/>
    <w:rsid w:val="00342911"/>
    <w:rsid w:val="00342A90"/>
    <w:rsid w:val="00342DD1"/>
    <w:rsid w:val="00343258"/>
    <w:rsid w:val="00343DF2"/>
    <w:rsid w:val="003457E7"/>
    <w:rsid w:val="00345F36"/>
    <w:rsid w:val="00347868"/>
    <w:rsid w:val="003479DA"/>
    <w:rsid w:val="003500B1"/>
    <w:rsid w:val="00351123"/>
    <w:rsid w:val="0035186D"/>
    <w:rsid w:val="00351E7A"/>
    <w:rsid w:val="00352BE9"/>
    <w:rsid w:val="00353033"/>
    <w:rsid w:val="00353285"/>
    <w:rsid w:val="003532BD"/>
    <w:rsid w:val="0035348E"/>
    <w:rsid w:val="00353867"/>
    <w:rsid w:val="003563F8"/>
    <w:rsid w:val="003567DF"/>
    <w:rsid w:val="003572C6"/>
    <w:rsid w:val="003576AC"/>
    <w:rsid w:val="00357B31"/>
    <w:rsid w:val="003602A0"/>
    <w:rsid w:val="003610C0"/>
    <w:rsid w:val="0036159E"/>
    <w:rsid w:val="00361611"/>
    <w:rsid w:val="003619F5"/>
    <w:rsid w:val="00365228"/>
    <w:rsid w:val="00365795"/>
    <w:rsid w:val="00367CA6"/>
    <w:rsid w:val="00367D19"/>
    <w:rsid w:val="003701F9"/>
    <w:rsid w:val="00371599"/>
    <w:rsid w:val="00372271"/>
    <w:rsid w:val="00372289"/>
    <w:rsid w:val="003732FA"/>
    <w:rsid w:val="0037334E"/>
    <w:rsid w:val="00374393"/>
    <w:rsid w:val="00374528"/>
    <w:rsid w:val="0037515A"/>
    <w:rsid w:val="00375844"/>
    <w:rsid w:val="00375B10"/>
    <w:rsid w:val="00376C34"/>
    <w:rsid w:val="003805CF"/>
    <w:rsid w:val="00381B43"/>
    <w:rsid w:val="00382B0C"/>
    <w:rsid w:val="00384281"/>
    <w:rsid w:val="00387A6F"/>
    <w:rsid w:val="00387B01"/>
    <w:rsid w:val="00387F50"/>
    <w:rsid w:val="00390379"/>
    <w:rsid w:val="00391515"/>
    <w:rsid w:val="00392148"/>
    <w:rsid w:val="0039260C"/>
    <w:rsid w:val="00392A8A"/>
    <w:rsid w:val="00392B24"/>
    <w:rsid w:val="003933FC"/>
    <w:rsid w:val="00394BEC"/>
    <w:rsid w:val="00394FAA"/>
    <w:rsid w:val="00395150"/>
    <w:rsid w:val="00395E9B"/>
    <w:rsid w:val="003964E2"/>
    <w:rsid w:val="00397800"/>
    <w:rsid w:val="003A07FB"/>
    <w:rsid w:val="003A0F00"/>
    <w:rsid w:val="003A2621"/>
    <w:rsid w:val="003A2E72"/>
    <w:rsid w:val="003A2E86"/>
    <w:rsid w:val="003A3DAE"/>
    <w:rsid w:val="003A5484"/>
    <w:rsid w:val="003A5818"/>
    <w:rsid w:val="003A68B3"/>
    <w:rsid w:val="003A6D74"/>
    <w:rsid w:val="003B0033"/>
    <w:rsid w:val="003B11B5"/>
    <w:rsid w:val="003B1C03"/>
    <w:rsid w:val="003B297E"/>
    <w:rsid w:val="003B34FB"/>
    <w:rsid w:val="003B470D"/>
    <w:rsid w:val="003B4A4D"/>
    <w:rsid w:val="003B60C8"/>
    <w:rsid w:val="003C0383"/>
    <w:rsid w:val="003C0390"/>
    <w:rsid w:val="003C228A"/>
    <w:rsid w:val="003C2C02"/>
    <w:rsid w:val="003C2D01"/>
    <w:rsid w:val="003C3563"/>
    <w:rsid w:val="003C3F16"/>
    <w:rsid w:val="003C56ED"/>
    <w:rsid w:val="003C5878"/>
    <w:rsid w:val="003C60EC"/>
    <w:rsid w:val="003C63C8"/>
    <w:rsid w:val="003C6C53"/>
    <w:rsid w:val="003C6DD7"/>
    <w:rsid w:val="003C7262"/>
    <w:rsid w:val="003C7EE3"/>
    <w:rsid w:val="003D1028"/>
    <w:rsid w:val="003D13EA"/>
    <w:rsid w:val="003D354D"/>
    <w:rsid w:val="003D469E"/>
    <w:rsid w:val="003D4793"/>
    <w:rsid w:val="003D55D7"/>
    <w:rsid w:val="003D5D8A"/>
    <w:rsid w:val="003D62E3"/>
    <w:rsid w:val="003D66EE"/>
    <w:rsid w:val="003D6A82"/>
    <w:rsid w:val="003D76BA"/>
    <w:rsid w:val="003E0CC1"/>
    <w:rsid w:val="003E12F9"/>
    <w:rsid w:val="003E1ADE"/>
    <w:rsid w:val="003E217B"/>
    <w:rsid w:val="003E2576"/>
    <w:rsid w:val="003E2AC2"/>
    <w:rsid w:val="003E3B52"/>
    <w:rsid w:val="003E3E75"/>
    <w:rsid w:val="003E3F09"/>
    <w:rsid w:val="003E45EC"/>
    <w:rsid w:val="003E5974"/>
    <w:rsid w:val="003E6D51"/>
    <w:rsid w:val="003E6DC3"/>
    <w:rsid w:val="003E72E9"/>
    <w:rsid w:val="003E7EDA"/>
    <w:rsid w:val="003F09C6"/>
    <w:rsid w:val="003F15D8"/>
    <w:rsid w:val="003F19B1"/>
    <w:rsid w:val="003F2FEE"/>
    <w:rsid w:val="003F3CE8"/>
    <w:rsid w:val="003F41D7"/>
    <w:rsid w:val="003F4666"/>
    <w:rsid w:val="003F5720"/>
    <w:rsid w:val="003F586C"/>
    <w:rsid w:val="003F602C"/>
    <w:rsid w:val="003F7373"/>
    <w:rsid w:val="003F7467"/>
    <w:rsid w:val="003F750E"/>
    <w:rsid w:val="004002B4"/>
    <w:rsid w:val="004009DA"/>
    <w:rsid w:val="00401DA2"/>
    <w:rsid w:val="00403742"/>
    <w:rsid w:val="004038BF"/>
    <w:rsid w:val="00404520"/>
    <w:rsid w:val="00404569"/>
    <w:rsid w:val="004045DD"/>
    <w:rsid w:val="0040498B"/>
    <w:rsid w:val="00405360"/>
    <w:rsid w:val="00405569"/>
    <w:rsid w:val="00405856"/>
    <w:rsid w:val="00405E12"/>
    <w:rsid w:val="0040616B"/>
    <w:rsid w:val="004111D7"/>
    <w:rsid w:val="004147BC"/>
    <w:rsid w:val="0041524F"/>
    <w:rsid w:val="00417846"/>
    <w:rsid w:val="00417E9A"/>
    <w:rsid w:val="0042126F"/>
    <w:rsid w:val="00421306"/>
    <w:rsid w:val="004214D4"/>
    <w:rsid w:val="00421877"/>
    <w:rsid w:val="00422250"/>
    <w:rsid w:val="00422F87"/>
    <w:rsid w:val="00423616"/>
    <w:rsid w:val="004240B7"/>
    <w:rsid w:val="0042480F"/>
    <w:rsid w:val="0042495C"/>
    <w:rsid w:val="0042587B"/>
    <w:rsid w:val="00426552"/>
    <w:rsid w:val="004302B2"/>
    <w:rsid w:val="004319CF"/>
    <w:rsid w:val="00431B58"/>
    <w:rsid w:val="00432DAB"/>
    <w:rsid w:val="00433712"/>
    <w:rsid w:val="004337C4"/>
    <w:rsid w:val="00433E30"/>
    <w:rsid w:val="00433E9F"/>
    <w:rsid w:val="00434855"/>
    <w:rsid w:val="00434C03"/>
    <w:rsid w:val="00435A9C"/>
    <w:rsid w:val="00435AAE"/>
    <w:rsid w:val="00435DAF"/>
    <w:rsid w:val="00436610"/>
    <w:rsid w:val="004367FF"/>
    <w:rsid w:val="004369E7"/>
    <w:rsid w:val="00437368"/>
    <w:rsid w:val="00437771"/>
    <w:rsid w:val="00442141"/>
    <w:rsid w:val="00442D05"/>
    <w:rsid w:val="00444CBA"/>
    <w:rsid w:val="004450EA"/>
    <w:rsid w:val="0044697F"/>
    <w:rsid w:val="00447214"/>
    <w:rsid w:val="004512A8"/>
    <w:rsid w:val="004512B2"/>
    <w:rsid w:val="004518B8"/>
    <w:rsid w:val="00452EC4"/>
    <w:rsid w:val="00453EF4"/>
    <w:rsid w:val="00454634"/>
    <w:rsid w:val="0045486F"/>
    <w:rsid w:val="00454A89"/>
    <w:rsid w:val="00456039"/>
    <w:rsid w:val="00456A7F"/>
    <w:rsid w:val="00456DAC"/>
    <w:rsid w:val="0045758D"/>
    <w:rsid w:val="00457881"/>
    <w:rsid w:val="00460581"/>
    <w:rsid w:val="00460754"/>
    <w:rsid w:val="0046140B"/>
    <w:rsid w:val="004618FE"/>
    <w:rsid w:val="00461E0B"/>
    <w:rsid w:val="00462432"/>
    <w:rsid w:val="0046512B"/>
    <w:rsid w:val="004660A4"/>
    <w:rsid w:val="00466DE6"/>
    <w:rsid w:val="004675E0"/>
    <w:rsid w:val="004702AF"/>
    <w:rsid w:val="00472741"/>
    <w:rsid w:val="00473B4B"/>
    <w:rsid w:val="004740C5"/>
    <w:rsid w:val="00475AAB"/>
    <w:rsid w:val="00476034"/>
    <w:rsid w:val="004775A5"/>
    <w:rsid w:val="0048047E"/>
    <w:rsid w:val="00481617"/>
    <w:rsid w:val="004825B1"/>
    <w:rsid w:val="0048305A"/>
    <w:rsid w:val="0048390F"/>
    <w:rsid w:val="0048393B"/>
    <w:rsid w:val="004842BF"/>
    <w:rsid w:val="00485E85"/>
    <w:rsid w:val="00486873"/>
    <w:rsid w:val="00486B60"/>
    <w:rsid w:val="00486DE9"/>
    <w:rsid w:val="00487F85"/>
    <w:rsid w:val="004903FB"/>
    <w:rsid w:val="004905CF"/>
    <w:rsid w:val="00492282"/>
    <w:rsid w:val="0049239E"/>
    <w:rsid w:val="00492741"/>
    <w:rsid w:val="004927DC"/>
    <w:rsid w:val="00492C82"/>
    <w:rsid w:val="00493483"/>
    <w:rsid w:val="00493731"/>
    <w:rsid w:val="00494ABB"/>
    <w:rsid w:val="00494DE6"/>
    <w:rsid w:val="00494DE7"/>
    <w:rsid w:val="00495C57"/>
    <w:rsid w:val="00495F70"/>
    <w:rsid w:val="0049627E"/>
    <w:rsid w:val="004962D1"/>
    <w:rsid w:val="0049723C"/>
    <w:rsid w:val="004A1765"/>
    <w:rsid w:val="004A3024"/>
    <w:rsid w:val="004A5F83"/>
    <w:rsid w:val="004A694F"/>
    <w:rsid w:val="004A719F"/>
    <w:rsid w:val="004A77E7"/>
    <w:rsid w:val="004B0784"/>
    <w:rsid w:val="004B1449"/>
    <w:rsid w:val="004B1578"/>
    <w:rsid w:val="004B1648"/>
    <w:rsid w:val="004B1DF2"/>
    <w:rsid w:val="004B4B10"/>
    <w:rsid w:val="004B4DD6"/>
    <w:rsid w:val="004B4E8B"/>
    <w:rsid w:val="004B50D7"/>
    <w:rsid w:val="004B5E4E"/>
    <w:rsid w:val="004C0F0E"/>
    <w:rsid w:val="004C1335"/>
    <w:rsid w:val="004C1E0A"/>
    <w:rsid w:val="004C36C9"/>
    <w:rsid w:val="004C3835"/>
    <w:rsid w:val="004C40AF"/>
    <w:rsid w:val="004C4EC9"/>
    <w:rsid w:val="004C51FB"/>
    <w:rsid w:val="004C5C89"/>
    <w:rsid w:val="004C7E1D"/>
    <w:rsid w:val="004D060D"/>
    <w:rsid w:val="004D25DE"/>
    <w:rsid w:val="004D27B2"/>
    <w:rsid w:val="004D2DBF"/>
    <w:rsid w:val="004D2EE9"/>
    <w:rsid w:val="004D428D"/>
    <w:rsid w:val="004D480A"/>
    <w:rsid w:val="004D49E5"/>
    <w:rsid w:val="004D6A82"/>
    <w:rsid w:val="004D6C28"/>
    <w:rsid w:val="004E00D9"/>
    <w:rsid w:val="004E1CF4"/>
    <w:rsid w:val="004E2699"/>
    <w:rsid w:val="004E4036"/>
    <w:rsid w:val="004E441C"/>
    <w:rsid w:val="004E4550"/>
    <w:rsid w:val="004E48EB"/>
    <w:rsid w:val="004E505D"/>
    <w:rsid w:val="004E54A3"/>
    <w:rsid w:val="004E68B9"/>
    <w:rsid w:val="004E794A"/>
    <w:rsid w:val="004F01DF"/>
    <w:rsid w:val="004F0640"/>
    <w:rsid w:val="004F08A7"/>
    <w:rsid w:val="004F2771"/>
    <w:rsid w:val="004F3BF9"/>
    <w:rsid w:val="004F4036"/>
    <w:rsid w:val="004F738C"/>
    <w:rsid w:val="0050030C"/>
    <w:rsid w:val="00501C0A"/>
    <w:rsid w:val="00503899"/>
    <w:rsid w:val="00507EFD"/>
    <w:rsid w:val="005103FA"/>
    <w:rsid w:val="00511C4F"/>
    <w:rsid w:val="00512035"/>
    <w:rsid w:val="00512694"/>
    <w:rsid w:val="00512A17"/>
    <w:rsid w:val="00512EAF"/>
    <w:rsid w:val="00513060"/>
    <w:rsid w:val="005139FB"/>
    <w:rsid w:val="00514192"/>
    <w:rsid w:val="00514F03"/>
    <w:rsid w:val="005164E0"/>
    <w:rsid w:val="005166BF"/>
    <w:rsid w:val="00517684"/>
    <w:rsid w:val="005211A3"/>
    <w:rsid w:val="00521652"/>
    <w:rsid w:val="005223EE"/>
    <w:rsid w:val="005228CB"/>
    <w:rsid w:val="00523104"/>
    <w:rsid w:val="00523F7F"/>
    <w:rsid w:val="005258D5"/>
    <w:rsid w:val="0052726E"/>
    <w:rsid w:val="00527C46"/>
    <w:rsid w:val="00530173"/>
    <w:rsid w:val="00530911"/>
    <w:rsid w:val="00530AE0"/>
    <w:rsid w:val="00531A67"/>
    <w:rsid w:val="00531D76"/>
    <w:rsid w:val="00532220"/>
    <w:rsid w:val="005328D5"/>
    <w:rsid w:val="005346B3"/>
    <w:rsid w:val="005348B0"/>
    <w:rsid w:val="00535079"/>
    <w:rsid w:val="005352F9"/>
    <w:rsid w:val="00535A60"/>
    <w:rsid w:val="00535FBA"/>
    <w:rsid w:val="00536744"/>
    <w:rsid w:val="00536F14"/>
    <w:rsid w:val="00537220"/>
    <w:rsid w:val="00540496"/>
    <w:rsid w:val="005428D0"/>
    <w:rsid w:val="0054393D"/>
    <w:rsid w:val="005448B8"/>
    <w:rsid w:val="00544CA4"/>
    <w:rsid w:val="005461BF"/>
    <w:rsid w:val="00546782"/>
    <w:rsid w:val="00546BEF"/>
    <w:rsid w:val="00546F05"/>
    <w:rsid w:val="00547876"/>
    <w:rsid w:val="00547D4F"/>
    <w:rsid w:val="00551192"/>
    <w:rsid w:val="00551CC0"/>
    <w:rsid w:val="0055357F"/>
    <w:rsid w:val="00553A21"/>
    <w:rsid w:val="00554AF9"/>
    <w:rsid w:val="00554CA1"/>
    <w:rsid w:val="00554D54"/>
    <w:rsid w:val="0055533D"/>
    <w:rsid w:val="00555696"/>
    <w:rsid w:val="00556220"/>
    <w:rsid w:val="0055663F"/>
    <w:rsid w:val="00557CB7"/>
    <w:rsid w:val="00557F03"/>
    <w:rsid w:val="00561CD7"/>
    <w:rsid w:val="00562AFB"/>
    <w:rsid w:val="00564052"/>
    <w:rsid w:val="00564C8B"/>
    <w:rsid w:val="00564E2D"/>
    <w:rsid w:val="005667CD"/>
    <w:rsid w:val="00567516"/>
    <w:rsid w:val="00567D01"/>
    <w:rsid w:val="00570090"/>
    <w:rsid w:val="00570A87"/>
    <w:rsid w:val="00573041"/>
    <w:rsid w:val="00574C56"/>
    <w:rsid w:val="00575260"/>
    <w:rsid w:val="00575352"/>
    <w:rsid w:val="00575672"/>
    <w:rsid w:val="0057571B"/>
    <w:rsid w:val="005806B7"/>
    <w:rsid w:val="00581A0C"/>
    <w:rsid w:val="00581C7C"/>
    <w:rsid w:val="00582125"/>
    <w:rsid w:val="00582307"/>
    <w:rsid w:val="00583BBF"/>
    <w:rsid w:val="00584C27"/>
    <w:rsid w:val="00585222"/>
    <w:rsid w:val="005864DD"/>
    <w:rsid w:val="00586941"/>
    <w:rsid w:val="00586B27"/>
    <w:rsid w:val="00586F20"/>
    <w:rsid w:val="00587E7E"/>
    <w:rsid w:val="00592F65"/>
    <w:rsid w:val="00593D45"/>
    <w:rsid w:val="00594487"/>
    <w:rsid w:val="00594DD3"/>
    <w:rsid w:val="00595133"/>
    <w:rsid w:val="00595C2A"/>
    <w:rsid w:val="00595DA0"/>
    <w:rsid w:val="00595F33"/>
    <w:rsid w:val="0059677B"/>
    <w:rsid w:val="005A0ACC"/>
    <w:rsid w:val="005A0C5B"/>
    <w:rsid w:val="005A0E9A"/>
    <w:rsid w:val="005A23F9"/>
    <w:rsid w:val="005A255D"/>
    <w:rsid w:val="005A2AF8"/>
    <w:rsid w:val="005A3EC8"/>
    <w:rsid w:val="005A3FCB"/>
    <w:rsid w:val="005A4D10"/>
    <w:rsid w:val="005A5050"/>
    <w:rsid w:val="005A54B0"/>
    <w:rsid w:val="005A69FF"/>
    <w:rsid w:val="005B2012"/>
    <w:rsid w:val="005B2B21"/>
    <w:rsid w:val="005B325D"/>
    <w:rsid w:val="005B3D4B"/>
    <w:rsid w:val="005B4939"/>
    <w:rsid w:val="005B496A"/>
    <w:rsid w:val="005B4B10"/>
    <w:rsid w:val="005B5714"/>
    <w:rsid w:val="005B6358"/>
    <w:rsid w:val="005B6FA3"/>
    <w:rsid w:val="005C16AE"/>
    <w:rsid w:val="005C1AAF"/>
    <w:rsid w:val="005C3A1F"/>
    <w:rsid w:val="005C5081"/>
    <w:rsid w:val="005C655D"/>
    <w:rsid w:val="005C6B10"/>
    <w:rsid w:val="005C70F5"/>
    <w:rsid w:val="005C7208"/>
    <w:rsid w:val="005C72AB"/>
    <w:rsid w:val="005D0C57"/>
    <w:rsid w:val="005D0F22"/>
    <w:rsid w:val="005D19AD"/>
    <w:rsid w:val="005D3102"/>
    <w:rsid w:val="005D42E9"/>
    <w:rsid w:val="005D4809"/>
    <w:rsid w:val="005D4DFD"/>
    <w:rsid w:val="005D5508"/>
    <w:rsid w:val="005D5532"/>
    <w:rsid w:val="005D5BD2"/>
    <w:rsid w:val="005D62C9"/>
    <w:rsid w:val="005D6BB5"/>
    <w:rsid w:val="005D76C6"/>
    <w:rsid w:val="005D79A9"/>
    <w:rsid w:val="005D7A97"/>
    <w:rsid w:val="005E034B"/>
    <w:rsid w:val="005E074D"/>
    <w:rsid w:val="005E30AB"/>
    <w:rsid w:val="005E3255"/>
    <w:rsid w:val="005E4F0E"/>
    <w:rsid w:val="005E589D"/>
    <w:rsid w:val="005E6738"/>
    <w:rsid w:val="005E6FF6"/>
    <w:rsid w:val="005E779E"/>
    <w:rsid w:val="005E7812"/>
    <w:rsid w:val="005E7FFA"/>
    <w:rsid w:val="005F041E"/>
    <w:rsid w:val="005F4246"/>
    <w:rsid w:val="005F574B"/>
    <w:rsid w:val="005F58E4"/>
    <w:rsid w:val="005F5B8A"/>
    <w:rsid w:val="00600CF0"/>
    <w:rsid w:val="00601D29"/>
    <w:rsid w:val="006027E8"/>
    <w:rsid w:val="00602BC1"/>
    <w:rsid w:val="00602BCC"/>
    <w:rsid w:val="0060348D"/>
    <w:rsid w:val="00603F2C"/>
    <w:rsid w:val="0060432A"/>
    <w:rsid w:val="006049C8"/>
    <w:rsid w:val="00605278"/>
    <w:rsid w:val="00605B3E"/>
    <w:rsid w:val="0060627F"/>
    <w:rsid w:val="0060664A"/>
    <w:rsid w:val="00606C0C"/>
    <w:rsid w:val="00606DBA"/>
    <w:rsid w:val="006073D1"/>
    <w:rsid w:val="006105F2"/>
    <w:rsid w:val="006111F3"/>
    <w:rsid w:val="0061131C"/>
    <w:rsid w:val="00612516"/>
    <w:rsid w:val="00613216"/>
    <w:rsid w:val="00614C0E"/>
    <w:rsid w:val="00614C39"/>
    <w:rsid w:val="006150A8"/>
    <w:rsid w:val="006177E7"/>
    <w:rsid w:val="00617B5F"/>
    <w:rsid w:val="00620834"/>
    <w:rsid w:val="00620913"/>
    <w:rsid w:val="006211FD"/>
    <w:rsid w:val="00621A27"/>
    <w:rsid w:val="00623428"/>
    <w:rsid w:val="00624312"/>
    <w:rsid w:val="00624800"/>
    <w:rsid w:val="00625018"/>
    <w:rsid w:val="006253F9"/>
    <w:rsid w:val="006262BE"/>
    <w:rsid w:val="00627119"/>
    <w:rsid w:val="00627DC1"/>
    <w:rsid w:val="0063045F"/>
    <w:rsid w:val="00631849"/>
    <w:rsid w:val="00632213"/>
    <w:rsid w:val="00632BC1"/>
    <w:rsid w:val="0063312B"/>
    <w:rsid w:val="00633437"/>
    <w:rsid w:val="00633E7B"/>
    <w:rsid w:val="00634304"/>
    <w:rsid w:val="00636AA2"/>
    <w:rsid w:val="00637FA9"/>
    <w:rsid w:val="006403FD"/>
    <w:rsid w:val="00640661"/>
    <w:rsid w:val="0064107E"/>
    <w:rsid w:val="00641315"/>
    <w:rsid w:val="00641D5E"/>
    <w:rsid w:val="00645D60"/>
    <w:rsid w:val="006464CF"/>
    <w:rsid w:val="0064747B"/>
    <w:rsid w:val="006478A6"/>
    <w:rsid w:val="00647997"/>
    <w:rsid w:val="00647F13"/>
    <w:rsid w:val="00647F53"/>
    <w:rsid w:val="0065205A"/>
    <w:rsid w:val="006526EB"/>
    <w:rsid w:val="00652A00"/>
    <w:rsid w:val="00652DA7"/>
    <w:rsid w:val="0065438A"/>
    <w:rsid w:val="00655E5C"/>
    <w:rsid w:val="006560A0"/>
    <w:rsid w:val="006577B4"/>
    <w:rsid w:val="00657F9E"/>
    <w:rsid w:val="00660205"/>
    <w:rsid w:val="00660D4A"/>
    <w:rsid w:val="006628FC"/>
    <w:rsid w:val="00662C72"/>
    <w:rsid w:val="00662F1D"/>
    <w:rsid w:val="00663302"/>
    <w:rsid w:val="00664182"/>
    <w:rsid w:val="00664774"/>
    <w:rsid w:val="00666287"/>
    <w:rsid w:val="00666573"/>
    <w:rsid w:val="00667A31"/>
    <w:rsid w:val="006703DC"/>
    <w:rsid w:val="00670E85"/>
    <w:rsid w:val="00672742"/>
    <w:rsid w:val="00672DBF"/>
    <w:rsid w:val="0067382B"/>
    <w:rsid w:val="00673EFE"/>
    <w:rsid w:val="00674E5C"/>
    <w:rsid w:val="00675CDB"/>
    <w:rsid w:val="00676639"/>
    <w:rsid w:val="0067717F"/>
    <w:rsid w:val="006775BE"/>
    <w:rsid w:val="006804A3"/>
    <w:rsid w:val="00681C34"/>
    <w:rsid w:val="00682C57"/>
    <w:rsid w:val="00682F3B"/>
    <w:rsid w:val="00684FF4"/>
    <w:rsid w:val="00685806"/>
    <w:rsid w:val="006861B0"/>
    <w:rsid w:val="0068629A"/>
    <w:rsid w:val="006866E7"/>
    <w:rsid w:val="00687130"/>
    <w:rsid w:val="00687181"/>
    <w:rsid w:val="006873F4"/>
    <w:rsid w:val="0068749A"/>
    <w:rsid w:val="006875DC"/>
    <w:rsid w:val="00687ACC"/>
    <w:rsid w:val="00690234"/>
    <w:rsid w:val="00691850"/>
    <w:rsid w:val="006920C9"/>
    <w:rsid w:val="00692499"/>
    <w:rsid w:val="00693BA4"/>
    <w:rsid w:val="006948C6"/>
    <w:rsid w:val="006950C9"/>
    <w:rsid w:val="00696F91"/>
    <w:rsid w:val="006A0A09"/>
    <w:rsid w:val="006A0DE1"/>
    <w:rsid w:val="006A0FCB"/>
    <w:rsid w:val="006A19B1"/>
    <w:rsid w:val="006A418E"/>
    <w:rsid w:val="006A4BBC"/>
    <w:rsid w:val="006A4DF4"/>
    <w:rsid w:val="006A50D6"/>
    <w:rsid w:val="006A5ABC"/>
    <w:rsid w:val="006A5CC0"/>
    <w:rsid w:val="006A6512"/>
    <w:rsid w:val="006A6661"/>
    <w:rsid w:val="006A66EF"/>
    <w:rsid w:val="006A7732"/>
    <w:rsid w:val="006A7E5C"/>
    <w:rsid w:val="006B0709"/>
    <w:rsid w:val="006B0752"/>
    <w:rsid w:val="006B0787"/>
    <w:rsid w:val="006B08C1"/>
    <w:rsid w:val="006B11C2"/>
    <w:rsid w:val="006B21A7"/>
    <w:rsid w:val="006B262A"/>
    <w:rsid w:val="006B37DE"/>
    <w:rsid w:val="006B3ED8"/>
    <w:rsid w:val="006B43A5"/>
    <w:rsid w:val="006B5854"/>
    <w:rsid w:val="006B5A4B"/>
    <w:rsid w:val="006B669C"/>
    <w:rsid w:val="006B7994"/>
    <w:rsid w:val="006B7D61"/>
    <w:rsid w:val="006C040B"/>
    <w:rsid w:val="006C1B77"/>
    <w:rsid w:val="006C1F2D"/>
    <w:rsid w:val="006C2E55"/>
    <w:rsid w:val="006C3ED1"/>
    <w:rsid w:val="006C3F2C"/>
    <w:rsid w:val="006C5076"/>
    <w:rsid w:val="006C5424"/>
    <w:rsid w:val="006C556A"/>
    <w:rsid w:val="006C5925"/>
    <w:rsid w:val="006C59AA"/>
    <w:rsid w:val="006C7853"/>
    <w:rsid w:val="006D0475"/>
    <w:rsid w:val="006D1101"/>
    <w:rsid w:val="006D17F3"/>
    <w:rsid w:val="006D1E4F"/>
    <w:rsid w:val="006D3040"/>
    <w:rsid w:val="006D4C7D"/>
    <w:rsid w:val="006D5112"/>
    <w:rsid w:val="006D5C83"/>
    <w:rsid w:val="006D5C8D"/>
    <w:rsid w:val="006D6EB6"/>
    <w:rsid w:val="006D7634"/>
    <w:rsid w:val="006E0184"/>
    <w:rsid w:val="006E0778"/>
    <w:rsid w:val="006E35BE"/>
    <w:rsid w:val="006E49F9"/>
    <w:rsid w:val="006E5041"/>
    <w:rsid w:val="006E509F"/>
    <w:rsid w:val="006E538F"/>
    <w:rsid w:val="006E554D"/>
    <w:rsid w:val="006E56B1"/>
    <w:rsid w:val="006E5B1A"/>
    <w:rsid w:val="006F174B"/>
    <w:rsid w:val="006F3632"/>
    <w:rsid w:val="006F37C5"/>
    <w:rsid w:val="006F57DC"/>
    <w:rsid w:val="006F5C91"/>
    <w:rsid w:val="007015C5"/>
    <w:rsid w:val="00701776"/>
    <w:rsid w:val="00701988"/>
    <w:rsid w:val="007026AF"/>
    <w:rsid w:val="00703CD3"/>
    <w:rsid w:val="00705419"/>
    <w:rsid w:val="00707838"/>
    <w:rsid w:val="007114F6"/>
    <w:rsid w:val="00711E95"/>
    <w:rsid w:val="00712AB4"/>
    <w:rsid w:val="00712E0C"/>
    <w:rsid w:val="00714596"/>
    <w:rsid w:val="007146A4"/>
    <w:rsid w:val="00714A42"/>
    <w:rsid w:val="00715A50"/>
    <w:rsid w:val="00715FB2"/>
    <w:rsid w:val="00716DCF"/>
    <w:rsid w:val="00717157"/>
    <w:rsid w:val="00720024"/>
    <w:rsid w:val="00721DD4"/>
    <w:rsid w:val="007222FF"/>
    <w:rsid w:val="0072230E"/>
    <w:rsid w:val="00723988"/>
    <w:rsid w:val="00724FE0"/>
    <w:rsid w:val="00725217"/>
    <w:rsid w:val="007252B8"/>
    <w:rsid w:val="00725420"/>
    <w:rsid w:val="007257A3"/>
    <w:rsid w:val="0072654D"/>
    <w:rsid w:val="0072656D"/>
    <w:rsid w:val="00726B85"/>
    <w:rsid w:val="00726CF1"/>
    <w:rsid w:val="00727551"/>
    <w:rsid w:val="00727703"/>
    <w:rsid w:val="007310FC"/>
    <w:rsid w:val="00731429"/>
    <w:rsid w:val="007319E4"/>
    <w:rsid w:val="007330FF"/>
    <w:rsid w:val="007331B4"/>
    <w:rsid w:val="00733BFA"/>
    <w:rsid w:val="007342BF"/>
    <w:rsid w:val="007347A8"/>
    <w:rsid w:val="00734D24"/>
    <w:rsid w:val="007350AC"/>
    <w:rsid w:val="00735541"/>
    <w:rsid w:val="0073601B"/>
    <w:rsid w:val="00736EA6"/>
    <w:rsid w:val="007371E8"/>
    <w:rsid w:val="0073722D"/>
    <w:rsid w:val="00737AAF"/>
    <w:rsid w:val="00737DF4"/>
    <w:rsid w:val="00740BAB"/>
    <w:rsid w:val="00742AB4"/>
    <w:rsid w:val="007437AE"/>
    <w:rsid w:val="00744119"/>
    <w:rsid w:val="00744752"/>
    <w:rsid w:val="00744A67"/>
    <w:rsid w:val="00744D5E"/>
    <w:rsid w:val="007462C3"/>
    <w:rsid w:val="00750AF2"/>
    <w:rsid w:val="00751F5A"/>
    <w:rsid w:val="0075216B"/>
    <w:rsid w:val="007522FB"/>
    <w:rsid w:val="007535C6"/>
    <w:rsid w:val="00753723"/>
    <w:rsid w:val="0075623C"/>
    <w:rsid w:val="007575E4"/>
    <w:rsid w:val="00757E1B"/>
    <w:rsid w:val="007606ED"/>
    <w:rsid w:val="007614F3"/>
    <w:rsid w:val="007614F5"/>
    <w:rsid w:val="00761A0E"/>
    <w:rsid w:val="007625CE"/>
    <w:rsid w:val="00763E30"/>
    <w:rsid w:val="00764E3D"/>
    <w:rsid w:val="007661E0"/>
    <w:rsid w:val="007661F7"/>
    <w:rsid w:val="0076664C"/>
    <w:rsid w:val="00767990"/>
    <w:rsid w:val="0077012C"/>
    <w:rsid w:val="007702CB"/>
    <w:rsid w:val="00770C26"/>
    <w:rsid w:val="00773145"/>
    <w:rsid w:val="007739D9"/>
    <w:rsid w:val="00773EBE"/>
    <w:rsid w:val="00775665"/>
    <w:rsid w:val="0077567C"/>
    <w:rsid w:val="00775A86"/>
    <w:rsid w:val="00775A9F"/>
    <w:rsid w:val="0077647C"/>
    <w:rsid w:val="0078073E"/>
    <w:rsid w:val="00780DB8"/>
    <w:rsid w:val="0078256E"/>
    <w:rsid w:val="00784510"/>
    <w:rsid w:val="00785C68"/>
    <w:rsid w:val="0078766F"/>
    <w:rsid w:val="0079257E"/>
    <w:rsid w:val="00792B09"/>
    <w:rsid w:val="007932CF"/>
    <w:rsid w:val="007945E3"/>
    <w:rsid w:val="0079506A"/>
    <w:rsid w:val="00795861"/>
    <w:rsid w:val="00797734"/>
    <w:rsid w:val="007A1C4C"/>
    <w:rsid w:val="007A239C"/>
    <w:rsid w:val="007A2AD5"/>
    <w:rsid w:val="007A2F59"/>
    <w:rsid w:val="007A3EFE"/>
    <w:rsid w:val="007A4899"/>
    <w:rsid w:val="007A4D7B"/>
    <w:rsid w:val="007A4EDF"/>
    <w:rsid w:val="007A5634"/>
    <w:rsid w:val="007A6694"/>
    <w:rsid w:val="007A67C5"/>
    <w:rsid w:val="007A6E28"/>
    <w:rsid w:val="007A718A"/>
    <w:rsid w:val="007B05C9"/>
    <w:rsid w:val="007B0A2C"/>
    <w:rsid w:val="007B1DBF"/>
    <w:rsid w:val="007B2DBD"/>
    <w:rsid w:val="007B3BE9"/>
    <w:rsid w:val="007B4A33"/>
    <w:rsid w:val="007B5555"/>
    <w:rsid w:val="007B564A"/>
    <w:rsid w:val="007B5ADF"/>
    <w:rsid w:val="007B6ACA"/>
    <w:rsid w:val="007B6CCE"/>
    <w:rsid w:val="007B6E58"/>
    <w:rsid w:val="007C003B"/>
    <w:rsid w:val="007C01C8"/>
    <w:rsid w:val="007C12E6"/>
    <w:rsid w:val="007C2685"/>
    <w:rsid w:val="007C331A"/>
    <w:rsid w:val="007C60D1"/>
    <w:rsid w:val="007C66A7"/>
    <w:rsid w:val="007C77E6"/>
    <w:rsid w:val="007D006E"/>
    <w:rsid w:val="007D0788"/>
    <w:rsid w:val="007D1D5C"/>
    <w:rsid w:val="007D1F5A"/>
    <w:rsid w:val="007D4DCB"/>
    <w:rsid w:val="007D5109"/>
    <w:rsid w:val="007D5AEE"/>
    <w:rsid w:val="007D5D82"/>
    <w:rsid w:val="007D78E3"/>
    <w:rsid w:val="007E0E11"/>
    <w:rsid w:val="007E1148"/>
    <w:rsid w:val="007E14C3"/>
    <w:rsid w:val="007E1E22"/>
    <w:rsid w:val="007E1FDC"/>
    <w:rsid w:val="007E35B0"/>
    <w:rsid w:val="007E3F36"/>
    <w:rsid w:val="007E48E8"/>
    <w:rsid w:val="007E4B69"/>
    <w:rsid w:val="007E5399"/>
    <w:rsid w:val="007E598D"/>
    <w:rsid w:val="007E6321"/>
    <w:rsid w:val="007E7B19"/>
    <w:rsid w:val="007F0144"/>
    <w:rsid w:val="007F04D6"/>
    <w:rsid w:val="007F0665"/>
    <w:rsid w:val="007F399C"/>
    <w:rsid w:val="007F3A5F"/>
    <w:rsid w:val="007F46E9"/>
    <w:rsid w:val="007F49C0"/>
    <w:rsid w:val="007F789B"/>
    <w:rsid w:val="00800004"/>
    <w:rsid w:val="00800798"/>
    <w:rsid w:val="00800DCF"/>
    <w:rsid w:val="00801C15"/>
    <w:rsid w:val="00801DD9"/>
    <w:rsid w:val="008026FA"/>
    <w:rsid w:val="0080282C"/>
    <w:rsid w:val="00802F6A"/>
    <w:rsid w:val="0080396A"/>
    <w:rsid w:val="00804DF2"/>
    <w:rsid w:val="00806AD7"/>
    <w:rsid w:val="008073BA"/>
    <w:rsid w:val="00807550"/>
    <w:rsid w:val="008116F9"/>
    <w:rsid w:val="00812784"/>
    <w:rsid w:val="008131BA"/>
    <w:rsid w:val="00813D27"/>
    <w:rsid w:val="00814CB6"/>
    <w:rsid w:val="00815FAD"/>
    <w:rsid w:val="008161B3"/>
    <w:rsid w:val="0081625E"/>
    <w:rsid w:val="00816EAC"/>
    <w:rsid w:val="008170DA"/>
    <w:rsid w:val="00817E47"/>
    <w:rsid w:val="00817FC3"/>
    <w:rsid w:val="00820063"/>
    <w:rsid w:val="00820C22"/>
    <w:rsid w:val="00823600"/>
    <w:rsid w:val="00823E9F"/>
    <w:rsid w:val="00823F37"/>
    <w:rsid w:val="00825D5F"/>
    <w:rsid w:val="008262D1"/>
    <w:rsid w:val="0082666B"/>
    <w:rsid w:val="00826F63"/>
    <w:rsid w:val="0082758F"/>
    <w:rsid w:val="00827B21"/>
    <w:rsid w:val="00827D8E"/>
    <w:rsid w:val="0083009A"/>
    <w:rsid w:val="00830C20"/>
    <w:rsid w:val="00831AE8"/>
    <w:rsid w:val="008326C7"/>
    <w:rsid w:val="00832C6F"/>
    <w:rsid w:val="00833307"/>
    <w:rsid w:val="008336DF"/>
    <w:rsid w:val="0083403D"/>
    <w:rsid w:val="0083498A"/>
    <w:rsid w:val="008352FF"/>
    <w:rsid w:val="0083593D"/>
    <w:rsid w:val="0083695B"/>
    <w:rsid w:val="00836B1E"/>
    <w:rsid w:val="00837970"/>
    <w:rsid w:val="00840D56"/>
    <w:rsid w:val="00841FE8"/>
    <w:rsid w:val="00842045"/>
    <w:rsid w:val="00842FB4"/>
    <w:rsid w:val="00843FED"/>
    <w:rsid w:val="00844255"/>
    <w:rsid w:val="00844CD1"/>
    <w:rsid w:val="00844DEC"/>
    <w:rsid w:val="00844E66"/>
    <w:rsid w:val="00845643"/>
    <w:rsid w:val="008457F1"/>
    <w:rsid w:val="00845FA7"/>
    <w:rsid w:val="00850657"/>
    <w:rsid w:val="00851146"/>
    <w:rsid w:val="00851916"/>
    <w:rsid w:val="00852F61"/>
    <w:rsid w:val="00854108"/>
    <w:rsid w:val="008552EB"/>
    <w:rsid w:val="0085608F"/>
    <w:rsid w:val="00857203"/>
    <w:rsid w:val="00857FD4"/>
    <w:rsid w:val="00860488"/>
    <w:rsid w:val="00860CD1"/>
    <w:rsid w:val="008616BC"/>
    <w:rsid w:val="00862C7F"/>
    <w:rsid w:val="008631A4"/>
    <w:rsid w:val="0086329B"/>
    <w:rsid w:val="008641A5"/>
    <w:rsid w:val="00864A46"/>
    <w:rsid w:val="00864D1C"/>
    <w:rsid w:val="0086584E"/>
    <w:rsid w:val="0086713F"/>
    <w:rsid w:val="00867895"/>
    <w:rsid w:val="008702FE"/>
    <w:rsid w:val="00870360"/>
    <w:rsid w:val="0087151D"/>
    <w:rsid w:val="008715A4"/>
    <w:rsid w:val="00871C66"/>
    <w:rsid w:val="0087211D"/>
    <w:rsid w:val="00872988"/>
    <w:rsid w:val="008729A3"/>
    <w:rsid w:val="00872F6A"/>
    <w:rsid w:val="00873114"/>
    <w:rsid w:val="00873173"/>
    <w:rsid w:val="008740AA"/>
    <w:rsid w:val="008759A7"/>
    <w:rsid w:val="00876971"/>
    <w:rsid w:val="008773D3"/>
    <w:rsid w:val="0087763C"/>
    <w:rsid w:val="008778FE"/>
    <w:rsid w:val="0088035B"/>
    <w:rsid w:val="008809B5"/>
    <w:rsid w:val="00880B39"/>
    <w:rsid w:val="008812DD"/>
    <w:rsid w:val="008824DA"/>
    <w:rsid w:val="008826DD"/>
    <w:rsid w:val="00883FE1"/>
    <w:rsid w:val="0088412D"/>
    <w:rsid w:val="00885270"/>
    <w:rsid w:val="00885E3E"/>
    <w:rsid w:val="00887411"/>
    <w:rsid w:val="0088751B"/>
    <w:rsid w:val="00887D04"/>
    <w:rsid w:val="00887DE0"/>
    <w:rsid w:val="00891FDD"/>
    <w:rsid w:val="008932CB"/>
    <w:rsid w:val="008940AE"/>
    <w:rsid w:val="00894137"/>
    <w:rsid w:val="008951A9"/>
    <w:rsid w:val="0089673A"/>
    <w:rsid w:val="00896D7A"/>
    <w:rsid w:val="00897A4E"/>
    <w:rsid w:val="00897E05"/>
    <w:rsid w:val="008A04DA"/>
    <w:rsid w:val="008A0773"/>
    <w:rsid w:val="008A0C16"/>
    <w:rsid w:val="008A0FE8"/>
    <w:rsid w:val="008A181C"/>
    <w:rsid w:val="008A363D"/>
    <w:rsid w:val="008A39E3"/>
    <w:rsid w:val="008A4339"/>
    <w:rsid w:val="008A5E2F"/>
    <w:rsid w:val="008A76A3"/>
    <w:rsid w:val="008A7A65"/>
    <w:rsid w:val="008A7AF8"/>
    <w:rsid w:val="008B10BC"/>
    <w:rsid w:val="008B12FB"/>
    <w:rsid w:val="008B1827"/>
    <w:rsid w:val="008B19FE"/>
    <w:rsid w:val="008B218C"/>
    <w:rsid w:val="008B2A32"/>
    <w:rsid w:val="008B2CE5"/>
    <w:rsid w:val="008B445D"/>
    <w:rsid w:val="008B5CA6"/>
    <w:rsid w:val="008B6F78"/>
    <w:rsid w:val="008B6FB0"/>
    <w:rsid w:val="008B7123"/>
    <w:rsid w:val="008B7EE1"/>
    <w:rsid w:val="008C23DD"/>
    <w:rsid w:val="008C2C26"/>
    <w:rsid w:val="008C3AEB"/>
    <w:rsid w:val="008C3C51"/>
    <w:rsid w:val="008C5563"/>
    <w:rsid w:val="008C598E"/>
    <w:rsid w:val="008C738D"/>
    <w:rsid w:val="008C7885"/>
    <w:rsid w:val="008C7E48"/>
    <w:rsid w:val="008D07FA"/>
    <w:rsid w:val="008D0B8E"/>
    <w:rsid w:val="008D23B2"/>
    <w:rsid w:val="008D253A"/>
    <w:rsid w:val="008D3688"/>
    <w:rsid w:val="008D6597"/>
    <w:rsid w:val="008D66DE"/>
    <w:rsid w:val="008D797A"/>
    <w:rsid w:val="008E018F"/>
    <w:rsid w:val="008E13F2"/>
    <w:rsid w:val="008E2583"/>
    <w:rsid w:val="008E2B5E"/>
    <w:rsid w:val="008E2F79"/>
    <w:rsid w:val="008E3471"/>
    <w:rsid w:val="008E47FB"/>
    <w:rsid w:val="008E5CF6"/>
    <w:rsid w:val="008F0B92"/>
    <w:rsid w:val="008F0C0A"/>
    <w:rsid w:val="008F1D9F"/>
    <w:rsid w:val="008F26A2"/>
    <w:rsid w:val="008F271F"/>
    <w:rsid w:val="008F3BFE"/>
    <w:rsid w:val="008F6808"/>
    <w:rsid w:val="008F6F0A"/>
    <w:rsid w:val="008F7163"/>
    <w:rsid w:val="008F784C"/>
    <w:rsid w:val="009001D0"/>
    <w:rsid w:val="00900521"/>
    <w:rsid w:val="00901AEA"/>
    <w:rsid w:val="00901E2F"/>
    <w:rsid w:val="00902559"/>
    <w:rsid w:val="00902961"/>
    <w:rsid w:val="009037B7"/>
    <w:rsid w:val="00904735"/>
    <w:rsid w:val="009053B0"/>
    <w:rsid w:val="0090571A"/>
    <w:rsid w:val="00905C46"/>
    <w:rsid w:val="009061FD"/>
    <w:rsid w:val="0090673D"/>
    <w:rsid w:val="00906F0C"/>
    <w:rsid w:val="00906FCC"/>
    <w:rsid w:val="00907154"/>
    <w:rsid w:val="00910B58"/>
    <w:rsid w:val="009111DF"/>
    <w:rsid w:val="009111EA"/>
    <w:rsid w:val="00912BF7"/>
    <w:rsid w:val="00914A77"/>
    <w:rsid w:val="00914DAB"/>
    <w:rsid w:val="00915635"/>
    <w:rsid w:val="00915B91"/>
    <w:rsid w:val="009165FA"/>
    <w:rsid w:val="00917165"/>
    <w:rsid w:val="00920166"/>
    <w:rsid w:val="0092114F"/>
    <w:rsid w:val="0092152C"/>
    <w:rsid w:val="0092185C"/>
    <w:rsid w:val="0092376B"/>
    <w:rsid w:val="009240FD"/>
    <w:rsid w:val="0092431E"/>
    <w:rsid w:val="009249FF"/>
    <w:rsid w:val="009253C3"/>
    <w:rsid w:val="00925F33"/>
    <w:rsid w:val="0092625D"/>
    <w:rsid w:val="00926345"/>
    <w:rsid w:val="009263FC"/>
    <w:rsid w:val="0092669A"/>
    <w:rsid w:val="00926A4A"/>
    <w:rsid w:val="009277AE"/>
    <w:rsid w:val="0093233E"/>
    <w:rsid w:val="00932FEF"/>
    <w:rsid w:val="00935263"/>
    <w:rsid w:val="0093541A"/>
    <w:rsid w:val="00936B95"/>
    <w:rsid w:val="00940856"/>
    <w:rsid w:val="00940913"/>
    <w:rsid w:val="00941B2D"/>
    <w:rsid w:val="00941EAC"/>
    <w:rsid w:val="009421DC"/>
    <w:rsid w:val="00942573"/>
    <w:rsid w:val="0094273C"/>
    <w:rsid w:val="00942D6A"/>
    <w:rsid w:val="00943150"/>
    <w:rsid w:val="009440E5"/>
    <w:rsid w:val="00944325"/>
    <w:rsid w:val="00945BC9"/>
    <w:rsid w:val="00945F59"/>
    <w:rsid w:val="0094608A"/>
    <w:rsid w:val="00946B16"/>
    <w:rsid w:val="00950099"/>
    <w:rsid w:val="0095023C"/>
    <w:rsid w:val="00950A5A"/>
    <w:rsid w:val="009510A7"/>
    <w:rsid w:val="0095153D"/>
    <w:rsid w:val="009529E5"/>
    <w:rsid w:val="009529F5"/>
    <w:rsid w:val="00952A63"/>
    <w:rsid w:val="0095320D"/>
    <w:rsid w:val="009536EB"/>
    <w:rsid w:val="00953C6D"/>
    <w:rsid w:val="009547EA"/>
    <w:rsid w:val="00954F46"/>
    <w:rsid w:val="009579DB"/>
    <w:rsid w:val="00960284"/>
    <w:rsid w:val="00960E13"/>
    <w:rsid w:val="00961003"/>
    <w:rsid w:val="009618C9"/>
    <w:rsid w:val="00961D42"/>
    <w:rsid w:val="009646E1"/>
    <w:rsid w:val="009655D7"/>
    <w:rsid w:val="0096581C"/>
    <w:rsid w:val="00965E11"/>
    <w:rsid w:val="0096622C"/>
    <w:rsid w:val="009672AD"/>
    <w:rsid w:val="009712B2"/>
    <w:rsid w:val="00971701"/>
    <w:rsid w:val="00971ADB"/>
    <w:rsid w:val="00973AFA"/>
    <w:rsid w:val="00974417"/>
    <w:rsid w:val="00974F0E"/>
    <w:rsid w:val="00975DDB"/>
    <w:rsid w:val="00976645"/>
    <w:rsid w:val="00977D63"/>
    <w:rsid w:val="00981AB5"/>
    <w:rsid w:val="00981B3A"/>
    <w:rsid w:val="0098241C"/>
    <w:rsid w:val="0098250B"/>
    <w:rsid w:val="00982D11"/>
    <w:rsid w:val="00982F68"/>
    <w:rsid w:val="00983EFE"/>
    <w:rsid w:val="00984DE4"/>
    <w:rsid w:val="00985D9E"/>
    <w:rsid w:val="00987566"/>
    <w:rsid w:val="009912A1"/>
    <w:rsid w:val="00991514"/>
    <w:rsid w:val="00992637"/>
    <w:rsid w:val="00994BF3"/>
    <w:rsid w:val="0099696C"/>
    <w:rsid w:val="00997F1F"/>
    <w:rsid w:val="009A05BA"/>
    <w:rsid w:val="009A1508"/>
    <w:rsid w:val="009A21C7"/>
    <w:rsid w:val="009A25EF"/>
    <w:rsid w:val="009A420A"/>
    <w:rsid w:val="009A4858"/>
    <w:rsid w:val="009A4F82"/>
    <w:rsid w:val="009A7ADE"/>
    <w:rsid w:val="009A7E87"/>
    <w:rsid w:val="009A7F74"/>
    <w:rsid w:val="009B14C5"/>
    <w:rsid w:val="009B20E7"/>
    <w:rsid w:val="009B2566"/>
    <w:rsid w:val="009B31D1"/>
    <w:rsid w:val="009B3DD5"/>
    <w:rsid w:val="009B424F"/>
    <w:rsid w:val="009B58FB"/>
    <w:rsid w:val="009B5D9B"/>
    <w:rsid w:val="009B67EE"/>
    <w:rsid w:val="009B6A5B"/>
    <w:rsid w:val="009B7346"/>
    <w:rsid w:val="009B767B"/>
    <w:rsid w:val="009C0076"/>
    <w:rsid w:val="009C0454"/>
    <w:rsid w:val="009C17DD"/>
    <w:rsid w:val="009C1BF4"/>
    <w:rsid w:val="009C242B"/>
    <w:rsid w:val="009C332F"/>
    <w:rsid w:val="009C38C0"/>
    <w:rsid w:val="009C3D68"/>
    <w:rsid w:val="009C3FBF"/>
    <w:rsid w:val="009C3FFA"/>
    <w:rsid w:val="009C426C"/>
    <w:rsid w:val="009C4643"/>
    <w:rsid w:val="009C57F5"/>
    <w:rsid w:val="009C5F7C"/>
    <w:rsid w:val="009C77EB"/>
    <w:rsid w:val="009D0047"/>
    <w:rsid w:val="009D185F"/>
    <w:rsid w:val="009D268B"/>
    <w:rsid w:val="009D3CA1"/>
    <w:rsid w:val="009D3E4A"/>
    <w:rsid w:val="009D437C"/>
    <w:rsid w:val="009D4526"/>
    <w:rsid w:val="009D54EF"/>
    <w:rsid w:val="009D5754"/>
    <w:rsid w:val="009D6563"/>
    <w:rsid w:val="009D6C4C"/>
    <w:rsid w:val="009D7B68"/>
    <w:rsid w:val="009E0D8C"/>
    <w:rsid w:val="009E1D22"/>
    <w:rsid w:val="009E2B76"/>
    <w:rsid w:val="009E3B28"/>
    <w:rsid w:val="009E4426"/>
    <w:rsid w:val="009E4748"/>
    <w:rsid w:val="009E5421"/>
    <w:rsid w:val="009E5E18"/>
    <w:rsid w:val="009E761C"/>
    <w:rsid w:val="009E7B4D"/>
    <w:rsid w:val="009F024C"/>
    <w:rsid w:val="009F0CE2"/>
    <w:rsid w:val="009F1D01"/>
    <w:rsid w:val="009F2887"/>
    <w:rsid w:val="009F4C66"/>
    <w:rsid w:val="009F520F"/>
    <w:rsid w:val="009F578E"/>
    <w:rsid w:val="009F6146"/>
    <w:rsid w:val="009F6805"/>
    <w:rsid w:val="009F6B12"/>
    <w:rsid w:val="009F7A1E"/>
    <w:rsid w:val="00A00167"/>
    <w:rsid w:val="00A01067"/>
    <w:rsid w:val="00A0347C"/>
    <w:rsid w:val="00A036A4"/>
    <w:rsid w:val="00A05E9A"/>
    <w:rsid w:val="00A05F61"/>
    <w:rsid w:val="00A0640D"/>
    <w:rsid w:val="00A065EA"/>
    <w:rsid w:val="00A06BC8"/>
    <w:rsid w:val="00A07DFE"/>
    <w:rsid w:val="00A11F41"/>
    <w:rsid w:val="00A13D3B"/>
    <w:rsid w:val="00A14939"/>
    <w:rsid w:val="00A21043"/>
    <w:rsid w:val="00A21305"/>
    <w:rsid w:val="00A226ED"/>
    <w:rsid w:val="00A23570"/>
    <w:rsid w:val="00A23706"/>
    <w:rsid w:val="00A23B6D"/>
    <w:rsid w:val="00A2508A"/>
    <w:rsid w:val="00A25820"/>
    <w:rsid w:val="00A260B0"/>
    <w:rsid w:val="00A26918"/>
    <w:rsid w:val="00A26D82"/>
    <w:rsid w:val="00A26D85"/>
    <w:rsid w:val="00A27FF0"/>
    <w:rsid w:val="00A3067E"/>
    <w:rsid w:val="00A30932"/>
    <w:rsid w:val="00A30B8C"/>
    <w:rsid w:val="00A31068"/>
    <w:rsid w:val="00A316FB"/>
    <w:rsid w:val="00A32289"/>
    <w:rsid w:val="00A3349B"/>
    <w:rsid w:val="00A34196"/>
    <w:rsid w:val="00A34D8D"/>
    <w:rsid w:val="00A350CD"/>
    <w:rsid w:val="00A36681"/>
    <w:rsid w:val="00A36AFC"/>
    <w:rsid w:val="00A40310"/>
    <w:rsid w:val="00A40700"/>
    <w:rsid w:val="00A426C3"/>
    <w:rsid w:val="00A42B5D"/>
    <w:rsid w:val="00A430FD"/>
    <w:rsid w:val="00A4440C"/>
    <w:rsid w:val="00A44DEE"/>
    <w:rsid w:val="00A455C7"/>
    <w:rsid w:val="00A456F4"/>
    <w:rsid w:val="00A461B5"/>
    <w:rsid w:val="00A464FA"/>
    <w:rsid w:val="00A47BFB"/>
    <w:rsid w:val="00A47F61"/>
    <w:rsid w:val="00A50299"/>
    <w:rsid w:val="00A50369"/>
    <w:rsid w:val="00A512EB"/>
    <w:rsid w:val="00A523F9"/>
    <w:rsid w:val="00A5358E"/>
    <w:rsid w:val="00A53CF1"/>
    <w:rsid w:val="00A5423F"/>
    <w:rsid w:val="00A54AF2"/>
    <w:rsid w:val="00A54C34"/>
    <w:rsid w:val="00A5552C"/>
    <w:rsid w:val="00A55530"/>
    <w:rsid w:val="00A56170"/>
    <w:rsid w:val="00A5785C"/>
    <w:rsid w:val="00A60ECF"/>
    <w:rsid w:val="00A624B6"/>
    <w:rsid w:val="00A62C92"/>
    <w:rsid w:val="00A63223"/>
    <w:rsid w:val="00A639A3"/>
    <w:rsid w:val="00A63E3B"/>
    <w:rsid w:val="00A64F2B"/>
    <w:rsid w:val="00A652F0"/>
    <w:rsid w:val="00A664BE"/>
    <w:rsid w:val="00A67BA1"/>
    <w:rsid w:val="00A67CD4"/>
    <w:rsid w:val="00A67D54"/>
    <w:rsid w:val="00A71157"/>
    <w:rsid w:val="00A71251"/>
    <w:rsid w:val="00A72D9E"/>
    <w:rsid w:val="00A74556"/>
    <w:rsid w:val="00A7468B"/>
    <w:rsid w:val="00A762FC"/>
    <w:rsid w:val="00A76AC8"/>
    <w:rsid w:val="00A77007"/>
    <w:rsid w:val="00A773CC"/>
    <w:rsid w:val="00A774E9"/>
    <w:rsid w:val="00A77DA2"/>
    <w:rsid w:val="00A80561"/>
    <w:rsid w:val="00A82C30"/>
    <w:rsid w:val="00A83E3B"/>
    <w:rsid w:val="00A85244"/>
    <w:rsid w:val="00A85419"/>
    <w:rsid w:val="00A85F77"/>
    <w:rsid w:val="00A866E7"/>
    <w:rsid w:val="00A86803"/>
    <w:rsid w:val="00A86BD1"/>
    <w:rsid w:val="00A90536"/>
    <w:rsid w:val="00A9130E"/>
    <w:rsid w:val="00A91880"/>
    <w:rsid w:val="00A92466"/>
    <w:rsid w:val="00A939F0"/>
    <w:rsid w:val="00A93FA3"/>
    <w:rsid w:val="00A942CF"/>
    <w:rsid w:val="00A94E0C"/>
    <w:rsid w:val="00A96501"/>
    <w:rsid w:val="00AA0461"/>
    <w:rsid w:val="00AA056C"/>
    <w:rsid w:val="00AA0C91"/>
    <w:rsid w:val="00AA1501"/>
    <w:rsid w:val="00AA3BA2"/>
    <w:rsid w:val="00AA415A"/>
    <w:rsid w:val="00AA5983"/>
    <w:rsid w:val="00AA601C"/>
    <w:rsid w:val="00AB0DFF"/>
    <w:rsid w:val="00AB174E"/>
    <w:rsid w:val="00AB1F19"/>
    <w:rsid w:val="00AB3B12"/>
    <w:rsid w:val="00AB3DAA"/>
    <w:rsid w:val="00AB41D6"/>
    <w:rsid w:val="00AB65D7"/>
    <w:rsid w:val="00AB68D4"/>
    <w:rsid w:val="00AB6938"/>
    <w:rsid w:val="00AB7B1D"/>
    <w:rsid w:val="00AC0082"/>
    <w:rsid w:val="00AC0324"/>
    <w:rsid w:val="00AC145C"/>
    <w:rsid w:val="00AC192A"/>
    <w:rsid w:val="00AC1A6C"/>
    <w:rsid w:val="00AC2CA2"/>
    <w:rsid w:val="00AC3566"/>
    <w:rsid w:val="00AC3AE2"/>
    <w:rsid w:val="00AC4878"/>
    <w:rsid w:val="00AC58CB"/>
    <w:rsid w:val="00AC5CB7"/>
    <w:rsid w:val="00AC6073"/>
    <w:rsid w:val="00AC72BE"/>
    <w:rsid w:val="00AC740B"/>
    <w:rsid w:val="00AD052A"/>
    <w:rsid w:val="00AD05F2"/>
    <w:rsid w:val="00AD192A"/>
    <w:rsid w:val="00AD226D"/>
    <w:rsid w:val="00AD3C58"/>
    <w:rsid w:val="00AD46DD"/>
    <w:rsid w:val="00AD5C28"/>
    <w:rsid w:val="00AD5C67"/>
    <w:rsid w:val="00AD6C4C"/>
    <w:rsid w:val="00AD724E"/>
    <w:rsid w:val="00AE0F49"/>
    <w:rsid w:val="00AE1FD7"/>
    <w:rsid w:val="00AE27DD"/>
    <w:rsid w:val="00AE2946"/>
    <w:rsid w:val="00AE31C3"/>
    <w:rsid w:val="00AE3332"/>
    <w:rsid w:val="00AE3C80"/>
    <w:rsid w:val="00AE3EF9"/>
    <w:rsid w:val="00AE4F97"/>
    <w:rsid w:val="00AE63D3"/>
    <w:rsid w:val="00AE6A17"/>
    <w:rsid w:val="00AE6FD4"/>
    <w:rsid w:val="00AE7FA1"/>
    <w:rsid w:val="00AF0016"/>
    <w:rsid w:val="00AF09B5"/>
    <w:rsid w:val="00AF4B3F"/>
    <w:rsid w:val="00AF4BAA"/>
    <w:rsid w:val="00AF5B39"/>
    <w:rsid w:val="00AF65BA"/>
    <w:rsid w:val="00AF68B6"/>
    <w:rsid w:val="00B0065F"/>
    <w:rsid w:val="00B00FBE"/>
    <w:rsid w:val="00B018AB"/>
    <w:rsid w:val="00B01DFD"/>
    <w:rsid w:val="00B0328E"/>
    <w:rsid w:val="00B039B2"/>
    <w:rsid w:val="00B03A11"/>
    <w:rsid w:val="00B042CF"/>
    <w:rsid w:val="00B04FC3"/>
    <w:rsid w:val="00B06175"/>
    <w:rsid w:val="00B06775"/>
    <w:rsid w:val="00B06A82"/>
    <w:rsid w:val="00B06E8D"/>
    <w:rsid w:val="00B077E6"/>
    <w:rsid w:val="00B10290"/>
    <w:rsid w:val="00B1110E"/>
    <w:rsid w:val="00B11342"/>
    <w:rsid w:val="00B11F54"/>
    <w:rsid w:val="00B12184"/>
    <w:rsid w:val="00B128E9"/>
    <w:rsid w:val="00B12E9D"/>
    <w:rsid w:val="00B13E4C"/>
    <w:rsid w:val="00B14033"/>
    <w:rsid w:val="00B148FB"/>
    <w:rsid w:val="00B14975"/>
    <w:rsid w:val="00B14BBB"/>
    <w:rsid w:val="00B151E2"/>
    <w:rsid w:val="00B161F8"/>
    <w:rsid w:val="00B169EE"/>
    <w:rsid w:val="00B1753E"/>
    <w:rsid w:val="00B2098C"/>
    <w:rsid w:val="00B20C27"/>
    <w:rsid w:val="00B2187C"/>
    <w:rsid w:val="00B218D2"/>
    <w:rsid w:val="00B223E6"/>
    <w:rsid w:val="00B22A2D"/>
    <w:rsid w:val="00B22BC6"/>
    <w:rsid w:val="00B231B6"/>
    <w:rsid w:val="00B2362C"/>
    <w:rsid w:val="00B23CF1"/>
    <w:rsid w:val="00B2522D"/>
    <w:rsid w:val="00B2540A"/>
    <w:rsid w:val="00B26D47"/>
    <w:rsid w:val="00B27251"/>
    <w:rsid w:val="00B27D08"/>
    <w:rsid w:val="00B318D9"/>
    <w:rsid w:val="00B324E4"/>
    <w:rsid w:val="00B32745"/>
    <w:rsid w:val="00B32A2D"/>
    <w:rsid w:val="00B3318F"/>
    <w:rsid w:val="00B33C77"/>
    <w:rsid w:val="00B36D63"/>
    <w:rsid w:val="00B36F8F"/>
    <w:rsid w:val="00B3735A"/>
    <w:rsid w:val="00B40083"/>
    <w:rsid w:val="00B40F92"/>
    <w:rsid w:val="00B419D1"/>
    <w:rsid w:val="00B41A53"/>
    <w:rsid w:val="00B42A08"/>
    <w:rsid w:val="00B4308B"/>
    <w:rsid w:val="00B431BF"/>
    <w:rsid w:val="00B4353D"/>
    <w:rsid w:val="00B43705"/>
    <w:rsid w:val="00B439A3"/>
    <w:rsid w:val="00B43EC0"/>
    <w:rsid w:val="00B449F0"/>
    <w:rsid w:val="00B45ABD"/>
    <w:rsid w:val="00B45B60"/>
    <w:rsid w:val="00B51732"/>
    <w:rsid w:val="00B5291B"/>
    <w:rsid w:val="00B52AA9"/>
    <w:rsid w:val="00B52B75"/>
    <w:rsid w:val="00B52E6F"/>
    <w:rsid w:val="00B54E9E"/>
    <w:rsid w:val="00B55386"/>
    <w:rsid w:val="00B55D70"/>
    <w:rsid w:val="00B57091"/>
    <w:rsid w:val="00B57898"/>
    <w:rsid w:val="00B57E7E"/>
    <w:rsid w:val="00B612FD"/>
    <w:rsid w:val="00B62AA6"/>
    <w:rsid w:val="00B62D3E"/>
    <w:rsid w:val="00B647FC"/>
    <w:rsid w:val="00B6493A"/>
    <w:rsid w:val="00B64E03"/>
    <w:rsid w:val="00B65F25"/>
    <w:rsid w:val="00B66225"/>
    <w:rsid w:val="00B6670A"/>
    <w:rsid w:val="00B669A5"/>
    <w:rsid w:val="00B66BCF"/>
    <w:rsid w:val="00B71E12"/>
    <w:rsid w:val="00B73EF1"/>
    <w:rsid w:val="00B8043F"/>
    <w:rsid w:val="00B80D9E"/>
    <w:rsid w:val="00B815E3"/>
    <w:rsid w:val="00B826B4"/>
    <w:rsid w:val="00B828A2"/>
    <w:rsid w:val="00B82EB8"/>
    <w:rsid w:val="00B83DCA"/>
    <w:rsid w:val="00B83FFC"/>
    <w:rsid w:val="00B84276"/>
    <w:rsid w:val="00B862FD"/>
    <w:rsid w:val="00B86A1C"/>
    <w:rsid w:val="00B86C42"/>
    <w:rsid w:val="00B90599"/>
    <w:rsid w:val="00B90A24"/>
    <w:rsid w:val="00B90C8D"/>
    <w:rsid w:val="00B923D3"/>
    <w:rsid w:val="00B92A03"/>
    <w:rsid w:val="00B933C6"/>
    <w:rsid w:val="00B93726"/>
    <w:rsid w:val="00B94048"/>
    <w:rsid w:val="00B95DEF"/>
    <w:rsid w:val="00B9633C"/>
    <w:rsid w:val="00B96D36"/>
    <w:rsid w:val="00BA08CF"/>
    <w:rsid w:val="00BA17F9"/>
    <w:rsid w:val="00BA20DE"/>
    <w:rsid w:val="00BA2510"/>
    <w:rsid w:val="00BA2615"/>
    <w:rsid w:val="00BA2B17"/>
    <w:rsid w:val="00BA38CA"/>
    <w:rsid w:val="00BA5048"/>
    <w:rsid w:val="00BA5982"/>
    <w:rsid w:val="00BA725F"/>
    <w:rsid w:val="00BA7F94"/>
    <w:rsid w:val="00BB1451"/>
    <w:rsid w:val="00BB2560"/>
    <w:rsid w:val="00BB3809"/>
    <w:rsid w:val="00BB3F67"/>
    <w:rsid w:val="00BB4425"/>
    <w:rsid w:val="00BB4A2D"/>
    <w:rsid w:val="00BB51F4"/>
    <w:rsid w:val="00BB6113"/>
    <w:rsid w:val="00BB73BE"/>
    <w:rsid w:val="00BB79CF"/>
    <w:rsid w:val="00BB7D65"/>
    <w:rsid w:val="00BC0BDB"/>
    <w:rsid w:val="00BC197C"/>
    <w:rsid w:val="00BC1A61"/>
    <w:rsid w:val="00BC1EC2"/>
    <w:rsid w:val="00BC2034"/>
    <w:rsid w:val="00BC20AE"/>
    <w:rsid w:val="00BC21E3"/>
    <w:rsid w:val="00BC3219"/>
    <w:rsid w:val="00BC36EC"/>
    <w:rsid w:val="00BC37DA"/>
    <w:rsid w:val="00BC3CE9"/>
    <w:rsid w:val="00BC4970"/>
    <w:rsid w:val="00BC5067"/>
    <w:rsid w:val="00BC50C0"/>
    <w:rsid w:val="00BC5819"/>
    <w:rsid w:val="00BC5B2F"/>
    <w:rsid w:val="00BC5D5F"/>
    <w:rsid w:val="00BC68C5"/>
    <w:rsid w:val="00BC6C7C"/>
    <w:rsid w:val="00BC7FD6"/>
    <w:rsid w:val="00BD234F"/>
    <w:rsid w:val="00BD480D"/>
    <w:rsid w:val="00BD50D4"/>
    <w:rsid w:val="00BD5816"/>
    <w:rsid w:val="00BD7061"/>
    <w:rsid w:val="00BD7557"/>
    <w:rsid w:val="00BE0936"/>
    <w:rsid w:val="00BE0F28"/>
    <w:rsid w:val="00BE1432"/>
    <w:rsid w:val="00BE1A4C"/>
    <w:rsid w:val="00BE2977"/>
    <w:rsid w:val="00BE2989"/>
    <w:rsid w:val="00BE48C9"/>
    <w:rsid w:val="00BE4DEF"/>
    <w:rsid w:val="00BE50D0"/>
    <w:rsid w:val="00BE6126"/>
    <w:rsid w:val="00BE6CA4"/>
    <w:rsid w:val="00BE7430"/>
    <w:rsid w:val="00BF03FD"/>
    <w:rsid w:val="00BF1249"/>
    <w:rsid w:val="00BF19E0"/>
    <w:rsid w:val="00BF2525"/>
    <w:rsid w:val="00BF266B"/>
    <w:rsid w:val="00BF2D3D"/>
    <w:rsid w:val="00BF336C"/>
    <w:rsid w:val="00BF3BD4"/>
    <w:rsid w:val="00BF3C81"/>
    <w:rsid w:val="00BF3F28"/>
    <w:rsid w:val="00BF45D5"/>
    <w:rsid w:val="00BF565B"/>
    <w:rsid w:val="00BF5D02"/>
    <w:rsid w:val="00BF6492"/>
    <w:rsid w:val="00BF6B73"/>
    <w:rsid w:val="00BF743E"/>
    <w:rsid w:val="00BF750A"/>
    <w:rsid w:val="00C004E6"/>
    <w:rsid w:val="00C017A4"/>
    <w:rsid w:val="00C01A4F"/>
    <w:rsid w:val="00C02086"/>
    <w:rsid w:val="00C026B7"/>
    <w:rsid w:val="00C02890"/>
    <w:rsid w:val="00C02EBE"/>
    <w:rsid w:val="00C031D2"/>
    <w:rsid w:val="00C031F8"/>
    <w:rsid w:val="00C05548"/>
    <w:rsid w:val="00C0632D"/>
    <w:rsid w:val="00C06734"/>
    <w:rsid w:val="00C0729E"/>
    <w:rsid w:val="00C072AE"/>
    <w:rsid w:val="00C10477"/>
    <w:rsid w:val="00C12332"/>
    <w:rsid w:val="00C12647"/>
    <w:rsid w:val="00C12C70"/>
    <w:rsid w:val="00C1333E"/>
    <w:rsid w:val="00C13E79"/>
    <w:rsid w:val="00C143F7"/>
    <w:rsid w:val="00C16E01"/>
    <w:rsid w:val="00C16E70"/>
    <w:rsid w:val="00C17B6E"/>
    <w:rsid w:val="00C2010B"/>
    <w:rsid w:val="00C207C1"/>
    <w:rsid w:val="00C2228F"/>
    <w:rsid w:val="00C23FC3"/>
    <w:rsid w:val="00C25DB7"/>
    <w:rsid w:val="00C2625C"/>
    <w:rsid w:val="00C26CCC"/>
    <w:rsid w:val="00C27435"/>
    <w:rsid w:val="00C30EC0"/>
    <w:rsid w:val="00C324DB"/>
    <w:rsid w:val="00C32B1E"/>
    <w:rsid w:val="00C346D4"/>
    <w:rsid w:val="00C35274"/>
    <w:rsid w:val="00C36298"/>
    <w:rsid w:val="00C36D1E"/>
    <w:rsid w:val="00C36ED7"/>
    <w:rsid w:val="00C37274"/>
    <w:rsid w:val="00C37465"/>
    <w:rsid w:val="00C412E7"/>
    <w:rsid w:val="00C41788"/>
    <w:rsid w:val="00C4248F"/>
    <w:rsid w:val="00C42836"/>
    <w:rsid w:val="00C440E7"/>
    <w:rsid w:val="00C441A0"/>
    <w:rsid w:val="00C44398"/>
    <w:rsid w:val="00C46F14"/>
    <w:rsid w:val="00C505F5"/>
    <w:rsid w:val="00C5223D"/>
    <w:rsid w:val="00C524CF"/>
    <w:rsid w:val="00C52B99"/>
    <w:rsid w:val="00C53F24"/>
    <w:rsid w:val="00C55813"/>
    <w:rsid w:val="00C61664"/>
    <w:rsid w:val="00C61873"/>
    <w:rsid w:val="00C621F3"/>
    <w:rsid w:val="00C630D9"/>
    <w:rsid w:val="00C63AFB"/>
    <w:rsid w:val="00C63ECC"/>
    <w:rsid w:val="00C64D1D"/>
    <w:rsid w:val="00C653A6"/>
    <w:rsid w:val="00C6605A"/>
    <w:rsid w:val="00C664A0"/>
    <w:rsid w:val="00C66D16"/>
    <w:rsid w:val="00C67A00"/>
    <w:rsid w:val="00C70B3E"/>
    <w:rsid w:val="00C70C15"/>
    <w:rsid w:val="00C71D1E"/>
    <w:rsid w:val="00C74702"/>
    <w:rsid w:val="00C74F77"/>
    <w:rsid w:val="00C7713D"/>
    <w:rsid w:val="00C77319"/>
    <w:rsid w:val="00C77697"/>
    <w:rsid w:val="00C801A7"/>
    <w:rsid w:val="00C81F67"/>
    <w:rsid w:val="00C825A5"/>
    <w:rsid w:val="00C84592"/>
    <w:rsid w:val="00C849E8"/>
    <w:rsid w:val="00C84CFD"/>
    <w:rsid w:val="00C850BF"/>
    <w:rsid w:val="00C853C4"/>
    <w:rsid w:val="00C86233"/>
    <w:rsid w:val="00C86485"/>
    <w:rsid w:val="00C87004"/>
    <w:rsid w:val="00C876E0"/>
    <w:rsid w:val="00C8777D"/>
    <w:rsid w:val="00C91A04"/>
    <w:rsid w:val="00C91E00"/>
    <w:rsid w:val="00C9217A"/>
    <w:rsid w:val="00C94186"/>
    <w:rsid w:val="00C9461F"/>
    <w:rsid w:val="00C95BE5"/>
    <w:rsid w:val="00C97D2A"/>
    <w:rsid w:val="00CA035B"/>
    <w:rsid w:val="00CA03F5"/>
    <w:rsid w:val="00CA17F8"/>
    <w:rsid w:val="00CA23D0"/>
    <w:rsid w:val="00CA261C"/>
    <w:rsid w:val="00CA3259"/>
    <w:rsid w:val="00CA4382"/>
    <w:rsid w:val="00CA4710"/>
    <w:rsid w:val="00CA476F"/>
    <w:rsid w:val="00CA4860"/>
    <w:rsid w:val="00CA4D37"/>
    <w:rsid w:val="00CA5F9C"/>
    <w:rsid w:val="00CA6A97"/>
    <w:rsid w:val="00CA72A9"/>
    <w:rsid w:val="00CA74FB"/>
    <w:rsid w:val="00CA7E28"/>
    <w:rsid w:val="00CB3A6F"/>
    <w:rsid w:val="00CB43AC"/>
    <w:rsid w:val="00CB5227"/>
    <w:rsid w:val="00CB59BA"/>
    <w:rsid w:val="00CB63E7"/>
    <w:rsid w:val="00CB7B9D"/>
    <w:rsid w:val="00CB7BD6"/>
    <w:rsid w:val="00CC1F76"/>
    <w:rsid w:val="00CC2005"/>
    <w:rsid w:val="00CC3649"/>
    <w:rsid w:val="00CC3B9C"/>
    <w:rsid w:val="00CC43CF"/>
    <w:rsid w:val="00CC4583"/>
    <w:rsid w:val="00CC5AA3"/>
    <w:rsid w:val="00CC5D3A"/>
    <w:rsid w:val="00CC65D4"/>
    <w:rsid w:val="00CC6BE1"/>
    <w:rsid w:val="00CC6F81"/>
    <w:rsid w:val="00CC7173"/>
    <w:rsid w:val="00CC7B5B"/>
    <w:rsid w:val="00CC7BA0"/>
    <w:rsid w:val="00CD1111"/>
    <w:rsid w:val="00CD1641"/>
    <w:rsid w:val="00CD356C"/>
    <w:rsid w:val="00CD39D3"/>
    <w:rsid w:val="00CD3DA5"/>
    <w:rsid w:val="00CD5563"/>
    <w:rsid w:val="00CD5DCB"/>
    <w:rsid w:val="00CD5E56"/>
    <w:rsid w:val="00CE073E"/>
    <w:rsid w:val="00CE2296"/>
    <w:rsid w:val="00CE23A1"/>
    <w:rsid w:val="00CE414C"/>
    <w:rsid w:val="00CE4785"/>
    <w:rsid w:val="00CE4BD3"/>
    <w:rsid w:val="00CE6B04"/>
    <w:rsid w:val="00CE7196"/>
    <w:rsid w:val="00CF064A"/>
    <w:rsid w:val="00CF228A"/>
    <w:rsid w:val="00CF2F2B"/>
    <w:rsid w:val="00CF3DAB"/>
    <w:rsid w:val="00CF4EE9"/>
    <w:rsid w:val="00CF5B6F"/>
    <w:rsid w:val="00CF5E63"/>
    <w:rsid w:val="00CF698F"/>
    <w:rsid w:val="00D0022B"/>
    <w:rsid w:val="00D00FED"/>
    <w:rsid w:val="00D01CE9"/>
    <w:rsid w:val="00D01EBB"/>
    <w:rsid w:val="00D024CC"/>
    <w:rsid w:val="00D026F0"/>
    <w:rsid w:val="00D027DC"/>
    <w:rsid w:val="00D02D42"/>
    <w:rsid w:val="00D03ED2"/>
    <w:rsid w:val="00D051F0"/>
    <w:rsid w:val="00D0524B"/>
    <w:rsid w:val="00D05E38"/>
    <w:rsid w:val="00D064A3"/>
    <w:rsid w:val="00D06A81"/>
    <w:rsid w:val="00D1100D"/>
    <w:rsid w:val="00D118A2"/>
    <w:rsid w:val="00D123E8"/>
    <w:rsid w:val="00D12B31"/>
    <w:rsid w:val="00D1384A"/>
    <w:rsid w:val="00D141C0"/>
    <w:rsid w:val="00D14427"/>
    <w:rsid w:val="00D153FE"/>
    <w:rsid w:val="00D178B8"/>
    <w:rsid w:val="00D17B37"/>
    <w:rsid w:val="00D2000E"/>
    <w:rsid w:val="00D22153"/>
    <w:rsid w:val="00D228BF"/>
    <w:rsid w:val="00D22F4B"/>
    <w:rsid w:val="00D2300C"/>
    <w:rsid w:val="00D2408F"/>
    <w:rsid w:val="00D243FD"/>
    <w:rsid w:val="00D24B6D"/>
    <w:rsid w:val="00D251A6"/>
    <w:rsid w:val="00D2709E"/>
    <w:rsid w:val="00D27E64"/>
    <w:rsid w:val="00D27F85"/>
    <w:rsid w:val="00D30A98"/>
    <w:rsid w:val="00D3454E"/>
    <w:rsid w:val="00D34895"/>
    <w:rsid w:val="00D35452"/>
    <w:rsid w:val="00D3567E"/>
    <w:rsid w:val="00D3672B"/>
    <w:rsid w:val="00D36A50"/>
    <w:rsid w:val="00D377F3"/>
    <w:rsid w:val="00D402D8"/>
    <w:rsid w:val="00D404FF"/>
    <w:rsid w:val="00D406FA"/>
    <w:rsid w:val="00D43385"/>
    <w:rsid w:val="00D437B5"/>
    <w:rsid w:val="00D43881"/>
    <w:rsid w:val="00D44802"/>
    <w:rsid w:val="00D4589E"/>
    <w:rsid w:val="00D4608B"/>
    <w:rsid w:val="00D4624D"/>
    <w:rsid w:val="00D46C20"/>
    <w:rsid w:val="00D4737B"/>
    <w:rsid w:val="00D47772"/>
    <w:rsid w:val="00D5003F"/>
    <w:rsid w:val="00D50655"/>
    <w:rsid w:val="00D51C2D"/>
    <w:rsid w:val="00D522A8"/>
    <w:rsid w:val="00D53C52"/>
    <w:rsid w:val="00D5559A"/>
    <w:rsid w:val="00D562A1"/>
    <w:rsid w:val="00D5643B"/>
    <w:rsid w:val="00D56A18"/>
    <w:rsid w:val="00D570B8"/>
    <w:rsid w:val="00D57A3B"/>
    <w:rsid w:val="00D61212"/>
    <w:rsid w:val="00D62072"/>
    <w:rsid w:val="00D630FD"/>
    <w:rsid w:val="00D63B1F"/>
    <w:rsid w:val="00D64189"/>
    <w:rsid w:val="00D66D7E"/>
    <w:rsid w:val="00D70EC2"/>
    <w:rsid w:val="00D70FA7"/>
    <w:rsid w:val="00D70FDE"/>
    <w:rsid w:val="00D711BC"/>
    <w:rsid w:val="00D71335"/>
    <w:rsid w:val="00D71523"/>
    <w:rsid w:val="00D72580"/>
    <w:rsid w:val="00D72E98"/>
    <w:rsid w:val="00D734F0"/>
    <w:rsid w:val="00D73E94"/>
    <w:rsid w:val="00D73FF3"/>
    <w:rsid w:val="00D75349"/>
    <w:rsid w:val="00D75855"/>
    <w:rsid w:val="00D77ACD"/>
    <w:rsid w:val="00D77D1C"/>
    <w:rsid w:val="00D804EA"/>
    <w:rsid w:val="00D818AB"/>
    <w:rsid w:val="00D822A7"/>
    <w:rsid w:val="00D827E6"/>
    <w:rsid w:val="00D840F9"/>
    <w:rsid w:val="00D84DBB"/>
    <w:rsid w:val="00D86500"/>
    <w:rsid w:val="00D86F34"/>
    <w:rsid w:val="00D92449"/>
    <w:rsid w:val="00D94498"/>
    <w:rsid w:val="00D951E4"/>
    <w:rsid w:val="00D9625B"/>
    <w:rsid w:val="00D97187"/>
    <w:rsid w:val="00DA1412"/>
    <w:rsid w:val="00DA15DE"/>
    <w:rsid w:val="00DA2237"/>
    <w:rsid w:val="00DA2706"/>
    <w:rsid w:val="00DA618F"/>
    <w:rsid w:val="00DA692F"/>
    <w:rsid w:val="00DA7849"/>
    <w:rsid w:val="00DB0177"/>
    <w:rsid w:val="00DB0276"/>
    <w:rsid w:val="00DB2049"/>
    <w:rsid w:val="00DB2079"/>
    <w:rsid w:val="00DB224E"/>
    <w:rsid w:val="00DB4E51"/>
    <w:rsid w:val="00DB5207"/>
    <w:rsid w:val="00DB57FA"/>
    <w:rsid w:val="00DB7F89"/>
    <w:rsid w:val="00DC1BB2"/>
    <w:rsid w:val="00DC2361"/>
    <w:rsid w:val="00DC608F"/>
    <w:rsid w:val="00DC6318"/>
    <w:rsid w:val="00DC76EB"/>
    <w:rsid w:val="00DD18AD"/>
    <w:rsid w:val="00DD2A3A"/>
    <w:rsid w:val="00DD2FB8"/>
    <w:rsid w:val="00DD30C1"/>
    <w:rsid w:val="00DD3F2A"/>
    <w:rsid w:val="00DD40BF"/>
    <w:rsid w:val="00DD490E"/>
    <w:rsid w:val="00DD5017"/>
    <w:rsid w:val="00DD6C3A"/>
    <w:rsid w:val="00DE03C6"/>
    <w:rsid w:val="00DE1705"/>
    <w:rsid w:val="00DE2CB0"/>
    <w:rsid w:val="00DE2E74"/>
    <w:rsid w:val="00DE37D6"/>
    <w:rsid w:val="00DE49B2"/>
    <w:rsid w:val="00DE54D4"/>
    <w:rsid w:val="00DE5AD4"/>
    <w:rsid w:val="00DE5DCE"/>
    <w:rsid w:val="00DE62ED"/>
    <w:rsid w:val="00DE6AB3"/>
    <w:rsid w:val="00DE7BE2"/>
    <w:rsid w:val="00DF00B5"/>
    <w:rsid w:val="00DF0A35"/>
    <w:rsid w:val="00DF0A85"/>
    <w:rsid w:val="00DF42ED"/>
    <w:rsid w:val="00DF4E58"/>
    <w:rsid w:val="00DF4FEB"/>
    <w:rsid w:val="00DF5533"/>
    <w:rsid w:val="00DF56E3"/>
    <w:rsid w:val="00DF59FF"/>
    <w:rsid w:val="00DF5A90"/>
    <w:rsid w:val="00DF7089"/>
    <w:rsid w:val="00DF728F"/>
    <w:rsid w:val="00DF7C52"/>
    <w:rsid w:val="00E0019A"/>
    <w:rsid w:val="00E03949"/>
    <w:rsid w:val="00E04AE6"/>
    <w:rsid w:val="00E0514C"/>
    <w:rsid w:val="00E05827"/>
    <w:rsid w:val="00E07061"/>
    <w:rsid w:val="00E07811"/>
    <w:rsid w:val="00E07A49"/>
    <w:rsid w:val="00E07AF1"/>
    <w:rsid w:val="00E10213"/>
    <w:rsid w:val="00E1166D"/>
    <w:rsid w:val="00E118D2"/>
    <w:rsid w:val="00E1228A"/>
    <w:rsid w:val="00E1270D"/>
    <w:rsid w:val="00E140DB"/>
    <w:rsid w:val="00E141CC"/>
    <w:rsid w:val="00E14C26"/>
    <w:rsid w:val="00E14D5A"/>
    <w:rsid w:val="00E1564B"/>
    <w:rsid w:val="00E17C4B"/>
    <w:rsid w:val="00E210A4"/>
    <w:rsid w:val="00E2202F"/>
    <w:rsid w:val="00E2241D"/>
    <w:rsid w:val="00E23C21"/>
    <w:rsid w:val="00E24184"/>
    <w:rsid w:val="00E26CC5"/>
    <w:rsid w:val="00E30560"/>
    <w:rsid w:val="00E30720"/>
    <w:rsid w:val="00E30D31"/>
    <w:rsid w:val="00E30EC3"/>
    <w:rsid w:val="00E320DD"/>
    <w:rsid w:val="00E3229F"/>
    <w:rsid w:val="00E33179"/>
    <w:rsid w:val="00E33555"/>
    <w:rsid w:val="00E338A7"/>
    <w:rsid w:val="00E33963"/>
    <w:rsid w:val="00E33C56"/>
    <w:rsid w:val="00E346CF"/>
    <w:rsid w:val="00E34860"/>
    <w:rsid w:val="00E34A16"/>
    <w:rsid w:val="00E36BBA"/>
    <w:rsid w:val="00E4293A"/>
    <w:rsid w:val="00E42E63"/>
    <w:rsid w:val="00E4396A"/>
    <w:rsid w:val="00E45E48"/>
    <w:rsid w:val="00E46EF7"/>
    <w:rsid w:val="00E47A7A"/>
    <w:rsid w:val="00E47C39"/>
    <w:rsid w:val="00E518AE"/>
    <w:rsid w:val="00E525B1"/>
    <w:rsid w:val="00E533F3"/>
    <w:rsid w:val="00E54134"/>
    <w:rsid w:val="00E5620B"/>
    <w:rsid w:val="00E60591"/>
    <w:rsid w:val="00E613B2"/>
    <w:rsid w:val="00E61E91"/>
    <w:rsid w:val="00E62602"/>
    <w:rsid w:val="00E630AD"/>
    <w:rsid w:val="00E64429"/>
    <w:rsid w:val="00E645E7"/>
    <w:rsid w:val="00E65720"/>
    <w:rsid w:val="00E65B46"/>
    <w:rsid w:val="00E65DCE"/>
    <w:rsid w:val="00E65E2D"/>
    <w:rsid w:val="00E66347"/>
    <w:rsid w:val="00E6738D"/>
    <w:rsid w:val="00E70013"/>
    <w:rsid w:val="00E70FA7"/>
    <w:rsid w:val="00E715BC"/>
    <w:rsid w:val="00E71B77"/>
    <w:rsid w:val="00E7221B"/>
    <w:rsid w:val="00E72592"/>
    <w:rsid w:val="00E725E3"/>
    <w:rsid w:val="00E728FE"/>
    <w:rsid w:val="00E735C4"/>
    <w:rsid w:val="00E73AAE"/>
    <w:rsid w:val="00E7485A"/>
    <w:rsid w:val="00E74D76"/>
    <w:rsid w:val="00E75140"/>
    <w:rsid w:val="00E752F1"/>
    <w:rsid w:val="00E75DEF"/>
    <w:rsid w:val="00E760B8"/>
    <w:rsid w:val="00E775E8"/>
    <w:rsid w:val="00E77D39"/>
    <w:rsid w:val="00E77EE2"/>
    <w:rsid w:val="00E818D7"/>
    <w:rsid w:val="00E82BA4"/>
    <w:rsid w:val="00E83BF1"/>
    <w:rsid w:val="00E83D24"/>
    <w:rsid w:val="00E849DA"/>
    <w:rsid w:val="00E8538A"/>
    <w:rsid w:val="00E85C12"/>
    <w:rsid w:val="00E9259A"/>
    <w:rsid w:val="00E93D7A"/>
    <w:rsid w:val="00E94147"/>
    <w:rsid w:val="00E9423E"/>
    <w:rsid w:val="00E9534F"/>
    <w:rsid w:val="00E9540B"/>
    <w:rsid w:val="00E95905"/>
    <w:rsid w:val="00E95920"/>
    <w:rsid w:val="00E96383"/>
    <w:rsid w:val="00E96820"/>
    <w:rsid w:val="00E96E6B"/>
    <w:rsid w:val="00E97569"/>
    <w:rsid w:val="00E97FA7"/>
    <w:rsid w:val="00EA0761"/>
    <w:rsid w:val="00EA0798"/>
    <w:rsid w:val="00EA0A9B"/>
    <w:rsid w:val="00EA0B40"/>
    <w:rsid w:val="00EA1A30"/>
    <w:rsid w:val="00EA1B2B"/>
    <w:rsid w:val="00EA216A"/>
    <w:rsid w:val="00EA22ED"/>
    <w:rsid w:val="00EA2AF7"/>
    <w:rsid w:val="00EA3529"/>
    <w:rsid w:val="00EA4582"/>
    <w:rsid w:val="00EA4F29"/>
    <w:rsid w:val="00EA5038"/>
    <w:rsid w:val="00EA7690"/>
    <w:rsid w:val="00EA7926"/>
    <w:rsid w:val="00EB0551"/>
    <w:rsid w:val="00EB0ABB"/>
    <w:rsid w:val="00EB0C11"/>
    <w:rsid w:val="00EB2630"/>
    <w:rsid w:val="00EB33B8"/>
    <w:rsid w:val="00EB34D7"/>
    <w:rsid w:val="00EB4575"/>
    <w:rsid w:val="00EB47A6"/>
    <w:rsid w:val="00EB532D"/>
    <w:rsid w:val="00EB5D49"/>
    <w:rsid w:val="00EB67A1"/>
    <w:rsid w:val="00EB6C5C"/>
    <w:rsid w:val="00EB6CA2"/>
    <w:rsid w:val="00EB7124"/>
    <w:rsid w:val="00EB7A25"/>
    <w:rsid w:val="00EC1B8B"/>
    <w:rsid w:val="00EC3F09"/>
    <w:rsid w:val="00EC44BD"/>
    <w:rsid w:val="00EC4DD6"/>
    <w:rsid w:val="00EC57A9"/>
    <w:rsid w:val="00EC5841"/>
    <w:rsid w:val="00EC637F"/>
    <w:rsid w:val="00EC78A9"/>
    <w:rsid w:val="00EC78F7"/>
    <w:rsid w:val="00EC7CA2"/>
    <w:rsid w:val="00ED057E"/>
    <w:rsid w:val="00ED2CA5"/>
    <w:rsid w:val="00ED49AE"/>
    <w:rsid w:val="00ED4A28"/>
    <w:rsid w:val="00ED592C"/>
    <w:rsid w:val="00ED605B"/>
    <w:rsid w:val="00EE113A"/>
    <w:rsid w:val="00EE1E50"/>
    <w:rsid w:val="00EE221C"/>
    <w:rsid w:val="00EE2ECC"/>
    <w:rsid w:val="00EE4784"/>
    <w:rsid w:val="00EE4B2D"/>
    <w:rsid w:val="00EE77DC"/>
    <w:rsid w:val="00EF10D2"/>
    <w:rsid w:val="00EF201D"/>
    <w:rsid w:val="00EF2975"/>
    <w:rsid w:val="00EF4656"/>
    <w:rsid w:val="00EF4D38"/>
    <w:rsid w:val="00EF5E3C"/>
    <w:rsid w:val="00EF6D4F"/>
    <w:rsid w:val="00EF704E"/>
    <w:rsid w:val="00EF7F58"/>
    <w:rsid w:val="00F002A0"/>
    <w:rsid w:val="00F008E4"/>
    <w:rsid w:val="00F00E09"/>
    <w:rsid w:val="00F044E8"/>
    <w:rsid w:val="00F0576F"/>
    <w:rsid w:val="00F06648"/>
    <w:rsid w:val="00F06EAF"/>
    <w:rsid w:val="00F105E5"/>
    <w:rsid w:val="00F10BA7"/>
    <w:rsid w:val="00F10DAC"/>
    <w:rsid w:val="00F11974"/>
    <w:rsid w:val="00F12677"/>
    <w:rsid w:val="00F12794"/>
    <w:rsid w:val="00F127EB"/>
    <w:rsid w:val="00F13ABD"/>
    <w:rsid w:val="00F1415E"/>
    <w:rsid w:val="00F14B5D"/>
    <w:rsid w:val="00F15B59"/>
    <w:rsid w:val="00F1714C"/>
    <w:rsid w:val="00F179D4"/>
    <w:rsid w:val="00F202A1"/>
    <w:rsid w:val="00F20396"/>
    <w:rsid w:val="00F2058F"/>
    <w:rsid w:val="00F20838"/>
    <w:rsid w:val="00F2263F"/>
    <w:rsid w:val="00F22C2D"/>
    <w:rsid w:val="00F27729"/>
    <w:rsid w:val="00F310C3"/>
    <w:rsid w:val="00F31101"/>
    <w:rsid w:val="00F31C9F"/>
    <w:rsid w:val="00F327E3"/>
    <w:rsid w:val="00F32C43"/>
    <w:rsid w:val="00F33406"/>
    <w:rsid w:val="00F33F5B"/>
    <w:rsid w:val="00F3432A"/>
    <w:rsid w:val="00F3459F"/>
    <w:rsid w:val="00F3476E"/>
    <w:rsid w:val="00F348EB"/>
    <w:rsid w:val="00F34D7C"/>
    <w:rsid w:val="00F357A3"/>
    <w:rsid w:val="00F35C59"/>
    <w:rsid w:val="00F36DE0"/>
    <w:rsid w:val="00F37FB5"/>
    <w:rsid w:val="00F40F11"/>
    <w:rsid w:val="00F42356"/>
    <w:rsid w:val="00F42F4E"/>
    <w:rsid w:val="00F42FB7"/>
    <w:rsid w:val="00F458D7"/>
    <w:rsid w:val="00F46D99"/>
    <w:rsid w:val="00F471C2"/>
    <w:rsid w:val="00F50129"/>
    <w:rsid w:val="00F5046E"/>
    <w:rsid w:val="00F50EC8"/>
    <w:rsid w:val="00F512CF"/>
    <w:rsid w:val="00F51F75"/>
    <w:rsid w:val="00F525B1"/>
    <w:rsid w:val="00F52D4C"/>
    <w:rsid w:val="00F53EC7"/>
    <w:rsid w:val="00F54787"/>
    <w:rsid w:val="00F55F51"/>
    <w:rsid w:val="00F56951"/>
    <w:rsid w:val="00F57FB1"/>
    <w:rsid w:val="00F60F63"/>
    <w:rsid w:val="00F61580"/>
    <w:rsid w:val="00F62DC0"/>
    <w:rsid w:val="00F63291"/>
    <w:rsid w:val="00F63ABD"/>
    <w:rsid w:val="00F70AE4"/>
    <w:rsid w:val="00F70DB9"/>
    <w:rsid w:val="00F70F42"/>
    <w:rsid w:val="00F71651"/>
    <w:rsid w:val="00F7172F"/>
    <w:rsid w:val="00F71FD6"/>
    <w:rsid w:val="00F72EEE"/>
    <w:rsid w:val="00F735E2"/>
    <w:rsid w:val="00F74D4E"/>
    <w:rsid w:val="00F74FAF"/>
    <w:rsid w:val="00F754E5"/>
    <w:rsid w:val="00F7571A"/>
    <w:rsid w:val="00F76706"/>
    <w:rsid w:val="00F771A5"/>
    <w:rsid w:val="00F777FC"/>
    <w:rsid w:val="00F77B34"/>
    <w:rsid w:val="00F77DDE"/>
    <w:rsid w:val="00F77F13"/>
    <w:rsid w:val="00F80571"/>
    <w:rsid w:val="00F80634"/>
    <w:rsid w:val="00F81034"/>
    <w:rsid w:val="00F8130E"/>
    <w:rsid w:val="00F81E12"/>
    <w:rsid w:val="00F8312B"/>
    <w:rsid w:val="00F8463A"/>
    <w:rsid w:val="00F84A69"/>
    <w:rsid w:val="00F8553F"/>
    <w:rsid w:val="00F85638"/>
    <w:rsid w:val="00F8565F"/>
    <w:rsid w:val="00F85CC7"/>
    <w:rsid w:val="00F861C6"/>
    <w:rsid w:val="00F86BCE"/>
    <w:rsid w:val="00F86CA8"/>
    <w:rsid w:val="00F8700E"/>
    <w:rsid w:val="00F87417"/>
    <w:rsid w:val="00F9019A"/>
    <w:rsid w:val="00F903F2"/>
    <w:rsid w:val="00F941E3"/>
    <w:rsid w:val="00F942C8"/>
    <w:rsid w:val="00F957E7"/>
    <w:rsid w:val="00F96B19"/>
    <w:rsid w:val="00F97D6B"/>
    <w:rsid w:val="00FA0723"/>
    <w:rsid w:val="00FA32BB"/>
    <w:rsid w:val="00FA393E"/>
    <w:rsid w:val="00FA3C03"/>
    <w:rsid w:val="00FA3D80"/>
    <w:rsid w:val="00FA52ED"/>
    <w:rsid w:val="00FA552F"/>
    <w:rsid w:val="00FA58D5"/>
    <w:rsid w:val="00FA5BCC"/>
    <w:rsid w:val="00FA606B"/>
    <w:rsid w:val="00FA6954"/>
    <w:rsid w:val="00FA7627"/>
    <w:rsid w:val="00FB0527"/>
    <w:rsid w:val="00FB2F91"/>
    <w:rsid w:val="00FB67E1"/>
    <w:rsid w:val="00FB7439"/>
    <w:rsid w:val="00FB7BD2"/>
    <w:rsid w:val="00FC0830"/>
    <w:rsid w:val="00FC0B65"/>
    <w:rsid w:val="00FC2A44"/>
    <w:rsid w:val="00FC2F8F"/>
    <w:rsid w:val="00FC2FB7"/>
    <w:rsid w:val="00FC3C42"/>
    <w:rsid w:val="00FC445E"/>
    <w:rsid w:val="00FC44EB"/>
    <w:rsid w:val="00FC4634"/>
    <w:rsid w:val="00FC49CC"/>
    <w:rsid w:val="00FC5290"/>
    <w:rsid w:val="00FC593F"/>
    <w:rsid w:val="00FC5E8F"/>
    <w:rsid w:val="00FC7B4D"/>
    <w:rsid w:val="00FD00D2"/>
    <w:rsid w:val="00FD00E7"/>
    <w:rsid w:val="00FD0E5B"/>
    <w:rsid w:val="00FD12D2"/>
    <w:rsid w:val="00FD217C"/>
    <w:rsid w:val="00FD285D"/>
    <w:rsid w:val="00FD36B5"/>
    <w:rsid w:val="00FD3EF2"/>
    <w:rsid w:val="00FD40CF"/>
    <w:rsid w:val="00FD71B2"/>
    <w:rsid w:val="00FD7D4E"/>
    <w:rsid w:val="00FE1FEC"/>
    <w:rsid w:val="00FE3402"/>
    <w:rsid w:val="00FE37E2"/>
    <w:rsid w:val="00FE3951"/>
    <w:rsid w:val="00FE39E4"/>
    <w:rsid w:val="00FE56DC"/>
    <w:rsid w:val="00FE7097"/>
    <w:rsid w:val="00FF0C87"/>
    <w:rsid w:val="00FF0CBE"/>
    <w:rsid w:val="00FF0D38"/>
    <w:rsid w:val="00FF0E12"/>
    <w:rsid w:val="00FF169A"/>
    <w:rsid w:val="00FF171B"/>
    <w:rsid w:val="00FF418E"/>
    <w:rsid w:val="00FF4EAA"/>
    <w:rsid w:val="00FF5375"/>
    <w:rsid w:val="00FF7BBB"/>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14:docId w14:val="5114AF02"/>
  <w15:docId w15:val="{D40CE964-0310-4BB9-9ED6-EB7E4C6F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AC8"/>
    <w:pPr>
      <w:spacing w:after="0" w:line="300" w:lineRule="auto"/>
      <w:jc w:val="both"/>
    </w:pPr>
    <w:rPr>
      <w:rFonts w:ascii="Times New Roman" w:hAnsi="Times New Roman"/>
      <w:sz w:val="24"/>
    </w:rPr>
  </w:style>
  <w:style w:type="paragraph" w:styleId="Heading1">
    <w:name w:val="heading 1"/>
    <w:basedOn w:val="Normal"/>
    <w:next w:val="Normal"/>
    <w:link w:val="Heading1Char"/>
    <w:uiPriority w:val="99"/>
    <w:qFormat/>
    <w:rsid w:val="00D05E38"/>
    <w:pPr>
      <w:keepNext/>
      <w:keepLines/>
      <w:numPr>
        <w:numId w:val="4"/>
      </w:numPr>
      <w:spacing w:before="480" w:line="276" w:lineRule="auto"/>
      <w:outlineLvl w:val="0"/>
    </w:pPr>
    <w:rPr>
      <w:rFonts w:eastAsiaTheme="majorEastAsia" w:cstheme="majorBidi"/>
      <w:b/>
      <w:bCs/>
      <w:caps/>
      <w:szCs w:val="28"/>
    </w:rPr>
  </w:style>
  <w:style w:type="paragraph" w:styleId="Heading2">
    <w:name w:val="heading 2"/>
    <w:basedOn w:val="Normal"/>
    <w:next w:val="Normal"/>
    <w:link w:val="Heading2Char"/>
    <w:uiPriority w:val="99"/>
    <w:unhideWhenUsed/>
    <w:qFormat/>
    <w:rsid w:val="00D05E38"/>
    <w:pPr>
      <w:keepNext/>
      <w:keepLines/>
      <w:numPr>
        <w:ilvl w:val="1"/>
        <w:numId w:val="4"/>
      </w:numPr>
      <w:spacing w:before="20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9"/>
    <w:unhideWhenUsed/>
    <w:qFormat/>
    <w:rsid w:val="00D05E38"/>
    <w:pPr>
      <w:keepNext/>
      <w:keepLines/>
      <w:numPr>
        <w:ilvl w:val="2"/>
        <w:numId w:val="4"/>
      </w:numPr>
      <w:spacing w:before="200" w:line="276" w:lineRule="auto"/>
      <w:outlineLvl w:val="2"/>
    </w:pPr>
    <w:rPr>
      <w:rFonts w:eastAsiaTheme="majorEastAsia" w:cstheme="majorBidi"/>
      <w:bCs/>
      <w:i/>
    </w:rPr>
  </w:style>
  <w:style w:type="paragraph" w:styleId="Heading4">
    <w:name w:val="heading 4"/>
    <w:basedOn w:val="Normal"/>
    <w:next w:val="Normal"/>
    <w:link w:val="Heading4Char"/>
    <w:uiPriority w:val="99"/>
    <w:unhideWhenUsed/>
    <w:qFormat/>
    <w:rsid w:val="00D05E38"/>
    <w:pPr>
      <w:keepNext/>
      <w:keepLines/>
      <w:numPr>
        <w:ilvl w:val="3"/>
        <w:numId w:val="4"/>
      </w:numPr>
      <w:spacing w:before="200" w:line="276" w:lineRule="auto"/>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D05E38"/>
    <w:pPr>
      <w:keepNext/>
      <w:keepLines/>
      <w:numPr>
        <w:ilvl w:val="4"/>
        <w:numId w:val="4"/>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D05E38"/>
    <w:pPr>
      <w:keepNext/>
      <w:keepLines/>
      <w:numPr>
        <w:ilvl w:val="5"/>
        <w:numId w:val="4"/>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D05E38"/>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05E38"/>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D05E38"/>
    <w:pPr>
      <w:keepNext/>
      <w:keepLines/>
      <w:numPr>
        <w:ilvl w:val="8"/>
        <w:numId w:val="4"/>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E9D"/>
    <w:rPr>
      <w:color w:val="0000FF" w:themeColor="hyperlink"/>
      <w:u w:val="single"/>
    </w:rPr>
  </w:style>
  <w:style w:type="paragraph" w:styleId="ListParagraph">
    <w:name w:val="List Paragraph"/>
    <w:basedOn w:val="Normal"/>
    <w:link w:val="ListParagraphChar"/>
    <w:uiPriority w:val="34"/>
    <w:qFormat/>
    <w:rsid w:val="00372289"/>
    <w:pPr>
      <w:ind w:left="720"/>
      <w:contextualSpacing/>
    </w:pPr>
  </w:style>
  <w:style w:type="paragraph" w:styleId="FootnoteText">
    <w:name w:val="footnote text"/>
    <w:basedOn w:val="Normal"/>
    <w:link w:val="FootnoteTextChar"/>
    <w:uiPriority w:val="99"/>
    <w:unhideWhenUsed/>
    <w:rsid w:val="009B20E7"/>
    <w:pPr>
      <w:spacing w:line="240" w:lineRule="auto"/>
    </w:pPr>
    <w:rPr>
      <w:sz w:val="20"/>
      <w:szCs w:val="20"/>
    </w:rPr>
  </w:style>
  <w:style w:type="character" w:customStyle="1" w:styleId="FootnoteTextChar">
    <w:name w:val="Footnote Text Char"/>
    <w:basedOn w:val="DefaultParagraphFont"/>
    <w:link w:val="FootnoteText"/>
    <w:uiPriority w:val="99"/>
    <w:rsid w:val="009B20E7"/>
    <w:rPr>
      <w:rFonts w:ascii="Times New Roman" w:hAnsi="Times New Roman"/>
      <w:sz w:val="20"/>
      <w:szCs w:val="20"/>
    </w:rPr>
  </w:style>
  <w:style w:type="character" w:styleId="FootnoteReference">
    <w:name w:val="footnote reference"/>
    <w:basedOn w:val="DefaultParagraphFont"/>
    <w:uiPriority w:val="99"/>
    <w:semiHidden/>
    <w:unhideWhenUsed/>
    <w:rsid w:val="009B20E7"/>
    <w:rPr>
      <w:vertAlign w:val="superscript"/>
    </w:rPr>
  </w:style>
  <w:style w:type="character" w:customStyle="1" w:styleId="ListParagraphChar">
    <w:name w:val="List Paragraph Char"/>
    <w:link w:val="ListParagraph"/>
    <w:locked/>
    <w:rsid w:val="003A3DAE"/>
    <w:rPr>
      <w:rFonts w:ascii="Times New Roman" w:hAnsi="Times New Roman"/>
      <w:sz w:val="24"/>
    </w:rPr>
  </w:style>
  <w:style w:type="paragraph" w:styleId="BalloonText">
    <w:name w:val="Balloon Text"/>
    <w:basedOn w:val="Normal"/>
    <w:link w:val="BalloonTextChar"/>
    <w:uiPriority w:val="99"/>
    <w:semiHidden/>
    <w:unhideWhenUsed/>
    <w:rsid w:val="000C74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44"/>
    <w:rPr>
      <w:rFonts w:ascii="Tahoma" w:hAnsi="Tahoma" w:cs="Tahoma"/>
      <w:sz w:val="16"/>
      <w:szCs w:val="16"/>
    </w:rPr>
  </w:style>
  <w:style w:type="character" w:customStyle="1" w:styleId="citationref">
    <w:name w:val="citationref"/>
    <w:basedOn w:val="DefaultParagraphFont"/>
    <w:rsid w:val="00C9217A"/>
  </w:style>
  <w:style w:type="paragraph" w:styleId="Header">
    <w:name w:val="header"/>
    <w:basedOn w:val="Normal"/>
    <w:link w:val="HeaderChar"/>
    <w:uiPriority w:val="99"/>
    <w:unhideWhenUsed/>
    <w:rsid w:val="00943150"/>
    <w:pPr>
      <w:tabs>
        <w:tab w:val="center" w:pos="4680"/>
        <w:tab w:val="right" w:pos="9360"/>
      </w:tabs>
      <w:spacing w:line="240" w:lineRule="auto"/>
    </w:pPr>
  </w:style>
  <w:style w:type="character" w:customStyle="1" w:styleId="HeaderChar">
    <w:name w:val="Header Char"/>
    <w:basedOn w:val="DefaultParagraphFont"/>
    <w:link w:val="Header"/>
    <w:uiPriority w:val="99"/>
    <w:rsid w:val="00943150"/>
    <w:rPr>
      <w:rFonts w:ascii="Times New Roman" w:hAnsi="Times New Roman"/>
      <w:sz w:val="24"/>
    </w:rPr>
  </w:style>
  <w:style w:type="paragraph" w:styleId="Footer">
    <w:name w:val="footer"/>
    <w:basedOn w:val="Normal"/>
    <w:link w:val="FooterChar"/>
    <w:uiPriority w:val="99"/>
    <w:unhideWhenUsed/>
    <w:rsid w:val="00943150"/>
    <w:pPr>
      <w:tabs>
        <w:tab w:val="center" w:pos="4680"/>
        <w:tab w:val="right" w:pos="9360"/>
      </w:tabs>
      <w:spacing w:line="240" w:lineRule="auto"/>
    </w:pPr>
  </w:style>
  <w:style w:type="character" w:customStyle="1" w:styleId="FooterChar">
    <w:name w:val="Footer Char"/>
    <w:basedOn w:val="DefaultParagraphFont"/>
    <w:link w:val="Footer"/>
    <w:uiPriority w:val="99"/>
    <w:rsid w:val="00943150"/>
    <w:rPr>
      <w:rFonts w:ascii="Times New Roman" w:hAnsi="Times New Roman"/>
      <w:sz w:val="24"/>
    </w:rPr>
  </w:style>
  <w:style w:type="character" w:customStyle="1" w:styleId="Heading1Char">
    <w:name w:val="Heading 1 Char"/>
    <w:basedOn w:val="DefaultParagraphFont"/>
    <w:link w:val="Heading1"/>
    <w:uiPriority w:val="99"/>
    <w:rsid w:val="00D05E38"/>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9"/>
    <w:rsid w:val="00D05E38"/>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9"/>
    <w:rsid w:val="00D05E38"/>
    <w:rPr>
      <w:rFonts w:ascii="Times New Roman" w:eastAsiaTheme="majorEastAsia" w:hAnsi="Times New Roman" w:cstheme="majorBidi"/>
      <w:bCs/>
      <w:i/>
      <w:sz w:val="24"/>
    </w:rPr>
  </w:style>
  <w:style w:type="character" w:customStyle="1" w:styleId="Heading4Char">
    <w:name w:val="Heading 4 Char"/>
    <w:basedOn w:val="DefaultParagraphFont"/>
    <w:link w:val="Heading4"/>
    <w:uiPriority w:val="99"/>
    <w:rsid w:val="00D05E38"/>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semiHidden/>
    <w:rsid w:val="00D05E38"/>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9"/>
    <w:rsid w:val="00D05E3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9"/>
    <w:rsid w:val="00D05E3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9"/>
    <w:rsid w:val="00D05E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D05E3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4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81C"/>
    <w:rPr>
      <w:sz w:val="16"/>
      <w:szCs w:val="16"/>
    </w:rPr>
  </w:style>
  <w:style w:type="paragraph" w:styleId="CommentText">
    <w:name w:val="annotation text"/>
    <w:basedOn w:val="Normal"/>
    <w:link w:val="CommentTextChar"/>
    <w:uiPriority w:val="99"/>
    <w:semiHidden/>
    <w:unhideWhenUsed/>
    <w:rsid w:val="008A181C"/>
    <w:pPr>
      <w:spacing w:line="240" w:lineRule="auto"/>
    </w:pPr>
    <w:rPr>
      <w:sz w:val="20"/>
      <w:szCs w:val="20"/>
    </w:rPr>
  </w:style>
  <w:style w:type="character" w:customStyle="1" w:styleId="CommentTextChar">
    <w:name w:val="Comment Text Char"/>
    <w:basedOn w:val="DefaultParagraphFont"/>
    <w:link w:val="CommentText"/>
    <w:uiPriority w:val="99"/>
    <w:semiHidden/>
    <w:rsid w:val="008A18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A181C"/>
    <w:rPr>
      <w:b/>
      <w:bCs/>
    </w:rPr>
  </w:style>
  <w:style w:type="character" w:customStyle="1" w:styleId="CommentSubjectChar">
    <w:name w:val="Comment Subject Char"/>
    <w:basedOn w:val="CommentTextChar"/>
    <w:link w:val="CommentSubject"/>
    <w:uiPriority w:val="99"/>
    <w:semiHidden/>
    <w:rsid w:val="008A181C"/>
    <w:rPr>
      <w:rFonts w:ascii="Times New Roman" w:hAnsi="Times New Roman"/>
      <w:b/>
      <w:bCs/>
      <w:sz w:val="20"/>
      <w:szCs w:val="20"/>
    </w:rPr>
  </w:style>
  <w:style w:type="paragraph" w:customStyle="1" w:styleId="Default">
    <w:name w:val="Default"/>
    <w:rsid w:val="00A639A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BC5D5F"/>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BC5D5F"/>
    <w:rPr>
      <w:rFonts w:ascii="Calibri" w:hAnsi="Calibri"/>
      <w:szCs w:val="21"/>
    </w:rPr>
  </w:style>
  <w:style w:type="paragraph" w:styleId="Revision">
    <w:name w:val="Revision"/>
    <w:hidden/>
    <w:uiPriority w:val="99"/>
    <w:semiHidden/>
    <w:rsid w:val="00512694"/>
    <w:pPr>
      <w:spacing w:after="0" w:line="240" w:lineRule="auto"/>
    </w:pPr>
    <w:rPr>
      <w:rFonts w:ascii="Times New Roman" w:hAnsi="Times New Roman"/>
      <w:sz w:val="24"/>
    </w:rPr>
  </w:style>
  <w:style w:type="character" w:customStyle="1" w:styleId="prefix">
    <w:name w:val="prefix"/>
    <w:basedOn w:val="DefaultParagraphFont"/>
    <w:rsid w:val="009536EB"/>
  </w:style>
  <w:style w:type="character" w:styleId="BookTitle">
    <w:name w:val="Book Title"/>
    <w:basedOn w:val="DefaultParagraphFont"/>
    <w:uiPriority w:val="33"/>
    <w:qFormat/>
    <w:rsid w:val="00FE1FEC"/>
    <w:rPr>
      <w:b/>
      <w:bCs/>
      <w:i/>
      <w:iCs/>
      <w:spacing w:val="5"/>
    </w:rPr>
  </w:style>
  <w:style w:type="paragraph" w:styleId="HTMLPreformatted">
    <w:name w:val="HTML Preformatted"/>
    <w:basedOn w:val="Normal"/>
    <w:link w:val="HTMLPreformattedChar"/>
    <w:uiPriority w:val="99"/>
    <w:semiHidden/>
    <w:unhideWhenUsed/>
    <w:rsid w:val="0062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6262BE"/>
    <w:rPr>
      <w:rFonts w:ascii="Courier New" w:hAnsi="Courier New" w:cs="Courier New"/>
      <w:color w:val="000000"/>
      <w:sz w:val="20"/>
      <w:szCs w:val="20"/>
    </w:rPr>
  </w:style>
  <w:style w:type="character" w:customStyle="1" w:styleId="UnresolvedMention">
    <w:name w:val="Unresolved Mention"/>
    <w:basedOn w:val="DefaultParagraphFont"/>
    <w:uiPriority w:val="99"/>
    <w:semiHidden/>
    <w:unhideWhenUsed/>
    <w:rsid w:val="003F09C6"/>
    <w:rPr>
      <w:color w:val="605E5C"/>
      <w:shd w:val="clear" w:color="auto" w:fill="E1DFDD"/>
    </w:rPr>
  </w:style>
  <w:style w:type="character" w:styleId="Strong">
    <w:name w:val="Strong"/>
    <w:basedOn w:val="DefaultParagraphFont"/>
    <w:uiPriority w:val="22"/>
    <w:qFormat/>
    <w:rsid w:val="00B27251"/>
    <w:rPr>
      <w:b/>
      <w:bCs/>
    </w:rPr>
  </w:style>
  <w:style w:type="paragraph" w:styleId="NormalWeb">
    <w:name w:val="Normal (Web)"/>
    <w:basedOn w:val="Normal"/>
    <w:uiPriority w:val="99"/>
    <w:semiHidden/>
    <w:unhideWhenUsed/>
    <w:rsid w:val="007A2AD5"/>
    <w:pPr>
      <w:spacing w:before="100" w:beforeAutospacing="1" w:after="100" w:afterAutospacing="1" w:line="240" w:lineRule="auto"/>
      <w:jc w:val="left"/>
    </w:pPr>
    <w:rPr>
      <w:rFonts w:eastAsiaTheme="minorEastAsia" w:cs="Times New Roman"/>
      <w:szCs w:val="24"/>
    </w:rPr>
  </w:style>
  <w:style w:type="character" w:customStyle="1" w:styleId="ceitalic">
    <w:name w:val="ce_italic"/>
    <w:basedOn w:val="DefaultParagraphFont"/>
    <w:rsid w:val="00BA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4472">
      <w:bodyDiv w:val="1"/>
      <w:marLeft w:val="0"/>
      <w:marRight w:val="0"/>
      <w:marTop w:val="0"/>
      <w:marBottom w:val="0"/>
      <w:divBdr>
        <w:top w:val="none" w:sz="0" w:space="0" w:color="auto"/>
        <w:left w:val="none" w:sz="0" w:space="0" w:color="auto"/>
        <w:bottom w:val="none" w:sz="0" w:space="0" w:color="auto"/>
        <w:right w:val="none" w:sz="0" w:space="0" w:color="auto"/>
      </w:divBdr>
    </w:div>
    <w:div w:id="657615710">
      <w:bodyDiv w:val="1"/>
      <w:marLeft w:val="0"/>
      <w:marRight w:val="0"/>
      <w:marTop w:val="0"/>
      <w:marBottom w:val="0"/>
      <w:divBdr>
        <w:top w:val="none" w:sz="0" w:space="0" w:color="auto"/>
        <w:left w:val="none" w:sz="0" w:space="0" w:color="auto"/>
        <w:bottom w:val="none" w:sz="0" w:space="0" w:color="auto"/>
        <w:right w:val="none" w:sz="0" w:space="0" w:color="auto"/>
      </w:divBdr>
    </w:div>
    <w:div w:id="750811640">
      <w:bodyDiv w:val="1"/>
      <w:marLeft w:val="0"/>
      <w:marRight w:val="0"/>
      <w:marTop w:val="0"/>
      <w:marBottom w:val="0"/>
      <w:divBdr>
        <w:top w:val="none" w:sz="0" w:space="0" w:color="auto"/>
        <w:left w:val="none" w:sz="0" w:space="0" w:color="auto"/>
        <w:bottom w:val="none" w:sz="0" w:space="0" w:color="auto"/>
        <w:right w:val="none" w:sz="0" w:space="0" w:color="auto"/>
      </w:divBdr>
      <w:divsChild>
        <w:div w:id="95909894">
          <w:marLeft w:val="0"/>
          <w:marRight w:val="0"/>
          <w:marTop w:val="0"/>
          <w:marBottom w:val="0"/>
          <w:divBdr>
            <w:top w:val="none" w:sz="0" w:space="0" w:color="auto"/>
            <w:left w:val="none" w:sz="0" w:space="0" w:color="auto"/>
            <w:bottom w:val="none" w:sz="0" w:space="0" w:color="auto"/>
            <w:right w:val="none" w:sz="0" w:space="0" w:color="auto"/>
          </w:divBdr>
          <w:divsChild>
            <w:div w:id="15709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9490">
      <w:bodyDiv w:val="1"/>
      <w:marLeft w:val="0"/>
      <w:marRight w:val="0"/>
      <w:marTop w:val="0"/>
      <w:marBottom w:val="0"/>
      <w:divBdr>
        <w:top w:val="none" w:sz="0" w:space="0" w:color="auto"/>
        <w:left w:val="none" w:sz="0" w:space="0" w:color="auto"/>
        <w:bottom w:val="none" w:sz="0" w:space="0" w:color="auto"/>
        <w:right w:val="none" w:sz="0" w:space="0" w:color="auto"/>
      </w:divBdr>
    </w:div>
    <w:div w:id="1001659906">
      <w:bodyDiv w:val="1"/>
      <w:marLeft w:val="0"/>
      <w:marRight w:val="0"/>
      <w:marTop w:val="0"/>
      <w:marBottom w:val="0"/>
      <w:divBdr>
        <w:top w:val="none" w:sz="0" w:space="0" w:color="auto"/>
        <w:left w:val="none" w:sz="0" w:space="0" w:color="auto"/>
        <w:bottom w:val="none" w:sz="0" w:space="0" w:color="auto"/>
        <w:right w:val="none" w:sz="0" w:space="0" w:color="auto"/>
      </w:divBdr>
    </w:div>
    <w:div w:id="1083648023">
      <w:bodyDiv w:val="1"/>
      <w:marLeft w:val="0"/>
      <w:marRight w:val="0"/>
      <w:marTop w:val="0"/>
      <w:marBottom w:val="0"/>
      <w:divBdr>
        <w:top w:val="none" w:sz="0" w:space="0" w:color="auto"/>
        <w:left w:val="none" w:sz="0" w:space="0" w:color="auto"/>
        <w:bottom w:val="none" w:sz="0" w:space="0" w:color="auto"/>
        <w:right w:val="none" w:sz="0" w:space="0" w:color="auto"/>
      </w:divBdr>
    </w:div>
    <w:div w:id="1257520756">
      <w:bodyDiv w:val="1"/>
      <w:marLeft w:val="0"/>
      <w:marRight w:val="0"/>
      <w:marTop w:val="0"/>
      <w:marBottom w:val="0"/>
      <w:divBdr>
        <w:top w:val="none" w:sz="0" w:space="0" w:color="auto"/>
        <w:left w:val="none" w:sz="0" w:space="0" w:color="auto"/>
        <w:bottom w:val="none" w:sz="0" w:space="0" w:color="auto"/>
        <w:right w:val="none" w:sz="0" w:space="0" w:color="auto"/>
      </w:divBdr>
    </w:div>
    <w:div w:id="1512253864">
      <w:bodyDiv w:val="1"/>
      <w:marLeft w:val="0"/>
      <w:marRight w:val="0"/>
      <w:marTop w:val="0"/>
      <w:marBottom w:val="0"/>
      <w:divBdr>
        <w:top w:val="none" w:sz="0" w:space="0" w:color="auto"/>
        <w:left w:val="none" w:sz="0" w:space="0" w:color="auto"/>
        <w:bottom w:val="none" w:sz="0" w:space="0" w:color="auto"/>
        <w:right w:val="none" w:sz="0" w:space="0" w:color="auto"/>
      </w:divBdr>
    </w:div>
    <w:div w:id="1520394050">
      <w:bodyDiv w:val="1"/>
      <w:marLeft w:val="0"/>
      <w:marRight w:val="0"/>
      <w:marTop w:val="0"/>
      <w:marBottom w:val="0"/>
      <w:divBdr>
        <w:top w:val="none" w:sz="0" w:space="0" w:color="auto"/>
        <w:left w:val="none" w:sz="0" w:space="0" w:color="auto"/>
        <w:bottom w:val="none" w:sz="0" w:space="0" w:color="auto"/>
        <w:right w:val="none" w:sz="0" w:space="0" w:color="auto"/>
      </w:divBdr>
    </w:div>
    <w:div w:id="1627740120">
      <w:bodyDiv w:val="1"/>
      <w:marLeft w:val="0"/>
      <w:marRight w:val="0"/>
      <w:marTop w:val="0"/>
      <w:marBottom w:val="0"/>
      <w:divBdr>
        <w:top w:val="none" w:sz="0" w:space="0" w:color="auto"/>
        <w:left w:val="none" w:sz="0" w:space="0" w:color="auto"/>
        <w:bottom w:val="none" w:sz="0" w:space="0" w:color="auto"/>
        <w:right w:val="none" w:sz="0" w:space="0" w:color="auto"/>
      </w:divBdr>
      <w:divsChild>
        <w:div w:id="1314215547">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 w:id="1641499495">
      <w:bodyDiv w:val="1"/>
      <w:marLeft w:val="0"/>
      <w:marRight w:val="0"/>
      <w:marTop w:val="0"/>
      <w:marBottom w:val="0"/>
      <w:divBdr>
        <w:top w:val="none" w:sz="0" w:space="0" w:color="auto"/>
        <w:left w:val="none" w:sz="0" w:space="0" w:color="auto"/>
        <w:bottom w:val="none" w:sz="0" w:space="0" w:color="auto"/>
        <w:right w:val="none" w:sz="0" w:space="0" w:color="auto"/>
      </w:divBdr>
    </w:div>
    <w:div w:id="1906527495">
      <w:bodyDiv w:val="1"/>
      <w:marLeft w:val="0"/>
      <w:marRight w:val="0"/>
      <w:marTop w:val="0"/>
      <w:marBottom w:val="0"/>
      <w:divBdr>
        <w:top w:val="none" w:sz="0" w:space="0" w:color="auto"/>
        <w:left w:val="none" w:sz="0" w:space="0" w:color="auto"/>
        <w:bottom w:val="none" w:sz="0" w:space="0" w:color="auto"/>
        <w:right w:val="none" w:sz="0" w:space="0" w:color="auto"/>
      </w:divBdr>
    </w:div>
    <w:div w:id="2007394505">
      <w:bodyDiv w:val="1"/>
      <w:marLeft w:val="0"/>
      <w:marRight w:val="0"/>
      <w:marTop w:val="0"/>
      <w:marBottom w:val="0"/>
      <w:divBdr>
        <w:top w:val="none" w:sz="0" w:space="0" w:color="auto"/>
        <w:left w:val="none" w:sz="0" w:space="0" w:color="auto"/>
        <w:bottom w:val="none" w:sz="0" w:space="0" w:color="auto"/>
        <w:right w:val="none" w:sz="0" w:space="0" w:color="auto"/>
      </w:divBdr>
    </w:div>
    <w:div w:id="21026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image" Target="media/image48.wmf"/><Relationship Id="rId21" Type="http://schemas.openxmlformats.org/officeDocument/2006/relationships/oleObject" Target="embeddings/oleObject7.bin"/><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hyperlink" Target="http://www.pewinternet.org/2016/05/19/the-new-digital-economy/" TargetMode="External"/><Relationship Id="rId84" Type="http://schemas.openxmlformats.org/officeDocument/2006/relationships/oleObject" Target="embeddings/oleObject33.bin"/><Relationship Id="rId89" Type="http://schemas.openxmlformats.org/officeDocument/2006/relationships/image" Target="media/image34.wmf"/><Relationship Id="rId112" Type="http://schemas.openxmlformats.org/officeDocument/2006/relationships/oleObject" Target="embeddings/oleObject47.bin"/><Relationship Id="rId133" Type="http://schemas.openxmlformats.org/officeDocument/2006/relationships/image" Target="media/image56.wmf"/><Relationship Id="rId138" Type="http://schemas.openxmlformats.org/officeDocument/2006/relationships/oleObject" Target="embeddings/oleObject60.bin"/><Relationship Id="rId16" Type="http://schemas.openxmlformats.org/officeDocument/2006/relationships/oleObject" Target="embeddings/oleObject3.bin"/><Relationship Id="rId107" Type="http://schemas.openxmlformats.org/officeDocument/2006/relationships/image" Target="media/image43.wmf"/><Relationship Id="rId11" Type="http://schemas.openxmlformats.org/officeDocument/2006/relationships/image" Target="media/image1.wmf"/><Relationship Id="rId32" Type="http://schemas.openxmlformats.org/officeDocument/2006/relationships/image" Target="media/image10.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3.wmf"/><Relationship Id="rId74" Type="http://schemas.openxmlformats.org/officeDocument/2006/relationships/hyperlink" Target="https://factfinder.census.gov/faces/tableservices/jsf/pages/productview.xhtml?pid=ACS_16_5YR_S0101&amp;prodType=table" TargetMode="External"/><Relationship Id="rId79" Type="http://schemas.openxmlformats.org/officeDocument/2006/relationships/image" Target="media/image29.wmf"/><Relationship Id="rId102" Type="http://schemas.openxmlformats.org/officeDocument/2006/relationships/oleObject" Target="embeddings/oleObject42.bin"/><Relationship Id="rId123" Type="http://schemas.openxmlformats.org/officeDocument/2006/relationships/image" Target="media/image51.wmf"/><Relationship Id="rId128" Type="http://schemas.openxmlformats.org/officeDocument/2006/relationships/oleObject" Target="embeddings/oleObject55.bin"/><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image" Target="media/image37.wmf"/><Relationship Id="rId22" Type="http://schemas.openxmlformats.org/officeDocument/2006/relationships/image" Target="media/image5.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hyperlink" Target="https://www.statista.com/outlook/368/100/ride-hailing/worldwide" TargetMode="External"/><Relationship Id="rId113" Type="http://schemas.openxmlformats.org/officeDocument/2006/relationships/image" Target="media/image46.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59.wmf"/><Relationship Id="rId8" Type="http://schemas.openxmlformats.org/officeDocument/2006/relationships/hyperlink" Target="mailto:patricia.lavieri@unimelb.edu.au" TargetMode="External"/><Relationship Id="rId51" Type="http://schemas.openxmlformats.org/officeDocument/2006/relationships/oleObject" Target="embeddings/oleObject22.bin"/><Relationship Id="rId72" Type="http://schemas.openxmlformats.org/officeDocument/2006/relationships/hyperlink" Target="https://factfinder.census.gov/faces/tableservices/jsf/pages/productview.xhtml?pid=ACS_16_5YR_B08201&amp;prodType=table" TargetMode="External"/><Relationship Id="rId80" Type="http://schemas.openxmlformats.org/officeDocument/2006/relationships/oleObject" Target="embeddings/oleObject31.bin"/><Relationship Id="rId85" Type="http://schemas.openxmlformats.org/officeDocument/2006/relationships/image" Target="media/image32.wmf"/><Relationship Id="rId93" Type="http://schemas.openxmlformats.org/officeDocument/2006/relationships/image" Target="media/image36.wmf"/><Relationship Id="rId98" Type="http://schemas.openxmlformats.org/officeDocument/2006/relationships/oleObject" Target="embeddings/oleObject40.bin"/><Relationship Id="rId121" Type="http://schemas.openxmlformats.org/officeDocument/2006/relationships/image" Target="media/image50.wmf"/><Relationship Id="rId142" Type="http://schemas.openxmlformats.org/officeDocument/2006/relationships/oleObject" Target="embeddings/oleObject63.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6.bin"/><Relationship Id="rId67" Type="http://schemas.openxmlformats.org/officeDocument/2006/relationships/hyperlink" Target="https://www.sustainabletransport.org/archives/6317" TargetMode="External"/><Relationship Id="rId103" Type="http://schemas.openxmlformats.org/officeDocument/2006/relationships/image" Target="media/image41.wmf"/><Relationship Id="rId108" Type="http://schemas.openxmlformats.org/officeDocument/2006/relationships/oleObject" Target="embeddings/oleObject45.bin"/><Relationship Id="rId116" Type="http://schemas.openxmlformats.org/officeDocument/2006/relationships/oleObject" Target="embeddings/oleObject49.bin"/><Relationship Id="rId124" Type="http://schemas.openxmlformats.org/officeDocument/2006/relationships/oleObject" Target="embeddings/oleObject53.bin"/><Relationship Id="rId129" Type="http://schemas.openxmlformats.org/officeDocument/2006/relationships/image" Target="media/image54.wmf"/><Relationship Id="rId137" Type="http://schemas.openxmlformats.org/officeDocument/2006/relationships/image" Target="media/image58.wmf"/><Relationship Id="rId20" Type="http://schemas.openxmlformats.org/officeDocument/2006/relationships/image" Target="media/image4.wmf"/><Relationship Id="rId41" Type="http://schemas.openxmlformats.org/officeDocument/2006/relationships/oleObject" Target="embeddings/oleObject17.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hyperlink" Target="https://www.census.gov/newsroom/press-releases/2018/popest-metro-county.html" TargetMode="External"/><Relationship Id="rId75" Type="http://schemas.openxmlformats.org/officeDocument/2006/relationships/footer" Target="footer2.xml"/><Relationship Id="rId83" Type="http://schemas.openxmlformats.org/officeDocument/2006/relationships/image" Target="media/image31.wmf"/><Relationship Id="rId88" Type="http://schemas.openxmlformats.org/officeDocument/2006/relationships/oleObject" Target="embeddings/oleObject35.bin"/><Relationship Id="rId91" Type="http://schemas.openxmlformats.org/officeDocument/2006/relationships/image" Target="media/image35.wmf"/><Relationship Id="rId96" Type="http://schemas.openxmlformats.org/officeDocument/2006/relationships/oleObject" Target="embeddings/oleObject39.bin"/><Relationship Id="rId111" Type="http://schemas.openxmlformats.org/officeDocument/2006/relationships/image" Target="media/image45.wmf"/><Relationship Id="rId132" Type="http://schemas.openxmlformats.org/officeDocument/2006/relationships/oleObject" Target="embeddings/oleObject57.bin"/><Relationship Id="rId140"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image" Target="media/image49.wmf"/><Relationship Id="rId127" Type="http://schemas.openxmlformats.org/officeDocument/2006/relationships/image" Target="media/image53.wmf"/><Relationship Id="rId10" Type="http://schemas.openxmlformats.org/officeDocument/2006/relationships/footer" Target="footer1.xml"/><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9.bin"/><Relationship Id="rId73" Type="http://schemas.openxmlformats.org/officeDocument/2006/relationships/hyperlink" Target="https://factfinder.census.gov/faces/tableservices/jsf/pages/productview.xhtml?pid=ACS_16_5YR_S2301&amp;prodType=table" TargetMode="External"/><Relationship Id="rId78" Type="http://schemas.openxmlformats.org/officeDocument/2006/relationships/oleObject" Target="embeddings/oleObject30.bin"/><Relationship Id="rId81" Type="http://schemas.openxmlformats.org/officeDocument/2006/relationships/image" Target="media/image30.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2.bin"/><Relationship Id="rId130" Type="http://schemas.openxmlformats.org/officeDocument/2006/relationships/oleObject" Target="embeddings/oleObject56.bin"/><Relationship Id="rId135" Type="http://schemas.openxmlformats.org/officeDocument/2006/relationships/image" Target="media/image57.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at@mail.utexas.edu" TargetMode="Externa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4.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4.bin"/><Relationship Id="rId76" Type="http://schemas.openxmlformats.org/officeDocument/2006/relationships/image" Target="media/image27.jpg"/><Relationship Id="rId97" Type="http://schemas.openxmlformats.org/officeDocument/2006/relationships/image" Target="media/image38.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52.wmf"/><Relationship Id="rId141" Type="http://schemas.openxmlformats.org/officeDocument/2006/relationships/oleObject" Target="embeddings/oleObject62.bin"/><Relationship Id="rId7" Type="http://schemas.openxmlformats.org/officeDocument/2006/relationships/endnotes" Target="endnotes.xml"/><Relationship Id="rId71" Type="http://schemas.openxmlformats.org/officeDocument/2006/relationships/hyperlink" Target="https://factfinder.census.gov/faces/tableservices/jsf/pages/productview.xhtml?pid=ACS_16_5YR_S0802&amp;prodType=table" TargetMode="External"/><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9.bin"/><Relationship Id="rId66" Type="http://schemas.openxmlformats.org/officeDocument/2006/relationships/hyperlink" Target="http://www.schallerconsult.com/rideservices/emptyseats.htm" TargetMode="External"/><Relationship Id="rId87" Type="http://schemas.openxmlformats.org/officeDocument/2006/relationships/image" Target="media/image33.wmf"/><Relationship Id="rId110" Type="http://schemas.openxmlformats.org/officeDocument/2006/relationships/oleObject" Target="embeddings/oleObject46.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59.bin"/><Relationship Id="rId61" Type="http://schemas.openxmlformats.org/officeDocument/2006/relationships/oleObject" Target="embeddings/oleObject27.bin"/><Relationship Id="rId82" Type="http://schemas.openxmlformats.org/officeDocument/2006/relationships/oleObject" Target="embeddings/oleObject32.bin"/><Relationship Id="rId19" Type="http://schemas.openxmlformats.org/officeDocument/2006/relationships/oleObject" Target="embeddings/oleObject6.bin"/><Relationship Id="rId14" Type="http://schemas.openxmlformats.org/officeDocument/2006/relationships/oleObject" Target="embeddings/oleObject2.bin"/><Relationship Id="rId30" Type="http://schemas.openxmlformats.org/officeDocument/2006/relationships/image" Target="media/image9.wmf"/><Relationship Id="rId35" Type="http://schemas.openxmlformats.org/officeDocument/2006/relationships/oleObject" Target="embeddings/oleObject14.bin"/><Relationship Id="rId56" Type="http://schemas.openxmlformats.org/officeDocument/2006/relationships/image" Target="media/image22.wmf"/><Relationship Id="rId77" Type="http://schemas.openxmlformats.org/officeDocument/2006/relationships/image" Target="media/image28.wmf"/><Relationship Id="rId100" Type="http://schemas.openxmlformats.org/officeDocument/2006/relationships/oleObject" Target="embeddings/oleObject41.bin"/><Relationship Id="rId105" Type="http://schemas.openxmlformats.org/officeDocument/2006/relationships/image" Target="media/image42.wmf"/><Relationship Id="rId126"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B8CD-6B0A-43EC-BCD2-9CDD08A9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21120</Words>
  <Characters>120388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BHAT2012</dc:creator>
  <cp:lastModifiedBy>Macias, Lisa J</cp:lastModifiedBy>
  <cp:revision>2</cp:revision>
  <cp:lastPrinted>2019-03-06T16:10:00Z</cp:lastPrinted>
  <dcterms:created xsi:type="dcterms:W3CDTF">2019-05-30T19:00:00Z</dcterms:created>
  <dcterms:modified xsi:type="dcterms:W3CDTF">2019-05-30T19:00:00Z</dcterms:modified>
</cp:coreProperties>
</file>