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C6" w:rsidRPr="009A452D" w:rsidRDefault="00F233C6" w:rsidP="000369BF">
      <w:pPr>
        <w:pStyle w:val="Title"/>
        <w:rPr>
          <w:spacing w:val="0"/>
          <w:sz w:val="24"/>
        </w:rPr>
      </w:pPr>
    </w:p>
    <w:p w:rsidR="001C2D94" w:rsidRDefault="001C2D94" w:rsidP="000369BF">
      <w:pPr>
        <w:pStyle w:val="Title"/>
        <w:rPr>
          <w:spacing w:val="0"/>
          <w:sz w:val="24"/>
        </w:rPr>
      </w:pPr>
    </w:p>
    <w:p w:rsidR="001C2D94" w:rsidRDefault="001C2D94" w:rsidP="000369BF">
      <w:pPr>
        <w:pStyle w:val="Title"/>
        <w:rPr>
          <w:spacing w:val="0"/>
          <w:sz w:val="24"/>
        </w:rPr>
      </w:pPr>
    </w:p>
    <w:p w:rsidR="00914693" w:rsidRPr="009A452D" w:rsidRDefault="000369BF" w:rsidP="000369BF">
      <w:pPr>
        <w:pStyle w:val="Title"/>
        <w:rPr>
          <w:spacing w:val="0"/>
          <w:sz w:val="24"/>
        </w:rPr>
      </w:pPr>
      <w:r w:rsidRPr="009A452D">
        <w:rPr>
          <w:spacing w:val="0"/>
          <w:sz w:val="24"/>
        </w:rPr>
        <w:t xml:space="preserve">Fusing Multiple Sources of Data to Understand Ride-Hailing Use </w:t>
      </w:r>
    </w:p>
    <w:p w:rsidR="00914693" w:rsidRPr="009A452D" w:rsidRDefault="00914693" w:rsidP="002C31FB"/>
    <w:p w:rsidR="00F233C6" w:rsidRPr="009A452D" w:rsidRDefault="00F233C6" w:rsidP="002C31FB"/>
    <w:p w:rsidR="00F233C6" w:rsidRDefault="00F233C6" w:rsidP="002C31FB"/>
    <w:p w:rsidR="001C2D94" w:rsidRPr="009A452D" w:rsidRDefault="001C2D94" w:rsidP="002C31FB"/>
    <w:p w:rsidR="00D96383" w:rsidRPr="009A452D" w:rsidRDefault="00D96383" w:rsidP="002C31FB">
      <w:pPr>
        <w:rPr>
          <w:b/>
        </w:rPr>
      </w:pPr>
      <w:r w:rsidRPr="009A452D">
        <w:rPr>
          <w:b/>
        </w:rPr>
        <w:t>Felipe F. Dias</w:t>
      </w:r>
    </w:p>
    <w:p w:rsidR="00D96383" w:rsidRPr="009A452D" w:rsidRDefault="00D96383" w:rsidP="002C31FB">
      <w:r w:rsidRPr="009A452D">
        <w:t>The University of Texas at Austin</w:t>
      </w:r>
    </w:p>
    <w:p w:rsidR="00D96383" w:rsidRPr="009A452D" w:rsidRDefault="00D96383" w:rsidP="002C31FB">
      <w:r w:rsidRPr="009A452D">
        <w:t>Department of Civil, Architectural and Environmental Engineering</w:t>
      </w:r>
    </w:p>
    <w:p w:rsidR="00D96383" w:rsidRPr="009A452D" w:rsidRDefault="00D96383" w:rsidP="002C31FB">
      <w:r w:rsidRPr="009A452D">
        <w:t>301 E. Dean Keeton St. Stop C1761, Austin TX 78712</w:t>
      </w:r>
      <w:r w:rsidR="00A8393B">
        <w:t>, USA</w:t>
      </w:r>
    </w:p>
    <w:p w:rsidR="00D96383" w:rsidRPr="009A452D" w:rsidRDefault="00D96383" w:rsidP="002C31FB">
      <w:pPr>
        <w:rPr>
          <w:b/>
        </w:rPr>
      </w:pPr>
      <w:r w:rsidRPr="009A452D">
        <w:rPr>
          <w:bCs/>
          <w:kern w:val="32"/>
        </w:rPr>
        <w:t xml:space="preserve">Tel: 512-471-4535; Email: </w:t>
      </w:r>
      <w:hyperlink r:id="rId8" w:history="1">
        <w:r w:rsidRPr="009A452D">
          <w:rPr>
            <w:rStyle w:val="Hyperlink"/>
          </w:rPr>
          <w:t>fdias@utexas.edu</w:t>
        </w:r>
      </w:hyperlink>
    </w:p>
    <w:p w:rsidR="00D96383" w:rsidRPr="009A452D" w:rsidRDefault="00D96383" w:rsidP="002C31FB"/>
    <w:p w:rsidR="00A8393B" w:rsidRDefault="00A8393B" w:rsidP="00A8393B">
      <w:pPr>
        <w:rPr>
          <w:b/>
        </w:rPr>
      </w:pPr>
      <w:proofErr w:type="spellStart"/>
      <w:r w:rsidRPr="00DE3806">
        <w:rPr>
          <w:b/>
        </w:rPr>
        <w:t>Patrícia</w:t>
      </w:r>
      <w:proofErr w:type="spellEnd"/>
      <w:r w:rsidRPr="00DE3806">
        <w:rPr>
          <w:b/>
        </w:rPr>
        <w:t xml:space="preserve"> S. </w:t>
      </w:r>
      <w:proofErr w:type="spellStart"/>
      <w:r w:rsidRPr="00DE3806">
        <w:rPr>
          <w:b/>
        </w:rPr>
        <w:t>Lavieri</w:t>
      </w:r>
      <w:proofErr w:type="spellEnd"/>
    </w:p>
    <w:p w:rsidR="00A8393B" w:rsidRPr="00405D58" w:rsidRDefault="00A8393B" w:rsidP="00A8393B">
      <w:r>
        <w:t xml:space="preserve">The </w:t>
      </w:r>
      <w:r w:rsidRPr="00405D58">
        <w:t>University of Melbourne</w:t>
      </w:r>
    </w:p>
    <w:p w:rsidR="00A8393B" w:rsidRPr="00405D58" w:rsidRDefault="00A8393B" w:rsidP="00A8393B">
      <w:r w:rsidRPr="00405D58">
        <w:t>Department of Infrastructure Engineering</w:t>
      </w:r>
    </w:p>
    <w:p w:rsidR="00A8393B" w:rsidRPr="00405D58" w:rsidRDefault="00A8393B" w:rsidP="00A8393B">
      <w:r w:rsidRPr="00405D58">
        <w:t xml:space="preserve">Grattan Street, Parkville, Victoria, 3010, Australia </w:t>
      </w:r>
    </w:p>
    <w:p w:rsidR="00A8393B" w:rsidRDefault="00A8393B" w:rsidP="00A8393B">
      <w:r>
        <w:t xml:space="preserve">Tel: +61-3-9035-3274; Email: </w:t>
      </w:r>
      <w:hyperlink r:id="rId9" w:history="1">
        <w:r w:rsidRPr="00123F17">
          <w:rPr>
            <w:rStyle w:val="Hyperlink"/>
          </w:rPr>
          <w:t>patricia.lavieri@unimelb.edu.au</w:t>
        </w:r>
      </w:hyperlink>
      <w:r>
        <w:t xml:space="preserve"> </w:t>
      </w:r>
    </w:p>
    <w:p w:rsidR="00A8393B" w:rsidRDefault="00A8393B" w:rsidP="00A8393B">
      <w:proofErr w:type="gramStart"/>
      <w:r>
        <w:t>and</w:t>
      </w:r>
      <w:proofErr w:type="gramEnd"/>
    </w:p>
    <w:p w:rsidR="00D96383" w:rsidRPr="009A452D" w:rsidRDefault="00A8393B" w:rsidP="00A8393B">
      <w:pPr>
        <w:rPr>
          <w:b/>
        </w:rPr>
      </w:pPr>
      <w:r>
        <w:t>The University of Texas at Austin, Austin, TX 78712, USA</w:t>
      </w:r>
    </w:p>
    <w:p w:rsidR="00D96383" w:rsidRPr="009A452D" w:rsidRDefault="00D96383" w:rsidP="002C31FB"/>
    <w:p w:rsidR="004B1CC2" w:rsidRPr="009A452D" w:rsidRDefault="00D96383" w:rsidP="002C31FB">
      <w:pPr>
        <w:rPr>
          <w:b/>
        </w:rPr>
      </w:pPr>
      <w:proofErr w:type="spellStart"/>
      <w:r w:rsidRPr="009A452D">
        <w:rPr>
          <w:b/>
        </w:rPr>
        <w:t>Taehooie</w:t>
      </w:r>
      <w:proofErr w:type="spellEnd"/>
      <w:r w:rsidRPr="009A452D">
        <w:rPr>
          <w:b/>
        </w:rPr>
        <w:t xml:space="preserve"> Kim</w:t>
      </w:r>
    </w:p>
    <w:p w:rsidR="008535F1" w:rsidRPr="009A452D" w:rsidRDefault="008535F1" w:rsidP="002C31FB">
      <w:r w:rsidRPr="009A452D">
        <w:t>Arizona State University</w:t>
      </w:r>
    </w:p>
    <w:p w:rsidR="004B1CC2" w:rsidRPr="009A452D" w:rsidRDefault="004B1CC2" w:rsidP="002C31FB">
      <w:r w:rsidRPr="009A452D">
        <w:t>School of Sustainable Engineering and the Built Environment</w:t>
      </w:r>
    </w:p>
    <w:p w:rsidR="004B1CC2" w:rsidRPr="009A452D" w:rsidRDefault="004B1CC2" w:rsidP="002C31FB">
      <w:r w:rsidRPr="009A452D">
        <w:t>660 S. College Avenue, Tempe, AZ 85287-3005</w:t>
      </w:r>
      <w:r w:rsidR="00A8393B">
        <w:t>, USA</w:t>
      </w:r>
    </w:p>
    <w:p w:rsidR="004B1CC2" w:rsidRPr="009A452D" w:rsidRDefault="004B1CC2" w:rsidP="002C31FB">
      <w:r w:rsidRPr="009A452D">
        <w:t xml:space="preserve">Tel: 480-727-3613; Email: </w:t>
      </w:r>
      <w:hyperlink r:id="rId10" w:history="1">
        <w:r w:rsidR="00D96383" w:rsidRPr="009A452D">
          <w:rPr>
            <w:rStyle w:val="Hyperlink"/>
          </w:rPr>
          <w:t>taehooie.kim@asu.edu</w:t>
        </w:r>
      </w:hyperlink>
    </w:p>
    <w:p w:rsidR="00914693" w:rsidRPr="009A452D" w:rsidRDefault="00914693" w:rsidP="002C31FB"/>
    <w:p w:rsidR="00914693" w:rsidRPr="009A452D" w:rsidRDefault="00914693" w:rsidP="002C31FB">
      <w:r w:rsidRPr="009A452D">
        <w:rPr>
          <w:b/>
        </w:rPr>
        <w:t>Chandra R. Bhat</w:t>
      </w:r>
      <w:r w:rsidRPr="009A452D">
        <w:t xml:space="preserve"> </w:t>
      </w:r>
      <w:r w:rsidR="008535F1" w:rsidRPr="009A452D">
        <w:rPr>
          <w:b/>
        </w:rPr>
        <w:t>(corresponding author)</w:t>
      </w:r>
    </w:p>
    <w:p w:rsidR="00914693" w:rsidRPr="009A452D" w:rsidRDefault="00914693" w:rsidP="002C31FB">
      <w:r w:rsidRPr="009A452D">
        <w:t>The University of Texas at Austin</w:t>
      </w:r>
    </w:p>
    <w:p w:rsidR="00914693" w:rsidRPr="009A452D" w:rsidRDefault="00914693" w:rsidP="002C31FB">
      <w:r w:rsidRPr="009A452D">
        <w:t>Department of Civil, Architectural and Environmental Engineering</w:t>
      </w:r>
    </w:p>
    <w:p w:rsidR="00914693" w:rsidRPr="009A452D" w:rsidRDefault="00914693" w:rsidP="002C31FB">
      <w:r w:rsidRPr="009A452D">
        <w:t>301 E. Dean Keeton St. Stop C1761, Austin TX 78712</w:t>
      </w:r>
      <w:r w:rsidR="00A8393B">
        <w:t>, USA</w:t>
      </w:r>
    </w:p>
    <w:p w:rsidR="00914693" w:rsidRPr="009A452D" w:rsidRDefault="00914693" w:rsidP="002C31FB">
      <w:pPr>
        <w:rPr>
          <w:rStyle w:val="Hyperlink"/>
        </w:rPr>
      </w:pPr>
      <w:r w:rsidRPr="009A452D">
        <w:t xml:space="preserve">Tel: 512-471-4535; Email: </w:t>
      </w:r>
      <w:hyperlink r:id="rId11" w:history="1">
        <w:r w:rsidRPr="009A452D">
          <w:rPr>
            <w:rStyle w:val="Hyperlink"/>
          </w:rPr>
          <w:t>bhat@mail.utexas.edu</w:t>
        </w:r>
      </w:hyperlink>
    </w:p>
    <w:p w:rsidR="00914693" w:rsidRPr="009A452D" w:rsidRDefault="00914693" w:rsidP="002C31FB">
      <w:proofErr w:type="gramStart"/>
      <w:r w:rsidRPr="009A452D">
        <w:t>and</w:t>
      </w:r>
      <w:proofErr w:type="gramEnd"/>
    </w:p>
    <w:p w:rsidR="004B1CC2" w:rsidRPr="009A452D" w:rsidRDefault="00914693" w:rsidP="002C31FB">
      <w:pPr>
        <w:rPr>
          <w:b/>
        </w:rPr>
      </w:pPr>
      <w:r w:rsidRPr="009A452D">
        <w:t>The Hong Kong Polytechnic University</w:t>
      </w:r>
      <w:r w:rsidRPr="009A452D">
        <w:rPr>
          <w:bCs/>
          <w:kern w:val="32"/>
        </w:rPr>
        <w:t xml:space="preserve">, </w:t>
      </w:r>
      <w:r w:rsidR="00795004" w:rsidRPr="009A452D">
        <w:t xml:space="preserve">Hung </w:t>
      </w:r>
      <w:proofErr w:type="spellStart"/>
      <w:r w:rsidR="00795004" w:rsidRPr="009A452D">
        <w:t>Hom</w:t>
      </w:r>
      <w:proofErr w:type="spellEnd"/>
      <w:r w:rsidR="00795004" w:rsidRPr="009A452D">
        <w:t>, Kowloon, Hong Kong</w:t>
      </w:r>
    </w:p>
    <w:p w:rsidR="004B1CC2" w:rsidRPr="009A452D" w:rsidRDefault="004B1CC2" w:rsidP="002C31FB"/>
    <w:p w:rsidR="00D96383" w:rsidRPr="009A452D" w:rsidRDefault="00D96383" w:rsidP="002C31FB">
      <w:pPr>
        <w:rPr>
          <w:b/>
        </w:rPr>
      </w:pPr>
      <w:r w:rsidRPr="009A452D">
        <w:rPr>
          <w:b/>
        </w:rPr>
        <w:t xml:space="preserve">Ram M. </w:t>
      </w:r>
      <w:proofErr w:type="spellStart"/>
      <w:r w:rsidRPr="009A452D">
        <w:rPr>
          <w:b/>
        </w:rPr>
        <w:t>Pendyala</w:t>
      </w:r>
      <w:proofErr w:type="spellEnd"/>
    </w:p>
    <w:p w:rsidR="008535F1" w:rsidRPr="009A452D" w:rsidRDefault="008535F1" w:rsidP="002C31FB">
      <w:r w:rsidRPr="009A452D">
        <w:t>Arizona State University</w:t>
      </w:r>
    </w:p>
    <w:p w:rsidR="00D96383" w:rsidRPr="009A452D" w:rsidRDefault="00D96383" w:rsidP="002C31FB">
      <w:r w:rsidRPr="009A452D">
        <w:t>School of Sustainable Engineering and the Built Environment</w:t>
      </w:r>
    </w:p>
    <w:p w:rsidR="00D96383" w:rsidRPr="009A452D" w:rsidRDefault="00D96383" w:rsidP="002C31FB">
      <w:r w:rsidRPr="009A452D">
        <w:t>660 S. College Avenue, Tempe, AZ 85287-3005</w:t>
      </w:r>
      <w:r w:rsidR="00A8393B">
        <w:t>, USA</w:t>
      </w:r>
    </w:p>
    <w:p w:rsidR="00F233C6" w:rsidRPr="009A452D" w:rsidRDefault="00D96383" w:rsidP="002C31FB">
      <w:r w:rsidRPr="009A452D">
        <w:t xml:space="preserve">Tel: 480-727-4587; Email: </w:t>
      </w:r>
      <w:hyperlink r:id="rId12" w:history="1">
        <w:r w:rsidRPr="009A452D">
          <w:rPr>
            <w:rStyle w:val="Hyperlink"/>
          </w:rPr>
          <w:t>ram.pendyala@asu.edu</w:t>
        </w:r>
      </w:hyperlink>
      <w:r w:rsidR="001C2D94">
        <w:t xml:space="preserve"> </w:t>
      </w:r>
    </w:p>
    <w:p w:rsidR="00914693" w:rsidRPr="009A452D" w:rsidRDefault="00914693" w:rsidP="002C31FB"/>
    <w:p w:rsidR="00914693" w:rsidRPr="009A452D" w:rsidRDefault="00914693" w:rsidP="002C31FB"/>
    <w:p w:rsidR="00465A59" w:rsidRPr="009A452D" w:rsidRDefault="00465A59" w:rsidP="002C31FB">
      <w:pPr>
        <w:sectPr w:rsidR="00465A59" w:rsidRPr="009A452D" w:rsidSect="00F233C6">
          <w:headerReference w:type="default" r:id="rId13"/>
          <w:footerReference w:type="default" r:id="rId14"/>
          <w:pgSz w:w="12240" w:h="15840"/>
          <w:pgMar w:top="1440" w:right="1440" w:bottom="1440" w:left="1440" w:header="720" w:footer="720" w:gutter="0"/>
          <w:cols w:space="720"/>
          <w:docGrid w:linePitch="360"/>
        </w:sectPr>
      </w:pPr>
    </w:p>
    <w:p w:rsidR="00001048" w:rsidRPr="009A452D" w:rsidRDefault="00F233C6" w:rsidP="00F233C6">
      <w:pPr>
        <w:pStyle w:val="Heading1"/>
        <w:numPr>
          <w:ilvl w:val="0"/>
          <w:numId w:val="0"/>
        </w:numPr>
        <w:spacing w:before="0"/>
        <w:rPr>
          <w:smallCaps w:val="0"/>
          <w:sz w:val="24"/>
        </w:rPr>
      </w:pPr>
      <w:r w:rsidRPr="009A452D">
        <w:rPr>
          <w:smallCaps w:val="0"/>
          <w:sz w:val="24"/>
        </w:rPr>
        <w:lastRenderedPageBreak/>
        <w:t>ABSTRACT</w:t>
      </w:r>
    </w:p>
    <w:p w:rsidR="00914693" w:rsidRPr="009A452D" w:rsidRDefault="00E6592C" w:rsidP="00F233C6">
      <w:r w:rsidRPr="009A452D">
        <w:t>The rise of ride-hailing services has presented a number of challenges and opportunities in the urban mobility sphere.  On the one h</w:t>
      </w:r>
      <w:r w:rsidR="00262F21" w:rsidRPr="009A452D">
        <w:t xml:space="preserve">and, </w:t>
      </w:r>
      <w:r w:rsidR="007220A4">
        <w:t>they</w:t>
      </w:r>
      <w:r w:rsidR="00262F21" w:rsidRPr="009A452D">
        <w:t xml:space="preserve"> </w:t>
      </w:r>
      <w:r w:rsidRPr="009A452D">
        <w:t>allow traveler</w:t>
      </w:r>
      <w:r w:rsidR="007220A4">
        <w:t>s</w:t>
      </w:r>
      <w:r w:rsidRPr="009A452D">
        <w:t xml:space="preserve"> to summon a</w:t>
      </w:r>
      <w:r w:rsidR="00755941" w:rsidRPr="009A452D">
        <w:t>nd pay for a</w:t>
      </w:r>
      <w:r w:rsidRPr="009A452D">
        <w:t xml:space="preserve"> ride through </w:t>
      </w:r>
      <w:r w:rsidR="007220A4">
        <w:t>their</w:t>
      </w:r>
      <w:r w:rsidR="007220A4" w:rsidRPr="009A452D">
        <w:t xml:space="preserve"> </w:t>
      </w:r>
      <w:r w:rsidRPr="009A452D">
        <w:t>smartphone</w:t>
      </w:r>
      <w:r w:rsidR="007220A4">
        <w:t>s</w:t>
      </w:r>
      <w:r w:rsidRPr="009A452D">
        <w:t xml:space="preserve"> </w:t>
      </w:r>
      <w:r w:rsidR="00755941" w:rsidRPr="009A452D">
        <w:t xml:space="preserve">while tracking the </w:t>
      </w:r>
      <w:r w:rsidR="007220A4" w:rsidRPr="009A452D">
        <w:t>vehicle</w:t>
      </w:r>
      <w:r w:rsidR="007220A4">
        <w:t>’s</w:t>
      </w:r>
      <w:r w:rsidR="007220A4" w:rsidRPr="009A452D">
        <w:t xml:space="preserve"> </w:t>
      </w:r>
      <w:r w:rsidR="00755941" w:rsidRPr="009A452D">
        <w:t>location</w:t>
      </w:r>
      <w:r w:rsidR="007D1B6E" w:rsidRPr="009A452D">
        <w:t>.</w:t>
      </w:r>
      <w:r w:rsidR="00755941" w:rsidRPr="009A452D">
        <w:t xml:space="preserve"> </w:t>
      </w:r>
      <w:r w:rsidR="007D1B6E" w:rsidRPr="009A452D">
        <w:t xml:space="preserve">This </w:t>
      </w:r>
      <w:r w:rsidR="00755941" w:rsidRPr="009A452D">
        <w:t>help</w:t>
      </w:r>
      <w:r w:rsidR="007D1B6E" w:rsidRPr="009A452D">
        <w:t>s</w:t>
      </w:r>
      <w:r w:rsidR="00755941" w:rsidRPr="009A452D">
        <w:t xml:space="preserve"> provide mobility for many who are traditionally transportation disadvantaged and not well served by public transit. Given the convenience and pricing of these mobility-on-demand services, </w:t>
      </w:r>
      <w:r w:rsidR="007220A4">
        <w:t xml:space="preserve">their </w:t>
      </w:r>
      <w:r w:rsidR="007220A4" w:rsidRPr="009A452D">
        <w:t xml:space="preserve">tremendous growth in the past few years </w:t>
      </w:r>
      <w:r w:rsidR="00755941" w:rsidRPr="009A452D">
        <w:t xml:space="preserve">is not </w:t>
      </w:r>
      <w:r w:rsidR="007220A4">
        <w:t xml:space="preserve">at all </w:t>
      </w:r>
      <w:r w:rsidR="00755941" w:rsidRPr="009A452D">
        <w:t xml:space="preserve">surprising.  However, this growth comes with </w:t>
      </w:r>
      <w:r w:rsidR="007D1B6E" w:rsidRPr="009A452D">
        <w:t>the risk</w:t>
      </w:r>
      <w:r w:rsidR="00755941" w:rsidRPr="009A452D">
        <w:t xml:space="preserve"> of increased vehicular travel and reduced public transit use, increased congestion, and shifts in mobility patterns that are difficult to predict.  Unfortunately, data about ride-hailing servic</w:t>
      </w:r>
      <w:r w:rsidR="00E00CC7" w:rsidRPr="009A452D">
        <w:t xml:space="preserve">e usage </w:t>
      </w:r>
      <w:r w:rsidR="00E93BC0" w:rsidRPr="009A452D">
        <w:t xml:space="preserve">are </w:t>
      </w:r>
      <w:r w:rsidR="00E00CC7" w:rsidRPr="009A452D">
        <w:t xml:space="preserve">hard to </w:t>
      </w:r>
      <w:r w:rsidR="007220A4">
        <w:t>find</w:t>
      </w:r>
      <w:r w:rsidR="00E00CC7" w:rsidRPr="009A452D">
        <w:t xml:space="preserve">; </w:t>
      </w:r>
      <w:r w:rsidR="00755941" w:rsidRPr="009A452D">
        <w:t>service providers</w:t>
      </w:r>
      <w:r w:rsidR="00055D32" w:rsidRPr="009A452D">
        <w:t xml:space="preserve"> typically</w:t>
      </w:r>
      <w:r w:rsidR="00755941" w:rsidRPr="009A452D">
        <w:t xml:space="preserve"> do not share data and traditional survey data sets include </w:t>
      </w:r>
      <w:r w:rsidR="00A45281" w:rsidRPr="009A452D">
        <w:t xml:space="preserve">too few trips </w:t>
      </w:r>
      <w:r w:rsidR="00755941" w:rsidRPr="009A452D">
        <w:t>for these new modes</w:t>
      </w:r>
      <w:r w:rsidR="00A45281" w:rsidRPr="009A452D">
        <w:t xml:space="preserve"> to develop significant behavioral models</w:t>
      </w:r>
      <w:r w:rsidR="00755941" w:rsidRPr="009A452D">
        <w:t xml:space="preserve">.  As a result, transport planners </w:t>
      </w:r>
      <w:r w:rsidR="00A45281" w:rsidRPr="009A452D">
        <w:t xml:space="preserve">have been </w:t>
      </w:r>
      <w:r w:rsidR="00755941" w:rsidRPr="009A452D">
        <w:t xml:space="preserve">unable to adequately account for these services in their models and forecasting processes.  In an effort to </w:t>
      </w:r>
      <w:r w:rsidR="007220A4">
        <w:t xml:space="preserve">better understand </w:t>
      </w:r>
      <w:r w:rsidR="00093770">
        <w:t xml:space="preserve">the use of </w:t>
      </w:r>
      <w:r w:rsidR="00755941" w:rsidRPr="009A452D">
        <w:t xml:space="preserve">these services, this study employs a data fusion process </w:t>
      </w:r>
      <w:r w:rsidR="007220A4">
        <w:t xml:space="preserve">to gain </w:t>
      </w:r>
      <w:r w:rsidR="00755941" w:rsidRPr="009A452D">
        <w:t xml:space="preserve">deeper insights about the characteristics of ride-hailing trips and </w:t>
      </w:r>
      <w:r w:rsidR="007218A4" w:rsidRPr="009A452D">
        <w:t xml:space="preserve">their </w:t>
      </w:r>
      <w:r w:rsidR="00755941" w:rsidRPr="009A452D">
        <w:t>users. Trip data made publ</w:t>
      </w:r>
      <w:r w:rsidR="00F233C6" w:rsidRPr="009A452D">
        <w:t xml:space="preserve">icly available by </w:t>
      </w:r>
      <w:proofErr w:type="spellStart"/>
      <w:r w:rsidR="00F233C6" w:rsidRPr="009A452D">
        <w:t>RideAustin</w:t>
      </w:r>
      <w:proofErr w:type="spellEnd"/>
      <w:r w:rsidR="00F233C6" w:rsidRPr="009A452D">
        <w:t xml:space="preserve"> is </w:t>
      </w:r>
      <w:r w:rsidR="00755941" w:rsidRPr="009A452D">
        <w:t xml:space="preserve">fused with census and parcel data to infer trip purpose, origin/destination information, and user </w:t>
      </w:r>
      <w:r w:rsidR="00BB415D" w:rsidRPr="009A452D">
        <w:t>demographics</w:t>
      </w:r>
      <w:r w:rsidR="00755941" w:rsidRPr="009A452D">
        <w:t>.</w:t>
      </w:r>
      <w:r w:rsidR="00D6602A">
        <w:t xml:space="preserve"> The fused data is then used to estimate a model of frequency of ride-hailing trips by multiple purposes. </w:t>
      </w:r>
    </w:p>
    <w:p w:rsidR="00D96383" w:rsidRPr="009A452D" w:rsidRDefault="00D96383" w:rsidP="002C31FB"/>
    <w:p w:rsidR="00DA4DD0" w:rsidRPr="009A452D" w:rsidRDefault="00914693" w:rsidP="002C31FB">
      <w:r w:rsidRPr="009A452D">
        <w:rPr>
          <w:i/>
        </w:rPr>
        <w:t xml:space="preserve">Keywords: </w:t>
      </w:r>
      <w:r w:rsidR="00E00CC7" w:rsidRPr="009A452D">
        <w:t>ride-hailing services, trip characteristics, user characteristics, mobility patterns, data fusion, secondary data</w:t>
      </w:r>
      <w:r w:rsidR="00F233C6" w:rsidRPr="009A452D">
        <w:t>.</w:t>
      </w:r>
    </w:p>
    <w:p w:rsidR="00DA4DD0" w:rsidRPr="009A452D" w:rsidRDefault="00DA4DD0" w:rsidP="002C31FB">
      <w:pPr>
        <w:sectPr w:rsidR="00DA4DD0" w:rsidRPr="009A452D" w:rsidSect="00CD7807">
          <w:headerReference w:type="default" r:id="rId15"/>
          <w:footerReference w:type="default" r:id="rId16"/>
          <w:pgSz w:w="12240" w:h="15840"/>
          <w:pgMar w:top="1440" w:right="1440" w:bottom="1440" w:left="1440" w:header="720" w:footer="720" w:gutter="0"/>
          <w:cols w:space="720"/>
          <w:docGrid w:linePitch="360"/>
        </w:sectPr>
      </w:pPr>
    </w:p>
    <w:p w:rsidR="00914693" w:rsidRPr="009A452D" w:rsidRDefault="000F72EC" w:rsidP="00F233C6">
      <w:pPr>
        <w:pStyle w:val="Heading1"/>
        <w:spacing w:before="0"/>
        <w:ind w:left="450" w:hanging="450"/>
        <w:rPr>
          <w:caps/>
          <w:smallCaps w:val="0"/>
          <w:sz w:val="24"/>
        </w:rPr>
      </w:pPr>
      <w:r w:rsidRPr="009A452D">
        <w:rPr>
          <w:caps/>
          <w:smallCaps w:val="0"/>
          <w:sz w:val="24"/>
        </w:rPr>
        <w:lastRenderedPageBreak/>
        <w:t>Introduction</w:t>
      </w:r>
    </w:p>
    <w:p w:rsidR="00914693" w:rsidRPr="009A452D" w:rsidRDefault="00E00CC7" w:rsidP="002C31FB">
      <w:r w:rsidRPr="009A452D">
        <w:t xml:space="preserve">Ride-hailing services </w:t>
      </w:r>
      <w:r w:rsidR="00C32FED" w:rsidRPr="009A452D">
        <w:t xml:space="preserve">have </w:t>
      </w:r>
      <w:r w:rsidRPr="009A452D">
        <w:t>experienced very rapid growth in the past few years.  Among all new mobility services, ride-hailing has the highest penetration in the United States and a number of other countries.  In 2017, Uber alone had more than 10 times the number of active subscribers of all North American car-sharing programs taken together (</w:t>
      </w:r>
      <w:r w:rsidR="008628B8" w:rsidRPr="008628B8">
        <w:rPr>
          <w:i/>
        </w:rPr>
        <w:t>1</w:t>
      </w:r>
      <w:r w:rsidR="008628B8">
        <w:t xml:space="preserve">, </w:t>
      </w:r>
      <w:r w:rsidR="008628B8" w:rsidRPr="008628B8">
        <w:rPr>
          <w:i/>
        </w:rPr>
        <w:t>2</w:t>
      </w:r>
      <w:r w:rsidR="00C74E5C">
        <w:t>).</w:t>
      </w:r>
      <w:r w:rsidRPr="009A452D">
        <w:t xml:space="preserve"> The level of market penetration and adoption of these services reflects the convenience that they offer to users as a reliable, lower cost (compared to traditional taxi services), on-demand, and door-to-door transportation service</w:t>
      </w:r>
      <w:r w:rsidR="005414DF" w:rsidRPr="009A452D">
        <w:t>. Furthermore,</w:t>
      </w:r>
      <w:r w:rsidR="005414DF" w:rsidRPr="009A452D">
        <w:rPr>
          <w:sz w:val="22"/>
          <w:szCs w:val="22"/>
        </w:rPr>
        <w:t xml:space="preserve"> </w:t>
      </w:r>
      <w:r w:rsidR="005414DF" w:rsidRPr="009A452D">
        <w:t>these services do</w:t>
      </w:r>
      <w:r w:rsidR="005414DF" w:rsidRPr="009A452D">
        <w:rPr>
          <w:sz w:val="22"/>
          <w:szCs w:val="22"/>
        </w:rPr>
        <w:t xml:space="preserve"> not require </w:t>
      </w:r>
      <w:r w:rsidR="005414DF" w:rsidRPr="009A452D">
        <w:t xml:space="preserve">subscription fees and </w:t>
      </w:r>
      <w:r w:rsidR="005414DF" w:rsidRPr="009A452D">
        <w:rPr>
          <w:sz w:val="22"/>
          <w:szCs w:val="22"/>
        </w:rPr>
        <w:t xml:space="preserve">involve </w:t>
      </w:r>
      <w:r w:rsidR="005414DF" w:rsidRPr="009A452D">
        <w:t>minimal cognitive and</w:t>
      </w:r>
      <w:r w:rsidR="005414DF" w:rsidRPr="009A452D">
        <w:rPr>
          <w:sz w:val="22"/>
          <w:szCs w:val="22"/>
        </w:rPr>
        <w:t xml:space="preserve"> physical effort</w:t>
      </w:r>
      <w:r w:rsidR="005414DF" w:rsidRPr="009A452D">
        <w:t>s on the part of the traveler when compared to other alternatives, such as driving or taking the bus.</w:t>
      </w:r>
    </w:p>
    <w:p w:rsidR="009A2742" w:rsidRPr="009A452D" w:rsidRDefault="00E00CC7" w:rsidP="002C31FB">
      <w:r w:rsidRPr="009A452D">
        <w:tab/>
        <w:t>Despite the rapid growth of these services in the urban transportation ecosystem, v</w:t>
      </w:r>
      <w:r w:rsidR="003052C2" w:rsidRPr="009A452D">
        <w:t>ery little is known about the trips undertaken by these services and the travelers who use these services on</w:t>
      </w:r>
      <w:r w:rsidR="005B0AD3">
        <w:t xml:space="preserve"> a regular or irregular basis. </w:t>
      </w:r>
      <w:r w:rsidR="003052C2" w:rsidRPr="009A452D">
        <w:t>As a result, many researcher</w:t>
      </w:r>
      <w:r w:rsidR="007D2384" w:rsidRPr="009A452D">
        <w:t>s</w:t>
      </w:r>
      <w:r w:rsidR="003052C2" w:rsidRPr="009A452D">
        <w:t xml:space="preserve"> in the travel behavior field ha</w:t>
      </w:r>
      <w:r w:rsidR="007D2384" w:rsidRPr="009A452D">
        <w:t>ve</w:t>
      </w:r>
      <w:r w:rsidR="003052C2" w:rsidRPr="009A452D">
        <w:t xml:space="preserve"> attempted to study ride-hailing trips through a variety of primary or secondary data sets that contain any </w:t>
      </w:r>
      <w:r w:rsidR="005B0AD3">
        <w:t xml:space="preserve">information about these trips. </w:t>
      </w:r>
      <w:r w:rsidR="003052C2" w:rsidRPr="009A452D">
        <w:t>Although ride-hailing companies undoubtedly collect user information and detailed trip characteristics, such data is usually not shared due to privacy concerns and proprietary value. There is, therefore, a significant gap in knowledge regarding the characteristics of ride-hailing trips and users, and this study employs a data fusion exercise in an effort to shed deep insights about these asp</w:t>
      </w:r>
      <w:r w:rsidR="005B0AD3">
        <w:t xml:space="preserve">ects of ride-hailing services. </w:t>
      </w:r>
      <w:r w:rsidR="003052C2" w:rsidRPr="009A452D">
        <w:t xml:space="preserve">In particular, the study involves the use of data on more than one million trips undertaken using </w:t>
      </w:r>
      <w:proofErr w:type="spellStart"/>
      <w:r w:rsidR="003052C2" w:rsidRPr="009A452D">
        <w:t>RideAustin</w:t>
      </w:r>
      <w:proofErr w:type="spellEnd"/>
      <w:r w:rsidR="003052C2" w:rsidRPr="009A452D">
        <w:t xml:space="preserve">, a ride-hailing </w:t>
      </w:r>
      <w:r w:rsidR="004A417B" w:rsidRPr="009A452D">
        <w:t>company</w:t>
      </w:r>
      <w:r w:rsidR="00262F21" w:rsidRPr="009A452D">
        <w:t xml:space="preserve"> that</w:t>
      </w:r>
      <w:r w:rsidR="003052C2" w:rsidRPr="009A452D">
        <w:t xml:space="preserve"> </w:t>
      </w:r>
      <w:r w:rsidR="008E39C5" w:rsidRPr="009A452D">
        <w:t xml:space="preserve">began </w:t>
      </w:r>
      <w:r w:rsidR="004A417B" w:rsidRPr="009A452D">
        <w:t>servicing</w:t>
      </w:r>
      <w:r w:rsidR="008E39C5" w:rsidRPr="009A452D">
        <w:t xml:space="preserve"> </w:t>
      </w:r>
      <w:r w:rsidR="003052C2" w:rsidRPr="009A452D">
        <w:t>the Austin, Texas metropolitan area</w:t>
      </w:r>
      <w:r w:rsidR="008E39C5" w:rsidRPr="009A452D">
        <w:t xml:space="preserve"> </w:t>
      </w:r>
      <w:r w:rsidR="006E6224" w:rsidRPr="009A452D">
        <w:t xml:space="preserve">during a period </w:t>
      </w:r>
      <w:r w:rsidR="003052C2" w:rsidRPr="009A452D">
        <w:t xml:space="preserve">when the bigger service providers, Uber and Lyft, </w:t>
      </w:r>
      <w:r w:rsidR="006E6224" w:rsidRPr="009A452D">
        <w:t xml:space="preserve">had temporarily </w:t>
      </w:r>
      <w:r w:rsidR="009A3A12" w:rsidRPr="009A452D">
        <w:t>ceased</w:t>
      </w:r>
      <w:r w:rsidR="003052C2" w:rsidRPr="009A452D">
        <w:t xml:space="preserve"> operati</w:t>
      </w:r>
      <w:r w:rsidR="009A3A12" w:rsidRPr="009A452D">
        <w:t>ons</w:t>
      </w:r>
      <w:r w:rsidR="003052C2" w:rsidRPr="009A452D">
        <w:t xml:space="preserve"> in the region.  The trip data furnished by </w:t>
      </w:r>
      <w:proofErr w:type="spellStart"/>
      <w:r w:rsidR="003052C2" w:rsidRPr="009A452D">
        <w:t>RideAustin</w:t>
      </w:r>
      <w:proofErr w:type="spellEnd"/>
      <w:r w:rsidR="003052C2" w:rsidRPr="009A452D">
        <w:t xml:space="preserve"> does not contain any information about trip purpose or the traveler.  In order to infer trip purpose, the </w:t>
      </w:r>
      <w:r w:rsidR="009A2742" w:rsidRPr="009A452D">
        <w:t xml:space="preserve">fuzzy </w:t>
      </w:r>
      <w:r w:rsidR="003052C2" w:rsidRPr="009A452D">
        <w:t xml:space="preserve">location coordinates are superimposed on a parcel map to check land use characteristics of </w:t>
      </w:r>
      <w:r w:rsidR="005B0AD3">
        <w:t xml:space="preserve">trip origins and destinations. </w:t>
      </w:r>
      <w:r w:rsidR="009A2742" w:rsidRPr="009A452D">
        <w:t>T</w:t>
      </w:r>
      <w:r w:rsidR="003052C2" w:rsidRPr="009A452D">
        <w:t xml:space="preserve">rip coordinates of frequent users are mapped </w:t>
      </w:r>
      <w:r w:rsidR="009A2742" w:rsidRPr="009A452D">
        <w:t xml:space="preserve">in order to infer home locations; and the inferred home location information is fused with census block group data to </w:t>
      </w:r>
      <w:r w:rsidR="00E86CC5" w:rsidRPr="009A452D">
        <w:t xml:space="preserve">impute </w:t>
      </w:r>
      <w:r w:rsidR="00FA5C1C" w:rsidRPr="009A452D">
        <w:t xml:space="preserve">users’ </w:t>
      </w:r>
      <w:r w:rsidR="009A2742" w:rsidRPr="009A452D">
        <w:t xml:space="preserve">characteristics. Through such data fusion exercises, this study aims to provide detailed profiles of ride-hailing service users, at least in the context of </w:t>
      </w:r>
      <w:proofErr w:type="spellStart"/>
      <w:r w:rsidR="009A2742" w:rsidRPr="009A452D">
        <w:t>RideAustin</w:t>
      </w:r>
      <w:proofErr w:type="spellEnd"/>
      <w:r w:rsidR="009A2742" w:rsidRPr="009A452D">
        <w:t xml:space="preserve">.  </w:t>
      </w:r>
    </w:p>
    <w:p w:rsidR="007C2C17" w:rsidRPr="009A452D" w:rsidRDefault="007C2C17" w:rsidP="004A3ED5">
      <w:pPr>
        <w:ind w:firstLine="720"/>
      </w:pPr>
      <w:r w:rsidRPr="009A452D">
        <w:t>The results of the data fusion exercise are used to draw some conclusions on the nature of ride-hailing trips and users.</w:t>
      </w:r>
      <w:r w:rsidR="00C025C4" w:rsidRPr="009A452D">
        <w:t xml:space="preserve"> In order to characterize and understand factors that contribute to various types of ride-hailing trips, a multivariate ordered </w:t>
      </w:r>
      <w:proofErr w:type="spellStart"/>
      <w:r w:rsidR="00C025C4" w:rsidRPr="009A452D">
        <w:t>probit</w:t>
      </w:r>
      <w:proofErr w:type="spellEnd"/>
      <w:r w:rsidR="00C025C4" w:rsidRPr="009A452D">
        <w:t xml:space="preserve"> model is estimated and presented; this model essentially estimates the number of ride-hailing trips for each purpose (location) while accounting for error correlations that may exist across trip purposes</w:t>
      </w:r>
      <w:r w:rsidR="00BB7F39" w:rsidRPr="009A452D">
        <w:t xml:space="preserve">.  </w:t>
      </w:r>
    </w:p>
    <w:p w:rsidR="00D54B41" w:rsidRDefault="007C2C17" w:rsidP="002C31FB">
      <w:r w:rsidRPr="009A452D">
        <w:tab/>
        <w:t xml:space="preserve">The remainder of this paper is organized as follows.  The next section offers a more detailed review of recent </w:t>
      </w:r>
      <w:r w:rsidR="00F233C6" w:rsidRPr="009A452D">
        <w:t xml:space="preserve">literature. </w:t>
      </w:r>
      <w:r w:rsidR="00EE7871" w:rsidRPr="009A452D">
        <w:t xml:space="preserve">Section 3 offers a description of the </w:t>
      </w:r>
      <w:proofErr w:type="spellStart"/>
      <w:r w:rsidR="00EE7871" w:rsidRPr="009A452D">
        <w:t>RideAustin</w:t>
      </w:r>
      <w:proofErr w:type="spellEnd"/>
      <w:r w:rsidR="00EE7871" w:rsidRPr="009A452D">
        <w:t xml:space="preserve"> data, </w:t>
      </w:r>
      <w:r w:rsidR="004D3978" w:rsidRPr="009A452D">
        <w:t xml:space="preserve">and </w:t>
      </w:r>
      <w:r w:rsidR="00EE7871" w:rsidRPr="009A452D">
        <w:t xml:space="preserve">the data fusion methodology adopted in this study. </w:t>
      </w:r>
      <w:r w:rsidR="004D3978" w:rsidRPr="009A452D">
        <w:t>Section 4</w:t>
      </w:r>
      <w:r w:rsidR="00600413" w:rsidRPr="009A452D">
        <w:t xml:space="preserve"> presents a descriptive characterization o</w:t>
      </w:r>
      <w:r w:rsidR="00F233C6" w:rsidRPr="009A452D">
        <w:t xml:space="preserve">f ride-hailing trips. </w:t>
      </w:r>
      <w:r w:rsidR="004D3978" w:rsidRPr="009A452D">
        <w:t>Section 5</w:t>
      </w:r>
      <w:r w:rsidR="00600413" w:rsidRPr="009A452D">
        <w:t xml:space="preserve"> </w:t>
      </w:r>
      <w:r w:rsidR="004D3978" w:rsidRPr="009A452D">
        <w:t>describes the modeling effort undertaken in this study</w:t>
      </w:r>
      <w:r w:rsidR="00600413" w:rsidRPr="009A452D">
        <w:t>. Conclusions are presented in Se</w:t>
      </w:r>
      <w:r w:rsidR="004D3978" w:rsidRPr="009A452D">
        <w:t>ction 6</w:t>
      </w:r>
      <w:r w:rsidR="00600413" w:rsidRPr="009A452D">
        <w:t xml:space="preserve">. </w:t>
      </w:r>
      <w:r w:rsidRPr="009A452D">
        <w:t xml:space="preserve"> </w:t>
      </w:r>
    </w:p>
    <w:p w:rsidR="005E391A" w:rsidRPr="009A452D" w:rsidRDefault="005E391A" w:rsidP="002C31FB"/>
    <w:p w:rsidR="00914693" w:rsidRPr="009A452D" w:rsidRDefault="00D54B41" w:rsidP="005E391A">
      <w:pPr>
        <w:pStyle w:val="Heading1"/>
        <w:keepNext w:val="0"/>
        <w:keepLines w:val="0"/>
        <w:spacing w:before="0"/>
        <w:ind w:left="450" w:hanging="450"/>
        <w:rPr>
          <w:caps/>
          <w:smallCaps w:val="0"/>
          <w:sz w:val="24"/>
        </w:rPr>
      </w:pPr>
      <w:r w:rsidRPr="009A452D">
        <w:rPr>
          <w:caps/>
          <w:smallCaps w:val="0"/>
          <w:sz w:val="24"/>
        </w:rPr>
        <w:t xml:space="preserve">Review of </w:t>
      </w:r>
      <w:r w:rsidR="00C869A4" w:rsidRPr="009A452D">
        <w:rPr>
          <w:caps/>
          <w:smallCaps w:val="0"/>
          <w:sz w:val="24"/>
        </w:rPr>
        <w:t>R</w:t>
      </w:r>
      <w:r w:rsidRPr="009A452D">
        <w:rPr>
          <w:caps/>
          <w:smallCaps w:val="0"/>
          <w:sz w:val="24"/>
        </w:rPr>
        <w:t xml:space="preserve">ecent </w:t>
      </w:r>
      <w:r w:rsidR="00C869A4" w:rsidRPr="009A452D">
        <w:rPr>
          <w:caps/>
          <w:smallCaps w:val="0"/>
          <w:sz w:val="24"/>
        </w:rPr>
        <w:t>W</w:t>
      </w:r>
      <w:r w:rsidRPr="009A452D">
        <w:rPr>
          <w:caps/>
          <w:smallCaps w:val="0"/>
          <w:sz w:val="24"/>
        </w:rPr>
        <w:t xml:space="preserve">ork on </w:t>
      </w:r>
      <w:r w:rsidR="00C869A4" w:rsidRPr="009A452D">
        <w:rPr>
          <w:caps/>
          <w:smallCaps w:val="0"/>
          <w:sz w:val="24"/>
        </w:rPr>
        <w:t>R</w:t>
      </w:r>
      <w:r w:rsidRPr="009A452D">
        <w:rPr>
          <w:caps/>
          <w:smallCaps w:val="0"/>
          <w:sz w:val="24"/>
        </w:rPr>
        <w:t>ide-</w:t>
      </w:r>
      <w:r w:rsidR="00C869A4" w:rsidRPr="009A452D">
        <w:rPr>
          <w:caps/>
          <w:smallCaps w:val="0"/>
          <w:sz w:val="24"/>
        </w:rPr>
        <w:t>H</w:t>
      </w:r>
      <w:r w:rsidRPr="009A452D">
        <w:rPr>
          <w:caps/>
          <w:smallCaps w:val="0"/>
          <w:sz w:val="24"/>
        </w:rPr>
        <w:t xml:space="preserve">ailing </w:t>
      </w:r>
      <w:r w:rsidR="00C869A4" w:rsidRPr="009A452D">
        <w:rPr>
          <w:caps/>
          <w:smallCaps w:val="0"/>
          <w:sz w:val="24"/>
        </w:rPr>
        <w:t>S</w:t>
      </w:r>
      <w:r w:rsidRPr="009A452D">
        <w:rPr>
          <w:caps/>
          <w:smallCaps w:val="0"/>
          <w:sz w:val="24"/>
        </w:rPr>
        <w:t xml:space="preserve">ervice </w:t>
      </w:r>
      <w:r w:rsidR="00C869A4" w:rsidRPr="009A452D">
        <w:rPr>
          <w:caps/>
          <w:smallCaps w:val="0"/>
          <w:sz w:val="24"/>
        </w:rPr>
        <w:t>U</w:t>
      </w:r>
      <w:r w:rsidRPr="009A452D">
        <w:rPr>
          <w:caps/>
          <w:smallCaps w:val="0"/>
          <w:sz w:val="24"/>
        </w:rPr>
        <w:t>sage</w:t>
      </w:r>
    </w:p>
    <w:p w:rsidR="005F7D8E" w:rsidRPr="009A452D" w:rsidRDefault="005F7D8E" w:rsidP="005E391A">
      <w:r w:rsidRPr="009A452D">
        <w:t xml:space="preserve">It should be recognized that a growing body of literature has been devoted to the study of ride-hailing services.  </w:t>
      </w:r>
      <w:r w:rsidR="009A35A6" w:rsidRPr="009A452D">
        <w:t>Given the scarcity of publicly available</w:t>
      </w:r>
      <w:r w:rsidRPr="009A452D">
        <w:t xml:space="preserve"> data from service providers, many studies rely on specialized user surveys (</w:t>
      </w:r>
      <w:r w:rsidR="008628B8" w:rsidRPr="008628B8">
        <w:rPr>
          <w:i/>
        </w:rPr>
        <w:t>3</w:t>
      </w:r>
      <w:r w:rsidRPr="009A452D">
        <w:t>) or special purpose online surveys (</w:t>
      </w:r>
      <w:r w:rsidR="008628B8" w:rsidRPr="008628B8">
        <w:rPr>
          <w:i/>
        </w:rPr>
        <w:t>4-8</w:t>
      </w:r>
      <w:r w:rsidRPr="009A452D">
        <w:t>). Other studies have utilized the limited information available in large scale household travel surveys (</w:t>
      </w:r>
      <w:r w:rsidR="008628B8" w:rsidRPr="008628B8">
        <w:rPr>
          <w:i/>
        </w:rPr>
        <w:t>9</w:t>
      </w:r>
      <w:r w:rsidR="008628B8">
        <w:t xml:space="preserve">, </w:t>
      </w:r>
      <w:r w:rsidR="008628B8" w:rsidRPr="008628B8">
        <w:rPr>
          <w:i/>
        </w:rPr>
        <w:t>10</w:t>
      </w:r>
      <w:r w:rsidRPr="009A452D">
        <w:t>) or aggregate data released by service providers (</w:t>
      </w:r>
      <w:r w:rsidR="008628B8" w:rsidRPr="008628B8">
        <w:rPr>
          <w:i/>
        </w:rPr>
        <w:t>11</w:t>
      </w:r>
      <w:r w:rsidR="008628B8">
        <w:t xml:space="preserve">, </w:t>
      </w:r>
      <w:r w:rsidR="008628B8" w:rsidRPr="008628B8">
        <w:rPr>
          <w:i/>
        </w:rPr>
        <w:t>12</w:t>
      </w:r>
      <w:r w:rsidRPr="009A452D">
        <w:t xml:space="preserve">).  More recently, some studies have begun to </w:t>
      </w:r>
      <w:r w:rsidRPr="009A452D">
        <w:lastRenderedPageBreak/>
        <w:t>utilize data released by ride-hailing companies (</w:t>
      </w:r>
      <w:r w:rsidR="00133D9B" w:rsidRPr="00133D9B">
        <w:rPr>
          <w:i/>
        </w:rPr>
        <w:t>13-17</w:t>
      </w:r>
      <w:r w:rsidRPr="009A452D">
        <w:t xml:space="preserve">). </w:t>
      </w:r>
      <w:r w:rsidR="00C869A4" w:rsidRPr="009A452D">
        <w:t>A few of these prior studies are discussed in greater detail in this section</w:t>
      </w:r>
      <w:r w:rsidR="004564C6" w:rsidRPr="009A452D">
        <w:t xml:space="preserve">. </w:t>
      </w:r>
    </w:p>
    <w:p w:rsidR="00C025C4" w:rsidRPr="009A452D" w:rsidRDefault="00C025C4" w:rsidP="004A3ED5">
      <w:pPr>
        <w:ind w:firstLine="720"/>
      </w:pPr>
      <w:proofErr w:type="spellStart"/>
      <w:r w:rsidRPr="009A452D">
        <w:t>Kooti</w:t>
      </w:r>
      <w:proofErr w:type="spellEnd"/>
      <w:r w:rsidRPr="009A452D">
        <w:t xml:space="preserve"> et al</w:t>
      </w:r>
      <w:r w:rsidR="00133D9B">
        <w:t>.</w:t>
      </w:r>
      <w:r w:rsidRPr="009A452D">
        <w:t xml:space="preserve"> (</w:t>
      </w:r>
      <w:r w:rsidR="00133D9B" w:rsidRPr="00133D9B">
        <w:rPr>
          <w:i/>
        </w:rPr>
        <w:t>13</w:t>
      </w:r>
      <w:r w:rsidRPr="009A452D">
        <w:t>) analyze large scale data covering 59 million ride</w:t>
      </w:r>
      <w:r w:rsidR="005B0AD3">
        <w:t xml:space="preserve">s over a span of seven months. </w:t>
      </w:r>
      <w:r w:rsidRPr="009A452D">
        <w:t>The data were extracted from e-mail receipts sent by Uber and collected on Yahoo servers, allowing the researchers to examine the role of demographics (e.g., age and gender) on participation in the rid</w:t>
      </w:r>
      <w:r w:rsidR="005B0AD3">
        <w:t xml:space="preserve">e-sharing economy. </w:t>
      </w:r>
      <w:r w:rsidRPr="009A452D">
        <w:t xml:space="preserve">They also examine the influence of surge pricing and income on ride-hailing service usage and present comparisons of usage patterns by </w:t>
      </w:r>
      <w:r w:rsidR="00133D9B">
        <w:t xml:space="preserve">age group, gender, and income. </w:t>
      </w:r>
      <w:proofErr w:type="spellStart"/>
      <w:r w:rsidRPr="009A452D">
        <w:t>Gerte</w:t>
      </w:r>
      <w:proofErr w:type="spellEnd"/>
      <w:r w:rsidRPr="009A452D">
        <w:t xml:space="preserve"> et al</w:t>
      </w:r>
      <w:r w:rsidR="00133D9B">
        <w:t>.</w:t>
      </w:r>
      <w:r w:rsidRPr="009A452D">
        <w:t xml:space="preserve"> (</w:t>
      </w:r>
      <w:r w:rsidR="00133D9B" w:rsidRPr="00133D9B">
        <w:rPr>
          <w:i/>
        </w:rPr>
        <w:t>14</w:t>
      </w:r>
      <w:r w:rsidRPr="009A452D">
        <w:t xml:space="preserve">) used one year Uber data for New York City, aggregated by taxi zone and by week (weekly pick up counts per taxi zone in the </w:t>
      </w:r>
      <w:r w:rsidR="005B0AD3">
        <w:t>b</w:t>
      </w:r>
      <w:r w:rsidRPr="009A452D">
        <w:t xml:space="preserve">orough of Manhattan) to model ride-hailing trip generation. </w:t>
      </w:r>
    </w:p>
    <w:p w:rsidR="009F40C7" w:rsidRPr="009A452D" w:rsidRDefault="00920C70" w:rsidP="004A3ED5">
      <w:r w:rsidRPr="009A452D">
        <w:tab/>
      </w:r>
      <w:proofErr w:type="spellStart"/>
      <w:r w:rsidRPr="009A452D">
        <w:t>Lavieri</w:t>
      </w:r>
      <w:proofErr w:type="spellEnd"/>
      <w:r w:rsidRPr="009A452D">
        <w:t xml:space="preserve"> et al</w:t>
      </w:r>
      <w:r w:rsidR="00133D9B">
        <w:t>.</w:t>
      </w:r>
      <w:r w:rsidRPr="009A452D">
        <w:t xml:space="preserve"> (</w:t>
      </w:r>
      <w:r w:rsidR="00133D9B" w:rsidRPr="00133D9B">
        <w:rPr>
          <w:i/>
        </w:rPr>
        <w:t>16</w:t>
      </w:r>
      <w:r w:rsidRPr="009A452D">
        <w:t>) used six</w:t>
      </w:r>
      <w:r w:rsidR="00CB49E6" w:rsidRPr="009A452D">
        <w:t xml:space="preserve"> </w:t>
      </w:r>
      <w:r w:rsidR="008659E4" w:rsidRPr="009A452D">
        <w:t>months</w:t>
      </w:r>
      <w:r w:rsidR="00875583" w:rsidRPr="009A452D">
        <w:t>’</w:t>
      </w:r>
      <w:r w:rsidR="008659E4" w:rsidRPr="009A452D">
        <w:t xml:space="preserve"> worth</w:t>
      </w:r>
      <w:r w:rsidR="00CB49E6" w:rsidRPr="009A452D">
        <w:t xml:space="preserve"> of</w:t>
      </w:r>
      <w:r w:rsidRPr="009A452D">
        <w:t xml:space="preserve"> trip data from </w:t>
      </w:r>
      <w:r w:rsidR="00AA2630">
        <w:t xml:space="preserve">an </w:t>
      </w:r>
      <w:r w:rsidRPr="009A452D">
        <w:t xml:space="preserve">Austin-based ride-hailing company, </w:t>
      </w:r>
      <w:proofErr w:type="spellStart"/>
      <w:r w:rsidRPr="009A452D">
        <w:t>RideAustin</w:t>
      </w:r>
      <w:proofErr w:type="spellEnd"/>
      <w:r w:rsidRPr="009A452D">
        <w:t>, together with secondary data sets such as traffic analysis zone (TAZ) level demographic data, census data, and General Transit Feed Specification (GTFS) data, to estimate a spatially lagged multivariate count model</w:t>
      </w:r>
      <w:r w:rsidR="00E17383" w:rsidRPr="009A452D">
        <w:t>,</w:t>
      </w:r>
      <w:r w:rsidRPr="009A452D">
        <w:t xml:space="preserve"> which </w:t>
      </w:r>
      <w:r w:rsidR="00AA2630">
        <w:t>was</w:t>
      </w:r>
      <w:r w:rsidRPr="009A452D">
        <w:t xml:space="preserve"> used to estimate the number of trips generated in a specific zone</w:t>
      </w:r>
      <w:r w:rsidR="00EF44FC" w:rsidRPr="009A452D">
        <w:t>,</w:t>
      </w:r>
      <w:r w:rsidRPr="009A452D">
        <w:t xml:space="preserve"> and a fractional split model to spatially allocate the trips based on the characteristics of candidate destination zones th</w:t>
      </w:r>
      <w:r w:rsidR="00133D9B">
        <w:t xml:space="preserve">at attract ride-hailing trips. </w:t>
      </w:r>
      <w:proofErr w:type="spellStart"/>
      <w:r w:rsidRPr="009A452D">
        <w:t>Komanduri</w:t>
      </w:r>
      <w:proofErr w:type="spellEnd"/>
      <w:r w:rsidRPr="009A452D">
        <w:t xml:space="preserve"> et al</w:t>
      </w:r>
      <w:r w:rsidR="00133D9B">
        <w:t>.</w:t>
      </w:r>
      <w:r w:rsidRPr="009A452D">
        <w:t xml:space="preserve"> (</w:t>
      </w:r>
      <w:r w:rsidR="00133D9B" w:rsidRPr="00133D9B">
        <w:rPr>
          <w:i/>
        </w:rPr>
        <w:t>15</w:t>
      </w:r>
      <w:r w:rsidRPr="009A452D">
        <w:t xml:space="preserve">) conduct an exploratory analysis of the same </w:t>
      </w:r>
      <w:proofErr w:type="spellStart"/>
      <w:r w:rsidRPr="009A452D">
        <w:t>RideAustin</w:t>
      </w:r>
      <w:proofErr w:type="spellEnd"/>
      <w:r w:rsidRPr="009A452D">
        <w:t xml:space="preserve"> data and examine </w:t>
      </w:r>
      <w:r w:rsidR="00EF44FC" w:rsidRPr="009A452D">
        <w:t xml:space="preserve">several characteristics of ride-hailing use, such as </w:t>
      </w:r>
      <w:r w:rsidRPr="009A452D">
        <w:t>trip-making patterns by month and day of the week</w:t>
      </w:r>
      <w:r w:rsidR="00EF44FC" w:rsidRPr="009A452D">
        <w:t>; and</w:t>
      </w:r>
      <w:r w:rsidRPr="009A452D">
        <w:t xml:space="preserve"> average trip distances and durations. Zheng et al</w:t>
      </w:r>
      <w:r w:rsidR="00133D9B">
        <w:t>.</w:t>
      </w:r>
      <w:r w:rsidRPr="009A452D">
        <w:t xml:space="preserve"> (</w:t>
      </w:r>
      <w:r w:rsidR="00133D9B" w:rsidRPr="00133D9B">
        <w:rPr>
          <w:i/>
        </w:rPr>
        <w:t>17</w:t>
      </w:r>
      <w:r w:rsidRPr="009A452D">
        <w:t xml:space="preserve">) use ride-hailing data provided by </w:t>
      </w:r>
      <w:proofErr w:type="spellStart"/>
      <w:r w:rsidRPr="009A452D">
        <w:t>DiDi</w:t>
      </w:r>
      <w:proofErr w:type="spellEnd"/>
      <w:r w:rsidRPr="009A452D">
        <w:t xml:space="preserve"> (based in China) and questionnaire data collected from passengers to explore the short, medium, and long-term impacts of ride-hailing on personal vehicle usage and vehicle ownership. </w:t>
      </w:r>
    </w:p>
    <w:p w:rsidR="00920C70" w:rsidRPr="009A452D" w:rsidRDefault="005B7EE4" w:rsidP="004A3ED5">
      <w:pPr>
        <w:ind w:firstLine="720"/>
      </w:pPr>
      <w:r w:rsidRPr="009A452D">
        <w:t>In general, it appears that ride-hailing services not only serve as a substitute for traditional taxi, auto, and public transit trips</w:t>
      </w:r>
      <w:r w:rsidR="001752E3" w:rsidRPr="009A452D">
        <w:t xml:space="preserve"> (</w:t>
      </w:r>
      <w:r w:rsidR="00133D9B" w:rsidRPr="00133D9B">
        <w:rPr>
          <w:i/>
        </w:rPr>
        <w:t>3</w:t>
      </w:r>
      <w:r w:rsidR="00133D9B">
        <w:t>,</w:t>
      </w:r>
      <w:r w:rsidR="001752E3" w:rsidRPr="009A452D">
        <w:t xml:space="preserve"> </w:t>
      </w:r>
      <w:r w:rsidR="00133D9B" w:rsidRPr="00133D9B">
        <w:rPr>
          <w:i/>
        </w:rPr>
        <w:t>6</w:t>
      </w:r>
      <w:r w:rsidR="00133D9B">
        <w:t>,</w:t>
      </w:r>
      <w:r w:rsidR="001752E3" w:rsidRPr="009A452D">
        <w:t xml:space="preserve"> </w:t>
      </w:r>
      <w:r w:rsidR="00133D9B" w:rsidRPr="00133D9B">
        <w:rPr>
          <w:i/>
        </w:rPr>
        <w:t>8</w:t>
      </w:r>
      <w:r w:rsidR="00133D9B">
        <w:t>,</w:t>
      </w:r>
      <w:r w:rsidR="001752E3" w:rsidRPr="009A452D">
        <w:t xml:space="preserve"> </w:t>
      </w:r>
      <w:r w:rsidR="00133D9B" w:rsidRPr="00133D9B">
        <w:rPr>
          <w:i/>
        </w:rPr>
        <w:t>17</w:t>
      </w:r>
      <w:r w:rsidR="001752E3" w:rsidRPr="009A452D">
        <w:t>)</w:t>
      </w:r>
      <w:r w:rsidRPr="009A452D">
        <w:t xml:space="preserve">, but also induce new trips that would not have taken place in the absence of such services. </w:t>
      </w:r>
      <w:r w:rsidR="001752E3" w:rsidRPr="009A452D">
        <w:t xml:space="preserve"> </w:t>
      </w:r>
      <w:proofErr w:type="spellStart"/>
      <w:r w:rsidR="001752E3" w:rsidRPr="009A452D">
        <w:t>Rayle</w:t>
      </w:r>
      <w:proofErr w:type="spellEnd"/>
      <w:r w:rsidR="001752E3" w:rsidRPr="009A452D">
        <w:t xml:space="preserve"> et al</w:t>
      </w:r>
      <w:r w:rsidR="00133D9B">
        <w:t>.</w:t>
      </w:r>
      <w:r w:rsidR="00340503" w:rsidRPr="009A452D">
        <w:t xml:space="preserve"> (</w:t>
      </w:r>
      <w:r w:rsidR="00133D9B" w:rsidRPr="00133D9B">
        <w:rPr>
          <w:i/>
        </w:rPr>
        <w:t>3</w:t>
      </w:r>
      <w:r w:rsidR="001752E3" w:rsidRPr="009A452D">
        <w:t>) report</w:t>
      </w:r>
      <w:r w:rsidR="00340503" w:rsidRPr="009A452D">
        <w:t>s</w:t>
      </w:r>
      <w:r w:rsidR="001752E3" w:rsidRPr="009A452D">
        <w:t xml:space="preserve"> that around eight percent of users indicated that their last ride-hailing trip would not have been performed if t</w:t>
      </w:r>
      <w:r w:rsidR="00133D9B">
        <w:t xml:space="preserve">he service were not available. </w:t>
      </w:r>
      <w:proofErr w:type="spellStart"/>
      <w:r w:rsidR="001752E3" w:rsidRPr="009A452D">
        <w:t>Lavieri</w:t>
      </w:r>
      <w:proofErr w:type="spellEnd"/>
      <w:r w:rsidR="001752E3" w:rsidRPr="009A452D">
        <w:t xml:space="preserve"> and Bhat (</w:t>
      </w:r>
      <w:r w:rsidR="00133D9B" w:rsidRPr="00133D9B">
        <w:rPr>
          <w:i/>
        </w:rPr>
        <w:t>8</w:t>
      </w:r>
      <w:r w:rsidR="001752E3" w:rsidRPr="009A452D">
        <w:t xml:space="preserve">) report that six percent of the ride-hailing trips in their sample were induced, and most of them had </w:t>
      </w:r>
      <w:r w:rsidR="00F233C6" w:rsidRPr="009A452D">
        <w:t xml:space="preserve">shopping/errand trip purposes. </w:t>
      </w:r>
      <w:r w:rsidRPr="009A452D">
        <w:t xml:space="preserve">There is </w:t>
      </w:r>
      <w:r w:rsidR="00A57273" w:rsidRPr="009A452D">
        <w:t xml:space="preserve">also </w:t>
      </w:r>
      <w:r w:rsidRPr="009A452D">
        <w:t>some evidence to suggest that ride-hailing services are used to compensate for poor transit access and level of service (</w:t>
      </w:r>
      <w:r w:rsidR="00133D9B" w:rsidRPr="00133D9B">
        <w:rPr>
          <w:i/>
        </w:rPr>
        <w:t>5</w:t>
      </w:r>
      <w:r w:rsidR="00133D9B">
        <w:t xml:space="preserve">, </w:t>
      </w:r>
      <w:r w:rsidR="00133D9B" w:rsidRPr="00133D9B">
        <w:rPr>
          <w:i/>
        </w:rPr>
        <w:t>16</w:t>
      </w:r>
      <w:r w:rsidRPr="009A452D">
        <w:t xml:space="preserve">). </w:t>
      </w:r>
    </w:p>
    <w:p w:rsidR="001752E3" w:rsidRPr="009A452D" w:rsidRDefault="005B7EE4" w:rsidP="002C31FB">
      <w:r w:rsidRPr="009A452D">
        <w:tab/>
        <w:t>A few studies have attempted to characterize users of ride-hailing services and the types of trips that they are u</w:t>
      </w:r>
      <w:r w:rsidR="00F233C6" w:rsidRPr="009A452D">
        <w:t xml:space="preserve">ndertaking </w:t>
      </w:r>
      <w:r w:rsidR="007C04E7" w:rsidRPr="009A452D">
        <w:t xml:space="preserve">when </w:t>
      </w:r>
      <w:r w:rsidR="00F233C6" w:rsidRPr="009A452D">
        <w:t xml:space="preserve">using the services. </w:t>
      </w:r>
      <w:r w:rsidRPr="009A452D">
        <w:t xml:space="preserve">Although there are some disparate findings reported in the literature, the general pattern </w:t>
      </w:r>
      <w:r w:rsidR="001752E3" w:rsidRPr="009A452D">
        <w:t>reported in various studies is that ride-hailing services are used to a greater degree by younger adults (18-30 years), individuals residing in urban areas, those with a college education, and people residing in medium to high income households (</w:t>
      </w:r>
      <w:r w:rsidR="00133D9B" w:rsidRPr="00133D9B">
        <w:rPr>
          <w:i/>
        </w:rPr>
        <w:t>4</w:t>
      </w:r>
      <w:r w:rsidR="00133D9B">
        <w:t>,</w:t>
      </w:r>
      <w:r w:rsidR="001752E3" w:rsidRPr="009A452D">
        <w:t xml:space="preserve"> </w:t>
      </w:r>
      <w:r w:rsidR="00133D9B" w:rsidRPr="00133D9B">
        <w:rPr>
          <w:i/>
        </w:rPr>
        <w:t>5</w:t>
      </w:r>
      <w:r w:rsidR="00133D9B">
        <w:t>,</w:t>
      </w:r>
      <w:r w:rsidR="001752E3" w:rsidRPr="009A452D">
        <w:t xml:space="preserve"> </w:t>
      </w:r>
      <w:r w:rsidR="00133D9B" w:rsidRPr="00133D9B">
        <w:rPr>
          <w:i/>
        </w:rPr>
        <w:t>9</w:t>
      </w:r>
      <w:r w:rsidR="00133D9B">
        <w:t>,</w:t>
      </w:r>
      <w:r w:rsidR="001752E3" w:rsidRPr="009A452D">
        <w:t xml:space="preserve"> </w:t>
      </w:r>
      <w:r w:rsidR="00133D9B" w:rsidRPr="00133D9B">
        <w:rPr>
          <w:i/>
        </w:rPr>
        <w:t>13</w:t>
      </w:r>
      <w:r w:rsidR="00133D9B">
        <w:t xml:space="preserve">). </w:t>
      </w:r>
      <w:r w:rsidR="001752E3" w:rsidRPr="009A452D">
        <w:t>The evidence suggests that the majority of ride-hailing users own personal vehicles (</w:t>
      </w:r>
      <w:r w:rsidR="00133D9B" w:rsidRPr="00133D9B">
        <w:rPr>
          <w:i/>
        </w:rPr>
        <w:t>4</w:t>
      </w:r>
      <w:r w:rsidR="00133D9B">
        <w:t xml:space="preserve">, </w:t>
      </w:r>
      <w:r w:rsidR="00133D9B" w:rsidRPr="00133D9B">
        <w:rPr>
          <w:i/>
        </w:rPr>
        <w:t>9</w:t>
      </w:r>
      <w:r w:rsidR="001752E3" w:rsidRPr="009A452D">
        <w:t>), but vehicle ownership is lower among frequent users of ride-hailing services (</w:t>
      </w:r>
      <w:r w:rsidR="00133D9B" w:rsidRPr="00133D9B">
        <w:rPr>
          <w:i/>
        </w:rPr>
        <w:t>4</w:t>
      </w:r>
      <w:r w:rsidR="00133D9B">
        <w:t xml:space="preserve">, </w:t>
      </w:r>
      <w:r w:rsidR="00133D9B" w:rsidRPr="00133D9B">
        <w:rPr>
          <w:i/>
        </w:rPr>
        <w:t>6</w:t>
      </w:r>
      <w:r w:rsidR="00133D9B">
        <w:t xml:space="preserve">, </w:t>
      </w:r>
      <w:r w:rsidR="00133D9B" w:rsidRPr="00133D9B">
        <w:rPr>
          <w:i/>
        </w:rPr>
        <w:t>8</w:t>
      </w:r>
      <w:r w:rsidR="00133D9B">
        <w:t>).</w:t>
      </w:r>
      <w:r w:rsidR="001752E3" w:rsidRPr="009A452D">
        <w:t xml:space="preserve"> Additionally, when asked if they had made the choice to dispose one or more vehicles, frequent users were more likely to answer in the affirmative (</w:t>
      </w:r>
      <w:r w:rsidR="00133D9B" w:rsidRPr="00133D9B">
        <w:rPr>
          <w:i/>
        </w:rPr>
        <w:t>5</w:t>
      </w:r>
      <w:r w:rsidR="001752E3" w:rsidRPr="009A452D">
        <w:t>).</w:t>
      </w:r>
    </w:p>
    <w:p w:rsidR="00A57273" w:rsidRPr="009A452D" w:rsidRDefault="001752E3" w:rsidP="002C31FB">
      <w:r w:rsidRPr="009A452D">
        <w:tab/>
        <w:t>Ride-hailing services appear to be most used for trips that are social-recreational in nature (</w:t>
      </w:r>
      <w:r w:rsidR="00133D9B" w:rsidRPr="00133D9B">
        <w:rPr>
          <w:i/>
        </w:rPr>
        <w:t>3</w:t>
      </w:r>
      <w:r w:rsidR="00133D9B">
        <w:t xml:space="preserve">, </w:t>
      </w:r>
      <w:r w:rsidR="00133D9B" w:rsidRPr="00133D9B">
        <w:rPr>
          <w:i/>
        </w:rPr>
        <w:t>7</w:t>
      </w:r>
      <w:r w:rsidR="00133D9B">
        <w:t xml:space="preserve">, </w:t>
      </w:r>
      <w:proofErr w:type="gramStart"/>
      <w:r w:rsidR="00133D9B" w:rsidRPr="00133D9B">
        <w:rPr>
          <w:i/>
        </w:rPr>
        <w:t>8</w:t>
      </w:r>
      <w:proofErr w:type="gramEnd"/>
      <w:r w:rsidRPr="009A452D">
        <w:t>). For the cases where ride-hailing is being used as a substitute for driving a private car, the most frequent motivations include the desire to avoid the hassle of parking and/or to avoid driving while intoxicated (</w:t>
      </w:r>
      <w:r w:rsidR="00133D9B" w:rsidRPr="00133D9B">
        <w:rPr>
          <w:i/>
        </w:rPr>
        <w:t>5</w:t>
      </w:r>
      <w:r w:rsidRPr="009A452D">
        <w:t xml:space="preserve">). </w:t>
      </w:r>
      <w:proofErr w:type="spellStart"/>
      <w:r w:rsidRPr="009A452D">
        <w:t>Kooti</w:t>
      </w:r>
      <w:proofErr w:type="spellEnd"/>
      <w:r w:rsidRPr="009A452D">
        <w:t xml:space="preserve"> et al</w:t>
      </w:r>
      <w:r w:rsidR="00133D9B">
        <w:t>.</w:t>
      </w:r>
      <w:r w:rsidRPr="009A452D">
        <w:t xml:space="preserve"> (</w:t>
      </w:r>
      <w:r w:rsidR="00133D9B" w:rsidRPr="00133D9B">
        <w:rPr>
          <w:i/>
        </w:rPr>
        <w:t>13</w:t>
      </w:r>
      <w:r w:rsidRPr="009A452D">
        <w:t>) found that, although older riders use ride-hailing services less frequently than younger individuals, they tend to make longer trips and choose more expensive services.</w:t>
      </w:r>
    </w:p>
    <w:p w:rsidR="00A3534E" w:rsidRPr="009A452D" w:rsidRDefault="00A57273" w:rsidP="00A57273">
      <w:r w:rsidRPr="009A452D">
        <w:tab/>
        <w:t xml:space="preserve">Overall, it can be seen that there is a growing body of literature devoted to understanding the characteristics of and demand for trips by ride-hailing services.  This study aims to add further </w:t>
      </w:r>
      <w:r w:rsidRPr="009A452D">
        <w:lastRenderedPageBreak/>
        <w:t>insights in this domain by fusing publicly available ride-hailing trip data with secondary data sources.</w:t>
      </w:r>
    </w:p>
    <w:p w:rsidR="00A57273" w:rsidRPr="009A452D" w:rsidRDefault="00A57273" w:rsidP="00F233C6">
      <w:r w:rsidRPr="009A452D">
        <w:t xml:space="preserve"> </w:t>
      </w:r>
    </w:p>
    <w:p w:rsidR="006754F5" w:rsidRPr="009A452D" w:rsidRDefault="00153E69" w:rsidP="00F233C6">
      <w:pPr>
        <w:pStyle w:val="Heading1"/>
        <w:spacing w:before="0"/>
        <w:ind w:left="450" w:hanging="450"/>
        <w:rPr>
          <w:caps/>
          <w:smallCaps w:val="0"/>
          <w:sz w:val="24"/>
        </w:rPr>
      </w:pPr>
      <w:r w:rsidRPr="009A452D">
        <w:rPr>
          <w:caps/>
          <w:smallCaps w:val="0"/>
          <w:sz w:val="24"/>
        </w:rPr>
        <w:t>Data Description and Data Fusion Methodology</w:t>
      </w:r>
    </w:p>
    <w:p w:rsidR="00140E67" w:rsidRDefault="00A57273" w:rsidP="00DD77DA">
      <w:r w:rsidRPr="009A452D">
        <w:t xml:space="preserve">This section provides a description of the data sets used in this study and the data fusion methodology adopted to obtain a more complete profile and characterization of ride-hailing </w:t>
      </w:r>
      <w:r w:rsidR="00067D7C" w:rsidRPr="009A452D">
        <w:t>usage</w:t>
      </w:r>
      <w:r w:rsidRPr="009A452D">
        <w:t xml:space="preserve">. </w:t>
      </w:r>
      <w:r w:rsidR="00140E67" w:rsidRPr="009A452D">
        <w:t xml:space="preserve">A map of Austin’s central area can be seen in </w:t>
      </w:r>
      <w:r w:rsidR="00DD77DA">
        <w:t>Figure 1.</w:t>
      </w:r>
    </w:p>
    <w:p w:rsidR="005E391A" w:rsidRPr="009A452D" w:rsidRDefault="005E391A" w:rsidP="005B0AD3"/>
    <w:p w:rsidR="00153E69" w:rsidRPr="009A452D" w:rsidRDefault="00A57273" w:rsidP="00F233C6">
      <w:pPr>
        <w:pStyle w:val="Heading2"/>
        <w:spacing w:before="0"/>
        <w:ind w:left="450" w:hanging="450"/>
        <w:rPr>
          <w:smallCaps w:val="0"/>
        </w:rPr>
      </w:pPr>
      <w:r w:rsidRPr="009A452D">
        <w:rPr>
          <w:smallCaps w:val="0"/>
        </w:rPr>
        <w:t>Brief Description of D</w:t>
      </w:r>
      <w:r w:rsidR="00E4641B" w:rsidRPr="009A452D">
        <w:rPr>
          <w:smallCaps w:val="0"/>
        </w:rPr>
        <w:t>atasets</w:t>
      </w:r>
    </w:p>
    <w:p w:rsidR="001C279C" w:rsidRPr="009A452D" w:rsidRDefault="001C279C" w:rsidP="00F233C6">
      <w:r w:rsidRPr="009A452D">
        <w:t>Several public data sets were compiled to undertake the analysis</w:t>
      </w:r>
      <w:r w:rsidR="00C46832" w:rsidRPr="009A452D">
        <w:t xml:space="preserve"> in this paper.  They are as follows:</w:t>
      </w:r>
    </w:p>
    <w:p w:rsidR="00C46832" w:rsidRPr="009A452D" w:rsidRDefault="00C46832" w:rsidP="00F233C6"/>
    <w:p w:rsidR="005E391A" w:rsidRDefault="00C46832" w:rsidP="00F233C6">
      <w:pPr>
        <w:pStyle w:val="ListParagraph"/>
        <w:numPr>
          <w:ilvl w:val="0"/>
          <w:numId w:val="4"/>
        </w:numPr>
      </w:pPr>
      <w:proofErr w:type="spellStart"/>
      <w:r w:rsidRPr="009A452D">
        <w:rPr>
          <w:b/>
        </w:rPr>
        <w:t>RideAustin</w:t>
      </w:r>
      <w:proofErr w:type="spellEnd"/>
      <w:r w:rsidRPr="009A452D">
        <w:rPr>
          <w:b/>
        </w:rPr>
        <w:t xml:space="preserve"> D</w:t>
      </w:r>
      <w:r w:rsidR="009D0382" w:rsidRPr="009A452D">
        <w:rPr>
          <w:b/>
        </w:rPr>
        <w:t>ata</w:t>
      </w:r>
      <w:r w:rsidR="009D0382" w:rsidRPr="009A452D">
        <w:t>:</w:t>
      </w:r>
      <w:r w:rsidR="001C279C" w:rsidRPr="009A452D">
        <w:t xml:space="preserve"> </w:t>
      </w:r>
      <w:r w:rsidR="00EC564E" w:rsidRPr="009A452D">
        <w:t xml:space="preserve">The primary data source originated from </w:t>
      </w:r>
      <w:proofErr w:type="spellStart"/>
      <w:r w:rsidR="00EC564E" w:rsidRPr="009A452D">
        <w:t>RideAustin</w:t>
      </w:r>
      <w:proofErr w:type="spellEnd"/>
      <w:r w:rsidR="00EC564E" w:rsidRPr="009A452D">
        <w:t xml:space="preserve">, a ride-hailing company operating in Austin, Texas. </w:t>
      </w:r>
      <w:proofErr w:type="spellStart"/>
      <w:r w:rsidR="00EC564E" w:rsidRPr="009A452D">
        <w:t>RideAustin</w:t>
      </w:r>
      <w:proofErr w:type="spellEnd"/>
      <w:r w:rsidR="00EC564E" w:rsidRPr="009A452D">
        <w:t xml:space="preserve"> entered the market in </w:t>
      </w:r>
      <w:r w:rsidR="00522A55" w:rsidRPr="009A452D">
        <w:t xml:space="preserve">late May </w:t>
      </w:r>
      <w:r w:rsidR="00EC564E" w:rsidRPr="009A452D">
        <w:t xml:space="preserve">2016, shortly after Uber and Lyft shut down their operations in the city due to disputes over local regulations. </w:t>
      </w:r>
      <w:r w:rsidR="006F4DD9" w:rsidRPr="009A452D">
        <w:t xml:space="preserve">The </w:t>
      </w:r>
      <w:proofErr w:type="spellStart"/>
      <w:r w:rsidR="006F4DD9" w:rsidRPr="009A452D">
        <w:t>RideAustin</w:t>
      </w:r>
      <w:proofErr w:type="spellEnd"/>
      <w:r w:rsidR="006F4DD9" w:rsidRPr="009A452D">
        <w:t xml:space="preserve"> data (</w:t>
      </w:r>
      <w:r w:rsidR="00133D9B" w:rsidRPr="00133D9B">
        <w:rPr>
          <w:i/>
        </w:rPr>
        <w:t>18</w:t>
      </w:r>
      <w:r w:rsidR="006F4DD9" w:rsidRPr="009A452D">
        <w:t xml:space="preserve">) </w:t>
      </w:r>
      <w:r w:rsidR="00F60579" w:rsidRPr="009A452D">
        <w:t xml:space="preserve">contains </w:t>
      </w:r>
      <w:r w:rsidR="006F4DD9" w:rsidRPr="009A452D">
        <w:t>trip-level information, including</w:t>
      </w:r>
      <w:r w:rsidR="00F60579" w:rsidRPr="009A452D">
        <w:t xml:space="preserve"> </w:t>
      </w:r>
      <w:r w:rsidR="006F4DD9" w:rsidRPr="009A452D">
        <w:t xml:space="preserve">the </w:t>
      </w:r>
      <w:r w:rsidRPr="009A452D">
        <w:t xml:space="preserve">spatial coordinates </w:t>
      </w:r>
      <w:r w:rsidR="00622310" w:rsidRPr="009A452D">
        <w:t xml:space="preserve">and timestamps </w:t>
      </w:r>
      <w:r w:rsidRPr="009A452D">
        <w:t xml:space="preserve">of </w:t>
      </w:r>
      <w:r w:rsidR="00622310" w:rsidRPr="009A452D">
        <w:t>pickups and drop</w:t>
      </w:r>
      <w:r w:rsidR="009D4DD7" w:rsidRPr="009A452D">
        <w:t>-</w:t>
      </w:r>
      <w:r w:rsidR="00622310" w:rsidRPr="009A452D">
        <w:t>offs</w:t>
      </w:r>
      <w:r w:rsidR="001E6E11" w:rsidRPr="009A452D">
        <w:t xml:space="preserve"> as well as</w:t>
      </w:r>
      <w:r w:rsidR="006F4DD9" w:rsidRPr="009A452D">
        <w:t xml:space="preserve"> </w:t>
      </w:r>
      <w:r w:rsidR="005F66E8" w:rsidRPr="009A452D">
        <w:t xml:space="preserve">anonymized user IDs that allow for the identification of the multiple rides performed by each user. </w:t>
      </w:r>
      <w:r w:rsidR="006F4DD9" w:rsidRPr="009A452D">
        <w:t xml:space="preserve">To protect </w:t>
      </w:r>
      <w:r w:rsidR="00CC5540" w:rsidRPr="009A452D">
        <w:t>users</w:t>
      </w:r>
      <w:r w:rsidR="006F4DD9" w:rsidRPr="009A452D">
        <w:t xml:space="preserve">’ privacy, </w:t>
      </w:r>
      <w:proofErr w:type="spellStart"/>
      <w:r w:rsidR="006F4DD9" w:rsidRPr="009A452D">
        <w:t>RideAustin</w:t>
      </w:r>
      <w:proofErr w:type="spellEnd"/>
      <w:r w:rsidR="006F4DD9" w:rsidRPr="009A452D">
        <w:t xml:space="preserve"> </w:t>
      </w:r>
      <w:r w:rsidR="00522A55" w:rsidRPr="009A452D">
        <w:t>truncated</w:t>
      </w:r>
      <w:r w:rsidR="006F4DD9" w:rsidRPr="009A452D">
        <w:t xml:space="preserve"> the </w:t>
      </w:r>
      <w:r w:rsidR="00333EA8" w:rsidRPr="009A452D">
        <w:t>location</w:t>
      </w:r>
      <w:r w:rsidR="006F4DD9" w:rsidRPr="009A452D">
        <w:t xml:space="preserve"> coordinates at the third decimal place. The original dataset contains </w:t>
      </w:r>
      <w:r w:rsidR="00522A55" w:rsidRPr="009A452D">
        <w:t xml:space="preserve">trips that occurred </w:t>
      </w:r>
      <w:r w:rsidRPr="009A452D">
        <w:t>between June 4, 2016 and April 13</w:t>
      </w:r>
      <w:r w:rsidR="006F4DD9" w:rsidRPr="009A452D">
        <w:t>, 2017. Since ridership during the fi</w:t>
      </w:r>
      <w:r w:rsidRPr="009A452D">
        <w:t xml:space="preserve">rst few months was limited, the </w:t>
      </w:r>
      <w:r w:rsidR="006F4DD9" w:rsidRPr="009A452D">
        <w:t>analysis</w:t>
      </w:r>
      <w:r w:rsidRPr="009A452D">
        <w:t xml:space="preserve"> in this paper</w:t>
      </w:r>
      <w:r w:rsidR="006F4DD9" w:rsidRPr="009A452D">
        <w:t xml:space="preserve"> only includes data from August </w:t>
      </w:r>
      <w:r w:rsidRPr="009A452D">
        <w:t xml:space="preserve">1, </w:t>
      </w:r>
      <w:r w:rsidR="006F4DD9" w:rsidRPr="009A452D">
        <w:t>2016</w:t>
      </w:r>
      <w:r w:rsidR="00CD3ED7" w:rsidRPr="009A452D">
        <w:t xml:space="preserve"> onwards</w:t>
      </w:r>
      <w:r w:rsidR="006F4DD9" w:rsidRPr="009A452D">
        <w:t xml:space="preserve">. </w:t>
      </w:r>
      <w:proofErr w:type="spellStart"/>
      <w:r w:rsidR="000C69B3" w:rsidRPr="009A452D">
        <w:t>RideAustin</w:t>
      </w:r>
      <w:proofErr w:type="spellEnd"/>
      <w:r w:rsidR="000C69B3" w:rsidRPr="009A452D">
        <w:t xml:space="preserve"> held approximately one third of the market share of all ride-hailing trips performed in Austin </w:t>
      </w:r>
      <w:r w:rsidR="000A50B4" w:rsidRPr="009A452D">
        <w:t>during this period</w:t>
      </w:r>
      <w:r w:rsidR="000C69B3" w:rsidRPr="009A452D">
        <w:t>.</w:t>
      </w:r>
    </w:p>
    <w:p w:rsidR="00155F04" w:rsidRPr="009A452D" w:rsidRDefault="000C69B3" w:rsidP="005E391A">
      <w:pPr>
        <w:pStyle w:val="ListParagraph"/>
      </w:pPr>
      <w:r w:rsidRPr="009A452D">
        <w:t xml:space="preserve"> </w:t>
      </w:r>
    </w:p>
    <w:p w:rsidR="00EC564E" w:rsidRPr="009A452D" w:rsidRDefault="00EC564E" w:rsidP="00F233C6">
      <w:pPr>
        <w:pStyle w:val="ListParagraph"/>
        <w:numPr>
          <w:ilvl w:val="0"/>
          <w:numId w:val="4"/>
        </w:numPr>
        <w:rPr>
          <w:b/>
        </w:rPr>
      </w:pPr>
      <w:r w:rsidRPr="009A452D">
        <w:rPr>
          <w:b/>
        </w:rPr>
        <w:t>Austin Zoning</w:t>
      </w:r>
      <w:r w:rsidR="00C46832" w:rsidRPr="009A452D">
        <w:rPr>
          <w:b/>
        </w:rPr>
        <w:t xml:space="preserve"> and Parcel D</w:t>
      </w:r>
      <w:r w:rsidRPr="009A452D">
        <w:rPr>
          <w:b/>
        </w:rPr>
        <w:t>ata:</w:t>
      </w:r>
      <w:r w:rsidRPr="009A452D">
        <w:t xml:space="preserve"> </w:t>
      </w:r>
      <w:r w:rsidR="00D4342C" w:rsidRPr="009A452D">
        <w:t>The City of Austin provide</w:t>
      </w:r>
      <w:r w:rsidR="0084144E" w:rsidRPr="009A452D">
        <w:t>d</w:t>
      </w:r>
      <w:r w:rsidR="00D4342C" w:rsidRPr="009A452D">
        <w:t xml:space="preserve"> parcel-level data with zoning information </w:t>
      </w:r>
      <w:r w:rsidR="00C46832" w:rsidRPr="009A452D">
        <w:t>for</w:t>
      </w:r>
      <w:r w:rsidR="0084144E" w:rsidRPr="009A452D">
        <w:t xml:space="preserve"> Austin’s central area, </w:t>
      </w:r>
      <w:r w:rsidR="001B1EE8" w:rsidRPr="009A452D">
        <w:t xml:space="preserve">in </w:t>
      </w:r>
      <w:r w:rsidR="0084144E" w:rsidRPr="009A452D">
        <w:t xml:space="preserve">which most of the </w:t>
      </w:r>
      <w:proofErr w:type="spellStart"/>
      <w:r w:rsidR="0084144E" w:rsidRPr="009A452D">
        <w:t>RideAustin</w:t>
      </w:r>
      <w:proofErr w:type="spellEnd"/>
      <w:r w:rsidR="0084144E" w:rsidRPr="009A452D">
        <w:t xml:space="preserve"> trips took place. </w:t>
      </w:r>
      <w:r w:rsidR="00DE02FF" w:rsidRPr="009A452D">
        <w:t xml:space="preserve">Although very detailed, the zoning </w:t>
      </w:r>
      <w:r w:rsidR="00C46832" w:rsidRPr="009A452D">
        <w:t xml:space="preserve">and parcel </w:t>
      </w:r>
      <w:r w:rsidR="00DE02FF" w:rsidRPr="009A452D">
        <w:t xml:space="preserve">data required extensive </w:t>
      </w:r>
      <w:r w:rsidR="006754F5" w:rsidRPr="009A452D">
        <w:t>processing in order to be usable for the current st</w:t>
      </w:r>
      <w:r w:rsidR="00C46832" w:rsidRPr="009A452D">
        <w:t>udy. After processing</w:t>
      </w:r>
      <w:r w:rsidR="006754F5" w:rsidRPr="009A452D">
        <w:t xml:space="preserve">, the zoning </w:t>
      </w:r>
      <w:r w:rsidR="00C46832" w:rsidRPr="009A452D">
        <w:t xml:space="preserve">and parcel </w:t>
      </w:r>
      <w:r w:rsidR="006754F5" w:rsidRPr="009A452D">
        <w:t>data</w:t>
      </w:r>
      <w:r w:rsidR="00C46832" w:rsidRPr="009A452D">
        <w:t xml:space="preserve"> was used to infer trip purpose or location type. This data</w:t>
      </w:r>
      <w:r w:rsidR="006754F5" w:rsidRPr="009A452D">
        <w:t xml:space="preserve"> was also used to infer </w:t>
      </w:r>
      <w:r w:rsidR="00C46832" w:rsidRPr="009A452D">
        <w:t>the residence location for frequent users of ride-hailing service</w:t>
      </w:r>
      <w:r w:rsidR="00A63B3B" w:rsidRPr="009A452D">
        <w:t>s</w:t>
      </w:r>
      <w:r w:rsidR="00C46832" w:rsidRPr="009A452D">
        <w:t>.</w:t>
      </w:r>
      <w:r w:rsidR="006754F5" w:rsidRPr="009A452D">
        <w:t xml:space="preserve"> </w:t>
      </w:r>
    </w:p>
    <w:p w:rsidR="00C46832" w:rsidRPr="009A452D" w:rsidRDefault="00C46832" w:rsidP="00F233C6">
      <w:pPr>
        <w:pStyle w:val="ListParagraph"/>
      </w:pPr>
    </w:p>
    <w:p w:rsidR="009D0382" w:rsidRPr="009A452D" w:rsidRDefault="00C46832" w:rsidP="00C46832">
      <w:pPr>
        <w:pStyle w:val="ListParagraph"/>
        <w:numPr>
          <w:ilvl w:val="0"/>
          <w:numId w:val="4"/>
        </w:numPr>
      </w:pPr>
      <w:r w:rsidRPr="009A452D">
        <w:rPr>
          <w:b/>
        </w:rPr>
        <w:t>2016 American Community Survey</w:t>
      </w:r>
      <w:r w:rsidR="00EC564E" w:rsidRPr="009A452D">
        <w:rPr>
          <w:b/>
        </w:rPr>
        <w:t>:</w:t>
      </w:r>
      <w:r w:rsidR="00EC564E" w:rsidRPr="009A452D">
        <w:t xml:space="preserve"> </w:t>
      </w:r>
      <w:r w:rsidRPr="009A452D">
        <w:t xml:space="preserve">The 2016 American Community Survey (ACS) data provided by the Census Bureau was used to derive socio-economic and demographic profiles of locations where frequent ride-hailing users were believed to reside.  </w:t>
      </w:r>
      <w:r w:rsidR="006754F5" w:rsidRPr="009A452D">
        <w:t>After i</w:t>
      </w:r>
      <w:r w:rsidRPr="009A452D">
        <w:t xml:space="preserve">nferring the household locations </w:t>
      </w:r>
      <w:r w:rsidR="006754F5" w:rsidRPr="009A452D">
        <w:t xml:space="preserve">of frequent users, </w:t>
      </w:r>
      <w:r w:rsidRPr="009A452D">
        <w:t>their demographic characteristics</w:t>
      </w:r>
      <w:r w:rsidR="006754F5" w:rsidRPr="009A452D">
        <w:t xml:space="preserve"> were </w:t>
      </w:r>
      <w:r w:rsidR="00383558" w:rsidRPr="009A452D">
        <w:t>imputed</w:t>
      </w:r>
      <w:r w:rsidRPr="009A452D">
        <w:t xml:space="preserve"> using the</w:t>
      </w:r>
      <w:r w:rsidR="006754F5" w:rsidRPr="009A452D">
        <w:t xml:space="preserve"> </w:t>
      </w:r>
      <w:r w:rsidR="00A42A01" w:rsidRPr="009A452D">
        <w:t xml:space="preserve">ACS </w:t>
      </w:r>
      <w:r w:rsidR="006754F5" w:rsidRPr="009A452D">
        <w:t xml:space="preserve">data. </w:t>
      </w:r>
    </w:p>
    <w:p w:rsidR="00D63117" w:rsidRPr="009A452D" w:rsidRDefault="00D63117" w:rsidP="00C46832"/>
    <w:p w:rsidR="00795004" w:rsidRPr="009A452D" w:rsidRDefault="00C46832" w:rsidP="00F233C6">
      <w:pPr>
        <w:pStyle w:val="Heading2"/>
        <w:spacing w:before="0"/>
        <w:ind w:left="450" w:hanging="450"/>
        <w:rPr>
          <w:smallCaps w:val="0"/>
        </w:rPr>
      </w:pPr>
      <w:r w:rsidRPr="009A452D">
        <w:rPr>
          <w:smallCaps w:val="0"/>
        </w:rPr>
        <w:t>Data Fusion Methodology</w:t>
      </w:r>
    </w:p>
    <w:p w:rsidR="00BD4088" w:rsidRPr="009A452D" w:rsidRDefault="00A5489F" w:rsidP="00F233C6">
      <w:r w:rsidRPr="009A452D">
        <w:t xml:space="preserve">The data fusion and imputation methodology </w:t>
      </w:r>
      <w:r w:rsidR="00352125" w:rsidRPr="009A452D">
        <w:t>consisted of</w:t>
      </w:r>
      <w:r w:rsidR="00D90977" w:rsidRPr="009A452D">
        <w:t xml:space="preserve"> a series of logical steps.  First, trip purpose/location type was inferred and appended to the ride-hailing trip records by mapping coordinates to the parcel level land use data</w:t>
      </w:r>
      <w:r w:rsidRPr="009A452D">
        <w:t xml:space="preserve">, similar to </w:t>
      </w:r>
      <w:proofErr w:type="spellStart"/>
      <w:r w:rsidRPr="009A452D">
        <w:t>Bohte</w:t>
      </w:r>
      <w:proofErr w:type="spellEnd"/>
      <w:r w:rsidRPr="009A452D">
        <w:t xml:space="preserve"> and Maat (</w:t>
      </w:r>
      <w:r w:rsidR="00133D9B" w:rsidRPr="00133D9B">
        <w:rPr>
          <w:i/>
        </w:rPr>
        <w:t>19</w:t>
      </w:r>
      <w:r w:rsidRPr="009A452D">
        <w:t>)</w:t>
      </w:r>
      <w:r w:rsidR="00133D9B">
        <w:t xml:space="preserve">. </w:t>
      </w:r>
      <w:r w:rsidR="00D90977" w:rsidRPr="009A452D">
        <w:t xml:space="preserve">This was done to better characterize how, when, and why ride-hailing trips </w:t>
      </w:r>
      <w:r w:rsidR="00C503D4" w:rsidRPr="009A452D">
        <w:t>were</w:t>
      </w:r>
      <w:r w:rsidR="00D90977" w:rsidRPr="009A452D">
        <w:t xml:space="preserve"> made. After purpose/location information </w:t>
      </w:r>
      <w:r w:rsidR="00C503D4" w:rsidRPr="009A452D">
        <w:t xml:space="preserve">was </w:t>
      </w:r>
      <w:r w:rsidR="00D90977" w:rsidRPr="009A452D">
        <w:t xml:space="preserve">inferred, the household locations </w:t>
      </w:r>
      <w:r w:rsidR="00266E05" w:rsidRPr="009A452D">
        <w:t xml:space="preserve">were </w:t>
      </w:r>
      <w:r w:rsidR="00133D9B">
        <w:t xml:space="preserve">derived for frequent riders. </w:t>
      </w:r>
      <w:r w:rsidR="00D90977" w:rsidRPr="009A452D">
        <w:t xml:space="preserve">By mapping locations that are visited very frequently by the same users and examining the land use/parcel profile of those frequently visited locations, it </w:t>
      </w:r>
      <w:r w:rsidR="00266E05" w:rsidRPr="009A452D">
        <w:t xml:space="preserve">was </w:t>
      </w:r>
      <w:r w:rsidR="00D90977" w:rsidRPr="009A452D">
        <w:t xml:space="preserve">possible to identify </w:t>
      </w:r>
      <w:r w:rsidR="00266E05" w:rsidRPr="009A452D">
        <w:t>travelers’</w:t>
      </w:r>
      <w:r w:rsidR="00266E05" w:rsidRPr="009A452D" w:rsidDel="00266E05">
        <w:t xml:space="preserve"> </w:t>
      </w:r>
      <w:r w:rsidR="00266E05" w:rsidRPr="009A452D">
        <w:t>potential</w:t>
      </w:r>
      <w:r w:rsidR="00D90977" w:rsidRPr="009A452D">
        <w:t xml:space="preserve"> residential locations.  Finally, these riders (whose residence locations were inferred and identified) </w:t>
      </w:r>
      <w:r w:rsidR="007E088D" w:rsidRPr="009A452D">
        <w:t xml:space="preserve">had </w:t>
      </w:r>
      <w:r w:rsidR="00D90977" w:rsidRPr="009A452D">
        <w:t xml:space="preserve">their demographic characteristics imputed from </w:t>
      </w:r>
      <w:r w:rsidR="00AA2630">
        <w:t xml:space="preserve">the </w:t>
      </w:r>
      <w:r w:rsidR="00D90977" w:rsidRPr="009A452D">
        <w:t xml:space="preserve">2016 ACS data based on their household </w:t>
      </w:r>
      <w:r w:rsidR="00D90977" w:rsidRPr="009A452D">
        <w:lastRenderedPageBreak/>
        <w:t>location</w:t>
      </w:r>
      <w:r w:rsidR="00133D9B">
        <w:t xml:space="preserve"> mapped to census block groups. </w:t>
      </w:r>
      <w:r w:rsidR="00D90977" w:rsidRPr="009A452D">
        <w:t xml:space="preserve">The fully fused and integrated data set </w:t>
      </w:r>
      <w:r w:rsidR="007E088D" w:rsidRPr="009A452D">
        <w:t xml:space="preserve">was </w:t>
      </w:r>
      <w:r w:rsidR="00D90977" w:rsidRPr="009A452D">
        <w:t>eventually analyzed to quantify the number of ride-hailing trips undertaken for var</w:t>
      </w:r>
      <w:r w:rsidR="005B0AD3">
        <w:t>ious trip purposes (locations).</w:t>
      </w:r>
      <w:r w:rsidR="00133D9B">
        <w:t xml:space="preserve"> </w:t>
      </w:r>
      <w:r w:rsidR="00D90977" w:rsidRPr="009A452D">
        <w:t xml:space="preserve">A multivariate ordered </w:t>
      </w:r>
      <w:proofErr w:type="spellStart"/>
      <w:r w:rsidR="00D90977" w:rsidRPr="009A452D">
        <w:t>probit</w:t>
      </w:r>
      <w:proofErr w:type="spellEnd"/>
      <w:r w:rsidR="00D90977" w:rsidRPr="009A452D">
        <w:t xml:space="preserve"> model </w:t>
      </w:r>
      <w:r w:rsidR="007E088D" w:rsidRPr="009A452D">
        <w:t xml:space="preserve">was </w:t>
      </w:r>
      <w:r w:rsidR="00D90977" w:rsidRPr="009A452D">
        <w:t xml:space="preserve">then estimated to identify factors that influence number of trips by purpose (location).   </w:t>
      </w:r>
    </w:p>
    <w:p w:rsidR="00BD4088" w:rsidRPr="009A452D" w:rsidRDefault="00BD4088" w:rsidP="00F233C6"/>
    <w:p w:rsidR="00995BEA" w:rsidRPr="009A452D" w:rsidRDefault="00995BEA" w:rsidP="00F233C6">
      <w:pPr>
        <w:pStyle w:val="Heading3"/>
        <w:spacing w:before="0"/>
      </w:pPr>
      <w:r w:rsidRPr="009A452D">
        <w:t>Inferring Trip Purpose and Location Type</w:t>
      </w:r>
    </w:p>
    <w:p w:rsidR="00C74E5C" w:rsidRDefault="00995BEA" w:rsidP="00F233C6">
      <w:r w:rsidRPr="009A452D">
        <w:t xml:space="preserve">Trip purposes were inferred and assigned based on mapping origin and destination coordinates in the </w:t>
      </w:r>
      <w:proofErr w:type="spellStart"/>
      <w:r w:rsidRPr="009A452D">
        <w:t>RideAustin</w:t>
      </w:r>
      <w:proofErr w:type="spellEnd"/>
      <w:r w:rsidRPr="009A452D">
        <w:t xml:space="preserve"> data to the City of Austin’s zoning and parcel database. Using land use information in the parcel map, trip purposes and location types were classified into one of the following six groups:</w:t>
      </w:r>
    </w:p>
    <w:p w:rsidR="00D90977" w:rsidRPr="009A452D" w:rsidRDefault="00995BEA" w:rsidP="00F233C6">
      <w:r w:rsidRPr="009A452D">
        <w:t xml:space="preserve"> </w:t>
      </w:r>
    </w:p>
    <w:p w:rsidR="00D85F4B" w:rsidRPr="009A452D" w:rsidRDefault="00D85F4B" w:rsidP="005D27B0">
      <w:pPr>
        <w:pStyle w:val="ListParagraph"/>
        <w:numPr>
          <w:ilvl w:val="0"/>
          <w:numId w:val="18"/>
        </w:numPr>
        <w:spacing w:after="80"/>
        <w:contextualSpacing w:val="0"/>
      </w:pPr>
      <w:r w:rsidRPr="009A452D">
        <w:rPr>
          <w:i/>
        </w:rPr>
        <w:t>Residential</w:t>
      </w:r>
      <w:r w:rsidRPr="009A452D">
        <w:t xml:space="preserve">: </w:t>
      </w:r>
      <w:r w:rsidR="00995BEA" w:rsidRPr="009A452D">
        <w:t>These are mostly residential areas, where a rider is probably going to or leaving a residence (either their own or somebody else’s).  It should be noted that this area may</w:t>
      </w:r>
      <w:r w:rsidRPr="009A452D">
        <w:t xml:space="preserve"> also contain educational establishments such as schools. </w:t>
      </w:r>
    </w:p>
    <w:p w:rsidR="00D85F4B" w:rsidRPr="009A452D" w:rsidRDefault="00D85F4B" w:rsidP="005D27B0">
      <w:pPr>
        <w:pStyle w:val="ListParagraph"/>
        <w:numPr>
          <w:ilvl w:val="0"/>
          <w:numId w:val="18"/>
        </w:numPr>
        <w:spacing w:after="80"/>
        <w:contextualSpacing w:val="0"/>
      </w:pPr>
      <w:r w:rsidRPr="009A452D">
        <w:rPr>
          <w:i/>
        </w:rPr>
        <w:t>Commercial</w:t>
      </w:r>
      <w:r w:rsidRPr="009A452D">
        <w:t xml:space="preserve">: </w:t>
      </w:r>
      <w:r w:rsidR="00995BEA" w:rsidRPr="009A452D">
        <w:t>These are m</w:t>
      </w:r>
      <w:r w:rsidR="00A51BAD" w:rsidRPr="009A452D">
        <w:t xml:space="preserve">ostly </w:t>
      </w:r>
      <w:r w:rsidR="00166BDA" w:rsidRPr="009A452D">
        <w:t>commercial area</w:t>
      </w:r>
      <w:r w:rsidR="00A51BAD" w:rsidRPr="009A452D">
        <w:t>s</w:t>
      </w:r>
      <w:r w:rsidR="00166BDA" w:rsidRPr="009A452D">
        <w:t xml:space="preserve"> with shops, restaurants</w:t>
      </w:r>
      <w:r w:rsidR="00995BEA" w:rsidRPr="009A452D">
        <w:t>,</w:t>
      </w:r>
      <w:r w:rsidR="00166BDA" w:rsidRPr="009A452D">
        <w:t xml:space="preserve"> or bars. Trips to/f</w:t>
      </w:r>
      <w:r w:rsidR="00995BEA" w:rsidRPr="009A452D">
        <w:t xml:space="preserve">rom this location type are likely to be for </w:t>
      </w:r>
      <w:r w:rsidR="00166BDA" w:rsidRPr="009A452D">
        <w:t>shopping as well as social</w:t>
      </w:r>
      <w:r w:rsidR="00995BEA" w:rsidRPr="009A452D">
        <w:t>-recreation</w:t>
      </w:r>
      <w:r w:rsidR="00166BDA" w:rsidRPr="009A452D">
        <w:t xml:space="preserve"> activities.</w:t>
      </w:r>
      <w:r w:rsidR="009F048C" w:rsidRPr="009A452D">
        <w:t xml:space="preserve"> This category</w:t>
      </w:r>
      <w:r w:rsidR="00C55A41" w:rsidRPr="009A452D">
        <w:t xml:space="preserve"> might also include trips by employees of </w:t>
      </w:r>
      <w:r w:rsidR="009F048C" w:rsidRPr="009A452D">
        <w:t>commercial</w:t>
      </w:r>
      <w:r w:rsidR="00C55A41" w:rsidRPr="009A452D">
        <w:t xml:space="preserve"> establishments, but these seem much less likely than customers.</w:t>
      </w:r>
    </w:p>
    <w:p w:rsidR="0008710F" w:rsidRPr="009A452D" w:rsidRDefault="0008710F" w:rsidP="005D27B0">
      <w:pPr>
        <w:pStyle w:val="ListParagraph"/>
        <w:numPr>
          <w:ilvl w:val="0"/>
          <w:numId w:val="18"/>
        </w:numPr>
        <w:spacing w:after="80"/>
        <w:contextualSpacing w:val="0"/>
      </w:pPr>
      <w:r w:rsidRPr="009A452D">
        <w:rPr>
          <w:i/>
        </w:rPr>
        <w:t>Work</w:t>
      </w:r>
      <w:r w:rsidRPr="009A452D">
        <w:t xml:space="preserve">: Trips marked with this location type </w:t>
      </w:r>
      <w:r w:rsidR="00995BEA" w:rsidRPr="009A452D">
        <w:t xml:space="preserve">or purpose </w:t>
      </w:r>
      <w:r w:rsidRPr="009A452D">
        <w:t xml:space="preserve">are associated with industrial areas and office buildings, </w:t>
      </w:r>
      <w:r w:rsidR="00995BEA" w:rsidRPr="009A452D">
        <w:t xml:space="preserve">rendering </w:t>
      </w:r>
      <w:r w:rsidR="007376A9" w:rsidRPr="009A452D">
        <w:t xml:space="preserve">the identification </w:t>
      </w:r>
      <w:r w:rsidRPr="009A452D">
        <w:t xml:space="preserve">of </w:t>
      </w:r>
      <w:r w:rsidR="007376A9" w:rsidRPr="009A452D">
        <w:t xml:space="preserve">this </w:t>
      </w:r>
      <w:r w:rsidRPr="009A452D">
        <w:t>trip purpose quite straightforward.</w:t>
      </w:r>
    </w:p>
    <w:p w:rsidR="00166BDA" w:rsidRPr="009A452D" w:rsidRDefault="00166BDA" w:rsidP="005D27B0">
      <w:pPr>
        <w:pStyle w:val="ListParagraph"/>
        <w:numPr>
          <w:ilvl w:val="0"/>
          <w:numId w:val="18"/>
        </w:numPr>
        <w:spacing w:after="80"/>
        <w:contextualSpacing w:val="0"/>
      </w:pPr>
      <w:r w:rsidRPr="009A452D">
        <w:rPr>
          <w:i/>
        </w:rPr>
        <w:t>Education</w:t>
      </w:r>
      <w:r w:rsidRPr="009A452D">
        <w:t xml:space="preserve">: </w:t>
      </w:r>
      <w:r w:rsidR="007376A9" w:rsidRPr="009A452D">
        <w:t>These parcels m</w:t>
      </w:r>
      <w:r w:rsidRPr="009A452D">
        <w:t xml:space="preserve">ainly </w:t>
      </w:r>
      <w:r w:rsidR="007376A9" w:rsidRPr="009A452D">
        <w:t>encompass</w:t>
      </w:r>
      <w:r w:rsidR="0008710F" w:rsidRPr="009A452D">
        <w:t xml:space="preserve"> trips from/to </w:t>
      </w:r>
      <w:r w:rsidR="007376A9" w:rsidRPr="009A452D">
        <w:t>the University of Texas</w:t>
      </w:r>
      <w:r w:rsidRPr="009A452D">
        <w:t xml:space="preserve"> central campus area and the Texas School for the Deaf. </w:t>
      </w:r>
      <w:r w:rsidR="00357771" w:rsidRPr="009A452D">
        <w:t xml:space="preserve">As mentioned above, </w:t>
      </w:r>
      <w:r w:rsidR="008A24DC" w:rsidRPr="009A452D">
        <w:t xml:space="preserve">grade </w:t>
      </w:r>
      <w:r w:rsidR="00357771" w:rsidRPr="009A452D">
        <w:t>s</w:t>
      </w:r>
      <w:r w:rsidR="008A24DC" w:rsidRPr="009A452D">
        <w:t>chools and other more common</w:t>
      </w:r>
      <w:r w:rsidRPr="009A452D">
        <w:t xml:space="preserve"> educational</w:t>
      </w:r>
      <w:r w:rsidR="00357771" w:rsidRPr="009A452D">
        <w:t xml:space="preserve"> establishments are </w:t>
      </w:r>
      <w:r w:rsidR="008A24DC" w:rsidRPr="009A452D">
        <w:t xml:space="preserve">likely to be located in the </w:t>
      </w:r>
      <w:r w:rsidR="00357771" w:rsidRPr="009A452D">
        <w:t>Re</w:t>
      </w:r>
      <w:r w:rsidR="008A24DC" w:rsidRPr="009A452D">
        <w:t>sidential land use</w:t>
      </w:r>
      <w:r w:rsidR="00357771" w:rsidRPr="009A452D">
        <w:t xml:space="preserve"> category.</w:t>
      </w:r>
      <w:r w:rsidR="00AD5ECE" w:rsidRPr="009A452D">
        <w:t xml:space="preserve"> </w:t>
      </w:r>
    </w:p>
    <w:p w:rsidR="00D85F4B" w:rsidRPr="009A452D" w:rsidRDefault="00D85F4B" w:rsidP="005D27B0">
      <w:pPr>
        <w:pStyle w:val="ListParagraph"/>
        <w:numPr>
          <w:ilvl w:val="0"/>
          <w:numId w:val="18"/>
        </w:numPr>
        <w:spacing w:after="80"/>
        <w:contextualSpacing w:val="0"/>
      </w:pPr>
      <w:r w:rsidRPr="009A452D">
        <w:rPr>
          <w:i/>
        </w:rPr>
        <w:t>CBD</w:t>
      </w:r>
      <w:r w:rsidR="008A24DC" w:rsidRPr="009A452D">
        <w:rPr>
          <w:i/>
        </w:rPr>
        <w:t xml:space="preserve"> (Central Business District)</w:t>
      </w:r>
      <w:r w:rsidRPr="009A452D">
        <w:rPr>
          <w:i/>
        </w:rPr>
        <w:t>/DMU</w:t>
      </w:r>
      <w:r w:rsidR="008A24DC" w:rsidRPr="009A452D">
        <w:rPr>
          <w:i/>
        </w:rPr>
        <w:t xml:space="preserve"> (Downtown Mixed Use)</w:t>
      </w:r>
      <w:r w:rsidRPr="009A452D">
        <w:t xml:space="preserve">: </w:t>
      </w:r>
      <w:r w:rsidR="00357771" w:rsidRPr="009A452D">
        <w:t xml:space="preserve">Given the mixed use of </w:t>
      </w:r>
      <w:r w:rsidRPr="009A452D">
        <w:t>Austin’s central business</w:t>
      </w:r>
      <w:r w:rsidR="00357771" w:rsidRPr="009A452D">
        <w:t xml:space="preserve"> district</w:t>
      </w:r>
      <w:r w:rsidR="008A24DC" w:rsidRPr="009A452D">
        <w:t xml:space="preserve"> (CBD)</w:t>
      </w:r>
      <w:r w:rsidR="00357771" w:rsidRPr="009A452D">
        <w:t xml:space="preserve">, inferring actual trip purposes is not trivial. These </w:t>
      </w:r>
      <w:r w:rsidR="008A24DC" w:rsidRPr="009A452D">
        <w:t>areas include</w:t>
      </w:r>
      <w:r w:rsidR="00357771" w:rsidRPr="009A452D">
        <w:t xml:space="preserve"> shops, bars, restaurants, houses (mostly apartment complexes) and office buildings.</w:t>
      </w:r>
      <w:r w:rsidRPr="009A452D">
        <w:t xml:space="preserve"> Therefore, </w:t>
      </w:r>
      <w:r w:rsidR="00357771" w:rsidRPr="009A452D">
        <w:t>th</w:t>
      </w:r>
      <w:r w:rsidR="008A24DC" w:rsidRPr="009A452D">
        <w:t xml:space="preserve">is location type was treated as a separate category </w:t>
      </w:r>
      <w:r w:rsidRPr="009A452D">
        <w:t xml:space="preserve">to avoid </w:t>
      </w:r>
      <w:r w:rsidR="00794A9B" w:rsidRPr="009A452D">
        <w:t xml:space="preserve">potential </w:t>
      </w:r>
      <w:r w:rsidR="008A24DC" w:rsidRPr="009A452D">
        <w:t xml:space="preserve">confounding effects due to the presence of mixed land uses. </w:t>
      </w:r>
      <w:r w:rsidRPr="009A452D">
        <w:t xml:space="preserve"> </w:t>
      </w:r>
    </w:p>
    <w:p w:rsidR="00D85F4B" w:rsidRPr="009A452D" w:rsidRDefault="0008710F" w:rsidP="005D27B0">
      <w:pPr>
        <w:pStyle w:val="ListParagraph"/>
        <w:numPr>
          <w:ilvl w:val="0"/>
          <w:numId w:val="18"/>
        </w:numPr>
        <w:spacing w:after="80"/>
        <w:contextualSpacing w:val="0"/>
      </w:pPr>
      <w:r w:rsidRPr="009A452D">
        <w:rPr>
          <w:i/>
        </w:rPr>
        <w:t>Airport</w:t>
      </w:r>
      <w:r w:rsidRPr="009A452D">
        <w:t>: Trips to and from the airport were marked as a separate category given the ease of identif</w:t>
      </w:r>
      <w:r w:rsidR="008A24DC" w:rsidRPr="009A452D">
        <w:t xml:space="preserve">ying </w:t>
      </w:r>
      <w:r w:rsidR="00C836D0" w:rsidRPr="009A452D">
        <w:t>their purpose</w:t>
      </w:r>
      <w:r w:rsidRPr="009A452D">
        <w:t xml:space="preserve">. </w:t>
      </w:r>
    </w:p>
    <w:p w:rsidR="00157F86" w:rsidRPr="009A452D" w:rsidRDefault="00157F86" w:rsidP="005D27B0">
      <w:pPr>
        <w:pStyle w:val="ListParagraph"/>
        <w:numPr>
          <w:ilvl w:val="0"/>
          <w:numId w:val="18"/>
        </w:numPr>
        <w:spacing w:after="80"/>
        <w:contextualSpacing w:val="0"/>
      </w:pPr>
      <w:r w:rsidRPr="009A452D">
        <w:rPr>
          <w:i/>
        </w:rPr>
        <w:t>Recreation</w:t>
      </w:r>
      <w:r w:rsidR="008A24DC" w:rsidRPr="009A452D">
        <w:t xml:space="preserve">: These trips have origins or destinations in </w:t>
      </w:r>
      <w:r w:rsidRPr="009A452D">
        <w:t>green areas and public parks</w:t>
      </w:r>
      <w:r w:rsidR="008A24DC" w:rsidRPr="009A452D">
        <w:t>;</w:t>
      </w:r>
      <w:r w:rsidRPr="009A452D">
        <w:t xml:space="preserve"> the</w:t>
      </w:r>
      <w:r w:rsidR="008A24DC" w:rsidRPr="009A452D">
        <w:t xml:space="preserve">refore the trip purpose is quite </w:t>
      </w:r>
      <w:r w:rsidRPr="009A452D">
        <w:t>easily identifiable</w:t>
      </w:r>
      <w:r w:rsidR="008A24DC" w:rsidRPr="009A452D">
        <w:t xml:space="preserve"> as r</w:t>
      </w:r>
      <w:r w:rsidR="00794A9B" w:rsidRPr="009A452D">
        <w:t>ecreation</w:t>
      </w:r>
      <w:r w:rsidRPr="009A452D">
        <w:t xml:space="preserve">. </w:t>
      </w:r>
    </w:p>
    <w:p w:rsidR="00E607F6" w:rsidRPr="009A452D" w:rsidRDefault="00E607F6" w:rsidP="00995BEA">
      <w:pPr>
        <w:pStyle w:val="ListParagraph"/>
        <w:numPr>
          <w:ilvl w:val="0"/>
          <w:numId w:val="18"/>
        </w:numPr>
      </w:pPr>
      <w:r w:rsidRPr="009A452D">
        <w:rPr>
          <w:i/>
        </w:rPr>
        <w:t>Other</w:t>
      </w:r>
      <w:r w:rsidRPr="009A452D">
        <w:t>: Trips that had no associated zoning information and therefore could not have their purpose inferred</w:t>
      </w:r>
      <w:r w:rsidR="00794A9B" w:rsidRPr="009A452D">
        <w:t xml:space="preserve"> were marked with the “Other” trip purpose</w:t>
      </w:r>
      <w:r w:rsidRPr="009A452D">
        <w:t>.</w:t>
      </w:r>
    </w:p>
    <w:p w:rsidR="00995BEA" w:rsidRPr="009A452D" w:rsidRDefault="00995BEA" w:rsidP="00995BEA"/>
    <w:p w:rsidR="00AA2630" w:rsidRDefault="008E5493" w:rsidP="00677DA9">
      <w:pPr>
        <w:ind w:firstLine="720"/>
      </w:pPr>
      <w:r w:rsidRPr="009A452D">
        <w:t>These categories were defined as a direct consequence of the land use classifications in the parcel/zoning data. The categories listed above are those that represented a reasonable aggregation of the original zoning de</w:t>
      </w:r>
      <w:r w:rsidR="00133D9B">
        <w:t xml:space="preserve">signations in the parcel data. </w:t>
      </w:r>
    </w:p>
    <w:p w:rsidR="009B6A0E" w:rsidRPr="009A452D" w:rsidRDefault="008E5493" w:rsidP="00677DA9">
      <w:pPr>
        <w:ind w:firstLine="720"/>
      </w:pPr>
      <w:r w:rsidRPr="009A452D">
        <w:t xml:space="preserve">The spatial coordinates of trip origins and destinations were truncated to the third decimal place in the </w:t>
      </w:r>
      <w:proofErr w:type="spellStart"/>
      <w:r w:rsidRPr="009A452D">
        <w:t>RideAustin</w:t>
      </w:r>
      <w:proofErr w:type="spellEnd"/>
      <w:r w:rsidRPr="009A452D">
        <w:t xml:space="preserve"> data. Given the spatial fuzziness associated with such truncated </w:t>
      </w:r>
      <w:r w:rsidR="000464D8" w:rsidRPr="009A452D">
        <w:t>values</w:t>
      </w:r>
      <w:r w:rsidRPr="009A452D">
        <w:t xml:space="preserve">, square buffers </w:t>
      </w:r>
      <w:r w:rsidR="00677DA9" w:rsidRPr="009A452D">
        <w:t xml:space="preserve">were created by taking </w:t>
      </w:r>
      <w:r w:rsidR="000464D8" w:rsidRPr="009A452D">
        <w:t>the coordinates and</w:t>
      </w:r>
      <w:r w:rsidR="00677DA9" w:rsidRPr="009A452D">
        <w:t xml:space="preserve"> </w:t>
      </w:r>
      <w:r w:rsidR="000464D8" w:rsidRPr="009A452D">
        <w:t xml:space="preserve">adding/subtracting </w:t>
      </w:r>
      <w:r w:rsidR="00677DA9" w:rsidRPr="009A452D">
        <w:t>0.0005 degrees</w:t>
      </w:r>
      <w:r w:rsidR="003D217E" w:rsidRPr="009A452D">
        <w:t xml:space="preserve"> (which </w:t>
      </w:r>
      <w:r w:rsidR="00CF3ED1" w:rsidRPr="009A452D">
        <w:t>translates to a square with approximate side dimensions of 100 meters</w:t>
      </w:r>
      <w:r w:rsidR="003D217E" w:rsidRPr="009A452D">
        <w:t>)</w:t>
      </w:r>
      <w:r w:rsidR="00677DA9" w:rsidRPr="009A452D">
        <w:t>.</w:t>
      </w:r>
      <w:r w:rsidRPr="009A452D">
        <w:t xml:space="preserve"> </w:t>
      </w:r>
      <w:r w:rsidR="00677DA9" w:rsidRPr="009A452D">
        <w:t xml:space="preserve">This buffer size was adopted </w:t>
      </w:r>
      <w:r w:rsidRPr="009A452D">
        <w:t xml:space="preserve">to encompass the entire region in which a trip </w:t>
      </w:r>
      <w:r w:rsidR="00677DA9" w:rsidRPr="009A452D">
        <w:t xml:space="preserve">may have originated or terminated.  </w:t>
      </w:r>
    </w:p>
    <w:p w:rsidR="005F017A" w:rsidRPr="009A452D" w:rsidRDefault="00677DA9" w:rsidP="00F233C6">
      <w:pPr>
        <w:ind w:firstLine="720"/>
      </w:pPr>
      <w:r w:rsidRPr="009A452D">
        <w:lastRenderedPageBreak/>
        <w:t>The</w:t>
      </w:r>
      <w:r w:rsidR="00B27B09" w:rsidRPr="009A452D">
        <w:t xml:space="preserve"> square buffer </w:t>
      </w:r>
      <w:r w:rsidRPr="009A452D">
        <w:t xml:space="preserve">of a trip location </w:t>
      </w:r>
      <w:r w:rsidR="00B27B09" w:rsidRPr="009A452D">
        <w:t>was then spatially cross-refere</w:t>
      </w:r>
      <w:r w:rsidRPr="009A452D">
        <w:t>nced with the zoning/parcel file to obtain</w:t>
      </w:r>
      <w:r w:rsidR="00B27B09" w:rsidRPr="009A452D">
        <w:t xml:space="preserve"> a list of the location’s potential </w:t>
      </w:r>
      <w:r w:rsidRPr="009A452D">
        <w:t xml:space="preserve">land </w:t>
      </w:r>
      <w:r w:rsidR="00B27B09" w:rsidRPr="009A452D">
        <w:t xml:space="preserve">uses. In cases where multiple uses were found, locations were randomly assigned to </w:t>
      </w:r>
      <w:r w:rsidRPr="009A452D">
        <w:t>one single use. This was done at</w:t>
      </w:r>
      <w:r w:rsidR="00B27B09" w:rsidRPr="009A452D">
        <w:t xml:space="preserve"> the </w:t>
      </w:r>
      <w:r w:rsidR="00C64086" w:rsidRPr="009A452D">
        <w:t>individual</w:t>
      </w:r>
      <w:r w:rsidR="00B27B09" w:rsidRPr="009A452D">
        <w:t xml:space="preserve">-location level. </w:t>
      </w:r>
    </w:p>
    <w:p w:rsidR="00C806E1" w:rsidRPr="009A452D" w:rsidRDefault="00C806E1" w:rsidP="00F233C6"/>
    <w:p w:rsidR="00677DA9" w:rsidRPr="009A452D" w:rsidRDefault="00677DA9" w:rsidP="00F233C6">
      <w:pPr>
        <w:pStyle w:val="Heading3"/>
        <w:spacing w:before="0"/>
      </w:pPr>
      <w:r w:rsidRPr="009A452D">
        <w:t>Inferring Residential Location</w:t>
      </w:r>
    </w:p>
    <w:p w:rsidR="00CF3F4C" w:rsidRPr="009A452D" w:rsidRDefault="00522358" w:rsidP="00F233C6">
      <w:r w:rsidRPr="009A452D">
        <w:t xml:space="preserve">A user’s residential location was inferred by analyzing each individual’s most visited location.  Given that this process of residential location identification </w:t>
      </w:r>
      <w:r w:rsidR="004B29B6" w:rsidRPr="009A452D">
        <w:t xml:space="preserve">was based on users making multiple trips to the same place, it was possible to infer residential locations only for the most frequent </w:t>
      </w:r>
      <w:r w:rsidR="004A4AE6" w:rsidRPr="009A452D">
        <w:t xml:space="preserve">ride-hailing </w:t>
      </w:r>
      <w:r w:rsidR="004B29B6" w:rsidRPr="009A452D">
        <w:t xml:space="preserve">users.  For each rider, the most frequented location was </w:t>
      </w:r>
      <w:r w:rsidR="00CF3F4C" w:rsidRPr="009A452D">
        <w:t xml:space="preserve">identified; if the most frequented location was visited more than 10 times within the time span of the data set and belonged to a “residential” area, then this location was designated as the rider’s household location. The frequency of 10 visits was set based on the distribution of frequency of visits (by the same person) to different locations.  In general, it was found that only a small fraction of locations (users) met the criteria of being visited 10 or more times and fell within a residential area.  It was therefore considered safe to designate these locations as residential locations for this subset of users.  </w:t>
      </w:r>
    </w:p>
    <w:p w:rsidR="009F7ECD" w:rsidRPr="009A452D" w:rsidRDefault="00CF3F4C" w:rsidP="00F233C6">
      <w:r w:rsidRPr="009A452D">
        <w:tab/>
        <w:t xml:space="preserve">The square buffers corresponding to these locations were cross-referenced with the Census block groups.  For buffers that intersected multiple block groups, the final association was made by randomly assigning the location to one of the intersected block groups.  The random association was done in proportion to the intersected area as illustrated in Figure 2.  </w:t>
      </w:r>
    </w:p>
    <w:p w:rsidR="00CF3F4C" w:rsidRPr="009A452D" w:rsidRDefault="00CF3F4C" w:rsidP="00CF3F4C">
      <w:r w:rsidRPr="009A452D">
        <w:tab/>
        <w:t xml:space="preserve">In the example shown in Figure 2, the buffer of Location </w:t>
      </w:r>
      <w:proofErr w:type="gramStart"/>
      <w:r w:rsidRPr="009A452D">
        <w:t>A</w:t>
      </w:r>
      <w:proofErr w:type="gramEnd"/>
      <w:r w:rsidRPr="009A452D">
        <w:t xml:space="preserve"> (LOC A) intersects three block groups (BG1, BG2, and BG3).  Suppose 60 percent of the buffer falls within BG1, 10 percent falls within</w:t>
      </w:r>
      <w:r w:rsidR="00133D9B">
        <w:t xml:space="preserve"> BG2, and 30% falls within BG3.</w:t>
      </w:r>
      <w:r w:rsidRPr="009A452D">
        <w:t xml:space="preserve"> Location A is randomly assigned to one of the block groups using the proportions as probabilities; thus the probability that Location A would be assigned to BG1 is 0.</w:t>
      </w:r>
      <w:r w:rsidR="00133D9B">
        <w:t xml:space="preserve">6, BG2 is 0.1, and BG3 is 0.3. </w:t>
      </w:r>
      <w:r w:rsidRPr="009A452D">
        <w:t xml:space="preserve">This process is repeated for every square buffer (location). </w:t>
      </w:r>
    </w:p>
    <w:p w:rsidR="00A3534E" w:rsidRPr="009A452D" w:rsidRDefault="00CF3F4C" w:rsidP="00CF3F4C">
      <w:r w:rsidRPr="009A452D">
        <w:tab/>
        <w:t>The association between l</w:t>
      </w:r>
      <w:r w:rsidR="00D32472" w:rsidRPr="009A452D">
        <w:t>ocations and block groups allowed</w:t>
      </w:r>
      <w:r w:rsidRPr="009A452D">
        <w:t xml:space="preserve"> the fusion of block group demographic data to the </w:t>
      </w:r>
      <w:proofErr w:type="spellStart"/>
      <w:r w:rsidRPr="009A452D">
        <w:t>RideAustin</w:t>
      </w:r>
      <w:proofErr w:type="spellEnd"/>
      <w:r w:rsidRPr="009A452D">
        <w:t xml:space="preserve"> location data. </w:t>
      </w:r>
      <w:r w:rsidR="00D32472" w:rsidRPr="009A452D">
        <w:t xml:space="preserve">Demographic data, aggregated from the 2016 American Community Survey database, was appended to each identified residential location based on the block group to which it was assigned.  Then, proportions of various demographic segments (e.g., age, gender, </w:t>
      </w:r>
      <w:proofErr w:type="gramStart"/>
      <w:r w:rsidR="00D32472" w:rsidRPr="009A452D">
        <w:t>race</w:t>
      </w:r>
      <w:proofErr w:type="gramEnd"/>
      <w:r w:rsidR="00D32472" w:rsidRPr="009A452D">
        <w:t xml:space="preserve">) were calculated, and a random proportion-based assignment procedure was implemented to assign demographic information to each frequent rider for whom a residential location was identified.  </w:t>
      </w:r>
      <w:r w:rsidR="00240F12" w:rsidRPr="009A452D">
        <w:t>The segments for age and sex were considered jointly, as were the segments f</w:t>
      </w:r>
      <w:r w:rsidR="00133D9B">
        <w:t xml:space="preserve">or race and Hispanic ethnicity. </w:t>
      </w:r>
      <w:r w:rsidR="00E93633" w:rsidRPr="009A452D">
        <w:t xml:space="preserve">All other </w:t>
      </w:r>
      <w:r w:rsidR="00875583" w:rsidRPr="009A452D">
        <w:t xml:space="preserve">demographic </w:t>
      </w:r>
      <w:r w:rsidR="00E93633" w:rsidRPr="009A452D">
        <w:t xml:space="preserve">segments were considered independently. </w:t>
      </w:r>
      <w:r w:rsidR="00D32472" w:rsidRPr="009A452D">
        <w:t>After imputing rider demographics, the total number of trips for each trip purpose/location category was computed and grou</w:t>
      </w:r>
      <w:r w:rsidR="00F233C6" w:rsidRPr="009A452D">
        <w:t xml:space="preserve">ped into frequency categories. </w:t>
      </w:r>
      <w:r w:rsidR="00D32472" w:rsidRPr="009A452D">
        <w:t xml:space="preserve">It is these grouped frequencies that served as the dependent variables for the multivariate ordered </w:t>
      </w:r>
      <w:proofErr w:type="spellStart"/>
      <w:r w:rsidR="00D32472" w:rsidRPr="009A452D">
        <w:t>probit</w:t>
      </w:r>
      <w:proofErr w:type="spellEnd"/>
      <w:r w:rsidR="00D32472" w:rsidRPr="009A452D">
        <w:t xml:space="preserve"> model estimated in this study. </w:t>
      </w:r>
    </w:p>
    <w:p w:rsidR="00CF3F4C" w:rsidRPr="009A452D" w:rsidRDefault="00CF3F4C" w:rsidP="00CF3F4C">
      <w:r w:rsidRPr="009A452D">
        <w:t xml:space="preserve">  </w:t>
      </w:r>
    </w:p>
    <w:p w:rsidR="00D32472" w:rsidRPr="009A452D" w:rsidRDefault="00D32472" w:rsidP="00A3534E">
      <w:pPr>
        <w:pStyle w:val="Heading1"/>
        <w:spacing w:before="0"/>
        <w:rPr>
          <w:caps/>
          <w:smallCaps w:val="0"/>
          <w:sz w:val="24"/>
        </w:rPr>
      </w:pPr>
      <w:r w:rsidRPr="009A452D">
        <w:rPr>
          <w:caps/>
          <w:smallCaps w:val="0"/>
          <w:sz w:val="24"/>
        </w:rPr>
        <w:t>D</w:t>
      </w:r>
      <w:r w:rsidR="00F27717" w:rsidRPr="009A452D">
        <w:rPr>
          <w:caps/>
          <w:smallCaps w:val="0"/>
          <w:sz w:val="24"/>
        </w:rPr>
        <w:t>escriptive Summary of Ride-Hailing Trips</w:t>
      </w:r>
    </w:p>
    <w:p w:rsidR="001C2D94" w:rsidRDefault="00D32472" w:rsidP="001C2D94">
      <w:r w:rsidRPr="009A452D">
        <w:t xml:space="preserve">The final trip data set with inferred trip purposes </w:t>
      </w:r>
      <w:r w:rsidR="009F0362" w:rsidRPr="009A452D">
        <w:t xml:space="preserve">had </w:t>
      </w:r>
      <w:r w:rsidRPr="009A452D">
        <w:t xml:space="preserve">1,475,596 </w:t>
      </w:r>
      <w:r w:rsidR="00756A07">
        <w:t>trips</w:t>
      </w:r>
      <w:r w:rsidR="00756A07" w:rsidRPr="009A452D">
        <w:t xml:space="preserve"> </w:t>
      </w:r>
      <w:r w:rsidRPr="009A452D">
        <w:t xml:space="preserve">and 258,022 unique riders or users.  The final “frequent rider” data set (which includes only those individuals for whom census demographic information could be imputed) </w:t>
      </w:r>
      <w:r w:rsidR="00277E81" w:rsidRPr="009A452D">
        <w:t xml:space="preserve">contains </w:t>
      </w:r>
      <w:r w:rsidRPr="009A452D">
        <w:t>13,</w:t>
      </w:r>
      <w:r w:rsidR="00F82641" w:rsidRPr="009A452D">
        <w:t xml:space="preserve">895 </w:t>
      </w:r>
      <w:r w:rsidR="00756A07">
        <w:t>riders</w:t>
      </w:r>
      <w:r w:rsidRPr="009A452D">
        <w:t xml:space="preserve">. </w:t>
      </w:r>
      <w:r w:rsidR="00B41B52">
        <w:t xml:space="preserve">Table 1 </w:t>
      </w:r>
      <w:r w:rsidR="000C3C05" w:rsidRPr="009A452D">
        <w:t xml:space="preserve">(Section A) </w:t>
      </w:r>
      <w:r w:rsidR="00BC49EC" w:rsidRPr="009A452D">
        <w:t xml:space="preserve">presents the overall profile of the entire set of ride-hailing trips for which trip purpose/location information was appended.  </w:t>
      </w:r>
      <w:r w:rsidRPr="009A452D">
        <w:t xml:space="preserve"> </w:t>
      </w:r>
    </w:p>
    <w:p w:rsidR="00CC176D" w:rsidRPr="009A452D" w:rsidRDefault="00C869A4" w:rsidP="001C2D94">
      <w:pPr>
        <w:ind w:firstLine="720"/>
      </w:pPr>
      <w:r w:rsidRPr="009A452D">
        <w:lastRenderedPageBreak/>
        <w:t>It can be seen that a majority of the trips (over 55 percent) are made at night between the hours of 10 PM and 7 AM.  The remaining trips are rather evenly distributed a</w:t>
      </w:r>
      <w:r w:rsidR="00133D9B">
        <w:t xml:space="preserve">mong other periods of the day. </w:t>
      </w:r>
      <w:r w:rsidRPr="009A452D">
        <w:t>In addition, a large proportion of trips (approximately 46 percent) is made on weekend days (Saturday and Sunday) with another 15.3 percent of trips made on Friday.  Only 38 percent of trips are ma</w:t>
      </w:r>
      <w:r w:rsidR="00133D9B">
        <w:t xml:space="preserve">de on Monday through Thursday. </w:t>
      </w:r>
      <w:r w:rsidRPr="009A452D">
        <w:t>An examination of the trip purpose/location distribution shows that trip origins and destinations are rather symmetric (signifying two-way or round-trip travel by the ride-hailing service) in their distributions, with high concentrations of trips in the CBD/DMU, residential, and commercial categories. Together, these three categories account for more than 75 percent of the trip origins/dest</w:t>
      </w:r>
      <w:r w:rsidR="00133D9B">
        <w:t xml:space="preserve">inations of ride-hailing trips. </w:t>
      </w:r>
      <w:r w:rsidRPr="009A452D">
        <w:t>It appears that individuals use the ride-hailing services to a greater degree on weekend nights to travel between residential areas (home locations) and commercial ar</w:t>
      </w:r>
      <w:r w:rsidR="00133D9B">
        <w:t xml:space="preserve">eas or CBD/DMU establishments. </w:t>
      </w:r>
      <w:r w:rsidRPr="009A452D">
        <w:t xml:space="preserve">This signifies that individuals are using these services primarily for social-recreational trips on weekends, possibly to avoid driving </w:t>
      </w:r>
      <w:r w:rsidR="00133D9B">
        <w:t xml:space="preserve">under the influence of alcohol. </w:t>
      </w:r>
      <w:r w:rsidRPr="009A452D">
        <w:t>Generally, work, airport, education, and recreation (visits to green spaces and parks) purposes account for only small fractions of the ride-hailing trips analyzed in this study. Another interesting finding is that about one-third of the users are single-time users; nearly one half of the users are infrequent users (2-10 times per year); and the remaining 17 percent of use</w:t>
      </w:r>
      <w:r w:rsidR="00133D9B">
        <w:t>rs are weekly or monthly users.</w:t>
      </w:r>
      <w:r w:rsidRPr="009A452D">
        <w:t xml:space="preserve"> In general, it appears that many users are single time or infrequent users of ride-hailing services (although that could change as market penetration and adoption continues to grow).</w:t>
      </w:r>
    </w:p>
    <w:p w:rsidR="007C786F" w:rsidRPr="009A452D" w:rsidRDefault="003123B9" w:rsidP="00B02ED3">
      <w:r w:rsidRPr="009A452D">
        <w:tab/>
      </w:r>
      <w:r w:rsidR="00B41B52">
        <w:t xml:space="preserve">Table 1 </w:t>
      </w:r>
      <w:r w:rsidR="006E421C" w:rsidRPr="009A452D">
        <w:t xml:space="preserve">(Section B) </w:t>
      </w:r>
      <w:r w:rsidR="009A452D">
        <w:t xml:space="preserve">also </w:t>
      </w:r>
      <w:r w:rsidR="00783DF8" w:rsidRPr="009A452D">
        <w:t xml:space="preserve">presents a profile of frequent ride-hailing users. It should be recalled that only records of frequent users of the ride-hailing service could be geo-tagged with a home location and appended with </w:t>
      </w:r>
      <w:r w:rsidR="00EA31D3" w:rsidRPr="009A452D">
        <w:t>census demographic data. Thus, the sample size for this table is just 13,</w:t>
      </w:r>
      <w:r w:rsidR="00F82641" w:rsidRPr="009A452D">
        <w:t>895</w:t>
      </w:r>
      <w:r w:rsidR="00EA31D3" w:rsidRPr="009A452D">
        <w:t xml:space="preserve">, which corresponds to the number of frequent users with an identified residential location obtained using the procedures outlined in the previous section.  </w:t>
      </w:r>
    </w:p>
    <w:p w:rsidR="003123B9" w:rsidRPr="009A452D" w:rsidRDefault="007C786F" w:rsidP="00B02ED3">
      <w:r w:rsidRPr="009A452D">
        <w:tab/>
      </w:r>
      <w:r w:rsidR="0018164F">
        <w:t>T</w:t>
      </w:r>
      <w:r w:rsidR="0018164F" w:rsidRPr="0018164F">
        <w:t>he imputation process predict</w:t>
      </w:r>
      <w:r w:rsidR="006B4104">
        <w:t>s</w:t>
      </w:r>
      <w:r w:rsidR="0018164F" w:rsidRPr="0018164F">
        <w:t xml:space="preserve"> that </w:t>
      </w:r>
      <w:r w:rsidR="00EA31D3" w:rsidRPr="009A452D">
        <w:t xml:space="preserve">frequent users are more likely to be younger cohorts with just eight percent of users being 65 years or above in age.  </w:t>
      </w:r>
      <w:r w:rsidR="001566B9">
        <w:t>It</w:t>
      </w:r>
      <w:r w:rsidR="0018164F">
        <w:t xml:space="preserve"> also show</w:t>
      </w:r>
      <w:r w:rsidR="006B4104">
        <w:t>s</w:t>
      </w:r>
      <w:r w:rsidR="0018164F">
        <w:t xml:space="preserve"> that the </w:t>
      </w:r>
      <w:r w:rsidR="0018164F" w:rsidRPr="009A452D">
        <w:t>split between males and females</w:t>
      </w:r>
      <w:r w:rsidR="0018164F">
        <w:t xml:space="preserve"> </w:t>
      </w:r>
      <w:r w:rsidR="000A23C7">
        <w:t>is</w:t>
      </w:r>
      <w:r w:rsidR="00076712">
        <w:t xml:space="preserve"> </w:t>
      </w:r>
      <w:r w:rsidR="001165AF" w:rsidRPr="009A452D">
        <w:t>virtually equ</w:t>
      </w:r>
      <w:r w:rsidR="00133D9B">
        <w:t>al.</w:t>
      </w:r>
      <w:r w:rsidR="001165AF" w:rsidRPr="009A452D">
        <w:t xml:space="preserve"> A vast majority </w:t>
      </w:r>
      <w:r w:rsidR="0018164F">
        <w:t>seem</w:t>
      </w:r>
      <w:r w:rsidR="0018164F" w:rsidRPr="009A452D">
        <w:t xml:space="preserve"> </w:t>
      </w:r>
      <w:r w:rsidR="001165AF" w:rsidRPr="009A452D">
        <w:t xml:space="preserve">not </w:t>
      </w:r>
      <w:r w:rsidR="0018164F">
        <w:t xml:space="preserve">to </w:t>
      </w:r>
      <w:r w:rsidR="001165AF" w:rsidRPr="009A452D">
        <w:t xml:space="preserve">have </w:t>
      </w:r>
      <w:r w:rsidR="003E7F20">
        <w:t>children</w:t>
      </w:r>
      <w:r w:rsidR="001165AF" w:rsidRPr="009A452D">
        <w:t xml:space="preserve"> in the household, suggesting that ride-hailing services are used to a greater degree by individuals in earlier lifecycle stage</w:t>
      </w:r>
      <w:r w:rsidR="00FD04AF" w:rsidRPr="009A452D">
        <w:t>s</w:t>
      </w:r>
      <w:r w:rsidR="00133D9B">
        <w:t xml:space="preserve">. </w:t>
      </w:r>
      <w:r w:rsidR="001165AF" w:rsidRPr="009A452D">
        <w:t xml:space="preserve">About 85 percent of the frequent users </w:t>
      </w:r>
      <w:r w:rsidR="00FD04AF" w:rsidRPr="009A452D">
        <w:t xml:space="preserve">make use </w:t>
      </w:r>
      <w:r w:rsidR="001165AF" w:rsidRPr="009A452D">
        <w:t>of the service on a weekly basi</w:t>
      </w:r>
      <w:r w:rsidR="00133D9B">
        <w:t xml:space="preserve">s. </w:t>
      </w:r>
      <w:r w:rsidR="003F11A1">
        <w:t xml:space="preserve">The imputation </w:t>
      </w:r>
      <w:r w:rsidR="0023680A">
        <w:t xml:space="preserve">also </w:t>
      </w:r>
      <w:r w:rsidR="00422C57">
        <w:t>suggests</w:t>
      </w:r>
      <w:r w:rsidR="003F11A1">
        <w:t xml:space="preserve"> that the </w:t>
      </w:r>
      <w:r w:rsidR="001165AF" w:rsidRPr="009A452D">
        <w:t xml:space="preserve">majority of users </w:t>
      </w:r>
      <w:r w:rsidR="00910935">
        <w:t xml:space="preserve">are </w:t>
      </w:r>
      <w:r w:rsidR="001165AF" w:rsidRPr="009A452D">
        <w:t>White, and less than five percent are Black/African American, suggesting that there may be some equity concerns in th</w:t>
      </w:r>
      <w:r w:rsidR="00133D9B">
        <w:t>e use of ride-hailing services.</w:t>
      </w:r>
      <w:r w:rsidR="001165AF" w:rsidRPr="009A452D">
        <w:t xml:space="preserve"> The income distribution suggests that nearly one-half of the frequent users have a household income less than $50,000 per year. This finding is rather counter to previous literature that suggests ride-hailing use</w:t>
      </w:r>
      <w:r w:rsidR="00133D9B">
        <w:t>rs are of higher income strata.</w:t>
      </w:r>
      <w:r w:rsidR="001165AF" w:rsidRPr="009A452D">
        <w:t xml:space="preserve"> It is possible that </w:t>
      </w:r>
      <w:r w:rsidR="00C74619" w:rsidRPr="009A452D">
        <w:t>individuals in lower income households (which may be vehicle deficient) find this service useful and reasonably cost-effective in meeting mobility needs, particularly in areas where transit service is not reliable and does not provide high level</w:t>
      </w:r>
      <w:r w:rsidR="00FD04AF" w:rsidRPr="009A452D">
        <w:t>s</w:t>
      </w:r>
      <w:r w:rsidR="00C74619" w:rsidRPr="009A452D">
        <w:t xml:space="preserve"> of service. </w:t>
      </w:r>
      <w:r w:rsidR="00783DF8" w:rsidRPr="009A452D">
        <w:t xml:space="preserve"> </w:t>
      </w:r>
    </w:p>
    <w:p w:rsidR="00D174D1" w:rsidRPr="009A452D" w:rsidRDefault="00D174D1" w:rsidP="009A452D"/>
    <w:p w:rsidR="008B6941" w:rsidRPr="009A452D" w:rsidRDefault="000F72EC" w:rsidP="00A3534E">
      <w:pPr>
        <w:pStyle w:val="Heading1"/>
        <w:spacing w:before="0"/>
        <w:rPr>
          <w:caps/>
          <w:smallCaps w:val="0"/>
          <w:sz w:val="24"/>
        </w:rPr>
      </w:pPr>
      <w:bookmarkStart w:id="0" w:name="_Ref520571112"/>
      <w:r w:rsidRPr="009A452D">
        <w:rPr>
          <w:caps/>
          <w:smallCaps w:val="0"/>
          <w:sz w:val="24"/>
        </w:rPr>
        <w:t>Analysis of Ride-Hailing Service Usage Patterns</w:t>
      </w:r>
      <w:bookmarkEnd w:id="0"/>
    </w:p>
    <w:p w:rsidR="00252BAB" w:rsidRPr="009A452D" w:rsidRDefault="00906AB9" w:rsidP="002C31FB">
      <w:r w:rsidRPr="009A452D">
        <w:t xml:space="preserve">To further understand the influence of various socio-economic and demographic factors on the number of ride-hailing trips by </w:t>
      </w:r>
      <w:r w:rsidR="00296448" w:rsidRPr="009A452D">
        <w:t xml:space="preserve">destination </w:t>
      </w:r>
      <w:r w:rsidRPr="009A452D">
        <w:t>trip purpose/location</w:t>
      </w:r>
      <w:r w:rsidR="00296448" w:rsidRPr="009A452D">
        <w:t xml:space="preserve"> type</w:t>
      </w:r>
      <w:r w:rsidRPr="009A452D">
        <w:t xml:space="preserve">, a multivariate ordered </w:t>
      </w:r>
      <w:proofErr w:type="spellStart"/>
      <w:r w:rsidRPr="009A452D">
        <w:t>probit</w:t>
      </w:r>
      <w:proofErr w:type="spellEnd"/>
      <w:r w:rsidRPr="009A452D">
        <w:t xml:space="preserve"> model was specified and estimated in this study. T</w:t>
      </w:r>
      <w:r w:rsidR="008A7F01" w:rsidRPr="009A452D">
        <w:t>he n</w:t>
      </w:r>
      <w:r w:rsidRPr="009A452D">
        <w:t xml:space="preserve">umber of ride-hailing trips undertaken by </w:t>
      </w:r>
      <w:r w:rsidR="008A7F01" w:rsidRPr="009A452D">
        <w:t xml:space="preserve">riders for each destination purpose/location </w:t>
      </w:r>
      <w:r w:rsidR="00296448" w:rsidRPr="009A452D">
        <w:t xml:space="preserve">type </w:t>
      </w:r>
      <w:r w:rsidRPr="009A452D">
        <w:t>was computed and then modeled as a function of</w:t>
      </w:r>
      <w:r w:rsidR="008A7F01" w:rsidRPr="009A452D">
        <w:t xml:space="preserve"> demographic variables. The model</w:t>
      </w:r>
      <w:r w:rsidRPr="009A452D">
        <w:t>ing</w:t>
      </w:r>
      <w:r w:rsidR="008A7F01" w:rsidRPr="009A452D">
        <w:t xml:space="preserve"> framework </w:t>
      </w:r>
      <w:r w:rsidRPr="009A452D">
        <w:t>accounts for</w:t>
      </w:r>
      <w:r w:rsidR="008A7F01" w:rsidRPr="009A452D">
        <w:t xml:space="preserve"> correlation</w:t>
      </w:r>
      <w:r w:rsidRPr="009A452D">
        <w:t>s</w:t>
      </w:r>
      <w:r w:rsidR="008A7F01" w:rsidRPr="009A452D">
        <w:t xml:space="preserve"> </w:t>
      </w:r>
      <w:r w:rsidRPr="009A452D">
        <w:t xml:space="preserve">among </w:t>
      </w:r>
      <w:r w:rsidR="008A7F01" w:rsidRPr="009A452D">
        <w:t>unobserved effects</w:t>
      </w:r>
      <w:r w:rsidRPr="009A452D">
        <w:t xml:space="preserve"> (error terms), essentially recognizing that there may be common unobserved attributes affecting the number of trips undertaken for</w:t>
      </w:r>
      <w:r w:rsidR="00133D9B">
        <w:t xml:space="preserve"> different purposes/locations. </w:t>
      </w:r>
      <w:r w:rsidRPr="009A452D">
        <w:t>For this analysis, trips to</w:t>
      </w:r>
      <w:r w:rsidR="008A7F01" w:rsidRPr="009A452D">
        <w:t xml:space="preserve"> </w:t>
      </w:r>
      <w:r w:rsidR="008A7F01" w:rsidRPr="009A452D">
        <w:lastRenderedPageBreak/>
        <w:t xml:space="preserve">“Residential” locations </w:t>
      </w:r>
      <w:r w:rsidRPr="009A452D">
        <w:t xml:space="preserve">were excluded </w:t>
      </w:r>
      <w:r w:rsidR="008A7F01" w:rsidRPr="009A452D">
        <w:t xml:space="preserve">from the model </w:t>
      </w:r>
      <w:r w:rsidR="00486005" w:rsidRPr="009A452D">
        <w:t xml:space="preserve">to </w:t>
      </w:r>
      <w:r w:rsidRPr="009A452D">
        <w:t>focus the analysis on travel undertaken to places other than home</w:t>
      </w:r>
      <w:r w:rsidR="008A7F01" w:rsidRPr="009A452D">
        <w:t xml:space="preserve">. </w:t>
      </w:r>
      <w:r w:rsidRPr="009A452D">
        <w:t xml:space="preserve">In addition, the analysis excludes trips with a classification of </w:t>
      </w:r>
      <w:r w:rsidR="00486005" w:rsidRPr="009A452D">
        <w:t xml:space="preserve">“Other” because of the lack of information </w:t>
      </w:r>
      <w:r w:rsidRPr="009A452D">
        <w:t>about this trip category</w:t>
      </w:r>
      <w:r w:rsidR="00486005" w:rsidRPr="009A452D">
        <w:t>.</w:t>
      </w:r>
    </w:p>
    <w:p w:rsidR="00486005" w:rsidRPr="009A452D" w:rsidRDefault="00486005" w:rsidP="00C9251B">
      <w:pPr>
        <w:ind w:firstLine="720"/>
      </w:pPr>
      <w:r w:rsidRPr="009A452D">
        <w:t>Given that the individuals in the data</w:t>
      </w:r>
      <w:r w:rsidR="00906AB9" w:rsidRPr="009A452D">
        <w:t xml:space="preserve"> </w:t>
      </w:r>
      <w:r w:rsidRPr="009A452D">
        <w:t>set presented a wide range of trip counts and that the data</w:t>
      </w:r>
      <w:r w:rsidR="00906AB9" w:rsidRPr="009A452D">
        <w:t xml:space="preserve"> </w:t>
      </w:r>
      <w:r w:rsidRPr="009A452D">
        <w:t xml:space="preserve">set is considerably large (13,000+ </w:t>
      </w:r>
      <w:r w:rsidR="00756A07">
        <w:t>riders</w:t>
      </w:r>
      <w:r w:rsidRPr="009A452D">
        <w:t>), the higher trip counts were aggregated into catego</w:t>
      </w:r>
      <w:r w:rsidR="00906AB9" w:rsidRPr="009A452D">
        <w:t>ries. These categories are not identical</w:t>
      </w:r>
      <w:r w:rsidRPr="009A452D">
        <w:t xml:space="preserve"> across all destination purpose</w:t>
      </w:r>
      <w:r w:rsidR="00906AB9" w:rsidRPr="009A452D">
        <w:t>s, but were set such that</w:t>
      </w:r>
      <w:r w:rsidR="0037631B" w:rsidRPr="009A452D">
        <w:t xml:space="preserve"> approximately 200 </w:t>
      </w:r>
      <w:r w:rsidR="008664FA">
        <w:t>riders</w:t>
      </w:r>
      <w:r w:rsidR="008664FA" w:rsidRPr="009A452D">
        <w:t xml:space="preserve"> </w:t>
      </w:r>
      <w:r w:rsidR="00906AB9" w:rsidRPr="009A452D">
        <w:t xml:space="preserve">would fall into each category, thus enabling a more computationally feasible model </w:t>
      </w:r>
      <w:r w:rsidR="0037631B" w:rsidRPr="009A452D">
        <w:t>estimation process.</w:t>
      </w:r>
      <w:r w:rsidR="008C0A98" w:rsidRPr="009A452D">
        <w:t xml:space="preserve"> The final table containing the number of individuals </w:t>
      </w:r>
      <w:r w:rsidR="00640982" w:rsidRPr="009A452D">
        <w:t>per</w:t>
      </w:r>
      <w:r w:rsidR="008C0A98" w:rsidRPr="009A452D">
        <w:t xml:space="preserve"> frequency category was omitted for </w:t>
      </w:r>
      <w:r w:rsidR="008B3C5E" w:rsidRPr="009A452D">
        <w:t xml:space="preserve">the sake of </w:t>
      </w:r>
      <w:r w:rsidR="008C0A98" w:rsidRPr="009A452D">
        <w:t>brevity.</w:t>
      </w:r>
    </w:p>
    <w:p w:rsidR="00BE4692" w:rsidRPr="009A452D" w:rsidRDefault="00BE4692" w:rsidP="00C9251B"/>
    <w:p w:rsidR="000F72EC" w:rsidRPr="009A452D" w:rsidRDefault="00E0261C" w:rsidP="00C9251B">
      <w:pPr>
        <w:pStyle w:val="Heading2"/>
        <w:spacing w:before="0"/>
        <w:rPr>
          <w:smallCaps w:val="0"/>
        </w:rPr>
      </w:pPr>
      <w:r w:rsidRPr="009A452D">
        <w:rPr>
          <w:smallCaps w:val="0"/>
        </w:rPr>
        <w:t>Modeling F</w:t>
      </w:r>
      <w:r w:rsidR="000F72EC" w:rsidRPr="009A452D">
        <w:rPr>
          <w:smallCaps w:val="0"/>
        </w:rPr>
        <w:t>ramework</w:t>
      </w:r>
    </w:p>
    <w:p w:rsidR="00E0261C" w:rsidRPr="009A452D" w:rsidRDefault="00E0261C" w:rsidP="00E0261C">
      <w:r w:rsidRPr="009A452D">
        <w:t>The modeling framework used in this</w:t>
      </w:r>
      <w:r w:rsidR="004D24D4" w:rsidRPr="009A452D">
        <w:t xml:space="preserve"> study is </w:t>
      </w:r>
      <w:r w:rsidRPr="009A452D">
        <w:t xml:space="preserve">very similar to that presented in </w:t>
      </w:r>
      <w:proofErr w:type="spellStart"/>
      <w:r w:rsidRPr="009A452D">
        <w:t>Ferdous</w:t>
      </w:r>
      <w:proofErr w:type="spellEnd"/>
      <w:r w:rsidRPr="009A452D">
        <w:t xml:space="preserve"> et al</w:t>
      </w:r>
      <w:r w:rsidR="00133D9B">
        <w:t>.</w:t>
      </w:r>
      <w:r w:rsidR="004D24D4" w:rsidRPr="009A452D">
        <w:t xml:space="preserve"> (</w:t>
      </w:r>
      <w:r w:rsidR="00133D9B" w:rsidRPr="00133D9B">
        <w:rPr>
          <w:i/>
        </w:rPr>
        <w:t>20</w:t>
      </w:r>
      <w:r w:rsidR="004D24D4" w:rsidRPr="009A452D">
        <w:t xml:space="preserve">). </w:t>
      </w:r>
      <w:r w:rsidR="008A7F01" w:rsidRPr="009A452D">
        <w:t xml:space="preserve">Let </w:t>
      </w:r>
      <w:r w:rsidR="008A7F01" w:rsidRPr="009A452D">
        <w:rPr>
          <w:i/>
        </w:rPr>
        <w:t>q</w:t>
      </w:r>
      <w:r w:rsidR="008A7F01" w:rsidRPr="009A452D">
        <w:t xml:space="preserve"> be an index for individuals (</w:t>
      </w:r>
      <w:r w:rsidR="008A7F01" w:rsidRPr="009A452D">
        <w:rPr>
          <w:i/>
        </w:rPr>
        <w:t>q</w:t>
      </w:r>
      <w:r w:rsidR="008A7F01" w:rsidRPr="009A452D">
        <w:t xml:space="preserve"> = 1, 2</w:t>
      </w:r>
      <w:proofErr w:type="gramStart"/>
      <w:r w:rsidR="008A7F01" w:rsidRPr="009A452D">
        <w:t>, …,</w:t>
      </w:r>
      <w:proofErr w:type="gramEnd"/>
      <w:r w:rsidR="008A7F01" w:rsidRPr="009A452D">
        <w:t xml:space="preserve"> </w:t>
      </w:r>
      <w:r w:rsidR="008A7F01" w:rsidRPr="009A452D">
        <w:rPr>
          <w:i/>
        </w:rPr>
        <w:t>Q</w:t>
      </w:r>
      <w:r w:rsidR="008A7F01" w:rsidRPr="009A452D">
        <w:t xml:space="preserve">), and let </w:t>
      </w:r>
      <w:proofErr w:type="spellStart"/>
      <w:r w:rsidR="008A7F01" w:rsidRPr="009A452D">
        <w:rPr>
          <w:i/>
        </w:rPr>
        <w:t>i</w:t>
      </w:r>
      <w:proofErr w:type="spellEnd"/>
      <w:r w:rsidR="008A7F01" w:rsidRPr="009A452D">
        <w:t xml:space="preserve"> be the index for </w:t>
      </w:r>
      <w:r w:rsidR="00486005" w:rsidRPr="009A452D">
        <w:t>destination purpose</w:t>
      </w:r>
      <w:r w:rsidR="008A7F01" w:rsidRPr="009A452D">
        <w:t xml:space="preserve"> (</w:t>
      </w:r>
      <w:proofErr w:type="spellStart"/>
      <w:r w:rsidR="008A7F01" w:rsidRPr="009A452D">
        <w:rPr>
          <w:i/>
        </w:rPr>
        <w:t>i</w:t>
      </w:r>
      <w:proofErr w:type="spellEnd"/>
      <w:r w:rsidR="008A7F01" w:rsidRPr="009A452D">
        <w:t xml:space="preserve"> = 1, 2, …, </w:t>
      </w:r>
      <w:r w:rsidR="008A7F01" w:rsidRPr="009A452D">
        <w:rPr>
          <w:i/>
        </w:rPr>
        <w:t>I</w:t>
      </w:r>
      <w:r w:rsidR="008A7F01" w:rsidRPr="009A452D">
        <w:t xml:space="preserve">, where </w:t>
      </w:r>
      <w:r w:rsidR="008A7F01" w:rsidRPr="009A452D">
        <w:rPr>
          <w:i/>
        </w:rPr>
        <w:t>I</w:t>
      </w:r>
      <w:r w:rsidR="008A7F01" w:rsidRPr="009A452D">
        <w:t xml:space="preserve"> denotes the total number of </w:t>
      </w:r>
      <w:r w:rsidR="00486005" w:rsidRPr="009A452D">
        <w:t>destination purposes</w:t>
      </w:r>
      <w:r w:rsidR="008A7F01" w:rsidRPr="009A452D">
        <w:t xml:space="preserve"> for each individual; in the current study, </w:t>
      </w:r>
      <w:r w:rsidR="008A7F01" w:rsidRPr="009A452D">
        <w:rPr>
          <w:i/>
        </w:rPr>
        <w:t>I</w:t>
      </w:r>
      <w:r w:rsidR="008A7F01" w:rsidRPr="009A452D">
        <w:t xml:space="preserve"> = 6). Let the number of </w:t>
      </w:r>
      <w:r w:rsidR="00B50571" w:rsidRPr="009A452D">
        <w:t xml:space="preserve">frequency </w:t>
      </w:r>
      <w:r w:rsidR="008A7F01" w:rsidRPr="009A452D">
        <w:t xml:space="preserve">categories for </w:t>
      </w:r>
      <w:r w:rsidR="00486005" w:rsidRPr="009A452D">
        <w:t>destination purpose</w:t>
      </w:r>
      <w:r w:rsidR="008A7F01" w:rsidRPr="009A452D">
        <w:t xml:space="preserve"> </w:t>
      </w:r>
      <w:proofErr w:type="spellStart"/>
      <w:r w:rsidR="008A7F01" w:rsidRPr="009A452D">
        <w:rPr>
          <w:i/>
        </w:rPr>
        <w:t>i</w:t>
      </w:r>
      <w:proofErr w:type="spellEnd"/>
      <w:r w:rsidR="008A7F01" w:rsidRPr="009A452D">
        <w:t xml:space="preserve"> be </w:t>
      </w:r>
      <w:r w:rsidR="008A7F01" w:rsidRPr="009A452D">
        <w:rPr>
          <w:i/>
        </w:rPr>
        <w:t>K</w:t>
      </w:r>
      <w:r w:rsidR="008A7F01" w:rsidRPr="009A452D">
        <w:rPr>
          <w:i/>
          <w:vertAlign w:val="subscript"/>
        </w:rPr>
        <w:t>i</w:t>
      </w:r>
      <w:r w:rsidR="008A7F01" w:rsidRPr="009A452D">
        <w:rPr>
          <w:i/>
        </w:rPr>
        <w:t xml:space="preserve"> </w:t>
      </w:r>
      <w:r w:rsidR="008A7F01" w:rsidRPr="009A452D">
        <w:t>+ 1 (</w:t>
      </w:r>
      <w:r w:rsidR="008A7F01" w:rsidRPr="009A452D">
        <w:rPr>
          <w:i/>
        </w:rPr>
        <w:t>i.e</w:t>
      </w:r>
      <w:r w:rsidR="008A7F01" w:rsidRPr="009A452D">
        <w:t xml:space="preserve">., the </w:t>
      </w:r>
      <w:r w:rsidR="00B50571" w:rsidRPr="009A452D">
        <w:t xml:space="preserve">frequency </w:t>
      </w:r>
      <w:r w:rsidR="00486005" w:rsidRPr="009A452D">
        <w:t>categor</w:t>
      </w:r>
      <w:r w:rsidR="00E21DDE" w:rsidRPr="009A452D">
        <w:t>ies</w:t>
      </w:r>
      <w:r w:rsidR="008A7F01" w:rsidRPr="009A452D">
        <w:t xml:space="preserve"> of </w:t>
      </w:r>
      <w:r w:rsidR="00486005" w:rsidRPr="009A452D">
        <w:t>destination purpose</w:t>
      </w:r>
      <w:r w:rsidR="008A7F01" w:rsidRPr="009A452D">
        <w:t xml:space="preserve"> </w:t>
      </w:r>
      <w:proofErr w:type="spellStart"/>
      <w:r w:rsidR="008A7F01" w:rsidRPr="009A452D">
        <w:rPr>
          <w:i/>
        </w:rPr>
        <w:t>i</w:t>
      </w:r>
      <w:proofErr w:type="spellEnd"/>
      <w:r w:rsidR="008A7F01" w:rsidRPr="009A452D">
        <w:rPr>
          <w:i/>
        </w:rPr>
        <w:t xml:space="preserve"> </w:t>
      </w:r>
      <w:r w:rsidR="00E21DDE" w:rsidRPr="009A452D">
        <w:t>are</w:t>
      </w:r>
      <w:r w:rsidR="008A7F01" w:rsidRPr="009A452D">
        <w:t xml:space="preserve"> indexed by </w:t>
      </w:r>
      <w:r w:rsidR="008A7F01" w:rsidRPr="009A452D">
        <w:rPr>
          <w:i/>
        </w:rPr>
        <w:t>k</w:t>
      </w:r>
      <w:r w:rsidR="008A7F01" w:rsidRPr="009A452D">
        <w:t xml:space="preserve"> and belong in {0, 1, 2</w:t>
      </w:r>
      <w:proofErr w:type="gramStart"/>
      <w:r w:rsidR="008A7F01" w:rsidRPr="009A452D">
        <w:t>, …,</w:t>
      </w:r>
      <w:proofErr w:type="gramEnd"/>
      <w:r w:rsidR="008A7F01" w:rsidRPr="009A452D">
        <w:t xml:space="preserve"> </w:t>
      </w:r>
      <w:r w:rsidR="008A7F01" w:rsidRPr="009A452D">
        <w:rPr>
          <w:i/>
        </w:rPr>
        <w:t>K</w:t>
      </w:r>
      <w:r w:rsidR="008A7F01" w:rsidRPr="009A452D">
        <w:rPr>
          <w:i/>
          <w:vertAlign w:val="subscript"/>
        </w:rPr>
        <w:t>i</w:t>
      </w:r>
      <w:r w:rsidR="008A7F01" w:rsidRPr="009A452D">
        <w:t xml:space="preserve">}). Following the usual ordered response framework notation, </w:t>
      </w:r>
      <w:r w:rsidRPr="009A452D">
        <w:t xml:space="preserve">it is possible to </w:t>
      </w:r>
      <w:r w:rsidR="008A7F01" w:rsidRPr="009A452D">
        <w:t>write the latent propensity (</w:t>
      </w:r>
      <w:r w:rsidR="008A7F01" w:rsidRPr="009A452D">
        <w:rPr>
          <w:position w:val="-14"/>
        </w:rPr>
        <w:object w:dxaOrig="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0.1pt" o:ole="">
            <v:imagedata r:id="rId17" o:title=""/>
          </v:shape>
          <o:OLEObject Type="Embed" ProgID="Equation.DSMT4" ShapeID="_x0000_i1025" DrawAspect="Content" ObjectID="_1615708134" r:id="rId18"/>
        </w:object>
      </w:r>
      <w:r w:rsidR="008A7F01" w:rsidRPr="009A452D">
        <w:t xml:space="preserve">) for each </w:t>
      </w:r>
      <w:r w:rsidR="0052396E" w:rsidRPr="009A452D">
        <w:t xml:space="preserve">destination purpose </w:t>
      </w:r>
      <w:r w:rsidR="008A7F01" w:rsidRPr="009A452D">
        <w:t xml:space="preserve">as a function of relevant covariates and relate this latent propensity to the observed </w:t>
      </w:r>
      <w:r w:rsidR="00BA00C6" w:rsidRPr="009A452D">
        <w:t>frequency</w:t>
      </w:r>
      <w:r w:rsidR="008A7F01" w:rsidRPr="009A452D">
        <w:t xml:space="preserve"> outcome (</w:t>
      </w:r>
      <w:r w:rsidR="008A7F01" w:rsidRPr="009A452D">
        <w:rPr>
          <w:position w:val="-14"/>
        </w:rPr>
        <w:object w:dxaOrig="320" w:dyaOrig="380">
          <v:shape id="_x0000_i1026" type="#_x0000_t75" style="width:15.9pt;height:19.25pt" o:ole="">
            <v:imagedata r:id="rId19" o:title=""/>
          </v:shape>
          <o:OLEObject Type="Embed" ProgID="Equation.DSMT4" ShapeID="_x0000_i1026" DrawAspect="Content" ObjectID="_1615708135" r:id="rId20"/>
        </w:object>
      </w:r>
      <w:r w:rsidR="008A7F01" w:rsidRPr="009A452D">
        <w:t>) through threshold b</w:t>
      </w:r>
      <w:r w:rsidR="00AD3AF3">
        <w:t xml:space="preserve">ounds (see </w:t>
      </w:r>
      <w:proofErr w:type="spellStart"/>
      <w:r w:rsidR="00AD3AF3">
        <w:t>McKelvey</w:t>
      </w:r>
      <w:proofErr w:type="spellEnd"/>
      <w:r w:rsidR="00AD3AF3">
        <w:t xml:space="preserve"> and </w:t>
      </w:r>
      <w:proofErr w:type="spellStart"/>
      <w:r w:rsidR="00AD3AF3">
        <w:t>Zavoina</w:t>
      </w:r>
      <w:proofErr w:type="spellEnd"/>
      <w:r w:rsidR="008A7F01" w:rsidRPr="009A452D">
        <w:t xml:space="preserve"> </w:t>
      </w:r>
      <w:r w:rsidR="00AD3AF3">
        <w:t>(</w:t>
      </w:r>
      <w:r w:rsidR="00AD3AF3" w:rsidRPr="00AD3AF3">
        <w:rPr>
          <w:i/>
        </w:rPr>
        <w:t>21</w:t>
      </w:r>
      <w:r w:rsidR="00AD3AF3">
        <w:t>)</w:t>
      </w:r>
      <w:r w:rsidR="008A7F01" w:rsidRPr="009A452D">
        <w:t>):</w:t>
      </w:r>
    </w:p>
    <w:p w:rsidR="00E0261C" w:rsidRPr="009A452D" w:rsidRDefault="00E0261C" w:rsidP="00C9251B">
      <w:pPr>
        <w:tabs>
          <w:tab w:val="left" w:pos="720"/>
          <w:tab w:val="right" w:pos="9360"/>
        </w:tabs>
        <w:spacing w:before="120" w:after="120"/>
      </w:pPr>
      <w:r w:rsidRPr="009A452D">
        <w:tab/>
      </w:r>
      <w:r w:rsidR="002B4697" w:rsidRPr="009A452D">
        <w:rPr>
          <w:position w:val="-14"/>
        </w:rPr>
        <w:object w:dxaOrig="2260" w:dyaOrig="400">
          <v:shape id="_x0000_i1027" type="#_x0000_t75" style="width:111.35pt;height:20.1pt" o:ole="">
            <v:imagedata r:id="rId21" o:title=""/>
          </v:shape>
          <o:OLEObject Type="Embed" ProgID="Equation.DSMT4" ShapeID="_x0000_i1027" DrawAspect="Content" ObjectID="_1615708136" r:id="rId22"/>
        </w:object>
      </w:r>
      <w:r w:rsidRPr="009A452D">
        <w:t xml:space="preserve"> </w:t>
      </w:r>
      <w:proofErr w:type="gramStart"/>
      <w:r w:rsidRPr="009A452D">
        <w:t>if</w:t>
      </w:r>
      <w:proofErr w:type="gramEnd"/>
      <w:r w:rsidR="008A7F01" w:rsidRPr="009A452D">
        <w:t xml:space="preserve">  </w:t>
      </w:r>
      <w:r w:rsidRPr="009A452D">
        <w:rPr>
          <w:position w:val="-14"/>
        </w:rPr>
        <w:object w:dxaOrig="1420" w:dyaOrig="400">
          <v:shape id="_x0000_i1028" type="#_x0000_t75" style="width:71.15pt;height:20.1pt" o:ole="">
            <v:imagedata r:id="rId23" o:title=""/>
          </v:shape>
          <o:OLEObject Type="Embed" ProgID="Equation.DSMT4" ShapeID="_x0000_i1028" DrawAspect="Content" ObjectID="_1615708137" r:id="rId24"/>
        </w:object>
      </w:r>
      <w:r w:rsidRPr="009A452D">
        <w:tab/>
        <w:t>(1)</w:t>
      </w:r>
    </w:p>
    <w:p w:rsidR="008A7F01" w:rsidRPr="009A452D" w:rsidRDefault="008A7F01" w:rsidP="002C31FB">
      <w:r w:rsidRPr="009A452D">
        <w:t xml:space="preserve">where </w:t>
      </w:r>
      <w:r w:rsidR="002B4697" w:rsidRPr="009A452D">
        <w:rPr>
          <w:position w:val="-14"/>
        </w:rPr>
        <w:object w:dxaOrig="340" w:dyaOrig="380">
          <v:shape id="_x0000_i1029" type="#_x0000_t75" style="width:17.6pt;height:19.25pt" o:ole="">
            <v:imagedata r:id="rId25" o:title=""/>
          </v:shape>
          <o:OLEObject Type="Embed" ProgID="Equation.DSMT4" ShapeID="_x0000_i1029" DrawAspect="Content" ObjectID="_1615708138" r:id="rId26"/>
        </w:object>
      </w:r>
      <w:r w:rsidRPr="009A452D">
        <w:t xml:space="preserve"> is a (</w:t>
      </w:r>
      <w:r w:rsidRPr="009A452D">
        <w:rPr>
          <w:i/>
        </w:rPr>
        <w:t>L×</w:t>
      </w:r>
      <w:r w:rsidRPr="009A452D">
        <w:t xml:space="preserve">1) vector of exogenous variables (not including a constant), </w:t>
      </w:r>
      <w:r w:rsidR="002B4697" w:rsidRPr="009A452D">
        <w:rPr>
          <w:position w:val="-12"/>
        </w:rPr>
        <w:object w:dxaOrig="260" w:dyaOrig="360">
          <v:shape id="_x0000_i1030" type="#_x0000_t75" style="width:12.55pt;height:18.4pt" o:ole="">
            <v:imagedata r:id="rId27" o:title=""/>
          </v:shape>
          <o:OLEObject Type="Embed" ProgID="Equation.DSMT4" ShapeID="_x0000_i1030" DrawAspect="Content" ObjectID="_1615708139" r:id="rId28"/>
        </w:object>
      </w:r>
      <w:r w:rsidRPr="009A452D">
        <w:t xml:space="preserve"> is a corresponding (</w:t>
      </w:r>
      <w:r w:rsidRPr="009A452D">
        <w:rPr>
          <w:i/>
        </w:rPr>
        <w:t>L×</w:t>
      </w:r>
      <w:r w:rsidRPr="009A452D">
        <w:t xml:space="preserve">1) vector of coefficients to be estimated, </w:t>
      </w:r>
      <w:r w:rsidRPr="009A452D">
        <w:rPr>
          <w:position w:val="-14"/>
        </w:rPr>
        <w:object w:dxaOrig="320" w:dyaOrig="380">
          <v:shape id="_x0000_i1031" type="#_x0000_t75" style="width:15.9pt;height:19.25pt" o:ole="">
            <v:imagedata r:id="rId29" o:title=""/>
          </v:shape>
          <o:OLEObject Type="Embed" ProgID="Equation.3" ShapeID="_x0000_i1031" DrawAspect="Content" ObjectID="_1615708140" r:id="rId30"/>
        </w:object>
      </w:r>
      <w:r w:rsidRPr="009A452D">
        <w:t xml:space="preserve"> is a standard normal error term, and </w:t>
      </w:r>
      <w:r w:rsidRPr="009A452D">
        <w:rPr>
          <w:position w:val="-12"/>
        </w:rPr>
        <w:object w:dxaOrig="300" w:dyaOrig="380">
          <v:shape id="_x0000_i1032" type="#_x0000_t75" style="width:15.9pt;height:19.25pt" o:ole="">
            <v:imagedata r:id="rId31" o:title=""/>
          </v:shape>
          <o:OLEObject Type="Embed" ProgID="Equation.DSMT4" ShapeID="_x0000_i1032" DrawAspect="Content" ObjectID="_1615708141" r:id="rId32"/>
        </w:object>
      </w:r>
      <w:r w:rsidRPr="009A452D">
        <w:t xml:space="preserve"> is the lower bound threshold for </w:t>
      </w:r>
      <w:r w:rsidR="0052396E" w:rsidRPr="009A452D">
        <w:t>frequency category</w:t>
      </w:r>
      <w:r w:rsidRPr="009A452D">
        <w:t xml:space="preserve"> </w:t>
      </w:r>
      <w:r w:rsidRPr="009A452D">
        <w:rPr>
          <w:i/>
        </w:rPr>
        <w:t>k</w:t>
      </w:r>
      <w:r w:rsidRPr="009A452D">
        <w:t xml:space="preserve"> of </w:t>
      </w:r>
      <w:r w:rsidR="00081A1D" w:rsidRPr="009A452D">
        <w:t>destination purpose</w:t>
      </w:r>
      <w:r w:rsidRPr="009A452D">
        <w:t xml:space="preserve"> </w:t>
      </w:r>
      <w:proofErr w:type="spellStart"/>
      <w:r w:rsidR="00E0261C" w:rsidRPr="009A452D">
        <w:rPr>
          <w:i/>
        </w:rPr>
        <w:t>i</w:t>
      </w:r>
      <w:proofErr w:type="spellEnd"/>
      <w:r w:rsidR="00E0261C" w:rsidRPr="009A452D">
        <w:t xml:space="preserve"> </w:t>
      </w:r>
      <w:r w:rsidR="00127711" w:rsidRPr="009A452D">
        <w:br/>
      </w:r>
      <w:r w:rsidRPr="009A452D">
        <w:t>(</w:t>
      </w:r>
      <w:r w:rsidRPr="009A452D">
        <w:rPr>
          <w:position w:val="-12"/>
        </w:rPr>
        <w:object w:dxaOrig="4340" w:dyaOrig="380">
          <v:shape id="_x0000_i1033" type="#_x0000_t75" style="width:216.85pt;height:19.25pt" o:ole="">
            <v:imagedata r:id="rId33" o:title=""/>
          </v:shape>
          <o:OLEObject Type="Embed" ProgID="Equation.3" ShapeID="_x0000_i1033" DrawAspect="Content" ObjectID="_1615708142" r:id="rId34"/>
        </w:object>
      </w:r>
      <w:r w:rsidRPr="009A452D">
        <w:t xml:space="preserve"> for each </w:t>
      </w:r>
      <w:r w:rsidR="00FD489C" w:rsidRPr="009A452D">
        <w:t>destination purpose</w:t>
      </w:r>
      <w:r w:rsidRPr="009A452D">
        <w:t xml:space="preserve"> </w:t>
      </w:r>
      <w:proofErr w:type="spellStart"/>
      <w:r w:rsidRPr="009A452D">
        <w:rPr>
          <w:i/>
        </w:rPr>
        <w:t>i</w:t>
      </w:r>
      <w:proofErr w:type="spellEnd"/>
      <w:r w:rsidRPr="009A452D">
        <w:t>).</w:t>
      </w:r>
      <w:r w:rsidRPr="009A452D" w:rsidDel="008E3AA7">
        <w:t xml:space="preserve"> </w:t>
      </w:r>
      <w:r w:rsidRPr="009A452D">
        <w:t xml:space="preserve">The </w:t>
      </w:r>
      <w:r w:rsidRPr="009A452D">
        <w:rPr>
          <w:position w:val="-14"/>
        </w:rPr>
        <w:object w:dxaOrig="300" w:dyaOrig="380">
          <v:shape id="_x0000_i1034" type="#_x0000_t75" style="width:15.9pt;height:19.25pt" o:ole="">
            <v:imagedata r:id="rId35" o:title=""/>
          </v:shape>
          <o:OLEObject Type="Embed" ProgID="Equation.DSMT4" ShapeID="_x0000_i1034" DrawAspect="Content" ObjectID="_1615708143" r:id="rId36"/>
        </w:object>
      </w:r>
      <w:r w:rsidRPr="009A452D">
        <w:t xml:space="preserve"> terms are assumed independent and identical across individuals (for each and all </w:t>
      </w:r>
      <w:proofErr w:type="spellStart"/>
      <w:r w:rsidRPr="009A452D">
        <w:rPr>
          <w:i/>
        </w:rPr>
        <w:t>i</w:t>
      </w:r>
      <w:proofErr w:type="spellEnd"/>
      <w:r w:rsidRPr="009A452D">
        <w:t xml:space="preserve">). Due to identification restrictions, the variance of each </w:t>
      </w:r>
      <w:r w:rsidRPr="009A452D">
        <w:rPr>
          <w:position w:val="-14"/>
        </w:rPr>
        <w:object w:dxaOrig="300" w:dyaOrig="380">
          <v:shape id="_x0000_i1035" type="#_x0000_t75" style="width:15.9pt;height:19.25pt" o:ole="">
            <v:imagedata r:id="rId35" o:title=""/>
          </v:shape>
          <o:OLEObject Type="Embed" ProgID="Equation.DSMT4" ShapeID="_x0000_i1035" DrawAspect="Content" ObjectID="_1615708144" r:id="rId37"/>
        </w:object>
      </w:r>
      <w:r w:rsidRPr="009A452D">
        <w:t xml:space="preserve"> term is normalized to 1. However, correlations are allowed in the </w:t>
      </w:r>
      <w:r w:rsidRPr="009A452D">
        <w:rPr>
          <w:position w:val="-14"/>
        </w:rPr>
        <w:object w:dxaOrig="300" w:dyaOrig="380">
          <v:shape id="_x0000_i1036" type="#_x0000_t75" style="width:15.9pt;height:19.25pt" o:ole="">
            <v:imagedata r:id="rId38" o:title=""/>
          </v:shape>
          <o:OLEObject Type="Embed" ProgID="Equation.DSMT4" ShapeID="_x0000_i1036" DrawAspect="Content" ObjectID="_1615708145" r:id="rId39"/>
        </w:object>
      </w:r>
      <w:r w:rsidRPr="009A452D">
        <w:t xml:space="preserve"> terms across </w:t>
      </w:r>
      <w:r w:rsidR="002F7077" w:rsidRPr="009A452D">
        <w:t>destination purposes</w:t>
      </w:r>
      <w:r w:rsidRPr="009A452D">
        <w:t xml:space="preserve"> </w:t>
      </w:r>
      <w:proofErr w:type="spellStart"/>
      <w:r w:rsidRPr="009A452D">
        <w:rPr>
          <w:i/>
        </w:rPr>
        <w:t>i</w:t>
      </w:r>
      <w:proofErr w:type="spellEnd"/>
      <w:r w:rsidRPr="009A452D">
        <w:t xml:space="preserve"> for each individual </w:t>
      </w:r>
      <w:r w:rsidRPr="009A452D">
        <w:rPr>
          <w:i/>
        </w:rPr>
        <w:t>q</w:t>
      </w:r>
      <w:r w:rsidR="00BA00C6" w:rsidRPr="009A452D">
        <w:t xml:space="preserve">. </w:t>
      </w:r>
      <w:proofErr w:type="gramStart"/>
      <w:r w:rsidR="00BA00C6" w:rsidRPr="009A452D">
        <w:t>S</w:t>
      </w:r>
      <w:r w:rsidRPr="009A452D">
        <w:t>pecifically</w:t>
      </w:r>
      <w:proofErr w:type="gramEnd"/>
      <w:r w:rsidRPr="009A452D">
        <w:t xml:space="preserve">, define </w:t>
      </w:r>
      <w:r w:rsidR="002B4697" w:rsidRPr="009A452D">
        <w:rPr>
          <w:position w:val="-14"/>
        </w:rPr>
        <w:object w:dxaOrig="2520" w:dyaOrig="380">
          <v:shape id="_x0000_i1037" type="#_x0000_t75" style="width:126.4pt;height:19.25pt" o:ole="">
            <v:imagedata r:id="rId40" o:title=""/>
          </v:shape>
          <o:OLEObject Type="Embed" ProgID="Equation.DSMT4" ShapeID="_x0000_i1037" DrawAspect="Content" ObjectID="_1615708146" r:id="rId41"/>
        </w:object>
      </w:r>
      <w:r w:rsidRPr="009A452D">
        <w:t xml:space="preserve"> Then, </w:t>
      </w:r>
      <w:r w:rsidR="002B4697" w:rsidRPr="009A452D">
        <w:rPr>
          <w:position w:val="-14"/>
        </w:rPr>
        <w:object w:dxaOrig="279" w:dyaOrig="380">
          <v:shape id="_x0000_i1038" type="#_x0000_t75" style="width:14.25pt;height:19.25pt" o:ole="">
            <v:imagedata r:id="rId42" o:title=""/>
          </v:shape>
          <o:OLEObject Type="Embed" ProgID="Equation.DSMT4" ShapeID="_x0000_i1038" DrawAspect="Content" ObjectID="_1615708147" r:id="rId43"/>
        </w:object>
      </w:r>
      <w:r w:rsidRPr="009A452D">
        <w:t xml:space="preserve"> is multivariate normal distributed with a mean vector of zeros and a correlation matrix as follows:</w:t>
      </w:r>
    </w:p>
    <w:p w:rsidR="008A7F01" w:rsidRPr="009A452D" w:rsidRDefault="002B4697" w:rsidP="00C9251B">
      <w:pPr>
        <w:spacing w:before="120" w:after="120"/>
      </w:pPr>
      <w:r w:rsidRPr="009A452D">
        <w:rPr>
          <w:position w:val="-70"/>
        </w:rPr>
        <w:object w:dxaOrig="5120" w:dyaOrig="1520">
          <v:shape id="_x0000_i1039" type="#_x0000_t75" style="width:257pt;height:76.2pt" o:ole="">
            <v:imagedata r:id="rId44" o:title=""/>
          </v:shape>
          <o:OLEObject Type="Embed" ProgID="Equation.DSMT4" ShapeID="_x0000_i1039" DrawAspect="Content" ObjectID="_1615708148" r:id="rId45"/>
        </w:object>
      </w:r>
      <w:r w:rsidR="008A7F01" w:rsidRPr="009A452D">
        <w:tab/>
      </w:r>
      <w:r w:rsidR="008A7F01" w:rsidRPr="009A452D">
        <w:tab/>
      </w:r>
      <w:r w:rsidR="008A7F01" w:rsidRPr="009A452D">
        <w:tab/>
      </w:r>
      <w:r w:rsidR="008A7F01" w:rsidRPr="009A452D">
        <w:tab/>
      </w:r>
      <w:r w:rsidR="008A7F01" w:rsidRPr="009A452D">
        <w:tab/>
        <w:t xml:space="preserve">       (2)</w:t>
      </w:r>
    </w:p>
    <w:p w:rsidR="008A7F01" w:rsidRPr="009A452D" w:rsidRDefault="008A7F01" w:rsidP="00E0261C">
      <w:pPr>
        <w:ind w:firstLine="720"/>
      </w:pPr>
      <w:r w:rsidRPr="009A452D">
        <w:t xml:space="preserve">The off-diagonal terms of </w:t>
      </w:r>
      <w:r w:rsidR="004621D9" w:rsidRPr="00025957">
        <w:rPr>
          <w:position w:val="-4"/>
        </w:rPr>
        <w:object w:dxaOrig="240" w:dyaOrig="260">
          <v:shape id="_x0000_i1040" type="#_x0000_t75" style="width:11.7pt;height:13.4pt" o:ole="">
            <v:imagedata r:id="rId46" o:title=""/>
          </v:shape>
          <o:OLEObject Type="Embed" ProgID="Equation.DSMT4" ShapeID="_x0000_i1040" DrawAspect="Content" ObjectID="_1615708149" r:id="rId47"/>
        </w:object>
      </w:r>
      <w:r w:rsidR="004621D9">
        <w:t xml:space="preserve"> </w:t>
      </w:r>
      <w:r w:rsidRPr="009A452D">
        <w:t xml:space="preserve">capture the error </w:t>
      </w:r>
      <w:proofErr w:type="spellStart"/>
      <w:r w:rsidRPr="009A452D">
        <w:t>covariance</w:t>
      </w:r>
      <w:r w:rsidR="004621D9">
        <w:t>s</w:t>
      </w:r>
      <w:proofErr w:type="spellEnd"/>
      <w:r w:rsidRPr="009A452D">
        <w:t xml:space="preserve"> across the underlying latent continuous variables of the different </w:t>
      </w:r>
      <w:r w:rsidR="002F7077" w:rsidRPr="009A452D">
        <w:t>destination purposes</w:t>
      </w:r>
      <w:r w:rsidRPr="009A452D">
        <w:t xml:space="preserve">; that is, they capture the effect of common unobserved factors influencing the propensity of </w:t>
      </w:r>
      <w:r w:rsidR="00AF5B35" w:rsidRPr="009A452D">
        <w:t>usage of ride-hailing</w:t>
      </w:r>
      <w:r w:rsidRPr="009A452D">
        <w:t xml:space="preserve"> for each </w:t>
      </w:r>
      <w:r w:rsidR="00AF5B35" w:rsidRPr="009A452D">
        <w:t>destination purpose</w:t>
      </w:r>
      <w:r w:rsidRPr="009A452D">
        <w:t xml:space="preserve">. Thus, if </w:t>
      </w:r>
      <w:r w:rsidRPr="009A452D">
        <w:rPr>
          <w:position w:val="-12"/>
        </w:rPr>
        <w:object w:dxaOrig="360" w:dyaOrig="360">
          <v:shape id="_x0000_i1041" type="#_x0000_t75" style="width:18.4pt;height:18.4pt" o:ole="">
            <v:imagedata r:id="rId48" o:title=""/>
          </v:shape>
          <o:OLEObject Type="Embed" ProgID="Equation.DSMT4" ShapeID="_x0000_i1041" DrawAspect="Content" ObjectID="_1615708150" r:id="rId49"/>
        </w:object>
      </w:r>
      <w:r w:rsidRPr="009A452D">
        <w:t xml:space="preserve"> is positive, it implies that individuals with a higher than average propensity in their peer group to </w:t>
      </w:r>
      <w:r w:rsidR="0050788A" w:rsidRPr="009A452D">
        <w:t>engage in ride-hailing trips for</w:t>
      </w:r>
      <w:r w:rsidRPr="009A452D">
        <w:t xml:space="preserve"> the first </w:t>
      </w:r>
      <w:r w:rsidR="0050788A" w:rsidRPr="009A452D">
        <w:t>destination purpose</w:t>
      </w:r>
      <w:r w:rsidRPr="009A452D">
        <w:t xml:space="preserve"> are </w:t>
      </w:r>
      <w:r w:rsidRPr="009A452D">
        <w:lastRenderedPageBreak/>
        <w:t xml:space="preserve">also likely to have a higher than average propensity to </w:t>
      </w:r>
      <w:r w:rsidR="0050788A" w:rsidRPr="009A452D">
        <w:t>engage in</w:t>
      </w:r>
      <w:r w:rsidRPr="009A452D">
        <w:t xml:space="preserve"> </w:t>
      </w:r>
      <w:r w:rsidR="0050788A" w:rsidRPr="009A452D">
        <w:t>ride-hailing trips</w:t>
      </w:r>
      <w:r w:rsidRPr="009A452D">
        <w:t xml:space="preserve"> for the second </w:t>
      </w:r>
      <w:r w:rsidR="0050788A" w:rsidRPr="009A452D">
        <w:t>destination purpose</w:t>
      </w:r>
      <w:r w:rsidRPr="009A452D">
        <w:t>. If all the correlation parameters (</w:t>
      </w:r>
      <w:r w:rsidRPr="009A452D">
        <w:rPr>
          <w:i/>
        </w:rPr>
        <w:t>i.e</w:t>
      </w:r>
      <w:r w:rsidRPr="009A452D">
        <w:t xml:space="preserve">., off-diagonal elements of </w:t>
      </w:r>
      <w:r w:rsidR="002B4697" w:rsidRPr="00025957">
        <w:rPr>
          <w:position w:val="-4"/>
        </w:rPr>
        <w:object w:dxaOrig="240" w:dyaOrig="260">
          <v:shape id="_x0000_i1042" type="#_x0000_t75" style="width:11.7pt;height:13.4pt" o:ole="">
            <v:imagedata r:id="rId50" o:title=""/>
          </v:shape>
          <o:OLEObject Type="Embed" ProgID="Equation.DSMT4" ShapeID="_x0000_i1042" DrawAspect="Content" ObjectID="_1615708151" r:id="rId51"/>
        </w:object>
      </w:r>
      <w:r w:rsidRPr="009A452D">
        <w:t xml:space="preserve">), which </w:t>
      </w:r>
      <w:r w:rsidR="00E0261C" w:rsidRPr="009A452D">
        <w:t xml:space="preserve">can be </w:t>
      </w:r>
      <w:r w:rsidRPr="009A452D">
        <w:t>stack</w:t>
      </w:r>
      <w:r w:rsidR="00E0261C" w:rsidRPr="009A452D">
        <w:t>ed</w:t>
      </w:r>
      <w:r w:rsidRPr="009A452D">
        <w:t xml:space="preserve"> into a vertical vector </w:t>
      </w:r>
      <w:r w:rsidRPr="002B4697">
        <w:rPr>
          <w:b/>
        </w:rPr>
        <w:t>Ω</w:t>
      </w:r>
      <w:r w:rsidRPr="009A452D">
        <w:t xml:space="preserve">, are identically zero, the model system in Equation (1) collapses to independent ordered response </w:t>
      </w:r>
      <w:proofErr w:type="spellStart"/>
      <w:r w:rsidRPr="009A452D">
        <w:t>probit</w:t>
      </w:r>
      <w:proofErr w:type="spellEnd"/>
      <w:r w:rsidRPr="009A452D">
        <w:t xml:space="preserve"> models for each </w:t>
      </w:r>
      <w:r w:rsidR="00F1670D" w:rsidRPr="009A452D">
        <w:t>destination purpose</w:t>
      </w:r>
      <w:r w:rsidRPr="009A452D">
        <w:t xml:space="preserve">. </w:t>
      </w:r>
    </w:p>
    <w:p w:rsidR="008A7F01" w:rsidRPr="009A452D" w:rsidRDefault="008A7F01" w:rsidP="00E0261C">
      <w:pPr>
        <w:ind w:firstLine="720"/>
      </w:pPr>
      <w:r w:rsidRPr="009A452D">
        <w:t xml:space="preserve">The parameter vector of the multivariate </w:t>
      </w:r>
      <w:proofErr w:type="spellStart"/>
      <w:r w:rsidRPr="009A452D">
        <w:t>probit</w:t>
      </w:r>
      <w:proofErr w:type="spellEnd"/>
      <w:r w:rsidRPr="009A452D">
        <w:t xml:space="preserve"> model is </w:t>
      </w:r>
      <w:r w:rsidR="00AD1E11" w:rsidRPr="009A452D">
        <w:rPr>
          <w:position w:val="-10"/>
        </w:rPr>
        <w:object w:dxaOrig="3600" w:dyaOrig="340">
          <v:shape id="_x0000_i1052" type="#_x0000_t75" style="width:180pt;height:17.6pt" o:ole="" o:preferrelative="f">
            <v:imagedata r:id="rId52" o:title=""/>
            <o:lock v:ext="edit" aspectratio="f"/>
          </v:shape>
          <o:OLEObject Type="Embed" ProgID="Equation.3" ShapeID="_x0000_i1052" DrawAspect="Content" ObjectID="_1615708152" r:id="rId53"/>
        </w:object>
      </w:r>
      <w:r w:rsidRPr="009A452D">
        <w:t xml:space="preserve"> where </w:t>
      </w:r>
      <w:r w:rsidR="00AD1E11" w:rsidRPr="009A452D">
        <w:rPr>
          <w:position w:val="-12"/>
        </w:rPr>
        <w:object w:dxaOrig="2000" w:dyaOrig="380">
          <v:shape id="_x0000_i1055" type="#_x0000_t75" style="width:100.45pt;height:18.4pt" o:ole="" o:preferrelative="f">
            <v:imagedata r:id="rId54" o:title=""/>
            <o:lock v:ext="edit" aspectratio="f"/>
          </v:shape>
          <o:OLEObject Type="Embed" ProgID="Equation.3" ShapeID="_x0000_i1055" DrawAspect="Content" ObjectID="_1615708153" r:id="rId55"/>
        </w:object>
      </w:r>
      <w:r w:rsidRPr="009A452D">
        <w:t xml:space="preserve"> </w:t>
      </w:r>
      <w:proofErr w:type="gramStart"/>
      <w:r w:rsidRPr="009A452D">
        <w:t xml:space="preserve">for </w:t>
      </w:r>
      <w:proofErr w:type="gramEnd"/>
      <w:r w:rsidRPr="009A452D">
        <w:rPr>
          <w:position w:val="-10"/>
        </w:rPr>
        <w:object w:dxaOrig="1140" w:dyaOrig="320">
          <v:shape id="_x0000_i1045" type="#_x0000_t75" style="width:57.75pt;height:15.9pt" o:ole="">
            <v:imagedata r:id="rId56" o:title=""/>
          </v:shape>
          <o:OLEObject Type="Embed" ProgID="Equation.3" ShapeID="_x0000_i1045" DrawAspect="Content" ObjectID="_1615708154" r:id="rId57"/>
        </w:object>
      </w:r>
      <w:r w:rsidRPr="009A452D">
        <w:t xml:space="preserve">. Let the actual observed </w:t>
      </w:r>
      <w:r w:rsidR="009B5E78" w:rsidRPr="009A452D">
        <w:t>frequency category</w:t>
      </w:r>
      <w:r w:rsidRPr="009A452D">
        <w:t xml:space="preserve"> for individual </w:t>
      </w:r>
      <w:r w:rsidRPr="009A452D">
        <w:rPr>
          <w:i/>
        </w:rPr>
        <w:t>q</w:t>
      </w:r>
      <w:r w:rsidRPr="009A452D">
        <w:t xml:space="preserve"> and </w:t>
      </w:r>
      <w:r w:rsidR="009B5E78" w:rsidRPr="009A452D">
        <w:t>destination purpose</w:t>
      </w:r>
      <w:r w:rsidRPr="009A452D">
        <w:t xml:space="preserve"> </w:t>
      </w:r>
      <w:proofErr w:type="spellStart"/>
      <w:r w:rsidRPr="009A452D">
        <w:rPr>
          <w:i/>
        </w:rPr>
        <w:t>i</w:t>
      </w:r>
      <w:proofErr w:type="spellEnd"/>
      <w:r w:rsidRPr="009A452D">
        <w:t xml:space="preserve"> be </w:t>
      </w:r>
      <w:proofErr w:type="spellStart"/>
      <w:r w:rsidRPr="009A452D">
        <w:rPr>
          <w:i/>
        </w:rPr>
        <w:t>m</w:t>
      </w:r>
      <w:r w:rsidRPr="009A452D">
        <w:rPr>
          <w:i/>
          <w:vertAlign w:val="subscript"/>
        </w:rPr>
        <w:t>qi</w:t>
      </w:r>
      <w:proofErr w:type="spellEnd"/>
      <w:r w:rsidR="00262F21" w:rsidRPr="009A452D">
        <w:t xml:space="preserve">, and let </w:t>
      </w:r>
      <w:r w:rsidR="00AD1E11" w:rsidRPr="009A452D">
        <w:rPr>
          <w:position w:val="-10"/>
        </w:rPr>
        <w:object w:dxaOrig="1820" w:dyaOrig="340">
          <v:shape id="_x0000_i1058" type="#_x0000_t75" style="width:90.4pt;height:17.6pt" o:ole="" o:preferrelative="f">
            <v:imagedata r:id="rId58" o:title=""/>
            <o:lock v:ext="edit" aspectratio="f"/>
          </v:shape>
          <o:OLEObject Type="Embed" ProgID="Equation.3" ShapeID="_x0000_i1058" DrawAspect="Content" ObjectID="_1615708155" r:id="rId59"/>
        </w:object>
      </w:r>
      <w:r w:rsidR="00262F21" w:rsidRPr="009A452D">
        <w:t xml:space="preserve"> represent the standard </w:t>
      </w:r>
      <w:r w:rsidR="00262F21" w:rsidRPr="009A452D">
        <w:rPr>
          <w:i/>
        </w:rPr>
        <w:t>I</w:t>
      </w:r>
      <w:r w:rsidR="00262F21" w:rsidRPr="009A452D">
        <w:t xml:space="preserve">-variate normal probability density function computed at the </w:t>
      </w:r>
      <w:r w:rsidR="00832AC9">
        <w:t>a</w:t>
      </w:r>
      <w:r w:rsidR="00832AC9" w:rsidRPr="00832AC9">
        <w:t>bscissa</w:t>
      </w:r>
      <w:r w:rsidR="00F4620D">
        <w:t>e</w:t>
      </w:r>
      <w:r w:rsidR="00262F21" w:rsidRPr="009A452D">
        <w:t xml:space="preserve"> values </w:t>
      </w:r>
      <w:proofErr w:type="gramStart"/>
      <w:r w:rsidR="00262F21" w:rsidRPr="009A452D">
        <w:t xml:space="preserve">of </w:t>
      </w:r>
      <w:proofErr w:type="gramEnd"/>
      <w:r w:rsidR="00AD1E11" w:rsidRPr="009A452D">
        <w:rPr>
          <w:position w:val="-12"/>
        </w:rPr>
        <w:object w:dxaOrig="1120" w:dyaOrig="360">
          <v:shape id="_x0000_i1066" type="#_x0000_t75" style="width:56.1pt;height:18.4pt" o:ole="" o:preferrelative="f">
            <v:imagedata r:id="rId60" o:title=""/>
            <o:lock v:ext="edit" aspectratio="f"/>
          </v:shape>
          <o:OLEObject Type="Embed" ProgID="Equation.DSMT4" ShapeID="_x0000_i1066" DrawAspect="Content" ObjectID="_1615708156" r:id="rId61"/>
        </w:object>
      </w:r>
      <w:r w:rsidR="00262F21" w:rsidRPr="009A452D">
        <w:t xml:space="preserve">, and with a correlation matrix </w:t>
      </w:r>
      <w:r w:rsidR="0013749E" w:rsidRPr="00025957">
        <w:rPr>
          <w:position w:val="-4"/>
        </w:rPr>
        <w:object w:dxaOrig="240" w:dyaOrig="260">
          <v:shape id="_x0000_i1075" type="#_x0000_t75" style="width:11.7pt;height:13.4pt" o:ole="">
            <v:imagedata r:id="rId50" o:title=""/>
          </v:shape>
          <o:OLEObject Type="Embed" ProgID="Equation.DSMT4" ShapeID="_x0000_i1075" DrawAspect="Content" ObjectID="_1615708157" r:id="rId62"/>
        </w:object>
      </w:r>
      <w:r w:rsidR="00262F21" w:rsidRPr="009A452D">
        <w:t>. Then</w:t>
      </w:r>
      <w:r w:rsidRPr="009A452D">
        <w:t xml:space="preserve">, the likelihood function for individual </w:t>
      </w:r>
      <w:r w:rsidRPr="009A452D">
        <w:rPr>
          <w:i/>
        </w:rPr>
        <w:t>q</w:t>
      </w:r>
      <w:r w:rsidRPr="009A452D">
        <w:t xml:space="preserve"> may be written as follows:</w:t>
      </w:r>
    </w:p>
    <w:p w:rsidR="008A7F01" w:rsidRPr="009A452D" w:rsidRDefault="00AD1E11" w:rsidP="00AD3AF3">
      <w:pPr>
        <w:spacing w:before="120"/>
      </w:pPr>
      <w:r w:rsidRPr="00B56394">
        <w:rPr>
          <w:position w:val="-14"/>
        </w:rPr>
        <w:object w:dxaOrig="4400" w:dyaOrig="380">
          <v:shape id="_x0000_i1068" type="#_x0000_t75" style="width:221pt;height:19.25pt" o:ole="" o:preferrelative="f">
            <v:imagedata r:id="rId63" o:title=""/>
            <o:lock v:ext="edit" aspectratio="f"/>
          </v:shape>
          <o:OLEObject Type="Embed" ProgID="Equation.3" ShapeID="_x0000_i1068" DrawAspect="Content" ObjectID="_1615708158" r:id="rId64"/>
        </w:object>
      </w:r>
    </w:p>
    <w:p w:rsidR="008A7F01" w:rsidRPr="009A452D" w:rsidRDefault="00AD1E11" w:rsidP="00AD3AF3">
      <w:pPr>
        <w:spacing w:before="120" w:after="120"/>
      </w:pPr>
      <w:r w:rsidRPr="00B56394">
        <w:rPr>
          <w:position w:val="-42"/>
        </w:rPr>
        <w:object w:dxaOrig="6979" w:dyaOrig="960">
          <v:shape id="_x0000_i1070" type="#_x0000_t75" style="width:349.1pt;height:48.55pt" o:ole="" o:preferrelative="f">
            <v:imagedata r:id="rId65" o:title=""/>
            <o:lock v:ext="edit" aspectratio="f"/>
          </v:shape>
          <o:OLEObject Type="Embed" ProgID="Equation.3" ShapeID="_x0000_i1070" DrawAspect="Content" ObjectID="_1615708159" r:id="rId66"/>
        </w:object>
      </w:r>
      <w:r w:rsidR="009B5E78" w:rsidRPr="009A452D">
        <w:tab/>
      </w:r>
      <w:r w:rsidR="009B5E78" w:rsidRPr="009A452D">
        <w:tab/>
        <w:t xml:space="preserve">                   </w:t>
      </w:r>
      <w:r w:rsidR="008A7F01" w:rsidRPr="009A452D">
        <w:t>(3)</w:t>
      </w:r>
    </w:p>
    <w:p w:rsidR="00486253" w:rsidRPr="009A452D" w:rsidRDefault="009B5E78" w:rsidP="00C9251B">
      <w:pPr>
        <w:ind w:firstLine="576"/>
      </w:pPr>
      <w:r w:rsidRPr="009A452D">
        <w:t xml:space="preserve">Calculating the high-order </w:t>
      </w:r>
      <w:r w:rsidRPr="009A452D">
        <w:rPr>
          <w:i/>
        </w:rPr>
        <w:t>I</w:t>
      </w:r>
      <w:r w:rsidRPr="009A452D">
        <w:t xml:space="preserve">-dimensional rectangular integral above can prove to be computationally challenging. In order to sidestep these problems, </w:t>
      </w:r>
      <w:r w:rsidR="00492EBE" w:rsidRPr="009A452D">
        <w:t>this study</w:t>
      </w:r>
      <w:r w:rsidRPr="009A452D">
        <w:t xml:space="preserve"> employ</w:t>
      </w:r>
      <w:r w:rsidR="00492EBE" w:rsidRPr="009A452D">
        <w:t>s</w:t>
      </w:r>
      <w:r w:rsidRPr="009A452D">
        <w:t xml:space="preserve"> a pairwise marginal likelihood estimation approach, which involves using a composite marginal approach based on bivariate margins (see </w:t>
      </w:r>
      <w:proofErr w:type="spellStart"/>
      <w:r w:rsidR="00770614" w:rsidRPr="009A452D">
        <w:t>Ferdous</w:t>
      </w:r>
      <w:proofErr w:type="spellEnd"/>
      <w:r w:rsidR="00770614" w:rsidRPr="009A452D">
        <w:t xml:space="preserve"> et al</w:t>
      </w:r>
      <w:r w:rsidR="00AD3AF3">
        <w:t>.</w:t>
      </w:r>
      <w:r w:rsidR="00770614" w:rsidRPr="009A452D">
        <w:t xml:space="preserve"> </w:t>
      </w:r>
      <w:r w:rsidR="00AD3AF3">
        <w:t>(</w:t>
      </w:r>
      <w:r w:rsidR="00AD3AF3" w:rsidRPr="00AD3AF3">
        <w:rPr>
          <w:i/>
        </w:rPr>
        <w:t>20</w:t>
      </w:r>
      <w:r w:rsidR="00AD3AF3">
        <w:t>)</w:t>
      </w:r>
      <w:r w:rsidRPr="009A452D">
        <w:t xml:space="preserve"> for </w:t>
      </w:r>
      <w:r w:rsidR="00492EBE" w:rsidRPr="009A452D">
        <w:t>details</w:t>
      </w:r>
      <w:r w:rsidRPr="009A452D">
        <w:t>).</w:t>
      </w:r>
    </w:p>
    <w:p w:rsidR="00BE4692" w:rsidRPr="009A452D" w:rsidRDefault="00BE4692" w:rsidP="00C9251B">
      <w:pPr>
        <w:ind w:firstLine="576"/>
      </w:pPr>
    </w:p>
    <w:p w:rsidR="000F72EC" w:rsidRPr="009A452D" w:rsidRDefault="00492EBE" w:rsidP="00C9251B">
      <w:pPr>
        <w:pStyle w:val="Heading2"/>
        <w:spacing w:before="0"/>
        <w:rPr>
          <w:smallCaps w:val="0"/>
        </w:rPr>
      </w:pPr>
      <w:r w:rsidRPr="009A452D">
        <w:rPr>
          <w:smallCaps w:val="0"/>
        </w:rPr>
        <w:t>Model Estimation Results</w:t>
      </w:r>
    </w:p>
    <w:p w:rsidR="0013749E" w:rsidRPr="00FC5F63" w:rsidRDefault="008C0121" w:rsidP="0013749E">
      <w:pPr>
        <w:rPr>
          <w:strike/>
        </w:rPr>
      </w:pPr>
      <w:r w:rsidRPr="0013749E">
        <w:t>Model estimation re</w:t>
      </w:r>
      <w:r w:rsidR="001B6DAC" w:rsidRPr="0013749E">
        <w:t xml:space="preserve">sults are presented in </w:t>
      </w:r>
      <w:r w:rsidR="00B41B52" w:rsidRPr="0013749E">
        <w:t>Table 2</w:t>
      </w:r>
      <w:r w:rsidR="001B6DAC" w:rsidRPr="0013749E">
        <w:t>.</w:t>
      </w:r>
      <w:r w:rsidR="005B0AD3" w:rsidRPr="0013749E">
        <w:t xml:space="preserve"> </w:t>
      </w:r>
      <w:r w:rsidR="0044664F" w:rsidRPr="0013749E">
        <w:t>A</w:t>
      </w:r>
      <w:r w:rsidR="008A6835" w:rsidRPr="0013749E">
        <w:t>ll</w:t>
      </w:r>
      <w:r w:rsidR="0044664F" w:rsidRPr="0013749E">
        <w:t xml:space="preserve"> statements made in this section are predicated on the assumption that the imputation process was indeed appropriate. </w:t>
      </w:r>
      <w:r w:rsidR="004621D9" w:rsidRPr="0013749E">
        <w:t xml:space="preserve">Also, we suppress the threshold values </w:t>
      </w:r>
      <w:r w:rsidR="00741309" w:rsidRPr="0013749E">
        <w:t>(in the ordered-response models) in Table 2 to conserve on space and reduce clutter</w:t>
      </w:r>
      <w:r w:rsidR="004621D9" w:rsidRPr="0013749E">
        <w:t xml:space="preserve">. </w:t>
      </w:r>
      <w:r w:rsidR="00741309" w:rsidRPr="0013749E">
        <w:t xml:space="preserve">All of these threshold values were, however, statistically significant. </w:t>
      </w:r>
      <w:r w:rsidR="001B6DAC" w:rsidRPr="0013749E">
        <w:t xml:space="preserve">The results show patterns that are largely consistent with expectations, given the nature of the data set and the geographic context from which it is derived.  Alternative model specifications were tested and the final model specification that was adopted is presented in the table.  The model exhibits a goodness of fit that is typical of models of this nature.  Log likelihood values and the value of the likelihood ratio test (LRT) statistic are presented at the bottom of the table. </w:t>
      </w:r>
      <w:r w:rsidR="004669FB" w:rsidRPr="0013749E">
        <w:t xml:space="preserve">All model coefficients were found to be statistically significant, generally indicating that socio-demographic variables are key determinants of number of ride-hailing trips undertaken by individuals for various purposes/locations. </w:t>
      </w:r>
      <w:r w:rsidR="004621D9" w:rsidRPr="0013749E">
        <w:t>A</w:t>
      </w:r>
      <w:r w:rsidR="004669FB" w:rsidRPr="0013749E">
        <w:t xml:space="preserve"> number of error correlation terms </w:t>
      </w:r>
      <w:r w:rsidR="00262F21" w:rsidRPr="0013749E">
        <w:t xml:space="preserve">(just above the goodness-of-fit measures) </w:t>
      </w:r>
      <w:r w:rsidR="004669FB" w:rsidRPr="0013749E">
        <w:t>are significant</w:t>
      </w:r>
      <w:r w:rsidR="003E0041" w:rsidRPr="0013749E">
        <w:t xml:space="preserve">, suggesting that a multivariate ordered response model that accommodates error </w:t>
      </w:r>
      <w:r w:rsidR="00615B9C" w:rsidRPr="0013749E">
        <w:t xml:space="preserve">correlations </w:t>
      </w:r>
      <w:r w:rsidR="003E0041" w:rsidRPr="0013749E">
        <w:t>is appropria</w:t>
      </w:r>
      <w:r w:rsidR="00AD3AF3" w:rsidRPr="0013749E">
        <w:t xml:space="preserve">te in this particular context. </w:t>
      </w:r>
      <w:r w:rsidR="003E0041" w:rsidRPr="0013749E">
        <w:t xml:space="preserve">The correlations suggest </w:t>
      </w:r>
      <w:r w:rsidR="004621D9" w:rsidRPr="0013749E">
        <w:t xml:space="preserve">the presence of </w:t>
      </w:r>
      <w:r w:rsidR="003E0041" w:rsidRPr="0013749E">
        <w:t>significant unobserved attributes that simultaneously affect multiple ordinal re</w:t>
      </w:r>
      <w:r w:rsidR="00F13C90" w:rsidRPr="0013749E">
        <w:t>s</w:t>
      </w:r>
      <w:r w:rsidR="00AD3AF3" w:rsidRPr="0013749E">
        <w:t xml:space="preserve">ponse variables. </w:t>
      </w:r>
      <w:r w:rsidR="003E0041" w:rsidRPr="0013749E">
        <w:t>For example, it is found that the error correlation for Recreation and CBD/DMU is positive and significant (0</w:t>
      </w:r>
      <w:r w:rsidR="00AD3AF3" w:rsidRPr="0013749E">
        <w:t xml:space="preserve">.304 with a t-stat of 36.342). </w:t>
      </w:r>
      <w:r w:rsidR="003E0041" w:rsidRPr="0013749E">
        <w:t>This signifies that unobserved attributes that contribute to recreational trips are positively correlated with unobserved attributes tha</w:t>
      </w:r>
      <w:r w:rsidR="00AD3AF3" w:rsidRPr="0013749E">
        <w:t xml:space="preserve">t contribute to CBD/DMU trips. </w:t>
      </w:r>
      <w:r w:rsidR="003E0041" w:rsidRPr="0013749E">
        <w:t>This positive correlation may arise due to unobserved personality traits that affect both of these tr</w:t>
      </w:r>
      <w:r w:rsidR="005B0AD3" w:rsidRPr="0013749E">
        <w:t>ip purposes/locations.</w:t>
      </w:r>
      <w:r w:rsidR="004621D9" w:rsidRPr="0013749E">
        <w:t xml:space="preserve"> For instance, a</w:t>
      </w:r>
      <w:r w:rsidR="003E0041" w:rsidRPr="0013749E">
        <w:t>n individual who is outgoing and seeks adventure and out-of-home recreational activities may undertake more recreational trips and more CBD/DMU trips (to frequent establishments that are in Downtown).</w:t>
      </w:r>
      <w:r w:rsidR="003E0041" w:rsidRPr="009A452D">
        <w:t xml:space="preserve"> </w:t>
      </w:r>
    </w:p>
    <w:p w:rsidR="003E0041" w:rsidRPr="00FC5F63" w:rsidRDefault="003E0041" w:rsidP="00C9251B">
      <w:pPr>
        <w:rPr>
          <w:strike/>
        </w:rPr>
      </w:pPr>
    </w:p>
    <w:p w:rsidR="00477265" w:rsidRPr="009A452D" w:rsidRDefault="003E0041" w:rsidP="002C31FB">
      <w:r w:rsidRPr="009A452D">
        <w:lastRenderedPageBreak/>
        <w:tab/>
      </w:r>
      <w:r w:rsidR="00477265" w:rsidRPr="009A452D">
        <w:t xml:space="preserve">Compared </w:t>
      </w:r>
      <w:r w:rsidR="00C27FA9">
        <w:t>with</w:t>
      </w:r>
      <w:r w:rsidR="00477265" w:rsidRPr="009A452D">
        <w:t xml:space="preserve"> younger individuals </w:t>
      </w:r>
      <w:r w:rsidR="00C27FA9">
        <w:t xml:space="preserve">aged </w:t>
      </w:r>
      <w:r w:rsidR="00477265" w:rsidRPr="009A452D">
        <w:t>18-24 years, older age groups are less inclined to undertake ride-hailing trips for work, education, and commercial purposes. However, they are more inclined to undertake ride-hailing trips for airport</w:t>
      </w:r>
      <w:r w:rsidR="003D552F" w:rsidRPr="009A452D">
        <w:t xml:space="preserve"> and </w:t>
      </w:r>
      <w:r w:rsidR="00AD3AF3">
        <w:t xml:space="preserve">CBD/DMU purposes. </w:t>
      </w:r>
      <w:r w:rsidR="00477265" w:rsidRPr="009A452D">
        <w:t>This is consistent with expectations, especially in light o</w:t>
      </w:r>
      <w:r w:rsidR="005B0AD3">
        <w:t xml:space="preserve">f the pattern seen for income. </w:t>
      </w:r>
      <w:r w:rsidR="00477265" w:rsidRPr="009A452D">
        <w:t xml:space="preserve">Essentially, younger people have lower incomes and </w:t>
      </w:r>
      <w:r w:rsidR="00C869A4" w:rsidRPr="009A452D">
        <w:t xml:space="preserve">are hence inclined to </w:t>
      </w:r>
      <w:r w:rsidR="00477265" w:rsidRPr="009A452D">
        <w:t>undertake ride-hailing trips for more utilitarian purposes when compared with older and higher income individuals. Higher income individuals are also likely to have greater access to an automobile, thus reducing the need to utilize these s</w:t>
      </w:r>
      <w:r w:rsidR="005B0AD3">
        <w:t xml:space="preserve">ervices for utilitarian trips. </w:t>
      </w:r>
      <w:r w:rsidR="00BC1DFE" w:rsidRPr="009A452D">
        <w:t>Conversely</w:t>
      </w:r>
      <w:r w:rsidR="00477265" w:rsidRPr="009A452D">
        <w:t>, older age groups are likely to have higher incomes than younger individuals; they are likely to engage in more airport trips</w:t>
      </w:r>
      <w:r w:rsidR="002A6C66" w:rsidRPr="009A452D">
        <w:t xml:space="preserve"> and</w:t>
      </w:r>
      <w:r w:rsidR="00477265" w:rsidRPr="009A452D">
        <w:t xml:space="preserve"> CBD/DMU trips</w:t>
      </w:r>
      <w:r w:rsidR="002A6C66" w:rsidRPr="009A452D">
        <w:t xml:space="preserve"> </w:t>
      </w:r>
      <w:r w:rsidR="00477265" w:rsidRPr="009A452D">
        <w:t xml:space="preserve">– </w:t>
      </w:r>
      <w:r w:rsidR="002A6C66" w:rsidRPr="009A452D">
        <w:t xml:space="preserve">both </w:t>
      </w:r>
      <w:r w:rsidR="00477265" w:rsidRPr="009A452D">
        <w:t xml:space="preserve">of which are likely to increase with income levels.  Higher income individuals probably use their own personal vehicles for utilitarian </w:t>
      </w:r>
      <w:r w:rsidR="00262F21" w:rsidRPr="009A452D">
        <w:t>trip purposes, but utilize ride-hailing</w:t>
      </w:r>
      <w:r w:rsidR="00477265" w:rsidRPr="009A452D">
        <w:t xml:space="preserve"> services to a greater degree (than lower income individuals) for the sake of convenience and to avoid driving under the influence.  </w:t>
      </w:r>
    </w:p>
    <w:p w:rsidR="00485BA6" w:rsidRPr="009A452D" w:rsidRDefault="00485BA6" w:rsidP="00485BA6">
      <w:r w:rsidRPr="009A452D">
        <w:tab/>
        <w:t>Somewhat similar to income trends, minorities exhibit a propensity to make fewer ride-hailing trips for airport</w:t>
      </w:r>
      <w:r w:rsidR="00B23E55" w:rsidRPr="009A452D">
        <w:t xml:space="preserve"> and</w:t>
      </w:r>
      <w:r w:rsidRPr="009A452D">
        <w:t xml:space="preserve"> CBD/DMU</w:t>
      </w:r>
      <w:r w:rsidR="001B3BB0" w:rsidRPr="009A452D">
        <w:t xml:space="preserve"> than White individuals</w:t>
      </w:r>
      <w:r w:rsidRPr="009A452D">
        <w:t xml:space="preserve">. Hispanics are less inclined to make ride-hailing trips for all purposes except the commercial trip purpose; it is possible that Hispanics rely on the service to a greater degree than their non-Hispanic counterparts for shopping and running errands. The presence of children in the household contributes to lower propensity to make ride-hailing trips; households with children are likely to own personal vehicles and use their own vehicles for trip-making. A few findings merit further investigation. For example, it is found that minorities are inclined to make more work and commercial trips than White individuals. It is possible that minorities have fewer personal cars and hence use </w:t>
      </w:r>
      <w:proofErr w:type="spellStart"/>
      <w:r w:rsidRPr="009A452D">
        <w:t>RideAustin</w:t>
      </w:r>
      <w:proofErr w:type="spellEnd"/>
      <w:r w:rsidRPr="009A452D">
        <w:t xml:space="preserve"> to a greater degree for these utilitarian purposes.</w:t>
      </w:r>
    </w:p>
    <w:p w:rsidR="002A4CBE" w:rsidRPr="009A452D" w:rsidRDefault="002A4CBE" w:rsidP="00485BA6">
      <w:r w:rsidRPr="009A452D">
        <w:tab/>
      </w:r>
      <w:r w:rsidR="0043469C" w:rsidRPr="009A452D">
        <w:t xml:space="preserve">Vehicles owned seem to have heterogeneous </w:t>
      </w:r>
      <w:r w:rsidRPr="009A452D">
        <w:t>impact</w:t>
      </w:r>
      <w:r w:rsidR="0043469C" w:rsidRPr="009A452D">
        <w:t>s</w:t>
      </w:r>
      <w:r w:rsidRPr="009A452D">
        <w:t xml:space="preserve">: higher vehicle ownerships are associated with increased ride-hailing trips to the airport, CBD/DMU and to recreational sites, while also being associated with fewer ride-hailing trips to work, educational and commercial establishments. </w:t>
      </w:r>
    </w:p>
    <w:p w:rsidR="00336112" w:rsidRPr="009A452D" w:rsidRDefault="00336112" w:rsidP="00485BA6">
      <w:r w:rsidRPr="009A452D">
        <w:tab/>
        <w:t xml:space="preserve">Here we also have evidence of the question of </w:t>
      </w:r>
      <w:r w:rsidR="000B63B6" w:rsidRPr="009A452D">
        <w:t xml:space="preserve">whether or ride-hailing services substitute or induce </w:t>
      </w:r>
      <w:r w:rsidRPr="009A452D">
        <w:t xml:space="preserve">transit </w:t>
      </w:r>
      <w:r w:rsidR="000B63B6" w:rsidRPr="009A452D">
        <w:t>use</w:t>
      </w:r>
      <w:r w:rsidRPr="009A452D">
        <w:t xml:space="preserve">. For work trips, ride-hailing seems to be more common </w:t>
      </w:r>
      <w:r w:rsidR="00E36819" w:rsidRPr="009A452D">
        <w:t>with individuals who live in</w:t>
      </w:r>
      <w:r w:rsidRPr="009A452D">
        <w:t xml:space="preserve"> locations with </w:t>
      </w:r>
      <w:r w:rsidR="00E36819" w:rsidRPr="009A452D">
        <w:t>less access</w:t>
      </w:r>
      <w:r w:rsidRPr="009A452D">
        <w:t xml:space="preserve"> to transit </w:t>
      </w:r>
      <w:r w:rsidR="00E36819" w:rsidRPr="009A452D">
        <w:t>(i.e. larger distances to transit stops)</w:t>
      </w:r>
      <w:r w:rsidRPr="009A452D">
        <w:t xml:space="preserve">, suggesting </w:t>
      </w:r>
      <w:r w:rsidR="00E36819" w:rsidRPr="009A452D">
        <w:t xml:space="preserve">that the pattern in this case is </w:t>
      </w:r>
      <w:r w:rsidRPr="009A452D">
        <w:t xml:space="preserve">substitutional. However, for all other purposes/locations, the association is reversed, suggesting </w:t>
      </w:r>
      <w:r w:rsidR="000D103A" w:rsidRPr="009A452D">
        <w:t xml:space="preserve">that there </w:t>
      </w:r>
      <w:r w:rsidR="00D63957" w:rsidRPr="009A452D">
        <w:t>might be</w:t>
      </w:r>
      <w:r w:rsidR="000D103A" w:rsidRPr="009A452D">
        <w:t xml:space="preserve"> a synergetic effect between ride-hailing and transit</w:t>
      </w:r>
      <w:r w:rsidRPr="009A452D">
        <w:t>.</w:t>
      </w:r>
    </w:p>
    <w:p w:rsidR="00D75A59" w:rsidRDefault="00336112" w:rsidP="002C31FB">
      <w:r w:rsidRPr="009A452D">
        <w:tab/>
      </w:r>
      <w:r w:rsidR="00D77710" w:rsidRPr="009A452D">
        <w:t>Finally, i</w:t>
      </w:r>
      <w:r w:rsidR="00DB2A34" w:rsidRPr="009A452D">
        <w:t>ndividuals who live in denser neighborhoods are associated with higher levels of ride-hailing to work, CBD/DMU, education and commerce, while also being associated with fewer trips to the airport and to recreational locations.</w:t>
      </w:r>
    </w:p>
    <w:p w:rsidR="001C2D94" w:rsidRDefault="001C2D94" w:rsidP="002C31FB"/>
    <w:p w:rsidR="00252BAB" w:rsidRPr="00CD7807" w:rsidRDefault="000F72EC" w:rsidP="005E391A">
      <w:pPr>
        <w:pStyle w:val="Heading1"/>
        <w:keepNext w:val="0"/>
        <w:keepLines w:val="0"/>
        <w:spacing w:before="0"/>
        <w:rPr>
          <w:caps/>
          <w:smallCaps w:val="0"/>
        </w:rPr>
      </w:pPr>
      <w:r w:rsidRPr="00CD7807">
        <w:rPr>
          <w:caps/>
          <w:smallCaps w:val="0"/>
        </w:rPr>
        <w:t>Discussion and Conclusions</w:t>
      </w:r>
    </w:p>
    <w:p w:rsidR="00252BAB" w:rsidRPr="009A452D" w:rsidRDefault="005D55BA" w:rsidP="005E391A">
      <w:r w:rsidRPr="009A452D">
        <w:t xml:space="preserve">The motivation for this study stems from the very limited knowledge about the characteristics of trips undertaken by ride-hailing services and the characteristics of </w:t>
      </w:r>
      <w:r w:rsidR="004E1B62" w:rsidRPr="009A452D">
        <w:t xml:space="preserve">their </w:t>
      </w:r>
      <w:r w:rsidR="005B0AD3">
        <w:t xml:space="preserve">users. </w:t>
      </w:r>
      <w:r w:rsidRPr="009A452D">
        <w:t>Despite the enormous growth in the use of ride-hailing services, there is a limited understanding of the nature of these trips due to the scarcity of d</w:t>
      </w:r>
      <w:r w:rsidR="004D3B72">
        <w:t xml:space="preserve">etailed data about such trips. </w:t>
      </w:r>
      <w:r w:rsidRPr="009A452D">
        <w:t>In addition, metropolitan planning organizations are unable to adequately account for the demand for ride-hailing services in their travel demand forecasting models. In an effort to shed light on the nature and characteristics</w:t>
      </w:r>
      <w:r w:rsidR="008C7B6E" w:rsidRPr="009A452D">
        <w:t xml:space="preserve"> of ride-hailing trips, this study involves the fusion of trip level data made available by a ride-hailing company with land use and parcel data to infer trip pur</w:t>
      </w:r>
      <w:r w:rsidR="004D3B72">
        <w:t xml:space="preserve">pose and location information. </w:t>
      </w:r>
      <w:r w:rsidR="008C7B6E" w:rsidRPr="009A452D">
        <w:t xml:space="preserve">The study also involves the identification of frequent users of the ride-hailing service and the determination </w:t>
      </w:r>
      <w:r w:rsidR="008C7B6E" w:rsidRPr="009A452D">
        <w:lastRenderedPageBreak/>
        <w:t xml:space="preserve">of their home locations based on a set of criteria that help isolate the residential location for such frequent users.  The data fusion methodology presented in the paper then involves fusing socio-demographic data from the American Community Survey with frequent service users in the ride-hailing trip database to obtain </w:t>
      </w:r>
      <w:r w:rsidR="004E1B62" w:rsidRPr="009A452D">
        <w:t>their demographic</w:t>
      </w:r>
      <w:r w:rsidR="008C7B6E" w:rsidRPr="009A452D">
        <w:t xml:space="preserve"> profile</w:t>
      </w:r>
      <w:r w:rsidR="004E1B62" w:rsidRPr="009A452D">
        <w:t>s</w:t>
      </w:r>
      <w:r w:rsidR="008C7B6E" w:rsidRPr="009A452D">
        <w:t xml:space="preserve">.  </w:t>
      </w:r>
    </w:p>
    <w:p w:rsidR="009001D3" w:rsidRPr="009A452D" w:rsidRDefault="008C7B6E" w:rsidP="005E391A">
      <w:r w:rsidRPr="009A452D">
        <w:tab/>
      </w:r>
      <w:r w:rsidR="004E1B62" w:rsidRPr="009A452D">
        <w:t>The d</w:t>
      </w:r>
      <w:r w:rsidRPr="009A452D">
        <w:t xml:space="preserve">ata </w:t>
      </w:r>
      <w:r w:rsidR="004E1B62" w:rsidRPr="009A452D">
        <w:t xml:space="preserve">used in this study originated </w:t>
      </w:r>
      <w:r w:rsidRPr="009A452D">
        <w:t xml:space="preserve">from </w:t>
      </w:r>
      <w:proofErr w:type="spellStart"/>
      <w:r w:rsidRPr="009A452D">
        <w:t>RideAustin</w:t>
      </w:r>
      <w:proofErr w:type="spellEnd"/>
      <w:r w:rsidRPr="009A452D">
        <w:t>, a service provider in the Austin metropolitan area in the United States.</w:t>
      </w:r>
      <w:r w:rsidR="00AD3AF3">
        <w:t xml:space="preserve"> </w:t>
      </w:r>
      <w:r w:rsidRPr="009A452D">
        <w:t xml:space="preserve">The trip origins and destinations were mapped to a land use parcel and zoning map to determine the purpose and location type for all </w:t>
      </w:r>
      <w:r w:rsidR="00AD3AF3">
        <w:t xml:space="preserve">trip origins and destinations. </w:t>
      </w:r>
      <w:r w:rsidRPr="009A452D">
        <w:t xml:space="preserve">Analysis of the augmented data </w:t>
      </w:r>
      <w:r w:rsidR="002513AC" w:rsidRPr="009A452D">
        <w:t>showed that large percentages of trips either come from or go to residential locations, commercial locations, and CBD/D</w:t>
      </w:r>
      <w:r w:rsidR="006472B0" w:rsidRPr="009A452D">
        <w:t>MU (</w:t>
      </w:r>
      <w:r w:rsidR="00AD3AF3">
        <w:t xml:space="preserve">Downtown Mixed Use) locations. </w:t>
      </w:r>
      <w:r w:rsidR="006472B0" w:rsidRPr="009A452D">
        <w:t xml:space="preserve">Trips in this data set appear to be </w:t>
      </w:r>
      <w:r w:rsidR="009001D3" w:rsidRPr="009A452D">
        <w:t>largely taking place at night and on weekends, suggesting that they are undertaken for social purposes and a desire to avoid driving under the influence. Frequent users of the service (for whom residential locations could be identified and census demographic data could be appended) appeared more likely to be young or middle-aged, White, non-Hispanic, and in lower income househ</w:t>
      </w:r>
      <w:r w:rsidR="00AD3AF3">
        <w:t xml:space="preserve">olds with no children. </w:t>
      </w:r>
      <w:r w:rsidR="009001D3" w:rsidRPr="009A452D">
        <w:t xml:space="preserve">It appears that lower income individuals </w:t>
      </w:r>
      <w:r w:rsidR="004713F9" w:rsidRPr="009A452D">
        <w:t>are</w:t>
      </w:r>
      <w:r w:rsidR="009001D3" w:rsidRPr="009A452D">
        <w:t xml:space="preserve"> more inclined to use the service because they</w:t>
      </w:r>
      <w:r w:rsidR="004E1B62" w:rsidRPr="009A452D">
        <w:t xml:space="preserve"> may</w:t>
      </w:r>
      <w:r w:rsidR="009001D3" w:rsidRPr="009A452D">
        <w:t xml:space="preserve"> have vehicle availability constraints, and the ride-hailing service essentially lifts that constraint by providing on-demand mobility. </w:t>
      </w:r>
    </w:p>
    <w:p w:rsidR="00D3023B" w:rsidRPr="009A452D" w:rsidRDefault="009001D3" w:rsidP="002C31FB">
      <w:r w:rsidRPr="009A452D">
        <w:tab/>
      </w:r>
      <w:r w:rsidR="00D3023B" w:rsidRPr="009A452D">
        <w:t xml:space="preserve">A multivariate ordered </w:t>
      </w:r>
      <w:proofErr w:type="spellStart"/>
      <w:r w:rsidR="00D3023B" w:rsidRPr="009A452D">
        <w:t>probit</w:t>
      </w:r>
      <w:proofErr w:type="spellEnd"/>
      <w:r w:rsidR="00D3023B" w:rsidRPr="009A452D">
        <w:t xml:space="preserve"> model was estimated to examine the influence of different variables on the number of ride-hailing trips undertaken by frequent users of the system for various trip purposes/locations. It is found that socio-demographic variables are important det</w:t>
      </w:r>
      <w:r w:rsidR="00AD3AF3">
        <w:t xml:space="preserve">erminants of trip frequencies. </w:t>
      </w:r>
      <w:r w:rsidR="00D3023B" w:rsidRPr="009A452D">
        <w:t>Findings largely corroborated what was found in the descriptive analysis, but provided deeper insights into the differential effects of various socio-demographic variables on the numbers of ride-hailing trip</w:t>
      </w:r>
      <w:r w:rsidR="00AD3AF3">
        <w:t xml:space="preserve">s for different trip purposes. </w:t>
      </w:r>
      <w:r w:rsidR="00D3023B" w:rsidRPr="009A452D">
        <w:t xml:space="preserve">For example, lower income individuals appear to make more ride-hailing trips than their richer counterparts for utilitarian purposes, while higher income individuals are prone to making more ride-hailing trips for airport, CBD/DMU, and recreational purposes.  </w:t>
      </w:r>
    </w:p>
    <w:p w:rsidR="007A38DF" w:rsidRPr="009A452D" w:rsidRDefault="00D3023B" w:rsidP="007A38DF">
      <w:r w:rsidRPr="009A452D">
        <w:tab/>
        <w:t xml:space="preserve">The paper presents a data fusion methodology that agencies can potentially implement in their own jurisdictions (as long as they can obtain some trip data from a </w:t>
      </w:r>
      <w:r w:rsidR="00AD3AF3">
        <w:t xml:space="preserve">ride-hailing service company). </w:t>
      </w:r>
      <w:r w:rsidRPr="009A452D">
        <w:t>Through the use of the data fusion methodology, it is possible to answer questions on why (for what purpose) ride-hailing services are used, where ride-hailing u</w:t>
      </w:r>
      <w:r w:rsidR="007A38DF" w:rsidRPr="009A452D">
        <w:t>sers reside, and how many ride-hailing trips will be underta</w:t>
      </w:r>
      <w:r w:rsidR="00AD3AF3">
        <w:t xml:space="preserve">ken in different time periods. </w:t>
      </w:r>
      <w:r w:rsidR="007A38DF" w:rsidRPr="009A452D">
        <w:t>Answers to such questions can help shape transport policy and enhance the ability of travel forecasting models to reflect the dem</w:t>
      </w:r>
      <w:r w:rsidR="00AD3AF3">
        <w:t xml:space="preserve">and for ride-hailing services. </w:t>
      </w:r>
      <w:r w:rsidR="007A38DF" w:rsidRPr="009A452D">
        <w:t>For example, the analysis shows that ride-hailing services are being used heavily at nights and on weekends.  This may call for the development of special night or weekend travel forecasting models so that bottlenecks and congestion points can be better identified, predicted, and managed before issues arise. Similarly, minorities and low income individuals are not making the same number of ride-hailing trips for discretionary purposes as the</w:t>
      </w:r>
      <w:r w:rsidR="00AD3AF3">
        <w:t xml:space="preserve">ir higher income counterparts. </w:t>
      </w:r>
      <w:r w:rsidR="007A38DF" w:rsidRPr="009A452D">
        <w:t>Policies that aim to make these services more accessible and affordable to minorities and lower income individuals may go a long way in enabling their participation in social and recreational activitie</w:t>
      </w:r>
      <w:r w:rsidR="00AD3AF3">
        <w:t>s that enhance quality of life.</w:t>
      </w:r>
      <w:r w:rsidR="007A38DF" w:rsidRPr="009A452D">
        <w:t xml:space="preserve"> </w:t>
      </w:r>
      <w:r w:rsidR="00BB6414" w:rsidRPr="009A452D">
        <w:t xml:space="preserve">The quantification of the number of ride-hailing trips by purpose/location is of direct application in travel forecasting models that purport to estimate travel demand in a region.  </w:t>
      </w:r>
    </w:p>
    <w:p w:rsidR="00C9251B" w:rsidRPr="009A452D" w:rsidRDefault="001C4C13" w:rsidP="00C9251B">
      <w:r w:rsidRPr="009A452D">
        <w:tab/>
        <w:t>The methodology presented in this paper constitutes a promising start to fusing multiple data sources to paint a more holistic picture of demand f</w:t>
      </w:r>
      <w:r w:rsidR="00AD3AF3">
        <w:t xml:space="preserve">or emerging mobility services. </w:t>
      </w:r>
      <w:r w:rsidRPr="009A452D">
        <w:t xml:space="preserve">However, a number of </w:t>
      </w:r>
      <w:r w:rsidR="00AD3AF3">
        <w:t xml:space="preserve">limitations and caveats apply. </w:t>
      </w:r>
      <w:r w:rsidRPr="009A452D">
        <w:t>The methodology presented in this paper, although quite robust and logical, has not been empirically tested and verifie</w:t>
      </w:r>
      <w:r w:rsidR="00AD3AF3">
        <w:t xml:space="preserve">d against a validation sample. </w:t>
      </w:r>
      <w:r w:rsidRPr="009A452D">
        <w:lastRenderedPageBreak/>
        <w:t>As such, the accuracy of the fused data remains uncertain until comparisons against real-world data can be made</w:t>
      </w:r>
      <w:r w:rsidR="00AE4A63">
        <w:t>, which point to validation e</w:t>
      </w:r>
      <w:r w:rsidR="00F165BD">
        <w:t>fforts being a promising area for</w:t>
      </w:r>
      <w:r w:rsidR="00AE4A63">
        <w:t xml:space="preserve"> future research</w:t>
      </w:r>
      <w:r w:rsidRPr="009A452D">
        <w:t>.</w:t>
      </w:r>
      <w:r w:rsidR="006C1B30">
        <w:t xml:space="preserve"> </w:t>
      </w:r>
      <w:r w:rsidRPr="009A452D">
        <w:t xml:space="preserve">The algorithms embedded in the methodology (in terms of matching trip locations to census block groups and parcels, or attributing socio-demographic data to specific users) can be further enhanced to make them more robust and sophisticated through the use of repeated simulations and more </w:t>
      </w:r>
      <w:r w:rsidR="00AD3AF3">
        <w:t xml:space="preserve">advanced  matching algorithms. </w:t>
      </w:r>
      <w:r w:rsidR="00874E24" w:rsidRPr="009A452D">
        <w:t xml:space="preserve">The data generated by the imputation method is stochastic in nature, potentially </w:t>
      </w:r>
      <w:r w:rsidR="005B4D93" w:rsidRPr="009A452D">
        <w:t>introducing</w:t>
      </w:r>
      <w:r w:rsidR="00874E24" w:rsidRPr="009A452D">
        <w:t xml:space="preserve"> errors into the multivariate ordered </w:t>
      </w:r>
      <w:proofErr w:type="spellStart"/>
      <w:r w:rsidR="00874E24" w:rsidRPr="009A452D">
        <w:t>probit</w:t>
      </w:r>
      <w:proofErr w:type="spellEnd"/>
      <w:r w:rsidR="00874E24" w:rsidRPr="009A452D">
        <w:t xml:space="preserve"> model</w:t>
      </w:r>
      <w:r w:rsidR="005B4D93" w:rsidRPr="009A452D">
        <w:t>. The influence of these errors might be reduced by</w:t>
      </w:r>
      <w:r w:rsidR="00874E24" w:rsidRPr="009A452D">
        <w:t xml:space="preserve"> </w:t>
      </w:r>
      <w:r w:rsidR="005B4D93" w:rsidRPr="009A452D">
        <w:t>estimating models for each of the repeated simulations and reporting the models’ the average effects</w:t>
      </w:r>
      <w:r w:rsidR="00874E24" w:rsidRPr="009A452D">
        <w:t>.</w:t>
      </w:r>
      <w:r w:rsidR="005B4D93" w:rsidRPr="009A452D">
        <w:t xml:space="preserve"> Furthermore, t</w:t>
      </w:r>
      <w:r w:rsidRPr="009A452D">
        <w:t>he data is drawn from a very specific vendor in a specific location; hence the findings and results presented in this study may not be generalizable across multiple geographic contexts. These limitations should be addressed in future research efforts.</w:t>
      </w:r>
    </w:p>
    <w:p w:rsidR="001C4C13" w:rsidRPr="009A452D" w:rsidRDefault="001C4C13" w:rsidP="00C9251B"/>
    <w:p w:rsidR="00252BAB" w:rsidRPr="009A452D" w:rsidRDefault="000F72EC" w:rsidP="00C9251B">
      <w:pPr>
        <w:pStyle w:val="Heading1"/>
        <w:numPr>
          <w:ilvl w:val="0"/>
          <w:numId w:val="0"/>
        </w:numPr>
        <w:spacing w:before="0"/>
        <w:rPr>
          <w:caps/>
          <w:smallCaps w:val="0"/>
          <w:sz w:val="24"/>
        </w:rPr>
      </w:pPr>
      <w:r w:rsidRPr="009A452D">
        <w:rPr>
          <w:caps/>
          <w:smallCaps w:val="0"/>
          <w:sz w:val="24"/>
        </w:rPr>
        <w:t>Acknowledgement</w:t>
      </w:r>
      <w:r w:rsidR="005D27B0">
        <w:rPr>
          <w:caps/>
          <w:smallCaps w:val="0"/>
          <w:sz w:val="24"/>
        </w:rPr>
        <w:t>S</w:t>
      </w:r>
    </w:p>
    <w:p w:rsidR="00ED3739" w:rsidRPr="009A452D" w:rsidRDefault="000E333D" w:rsidP="00C9251B">
      <w:r w:rsidRPr="009A452D">
        <w:t>The authors</w:t>
      </w:r>
      <w:r w:rsidR="000A3471" w:rsidRPr="009A452D">
        <w:t xml:space="preserve"> would like to thank </w:t>
      </w:r>
      <w:proofErr w:type="spellStart"/>
      <w:r w:rsidR="000A3471" w:rsidRPr="009A452D">
        <w:t>RideAustin</w:t>
      </w:r>
      <w:proofErr w:type="spellEnd"/>
      <w:r w:rsidR="000A3471" w:rsidRPr="009A452D">
        <w:t xml:space="preserve"> for </w:t>
      </w:r>
      <w:r w:rsidR="00A673C3" w:rsidRPr="009A452D">
        <w:t xml:space="preserve">publicly </w:t>
      </w:r>
      <w:r w:rsidRPr="009A452D">
        <w:t>sharing their data</w:t>
      </w:r>
      <w:r w:rsidR="00C9251B" w:rsidRPr="009A452D">
        <w:t xml:space="preserve">. </w:t>
      </w:r>
      <w:r w:rsidR="00ED3739" w:rsidRPr="009A452D">
        <w:t xml:space="preserve">This research was partially supported by the Center for Teaching Old Models New Tricks (TOMNET) </w:t>
      </w:r>
      <w:r w:rsidR="008535F1" w:rsidRPr="009A452D">
        <w:t xml:space="preserve">(Grant No. 69A3551747116) </w:t>
      </w:r>
      <w:r w:rsidR="00ED3739" w:rsidRPr="009A452D">
        <w:t>as well as the Data-Supported Transportation Operations and Planning (D-STOP) Center</w:t>
      </w:r>
      <w:r w:rsidR="008535F1" w:rsidRPr="009A452D">
        <w:t xml:space="preserve"> (Grant No. DTRT13GUTC58)</w:t>
      </w:r>
      <w:r w:rsidR="00ED3739" w:rsidRPr="009A452D">
        <w:t>, both of which are Tier 1 University Transportation Centers sponsored by the US Department of Transportation.</w:t>
      </w:r>
      <w:r w:rsidR="000A3471" w:rsidRPr="009A452D">
        <w:t xml:space="preserve"> </w:t>
      </w:r>
      <w:r w:rsidR="002E3C17" w:rsidRPr="009A452D">
        <w:t xml:space="preserve">The second author acknowledges funding support from CAPES and the Brazilian Government. </w:t>
      </w:r>
      <w:r w:rsidR="00CD7807" w:rsidRPr="001C7A29">
        <w:t xml:space="preserve">The authors are grateful to Lisa Macias for her help in formatting this document, and to </w:t>
      </w:r>
      <w:r w:rsidR="00CD7807">
        <w:t>four</w:t>
      </w:r>
      <w:r w:rsidR="00CD7807" w:rsidRPr="001C7A29">
        <w:t xml:space="preserve"> anonymous referees who provided useful comments on an earlier version of the paper.</w:t>
      </w:r>
    </w:p>
    <w:p w:rsidR="008535F1" w:rsidRPr="009A452D" w:rsidRDefault="008535F1" w:rsidP="00C9251B"/>
    <w:p w:rsidR="008535F1" w:rsidRPr="009A452D" w:rsidRDefault="008535F1" w:rsidP="008535F1">
      <w:pPr>
        <w:rPr>
          <w:b/>
          <w:bCs/>
        </w:rPr>
      </w:pPr>
      <w:r w:rsidRPr="009A452D">
        <w:rPr>
          <w:b/>
          <w:bCs/>
        </w:rPr>
        <w:t>AUTHOR CONTRIBUTION STATEMENT</w:t>
      </w:r>
    </w:p>
    <w:p w:rsidR="00AD3AF3" w:rsidRDefault="008535F1" w:rsidP="00AD3AF3">
      <w:r w:rsidRPr="009A452D">
        <w:t>The authors confirm contribution to the paper as follows: study conception and design: F.F. Dias, P.</w:t>
      </w:r>
      <w:r w:rsidR="00AE2CE2" w:rsidRPr="009A452D">
        <w:t>S.</w:t>
      </w:r>
      <w:r w:rsidRPr="009A452D">
        <w:t xml:space="preserve"> </w:t>
      </w:r>
      <w:proofErr w:type="spellStart"/>
      <w:r w:rsidRPr="009A452D">
        <w:t>Lavieri</w:t>
      </w:r>
      <w:proofErr w:type="spellEnd"/>
      <w:r w:rsidR="00AE2CE2" w:rsidRPr="009A452D">
        <w:t xml:space="preserve">, T. Kim, C.R. Bhat, R.M. </w:t>
      </w:r>
      <w:proofErr w:type="spellStart"/>
      <w:r w:rsidR="00AE2CE2" w:rsidRPr="009A452D">
        <w:t>Pendyala</w:t>
      </w:r>
      <w:proofErr w:type="spellEnd"/>
      <w:r w:rsidRPr="009A452D">
        <w:t xml:space="preserve">; data collection: </w:t>
      </w:r>
      <w:proofErr w:type="spellStart"/>
      <w:r w:rsidR="00AE2CE2" w:rsidRPr="009A452D">
        <w:t>RideAustin</w:t>
      </w:r>
      <w:proofErr w:type="spellEnd"/>
      <w:r w:rsidRPr="009A452D">
        <w:t xml:space="preserve">; analysis and interpretation of results: </w:t>
      </w:r>
      <w:r w:rsidR="00AE2CE2" w:rsidRPr="009A452D">
        <w:t xml:space="preserve">F.F. Dias, P.S. </w:t>
      </w:r>
      <w:proofErr w:type="spellStart"/>
      <w:r w:rsidR="00AE2CE2" w:rsidRPr="009A452D">
        <w:t>Lavieri</w:t>
      </w:r>
      <w:proofErr w:type="spellEnd"/>
      <w:r w:rsidR="00AE2CE2" w:rsidRPr="009A452D">
        <w:t xml:space="preserve">, T. Kim, C.R. Bhat, R.M. </w:t>
      </w:r>
      <w:proofErr w:type="spellStart"/>
      <w:r w:rsidR="00AE2CE2" w:rsidRPr="009A452D">
        <w:t>Pendyala</w:t>
      </w:r>
      <w:proofErr w:type="spellEnd"/>
      <w:r w:rsidRPr="009A452D">
        <w:t xml:space="preserve">; draft manuscript preparation: </w:t>
      </w:r>
      <w:r w:rsidR="00AE2CE2" w:rsidRPr="009A452D">
        <w:t xml:space="preserve">F.F. Dias, P.S. </w:t>
      </w:r>
      <w:proofErr w:type="spellStart"/>
      <w:r w:rsidR="00AE2CE2" w:rsidRPr="009A452D">
        <w:t>Lavieri</w:t>
      </w:r>
      <w:proofErr w:type="spellEnd"/>
      <w:r w:rsidR="00AE2CE2" w:rsidRPr="009A452D">
        <w:t xml:space="preserve">, T. Kim, C.R. Bhat, R.M. </w:t>
      </w:r>
      <w:proofErr w:type="spellStart"/>
      <w:r w:rsidR="00AE2CE2" w:rsidRPr="009A452D">
        <w:t>Pendyala</w:t>
      </w:r>
      <w:proofErr w:type="spellEnd"/>
      <w:r w:rsidRPr="009A452D">
        <w:t>. All authors reviewed the results and approved the final version of the manuscript.</w:t>
      </w:r>
    </w:p>
    <w:p w:rsidR="00AD3AF3" w:rsidRDefault="00AD3AF3" w:rsidP="00AD3AF3"/>
    <w:p w:rsidR="00252BAB" w:rsidRPr="00AD3AF3" w:rsidRDefault="000F72EC" w:rsidP="00AD3AF3">
      <w:pPr>
        <w:rPr>
          <w:b/>
        </w:rPr>
      </w:pPr>
      <w:r w:rsidRPr="00AD3AF3">
        <w:rPr>
          <w:b/>
          <w:caps/>
          <w:smallCaps/>
        </w:rPr>
        <w:t>References</w:t>
      </w:r>
    </w:p>
    <w:p w:rsidR="00AD3AF3" w:rsidRPr="009A452D" w:rsidRDefault="00AD3AF3" w:rsidP="00AD3AF3">
      <w:pPr>
        <w:pStyle w:val="ListParagraph"/>
        <w:numPr>
          <w:ilvl w:val="0"/>
          <w:numId w:val="19"/>
        </w:numPr>
        <w:ind w:left="360"/>
      </w:pPr>
      <w:r w:rsidRPr="009A452D">
        <w:t xml:space="preserve">Statista. Number of Uber Users in the United States as of April 2017, by Device (in Millions) [online]. 2018a. Available at: </w:t>
      </w:r>
      <w:hyperlink r:id="rId67" w:history="1">
        <w:r w:rsidRPr="009A452D">
          <w:rPr>
            <w:rStyle w:val="Hyperlink"/>
          </w:rPr>
          <w:t>https://www.statista.com/statistics/715236/us-uber-users-by-device/</w:t>
        </w:r>
      </w:hyperlink>
      <w:r w:rsidRPr="00AD3AF3">
        <w:rPr>
          <w:rStyle w:val="Hyperlink"/>
          <w:color w:val="auto"/>
          <w:u w:val="none"/>
        </w:rPr>
        <w:t xml:space="preserve">. Accessed: </w:t>
      </w:r>
      <w:r w:rsidRPr="00AD3AF3">
        <w:rPr>
          <w:iCs/>
          <w:color w:val="222222"/>
          <w:shd w:val="clear" w:color="auto" w:fill="FFFFFF"/>
        </w:rPr>
        <w:t>February 7, 2018.</w:t>
      </w:r>
    </w:p>
    <w:p w:rsidR="00AD3AF3" w:rsidRPr="009A452D" w:rsidRDefault="00AD3AF3" w:rsidP="00AD3AF3">
      <w:pPr>
        <w:pStyle w:val="ListParagraph"/>
        <w:numPr>
          <w:ilvl w:val="0"/>
          <w:numId w:val="19"/>
        </w:numPr>
        <w:ind w:left="360"/>
      </w:pPr>
      <w:r w:rsidRPr="009A452D">
        <w:t xml:space="preserve">Statista. North American </w:t>
      </w:r>
      <w:proofErr w:type="spellStart"/>
      <w:r w:rsidRPr="009A452D">
        <w:t>Carsharing</w:t>
      </w:r>
      <w:proofErr w:type="spellEnd"/>
      <w:r w:rsidRPr="009A452D">
        <w:t xml:space="preserve"> Member Growth from 2000 to 2016 (in 1,000s) [online]. 2018b. Available at: </w:t>
      </w:r>
      <w:hyperlink r:id="rId68" w:history="1">
        <w:r w:rsidRPr="009A452D">
          <w:rPr>
            <w:rStyle w:val="Hyperlink"/>
          </w:rPr>
          <w:t>https://www.statista.com/statistics/263847/carsharing-growth-members-in-north-america/</w:t>
        </w:r>
      </w:hyperlink>
      <w:r w:rsidRPr="00AD3AF3">
        <w:rPr>
          <w:rStyle w:val="Hyperlink"/>
          <w:color w:val="auto"/>
          <w:u w:val="none"/>
        </w:rPr>
        <w:t xml:space="preserve">. Accessed: </w:t>
      </w:r>
      <w:r w:rsidRPr="00AD3AF3">
        <w:rPr>
          <w:iCs/>
          <w:color w:val="222222"/>
          <w:shd w:val="clear" w:color="auto" w:fill="FFFFFF"/>
        </w:rPr>
        <w:t>February 7, 2018.</w:t>
      </w:r>
    </w:p>
    <w:p w:rsid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Rayle</w:t>
      </w:r>
      <w:proofErr w:type="spellEnd"/>
      <w:r w:rsidRPr="009A452D">
        <w:rPr>
          <w:shd w:val="clear" w:color="auto" w:fill="FFFFFF"/>
        </w:rPr>
        <w:t xml:space="preserve">, L., D. Dai, N. Chan, R. </w:t>
      </w:r>
      <w:proofErr w:type="spellStart"/>
      <w:r w:rsidRPr="009A452D">
        <w:rPr>
          <w:shd w:val="clear" w:color="auto" w:fill="FFFFFF"/>
        </w:rPr>
        <w:t>Cervero</w:t>
      </w:r>
      <w:proofErr w:type="spellEnd"/>
      <w:r w:rsidRPr="009A452D">
        <w:rPr>
          <w:shd w:val="clear" w:color="auto" w:fill="FFFFFF"/>
        </w:rPr>
        <w:t xml:space="preserve">, </w:t>
      </w:r>
      <w:r>
        <w:rPr>
          <w:shd w:val="clear" w:color="auto" w:fill="FFFFFF"/>
        </w:rPr>
        <w:t xml:space="preserve">and </w:t>
      </w:r>
      <w:r w:rsidRPr="009A452D">
        <w:rPr>
          <w:shd w:val="clear" w:color="auto" w:fill="FFFFFF"/>
        </w:rPr>
        <w:t xml:space="preserve">S. </w:t>
      </w:r>
      <w:proofErr w:type="spellStart"/>
      <w:r w:rsidRPr="009A452D">
        <w:rPr>
          <w:shd w:val="clear" w:color="auto" w:fill="FFFFFF"/>
        </w:rPr>
        <w:t>Shaheen</w:t>
      </w:r>
      <w:proofErr w:type="spellEnd"/>
      <w:r w:rsidRPr="009A452D">
        <w:rPr>
          <w:shd w:val="clear" w:color="auto" w:fill="FFFFFF"/>
        </w:rPr>
        <w:t xml:space="preserve">. Just a Better Taxi? A Survey-based Comparison of Taxis, Transit, and </w:t>
      </w:r>
      <w:proofErr w:type="spellStart"/>
      <w:r w:rsidRPr="009A452D">
        <w:rPr>
          <w:shd w:val="clear" w:color="auto" w:fill="FFFFFF"/>
        </w:rPr>
        <w:t>Ridesourcing</w:t>
      </w:r>
      <w:proofErr w:type="spellEnd"/>
      <w:r w:rsidRPr="009A452D">
        <w:rPr>
          <w:shd w:val="clear" w:color="auto" w:fill="FFFFFF"/>
        </w:rPr>
        <w:t xml:space="preserve"> Services in San Francisco. </w:t>
      </w:r>
      <w:r w:rsidRPr="009A452D">
        <w:rPr>
          <w:i/>
          <w:iCs/>
          <w:shd w:val="clear" w:color="auto" w:fill="FFFFFF"/>
        </w:rPr>
        <w:t>Transport Policy</w:t>
      </w:r>
      <w:r w:rsidRPr="009A452D">
        <w:rPr>
          <w:iCs/>
          <w:shd w:val="clear" w:color="auto" w:fill="FFFFFF"/>
        </w:rPr>
        <w:t>, 2016.</w:t>
      </w:r>
      <w:r>
        <w:rPr>
          <w:iCs/>
          <w:shd w:val="clear" w:color="auto" w:fill="FFFFFF"/>
        </w:rPr>
        <w:t xml:space="preserve"> </w:t>
      </w:r>
      <w:r w:rsidRPr="009A452D">
        <w:rPr>
          <w:iCs/>
          <w:shd w:val="clear" w:color="auto" w:fill="FFFFFF"/>
        </w:rPr>
        <w:t>45</w:t>
      </w:r>
      <w:r w:rsidRPr="009A452D">
        <w:rPr>
          <w:shd w:val="clear" w:color="auto" w:fill="FFFFFF"/>
        </w:rPr>
        <w:t>: 168-178.</w:t>
      </w:r>
    </w:p>
    <w:p w:rsidR="00AD3AF3" w:rsidRPr="00AD3AF3" w:rsidRDefault="00AD3AF3" w:rsidP="00AD3AF3">
      <w:pPr>
        <w:pStyle w:val="ListParagraph"/>
        <w:numPr>
          <w:ilvl w:val="0"/>
          <w:numId w:val="19"/>
        </w:numPr>
        <w:ind w:left="360"/>
        <w:rPr>
          <w:shd w:val="clear" w:color="auto" w:fill="FFFFFF"/>
        </w:rPr>
      </w:pPr>
      <w:r w:rsidRPr="009A452D">
        <w:rPr>
          <w:shd w:val="clear" w:color="auto" w:fill="FFFFFF"/>
        </w:rPr>
        <w:t>Smith, A. Shared, Collaborative and On Demand: The New Digital Economy.</w:t>
      </w:r>
      <w:r w:rsidRPr="009A452D">
        <w:rPr>
          <w:i/>
          <w:iCs/>
          <w:shd w:val="clear" w:color="auto" w:fill="FFFFFF"/>
        </w:rPr>
        <w:t xml:space="preserve"> </w:t>
      </w:r>
      <w:r w:rsidRPr="009A452D">
        <w:rPr>
          <w:iCs/>
          <w:shd w:val="clear" w:color="auto" w:fill="FFFFFF"/>
        </w:rPr>
        <w:t xml:space="preserve">Pew Research </w:t>
      </w:r>
      <w:r w:rsidRPr="009A452D">
        <w:rPr>
          <w:iCs/>
          <w:color w:val="222222"/>
          <w:shd w:val="clear" w:color="auto" w:fill="FFFFFF"/>
        </w:rPr>
        <w:t>Center, Washington, D.C., 2016. Available at:</w:t>
      </w:r>
      <w:r w:rsidR="00E45A74">
        <w:rPr>
          <w:i/>
          <w:iCs/>
          <w:color w:val="222222"/>
          <w:shd w:val="clear" w:color="auto" w:fill="FFFFFF"/>
        </w:rPr>
        <w:t xml:space="preserve"> </w:t>
      </w:r>
      <w:hyperlink r:id="rId69" w:history="1">
        <w:r w:rsidRPr="009A452D">
          <w:rPr>
            <w:rStyle w:val="Hyperlink"/>
            <w:shd w:val="clear" w:color="auto" w:fill="FFFFFF"/>
          </w:rPr>
          <w:t>http://www.pewinternet.org/2016/05/19/the-new-digital-economy/</w:t>
        </w:r>
      </w:hyperlink>
      <w:r w:rsidRPr="009A452D">
        <w:rPr>
          <w:color w:val="222222"/>
          <w:shd w:val="clear" w:color="auto" w:fill="FFFFFF"/>
        </w:rPr>
        <w:t xml:space="preserve">. </w:t>
      </w:r>
      <w:r w:rsidRPr="009A452D">
        <w:rPr>
          <w:iCs/>
          <w:color w:val="222222"/>
          <w:shd w:val="clear" w:color="auto" w:fill="FFFFFF"/>
        </w:rPr>
        <w:t>Accessed: February 6, 2018</w:t>
      </w:r>
      <w:r w:rsidRPr="009A452D">
        <w:rPr>
          <w:color w:val="222222"/>
          <w:shd w:val="clear" w:color="auto" w:fill="FFFFFF"/>
        </w:rPr>
        <w:t>.</w:t>
      </w:r>
    </w:p>
    <w:p w:rsidR="00AD3AF3" w:rsidRDefault="00C27FA9" w:rsidP="00AD3AF3">
      <w:pPr>
        <w:pStyle w:val="ListParagraph"/>
        <w:numPr>
          <w:ilvl w:val="0"/>
          <w:numId w:val="19"/>
        </w:numPr>
        <w:ind w:left="360"/>
        <w:rPr>
          <w:shd w:val="clear" w:color="auto" w:fill="FFFFFF"/>
        </w:rPr>
      </w:pPr>
      <w:proofErr w:type="spellStart"/>
      <w:r>
        <w:t>Clewlow</w:t>
      </w:r>
      <w:proofErr w:type="spellEnd"/>
      <w:r>
        <w:t>, R.R. and G.S. Mishra. </w:t>
      </w:r>
      <w:r w:rsidRPr="004D14FF">
        <w:rPr>
          <w:rStyle w:val="Emphasis"/>
          <w:i w:val="0"/>
        </w:rPr>
        <w:t>Disruptive Transportation: The Adoption, Utilization, and Impacts of Ride-Hailing in the United States.</w:t>
      </w:r>
      <w:r>
        <w:t xml:space="preserve"> Institute of Transportation Studies, University of California, Davis, Research Report UCD-ITS-RR-17-07, 2017.</w:t>
      </w:r>
    </w:p>
    <w:p w:rsidR="00AD3AF3" w:rsidRDefault="00334AB6" w:rsidP="00AD3AF3">
      <w:pPr>
        <w:pStyle w:val="ListParagraph"/>
        <w:numPr>
          <w:ilvl w:val="0"/>
          <w:numId w:val="19"/>
        </w:numPr>
        <w:ind w:left="360"/>
        <w:rPr>
          <w:shd w:val="clear" w:color="auto" w:fill="FFFFFF"/>
        </w:rPr>
      </w:pPr>
      <w:proofErr w:type="spellStart"/>
      <w:r w:rsidRPr="004D14FF">
        <w:lastRenderedPageBreak/>
        <w:t>Alemi</w:t>
      </w:r>
      <w:proofErr w:type="spellEnd"/>
      <w:r w:rsidRPr="004D14FF">
        <w:t xml:space="preserve">, F., G. </w:t>
      </w:r>
      <w:proofErr w:type="spellStart"/>
      <w:r w:rsidRPr="004D14FF">
        <w:t>Circe</w:t>
      </w:r>
      <w:r>
        <w:t>lla</w:t>
      </w:r>
      <w:proofErr w:type="spellEnd"/>
      <w:r>
        <w:t xml:space="preserve">, P. </w:t>
      </w:r>
      <w:proofErr w:type="spellStart"/>
      <w:r>
        <w:t>Mokhtarian</w:t>
      </w:r>
      <w:proofErr w:type="spellEnd"/>
      <w:r>
        <w:t xml:space="preserve"> and S. Handy. </w:t>
      </w:r>
      <w:r w:rsidRPr="004D14FF">
        <w:t>On-</w:t>
      </w:r>
      <w:r>
        <w:t>D</w:t>
      </w:r>
      <w:r w:rsidRPr="004D14FF">
        <w:t xml:space="preserve">emand Ride </w:t>
      </w:r>
      <w:r>
        <w:t xml:space="preserve">Services in </w:t>
      </w:r>
      <w:r w:rsidRPr="004D14FF">
        <w:t xml:space="preserve">California: Investigating the Factors Affecting the Frequency of Use of Uber/Lyft. Transportation Research Board 97th Annual Meeting </w:t>
      </w:r>
      <w:r>
        <w:t>Compendium of Papers, No</w:t>
      </w:r>
      <w:r w:rsidRPr="004D14FF">
        <w:t xml:space="preserve"> 18-05563</w:t>
      </w:r>
      <w:r>
        <w:t>, 2018</w:t>
      </w:r>
      <w:r w:rsidRPr="004D14FF">
        <w:t>.</w:t>
      </w:r>
    </w:p>
    <w:p w:rsidR="00AD3AF3" w:rsidRDefault="00334AB6" w:rsidP="00AD3AF3">
      <w:pPr>
        <w:pStyle w:val="ListParagraph"/>
        <w:numPr>
          <w:ilvl w:val="0"/>
          <w:numId w:val="19"/>
        </w:numPr>
        <w:ind w:left="360"/>
        <w:rPr>
          <w:shd w:val="clear" w:color="auto" w:fill="FFFFFF"/>
        </w:rPr>
      </w:pPr>
      <w:r w:rsidRPr="009A452D">
        <w:t xml:space="preserve">Hampshire, R.C., C. </w:t>
      </w:r>
      <w:proofErr w:type="spellStart"/>
      <w:r w:rsidRPr="009A452D">
        <w:t>Simek</w:t>
      </w:r>
      <w:proofErr w:type="spellEnd"/>
      <w:r w:rsidRPr="009A452D">
        <w:t xml:space="preserve">, T. </w:t>
      </w:r>
      <w:proofErr w:type="spellStart"/>
      <w:r w:rsidRPr="009A452D">
        <w:t>Fabusuyi</w:t>
      </w:r>
      <w:proofErr w:type="spellEnd"/>
      <w:r w:rsidRPr="009A452D">
        <w:t xml:space="preserve">, X. Di, and X. Chen. Measuring the Impact of an Unanticipated Suspension of Ride-sourcing in Austin, Texas. </w:t>
      </w:r>
      <w:r w:rsidRPr="004D14FF">
        <w:t xml:space="preserve">Transportation Research Board 97th Annual Meeting </w:t>
      </w:r>
      <w:r>
        <w:t>Compendium of Papers, No. 18-03105</w:t>
      </w:r>
      <w:r w:rsidRPr="009A452D">
        <w:rPr>
          <w:shd w:val="clear" w:color="auto" w:fill="FFFFFF"/>
        </w:rPr>
        <w:t>, 2018.</w:t>
      </w:r>
    </w:p>
    <w:p w:rsid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Lavieri</w:t>
      </w:r>
      <w:proofErr w:type="spellEnd"/>
      <w:r w:rsidRPr="009A452D">
        <w:rPr>
          <w:shd w:val="clear" w:color="auto" w:fill="FFFFFF"/>
        </w:rPr>
        <w:t xml:space="preserve">, P.S., and C.R. Bhat. </w:t>
      </w:r>
      <w:r w:rsidR="00334AB6" w:rsidRPr="00334AB6">
        <w:rPr>
          <w:bCs/>
        </w:rPr>
        <w:t>Investigating Objective and Subjective Factors Influencing the Adoption, Frequency, and Characteristics of Ride-hailing Trips</w:t>
      </w:r>
      <w:r w:rsidRPr="009A452D">
        <w:rPr>
          <w:shd w:val="clear" w:color="auto" w:fill="FFFFFF"/>
        </w:rPr>
        <w:t>. Technical paper, Department of Civil, Architectural and Environmental Engineering, The University of Texas at Austin, May 2018.</w:t>
      </w:r>
    </w:p>
    <w:p w:rsidR="00AD3AF3" w:rsidRDefault="00AD3AF3" w:rsidP="00AD3AF3">
      <w:pPr>
        <w:pStyle w:val="ListParagraph"/>
        <w:numPr>
          <w:ilvl w:val="0"/>
          <w:numId w:val="19"/>
        </w:numPr>
        <w:ind w:left="360"/>
        <w:rPr>
          <w:shd w:val="clear" w:color="auto" w:fill="FFFFFF"/>
        </w:rPr>
      </w:pPr>
      <w:r w:rsidRPr="009A452D">
        <w:rPr>
          <w:shd w:val="clear" w:color="auto" w:fill="FFFFFF"/>
        </w:rPr>
        <w:t xml:space="preserve">Dias, F.F., P.S. </w:t>
      </w:r>
      <w:proofErr w:type="spellStart"/>
      <w:r w:rsidRPr="009A452D">
        <w:rPr>
          <w:shd w:val="clear" w:color="auto" w:fill="FFFFFF"/>
        </w:rPr>
        <w:t>Lavieri</w:t>
      </w:r>
      <w:proofErr w:type="spellEnd"/>
      <w:r w:rsidRPr="009A452D">
        <w:rPr>
          <w:shd w:val="clear" w:color="auto" w:fill="FFFFFF"/>
        </w:rPr>
        <w:t xml:space="preserve">, V.M. </w:t>
      </w:r>
      <w:proofErr w:type="spellStart"/>
      <w:r w:rsidRPr="009A452D">
        <w:rPr>
          <w:shd w:val="clear" w:color="auto" w:fill="FFFFFF"/>
        </w:rPr>
        <w:t>Garikapati</w:t>
      </w:r>
      <w:proofErr w:type="spellEnd"/>
      <w:r w:rsidRPr="009A452D">
        <w:rPr>
          <w:shd w:val="clear" w:color="auto" w:fill="FFFFFF"/>
        </w:rPr>
        <w:t xml:space="preserve">, S. </w:t>
      </w:r>
      <w:proofErr w:type="spellStart"/>
      <w:r w:rsidRPr="009A452D">
        <w:rPr>
          <w:shd w:val="clear" w:color="auto" w:fill="FFFFFF"/>
        </w:rPr>
        <w:t>Astroza</w:t>
      </w:r>
      <w:proofErr w:type="spellEnd"/>
      <w:r w:rsidRPr="009A452D">
        <w:rPr>
          <w:shd w:val="clear" w:color="auto" w:fill="FFFFFF"/>
        </w:rPr>
        <w:t xml:space="preserve">, R.M. </w:t>
      </w:r>
      <w:proofErr w:type="spellStart"/>
      <w:r w:rsidRPr="009A452D">
        <w:rPr>
          <w:shd w:val="clear" w:color="auto" w:fill="FFFFFF"/>
        </w:rPr>
        <w:t>Pendyala</w:t>
      </w:r>
      <w:proofErr w:type="spellEnd"/>
      <w:r w:rsidRPr="009A452D">
        <w:rPr>
          <w:shd w:val="clear" w:color="auto" w:fill="FFFFFF"/>
        </w:rPr>
        <w:t>, and C.R. Bhat. A Behavioral Choice Model of the Use of Car-sharing and Ride-sourcing Services.</w:t>
      </w:r>
      <w:r>
        <w:rPr>
          <w:shd w:val="clear" w:color="auto" w:fill="FFFFFF"/>
        </w:rPr>
        <w:t xml:space="preserve"> </w:t>
      </w:r>
      <w:r w:rsidRPr="009A452D">
        <w:rPr>
          <w:i/>
          <w:iCs/>
          <w:shd w:val="clear" w:color="auto" w:fill="FFFFFF"/>
        </w:rPr>
        <w:t>Transportation</w:t>
      </w:r>
      <w:r w:rsidRPr="009A452D">
        <w:rPr>
          <w:shd w:val="clear" w:color="auto" w:fill="FFFFFF"/>
        </w:rPr>
        <w:t>, 2017. </w:t>
      </w:r>
      <w:r w:rsidRPr="009A452D">
        <w:rPr>
          <w:iCs/>
          <w:shd w:val="clear" w:color="auto" w:fill="FFFFFF"/>
        </w:rPr>
        <w:t>44</w:t>
      </w:r>
      <w:r w:rsidRPr="009A452D">
        <w:rPr>
          <w:shd w:val="clear" w:color="auto" w:fill="FFFFFF"/>
        </w:rPr>
        <w:t>(6): 1307-1323.</w:t>
      </w:r>
    </w:p>
    <w:p w:rsid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Lavieri</w:t>
      </w:r>
      <w:proofErr w:type="spellEnd"/>
      <w:r w:rsidRPr="009A452D">
        <w:rPr>
          <w:shd w:val="clear" w:color="auto" w:fill="FFFFFF"/>
        </w:rPr>
        <w:t xml:space="preserve">, P.S., V.M. </w:t>
      </w:r>
      <w:proofErr w:type="spellStart"/>
      <w:r w:rsidRPr="009A452D">
        <w:rPr>
          <w:shd w:val="clear" w:color="auto" w:fill="FFFFFF"/>
        </w:rPr>
        <w:t>Garikapati</w:t>
      </w:r>
      <w:proofErr w:type="spellEnd"/>
      <w:r w:rsidRPr="009A452D">
        <w:rPr>
          <w:shd w:val="clear" w:color="auto" w:fill="FFFFFF"/>
        </w:rPr>
        <w:t xml:space="preserve">, C.R. Bhat, R.M. </w:t>
      </w:r>
      <w:proofErr w:type="spellStart"/>
      <w:r w:rsidRPr="009A452D">
        <w:rPr>
          <w:shd w:val="clear" w:color="auto" w:fill="FFFFFF"/>
        </w:rPr>
        <w:t>Pendyala</w:t>
      </w:r>
      <w:proofErr w:type="spellEnd"/>
      <w:r w:rsidRPr="009A452D">
        <w:rPr>
          <w:shd w:val="clear" w:color="auto" w:fill="FFFFFF"/>
        </w:rPr>
        <w:t xml:space="preserve">, S. </w:t>
      </w:r>
      <w:proofErr w:type="spellStart"/>
      <w:r w:rsidRPr="009A452D">
        <w:rPr>
          <w:shd w:val="clear" w:color="auto" w:fill="FFFFFF"/>
        </w:rPr>
        <w:t>Astroza</w:t>
      </w:r>
      <w:proofErr w:type="spellEnd"/>
      <w:r w:rsidRPr="009A452D">
        <w:rPr>
          <w:shd w:val="clear" w:color="auto" w:fill="FFFFFF"/>
        </w:rPr>
        <w:t xml:space="preserve">, and F.F. Dias. Modeling Individual Preferences for Ownership and Sharing of Autonomous Vehicle Technologies. </w:t>
      </w:r>
      <w:r w:rsidRPr="009A452D">
        <w:rPr>
          <w:i/>
          <w:iCs/>
          <w:shd w:val="clear" w:color="auto" w:fill="FFFFFF"/>
        </w:rPr>
        <w:t>Transportation Research Record: Journal of the Transportation Research Board</w:t>
      </w:r>
      <w:r w:rsidRPr="009A452D">
        <w:rPr>
          <w:shd w:val="clear" w:color="auto" w:fill="FFFFFF"/>
        </w:rPr>
        <w:t>, 2017. 2665: 1-10.</w:t>
      </w:r>
    </w:p>
    <w:p w:rsidR="00AD3AF3" w:rsidRDefault="00AD3AF3" w:rsidP="00AD3AF3">
      <w:pPr>
        <w:pStyle w:val="ListParagraph"/>
        <w:numPr>
          <w:ilvl w:val="0"/>
          <w:numId w:val="19"/>
        </w:numPr>
        <w:ind w:left="360"/>
        <w:rPr>
          <w:shd w:val="clear" w:color="auto" w:fill="FFFFFF"/>
        </w:rPr>
      </w:pPr>
      <w:r w:rsidRPr="009A452D">
        <w:rPr>
          <w:shd w:val="clear" w:color="auto" w:fill="FFFFFF"/>
        </w:rPr>
        <w:t xml:space="preserve">Li, Z., Y. Hong, and Z. Zhang. An Empirical Analysis of On-demand Ride Sharing and Traffic Congestion. Presented at the 2016 International Conference on Information Systems, Dublin, </w:t>
      </w:r>
      <w:proofErr w:type="gramStart"/>
      <w:r w:rsidRPr="009A452D">
        <w:rPr>
          <w:shd w:val="clear" w:color="auto" w:fill="FFFFFF"/>
        </w:rPr>
        <w:t>September</w:t>
      </w:r>
      <w:proofErr w:type="gramEnd"/>
      <w:r w:rsidRPr="009A452D">
        <w:rPr>
          <w:shd w:val="clear" w:color="auto" w:fill="FFFFFF"/>
        </w:rPr>
        <w:t xml:space="preserve"> 2017.</w:t>
      </w:r>
    </w:p>
    <w:p w:rsidR="00AD3AF3" w:rsidRPr="00AD3AF3" w:rsidRDefault="00FC1CFD" w:rsidP="00AD3AF3">
      <w:pPr>
        <w:pStyle w:val="ListParagraph"/>
        <w:numPr>
          <w:ilvl w:val="0"/>
          <w:numId w:val="19"/>
        </w:numPr>
        <w:ind w:left="360"/>
        <w:rPr>
          <w:shd w:val="clear" w:color="auto" w:fill="FFFFFF"/>
        </w:rPr>
      </w:pPr>
      <w:r w:rsidRPr="009A452D">
        <w:t xml:space="preserve">Ward, J.W., J.J. </w:t>
      </w:r>
      <w:proofErr w:type="spellStart"/>
      <w:r w:rsidRPr="009A452D">
        <w:t>Michalek</w:t>
      </w:r>
      <w:proofErr w:type="spellEnd"/>
      <w:r w:rsidRPr="009A452D">
        <w:t xml:space="preserve">, I.L. </w:t>
      </w:r>
      <w:proofErr w:type="spellStart"/>
      <w:r w:rsidRPr="009A452D">
        <w:t>Azevedo</w:t>
      </w:r>
      <w:proofErr w:type="spellEnd"/>
      <w:r w:rsidRPr="009A452D">
        <w:t>, C. Samaras, and P. Ferreira. On-</w:t>
      </w:r>
      <w:r>
        <w:t>D</w:t>
      </w:r>
      <w:r w:rsidRPr="009A452D">
        <w:t xml:space="preserve">emand </w:t>
      </w:r>
      <w:proofErr w:type="spellStart"/>
      <w:r w:rsidRPr="009A452D">
        <w:t>Ridesourcing</w:t>
      </w:r>
      <w:proofErr w:type="spellEnd"/>
      <w:r w:rsidRPr="009A452D">
        <w:t xml:space="preserve"> </w:t>
      </w:r>
      <w:r>
        <w:t>H</w:t>
      </w:r>
      <w:r w:rsidRPr="009A452D">
        <w:t>as Reduced Per-</w:t>
      </w:r>
      <w:r>
        <w:t>C</w:t>
      </w:r>
      <w:r w:rsidRPr="009A452D">
        <w:t>apita Vehicle Registrations and Gasoline Use in U</w:t>
      </w:r>
      <w:r>
        <w:t>.</w:t>
      </w:r>
      <w:r w:rsidRPr="009A452D">
        <w:t>S</w:t>
      </w:r>
      <w:r>
        <w:t>.</w:t>
      </w:r>
      <w:r w:rsidRPr="009A452D">
        <w:t xml:space="preserve"> States. </w:t>
      </w:r>
      <w:r w:rsidRPr="004D14FF">
        <w:t xml:space="preserve">Transportation Research Board 97th Annual Meeting </w:t>
      </w:r>
      <w:r>
        <w:t>Compendium of Papers, No.</w:t>
      </w:r>
      <w:r w:rsidRPr="005D4189">
        <w:t xml:space="preserve"> </w:t>
      </w:r>
      <w:r>
        <w:t>18-05185</w:t>
      </w:r>
      <w:r w:rsidRPr="009A452D">
        <w:rPr>
          <w:shd w:val="clear" w:color="auto" w:fill="FFFFFF"/>
        </w:rPr>
        <w:t xml:space="preserve">, </w:t>
      </w:r>
      <w:r w:rsidRPr="009A452D">
        <w:t>2018.</w:t>
      </w:r>
    </w:p>
    <w:p w:rsid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Kooti</w:t>
      </w:r>
      <w:proofErr w:type="spellEnd"/>
      <w:r w:rsidRPr="009A452D">
        <w:rPr>
          <w:shd w:val="clear" w:color="auto" w:fill="FFFFFF"/>
        </w:rPr>
        <w:t xml:space="preserve">, F., M. </w:t>
      </w:r>
      <w:proofErr w:type="spellStart"/>
      <w:r w:rsidRPr="009A452D">
        <w:rPr>
          <w:shd w:val="clear" w:color="auto" w:fill="FFFFFF"/>
        </w:rPr>
        <w:t>Grbovic</w:t>
      </w:r>
      <w:proofErr w:type="spellEnd"/>
      <w:r w:rsidRPr="009A452D">
        <w:rPr>
          <w:shd w:val="clear" w:color="auto" w:fill="FFFFFF"/>
        </w:rPr>
        <w:t xml:space="preserve">, L.M. Aiello, N. </w:t>
      </w:r>
      <w:proofErr w:type="spellStart"/>
      <w:r w:rsidRPr="009A452D">
        <w:rPr>
          <w:shd w:val="clear" w:color="auto" w:fill="FFFFFF"/>
        </w:rPr>
        <w:t>Djuric</w:t>
      </w:r>
      <w:proofErr w:type="spellEnd"/>
      <w:r w:rsidRPr="009A452D">
        <w:rPr>
          <w:shd w:val="clear" w:color="auto" w:fill="FFFFFF"/>
        </w:rPr>
        <w:t xml:space="preserve">, V. </w:t>
      </w:r>
      <w:proofErr w:type="spellStart"/>
      <w:r w:rsidRPr="009A452D">
        <w:rPr>
          <w:shd w:val="clear" w:color="auto" w:fill="FFFFFF"/>
        </w:rPr>
        <w:t>Radosavljevic</w:t>
      </w:r>
      <w:proofErr w:type="spellEnd"/>
      <w:r w:rsidRPr="009A452D">
        <w:rPr>
          <w:shd w:val="clear" w:color="auto" w:fill="FFFFFF"/>
        </w:rPr>
        <w:t xml:space="preserve">, and K. </w:t>
      </w:r>
      <w:proofErr w:type="spellStart"/>
      <w:r w:rsidRPr="009A452D">
        <w:rPr>
          <w:shd w:val="clear" w:color="auto" w:fill="FFFFFF"/>
        </w:rPr>
        <w:t>Lerman</w:t>
      </w:r>
      <w:proofErr w:type="spellEnd"/>
      <w:r w:rsidRPr="009A452D">
        <w:rPr>
          <w:shd w:val="clear" w:color="auto" w:fill="FFFFFF"/>
        </w:rPr>
        <w:t>. Analyzing Uber's Ride-sharing Economy.</w:t>
      </w:r>
      <w:r>
        <w:rPr>
          <w:shd w:val="clear" w:color="auto" w:fill="FFFFFF"/>
        </w:rPr>
        <w:t xml:space="preserve"> </w:t>
      </w:r>
      <w:r w:rsidRPr="009A452D">
        <w:rPr>
          <w:i/>
          <w:iCs/>
          <w:shd w:val="clear" w:color="auto" w:fill="FFFFFF"/>
        </w:rPr>
        <w:t>Proceedings of the 26th International Conference on World Wide Web Companion</w:t>
      </w:r>
      <w:r w:rsidRPr="009A452D">
        <w:rPr>
          <w:shd w:val="clear" w:color="auto" w:fill="FFFFFF"/>
        </w:rPr>
        <w:t>, 2017, pp. 574-582. International World Wide Web Conferences Steering Committee.</w:t>
      </w:r>
    </w:p>
    <w:p w:rsid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Gerte</w:t>
      </w:r>
      <w:proofErr w:type="spellEnd"/>
      <w:r w:rsidRPr="009A452D">
        <w:rPr>
          <w:shd w:val="clear" w:color="auto" w:fill="FFFFFF"/>
        </w:rPr>
        <w:t xml:space="preserve">, R., K.C. </w:t>
      </w:r>
      <w:proofErr w:type="spellStart"/>
      <w:r w:rsidRPr="009A452D">
        <w:rPr>
          <w:shd w:val="clear" w:color="auto" w:fill="FFFFFF"/>
        </w:rPr>
        <w:t>Konduri</w:t>
      </w:r>
      <w:proofErr w:type="spellEnd"/>
      <w:r w:rsidRPr="009A452D">
        <w:rPr>
          <w:shd w:val="clear" w:color="auto" w:fill="FFFFFF"/>
        </w:rPr>
        <w:t xml:space="preserve">, and N. </w:t>
      </w:r>
      <w:proofErr w:type="spellStart"/>
      <w:r w:rsidRPr="009A452D">
        <w:rPr>
          <w:shd w:val="clear" w:color="auto" w:fill="FFFFFF"/>
        </w:rPr>
        <w:t>Eluru</w:t>
      </w:r>
      <w:proofErr w:type="spellEnd"/>
      <w:r w:rsidRPr="009A452D">
        <w:rPr>
          <w:shd w:val="clear" w:color="auto" w:fill="FFFFFF"/>
        </w:rPr>
        <w:t>.</w:t>
      </w:r>
      <w:r>
        <w:rPr>
          <w:shd w:val="clear" w:color="auto" w:fill="FFFFFF"/>
        </w:rPr>
        <w:t xml:space="preserve"> </w:t>
      </w:r>
      <w:r w:rsidRPr="009A452D">
        <w:rPr>
          <w:iCs/>
          <w:shd w:val="clear" w:color="auto" w:fill="FFFFFF"/>
        </w:rPr>
        <w:t>Is There a Limit to Adoption of Dynamic Ridesharing Systems? Evidence from Analysis of Uber Demand Data from New York</w:t>
      </w:r>
      <w:r w:rsidR="00FC1CFD">
        <w:rPr>
          <w:iCs/>
          <w:shd w:val="clear" w:color="auto" w:fill="FFFFFF"/>
        </w:rPr>
        <w:t xml:space="preserve"> City</w:t>
      </w:r>
      <w:r w:rsidRPr="009A452D">
        <w:rPr>
          <w:iCs/>
          <w:shd w:val="clear" w:color="auto" w:fill="FFFFFF"/>
        </w:rPr>
        <w:t xml:space="preserve">. </w:t>
      </w:r>
      <w:r w:rsidR="00FC1CFD" w:rsidRPr="009A452D">
        <w:rPr>
          <w:i/>
          <w:iCs/>
          <w:shd w:val="clear" w:color="auto" w:fill="FFFFFF"/>
        </w:rPr>
        <w:t>Transportation Research Record: Journal of the Transportation Research Board</w:t>
      </w:r>
      <w:r w:rsidR="00FC1CFD">
        <w:rPr>
          <w:shd w:val="clear" w:color="auto" w:fill="FFFFFF"/>
        </w:rPr>
        <w:t>, 2018</w:t>
      </w:r>
      <w:r w:rsidR="00FC1CFD" w:rsidRPr="009A452D">
        <w:rPr>
          <w:shd w:val="clear" w:color="auto" w:fill="FFFFFF"/>
        </w:rPr>
        <w:t xml:space="preserve">. </w:t>
      </w:r>
      <w:r w:rsidR="00FC1CFD">
        <w:rPr>
          <w:shd w:val="clear" w:color="auto" w:fill="FFFFFF"/>
        </w:rPr>
        <w:t>2672(42)</w:t>
      </w:r>
      <w:r w:rsidR="00FC1CFD" w:rsidRPr="009A452D">
        <w:rPr>
          <w:shd w:val="clear" w:color="auto" w:fill="FFFFFF"/>
        </w:rPr>
        <w:t xml:space="preserve">: </w:t>
      </w:r>
      <w:r w:rsidR="00FC1CFD">
        <w:t>127-136</w:t>
      </w:r>
      <w:r w:rsidR="00FC1CFD" w:rsidRPr="009A452D">
        <w:rPr>
          <w:shd w:val="clear" w:color="auto" w:fill="FFFFFF"/>
        </w:rPr>
        <w:t>.</w:t>
      </w:r>
    </w:p>
    <w:p w:rsid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Komanduri</w:t>
      </w:r>
      <w:proofErr w:type="spellEnd"/>
      <w:r w:rsidRPr="009A452D">
        <w:rPr>
          <w:shd w:val="clear" w:color="auto" w:fill="FFFFFF"/>
        </w:rPr>
        <w:t xml:space="preserve">, A., Z. </w:t>
      </w:r>
      <w:proofErr w:type="spellStart"/>
      <w:r w:rsidRPr="009A452D">
        <w:rPr>
          <w:shd w:val="clear" w:color="auto" w:fill="FFFFFF"/>
        </w:rPr>
        <w:t>Wafa</w:t>
      </w:r>
      <w:proofErr w:type="spellEnd"/>
      <w:r w:rsidRPr="009A452D">
        <w:rPr>
          <w:shd w:val="clear" w:color="auto" w:fill="FFFFFF"/>
        </w:rPr>
        <w:t xml:space="preserve">, K. </w:t>
      </w:r>
      <w:proofErr w:type="spellStart"/>
      <w:r w:rsidRPr="009A452D">
        <w:rPr>
          <w:shd w:val="clear" w:color="auto" w:fill="FFFFFF"/>
        </w:rPr>
        <w:t>Proussaloglou</w:t>
      </w:r>
      <w:proofErr w:type="spellEnd"/>
      <w:r w:rsidR="0018093A">
        <w:rPr>
          <w:shd w:val="clear" w:color="auto" w:fill="FFFFFF"/>
        </w:rPr>
        <w:t>, and S. Jacobs</w:t>
      </w:r>
      <w:r w:rsidRPr="009A452D">
        <w:rPr>
          <w:shd w:val="clear" w:color="auto" w:fill="FFFFFF"/>
        </w:rPr>
        <w:t xml:space="preserve">. </w:t>
      </w:r>
      <w:r w:rsidRPr="009A452D">
        <w:rPr>
          <w:iCs/>
          <w:shd w:val="clear" w:color="auto" w:fill="FFFFFF"/>
        </w:rPr>
        <w:t>Assessing the Impact of App-</w:t>
      </w:r>
      <w:r w:rsidR="0018093A">
        <w:rPr>
          <w:iCs/>
          <w:shd w:val="clear" w:color="auto" w:fill="FFFFFF"/>
        </w:rPr>
        <w:t>B</w:t>
      </w:r>
      <w:r w:rsidRPr="009A452D">
        <w:rPr>
          <w:iCs/>
          <w:shd w:val="clear" w:color="auto" w:fill="FFFFFF"/>
        </w:rPr>
        <w:t>ased Ride Share Systems in an Urban Context: Findings from Austin.</w:t>
      </w:r>
      <w:r w:rsidRPr="009A452D">
        <w:rPr>
          <w:shd w:val="clear" w:color="auto" w:fill="FFFFFF"/>
        </w:rPr>
        <w:t xml:space="preserve"> </w:t>
      </w:r>
      <w:r w:rsidR="0018093A" w:rsidRPr="009A452D">
        <w:rPr>
          <w:i/>
          <w:iCs/>
          <w:shd w:val="clear" w:color="auto" w:fill="FFFFFF"/>
        </w:rPr>
        <w:t>Transportation Research Record: Journal of the Transportation Research Board</w:t>
      </w:r>
      <w:r w:rsidR="0018093A">
        <w:rPr>
          <w:shd w:val="clear" w:color="auto" w:fill="FFFFFF"/>
        </w:rPr>
        <w:t>, 2018. 2672(7): 34-46</w:t>
      </w:r>
      <w:r w:rsidRPr="009A452D">
        <w:rPr>
          <w:shd w:val="clear" w:color="auto" w:fill="FFFFFF"/>
        </w:rPr>
        <w:t>.</w:t>
      </w:r>
    </w:p>
    <w:p w:rsidR="00AD3AF3" w:rsidRP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Lavieri</w:t>
      </w:r>
      <w:proofErr w:type="spellEnd"/>
      <w:r w:rsidRPr="009A452D">
        <w:rPr>
          <w:shd w:val="clear" w:color="auto" w:fill="FFFFFF"/>
        </w:rPr>
        <w:t xml:space="preserve">, P.S., F.F. Dias, N.R. </w:t>
      </w:r>
      <w:proofErr w:type="spellStart"/>
      <w:r w:rsidRPr="009A452D">
        <w:rPr>
          <w:shd w:val="clear" w:color="auto" w:fill="FFFFFF"/>
        </w:rPr>
        <w:t>Juri</w:t>
      </w:r>
      <w:proofErr w:type="spellEnd"/>
      <w:r w:rsidRPr="009A452D">
        <w:rPr>
          <w:shd w:val="clear" w:color="auto" w:fill="FFFFFF"/>
        </w:rPr>
        <w:t xml:space="preserve">, J. </w:t>
      </w:r>
      <w:proofErr w:type="spellStart"/>
      <w:r w:rsidRPr="009A452D">
        <w:rPr>
          <w:shd w:val="clear" w:color="auto" w:fill="FFFFFF"/>
        </w:rPr>
        <w:t>Kuhr</w:t>
      </w:r>
      <w:proofErr w:type="spellEnd"/>
      <w:r w:rsidRPr="009A452D">
        <w:rPr>
          <w:shd w:val="clear" w:color="auto" w:fill="FFFFFF"/>
        </w:rPr>
        <w:t xml:space="preserve">, and C.R. Bhat. A Model of </w:t>
      </w:r>
      <w:proofErr w:type="spellStart"/>
      <w:r w:rsidRPr="009A452D">
        <w:rPr>
          <w:shd w:val="clear" w:color="auto" w:fill="FFFFFF"/>
        </w:rPr>
        <w:t>Ridesourcing</w:t>
      </w:r>
      <w:proofErr w:type="spellEnd"/>
      <w:r w:rsidRPr="009A452D">
        <w:rPr>
          <w:shd w:val="clear" w:color="auto" w:fill="FFFFFF"/>
        </w:rPr>
        <w:t xml:space="preserve"> Demand Generation and Distribution. </w:t>
      </w:r>
      <w:r w:rsidRPr="009A452D">
        <w:rPr>
          <w:i/>
          <w:iCs/>
          <w:shd w:val="clear" w:color="auto" w:fill="FFFFFF"/>
        </w:rPr>
        <w:t>Transportation Research Record: Journal of the Transportation Research Board</w:t>
      </w:r>
      <w:r w:rsidR="0018093A">
        <w:rPr>
          <w:shd w:val="clear" w:color="auto" w:fill="FFFFFF"/>
        </w:rPr>
        <w:t>, 2018. 2672(46): 31-40</w:t>
      </w:r>
      <w:r>
        <w:t>.</w:t>
      </w:r>
    </w:p>
    <w:p w:rsidR="00AD3AF3" w:rsidRDefault="0018093A" w:rsidP="00AD3AF3">
      <w:pPr>
        <w:pStyle w:val="ListParagraph"/>
        <w:numPr>
          <w:ilvl w:val="0"/>
          <w:numId w:val="19"/>
        </w:numPr>
        <w:ind w:left="360"/>
        <w:rPr>
          <w:shd w:val="clear" w:color="auto" w:fill="FFFFFF"/>
        </w:rPr>
      </w:pPr>
      <w:r w:rsidRPr="009A452D">
        <w:rPr>
          <w:shd w:val="clear" w:color="auto" w:fill="FFFFFF"/>
        </w:rPr>
        <w:t xml:space="preserve">Zheng, H., X. Chen, and X.M. Chen. </w:t>
      </w:r>
      <w:r w:rsidRPr="009A452D">
        <w:rPr>
          <w:iCs/>
          <w:shd w:val="clear" w:color="auto" w:fill="FFFFFF"/>
        </w:rPr>
        <w:t>How Does On-</w:t>
      </w:r>
      <w:r>
        <w:rPr>
          <w:iCs/>
          <w:shd w:val="clear" w:color="auto" w:fill="FFFFFF"/>
        </w:rPr>
        <w:t>D</w:t>
      </w:r>
      <w:r w:rsidRPr="009A452D">
        <w:rPr>
          <w:iCs/>
          <w:shd w:val="clear" w:color="auto" w:fill="FFFFFF"/>
        </w:rPr>
        <w:t xml:space="preserve">emand </w:t>
      </w:r>
      <w:proofErr w:type="spellStart"/>
      <w:r w:rsidRPr="009A452D">
        <w:rPr>
          <w:iCs/>
          <w:shd w:val="clear" w:color="auto" w:fill="FFFFFF"/>
        </w:rPr>
        <w:t>Ridesplitting</w:t>
      </w:r>
      <w:proofErr w:type="spellEnd"/>
      <w:r w:rsidRPr="009A452D">
        <w:rPr>
          <w:iCs/>
          <w:shd w:val="clear" w:color="auto" w:fill="FFFFFF"/>
        </w:rPr>
        <w:t xml:space="preserve"> Influence Vehicle Use and Ownership? A Case Study in Hangzhou, China. </w:t>
      </w:r>
      <w:r w:rsidRPr="004D14FF">
        <w:t xml:space="preserve">Transportation Research Board 97th Annual Meeting </w:t>
      </w:r>
      <w:r>
        <w:t>Compendium of Papers, No. 18-04327, 2018.</w:t>
      </w:r>
    </w:p>
    <w:p w:rsid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RideAustin</w:t>
      </w:r>
      <w:proofErr w:type="spellEnd"/>
      <w:r w:rsidRPr="009A452D">
        <w:rPr>
          <w:shd w:val="clear" w:color="auto" w:fill="FFFFFF"/>
        </w:rPr>
        <w:t xml:space="preserve">. Data file and code book [online]. 2017. Available at: </w:t>
      </w:r>
      <w:hyperlink r:id="rId70" w:history="1">
        <w:r w:rsidRPr="009A452D">
          <w:rPr>
            <w:rStyle w:val="Hyperlink"/>
            <w:shd w:val="clear" w:color="auto" w:fill="FFFFFF"/>
          </w:rPr>
          <w:t>https://data.world/ride-austin/ride-austin-june-6-april-13</w:t>
        </w:r>
      </w:hyperlink>
      <w:r w:rsidRPr="009A452D">
        <w:rPr>
          <w:shd w:val="clear" w:color="auto" w:fill="FFFFFF"/>
        </w:rPr>
        <w:t>. Accessed July 26, 2017.</w:t>
      </w:r>
    </w:p>
    <w:p w:rsidR="00AD3AF3" w:rsidRPr="00AD3AF3" w:rsidRDefault="00AD3AF3" w:rsidP="00AD3AF3">
      <w:pPr>
        <w:pStyle w:val="ListParagraph"/>
        <w:numPr>
          <w:ilvl w:val="0"/>
          <w:numId w:val="19"/>
        </w:numPr>
        <w:ind w:left="360"/>
        <w:rPr>
          <w:shd w:val="clear" w:color="auto" w:fill="FFFFFF"/>
        </w:rPr>
      </w:pPr>
      <w:proofErr w:type="spellStart"/>
      <w:r w:rsidRPr="009A452D">
        <w:rPr>
          <w:rFonts w:eastAsia="Times New Roman"/>
        </w:rPr>
        <w:t>Bohte</w:t>
      </w:r>
      <w:proofErr w:type="spellEnd"/>
      <w:r w:rsidRPr="009A452D">
        <w:rPr>
          <w:rFonts w:eastAsia="Times New Roman"/>
        </w:rPr>
        <w:t xml:space="preserve">, W., and K. Maat. Deriving and </w:t>
      </w:r>
      <w:r>
        <w:rPr>
          <w:rFonts w:eastAsia="Times New Roman"/>
        </w:rPr>
        <w:t>V</w:t>
      </w:r>
      <w:r w:rsidRPr="009A452D">
        <w:rPr>
          <w:rFonts w:eastAsia="Times New Roman"/>
        </w:rPr>
        <w:t xml:space="preserve">alidating </w:t>
      </w:r>
      <w:r>
        <w:rPr>
          <w:rFonts w:eastAsia="Times New Roman"/>
        </w:rPr>
        <w:t>Trip P</w:t>
      </w:r>
      <w:r w:rsidRPr="009A452D">
        <w:rPr>
          <w:rFonts w:eastAsia="Times New Roman"/>
        </w:rPr>
        <w:t xml:space="preserve">urposes and </w:t>
      </w:r>
      <w:r>
        <w:rPr>
          <w:rFonts w:eastAsia="Times New Roman"/>
        </w:rPr>
        <w:t>T</w:t>
      </w:r>
      <w:r w:rsidRPr="009A452D">
        <w:rPr>
          <w:rFonts w:eastAsia="Times New Roman"/>
        </w:rPr>
        <w:t xml:space="preserve">ravel </w:t>
      </w:r>
      <w:r>
        <w:rPr>
          <w:rFonts w:eastAsia="Times New Roman"/>
        </w:rPr>
        <w:t>M</w:t>
      </w:r>
      <w:r w:rsidRPr="009A452D">
        <w:rPr>
          <w:rFonts w:eastAsia="Times New Roman"/>
        </w:rPr>
        <w:t xml:space="preserve">odes for </w:t>
      </w:r>
      <w:r>
        <w:rPr>
          <w:rFonts w:eastAsia="Times New Roman"/>
        </w:rPr>
        <w:t>M</w:t>
      </w:r>
      <w:r w:rsidRPr="009A452D">
        <w:rPr>
          <w:rFonts w:eastAsia="Times New Roman"/>
        </w:rPr>
        <w:t xml:space="preserve">ulti-day GPS-based </w:t>
      </w:r>
      <w:r>
        <w:rPr>
          <w:rFonts w:eastAsia="Times New Roman"/>
        </w:rPr>
        <w:t>T</w:t>
      </w:r>
      <w:r w:rsidRPr="009A452D">
        <w:rPr>
          <w:rFonts w:eastAsia="Times New Roman"/>
        </w:rPr>
        <w:t xml:space="preserve">ravel </w:t>
      </w:r>
      <w:r>
        <w:rPr>
          <w:rFonts w:eastAsia="Times New Roman"/>
        </w:rPr>
        <w:t>S</w:t>
      </w:r>
      <w:r w:rsidRPr="009A452D">
        <w:rPr>
          <w:rFonts w:eastAsia="Times New Roman"/>
        </w:rPr>
        <w:t xml:space="preserve">urveys: A </w:t>
      </w:r>
      <w:r>
        <w:rPr>
          <w:rFonts w:eastAsia="Times New Roman"/>
        </w:rPr>
        <w:t>L</w:t>
      </w:r>
      <w:r w:rsidRPr="009A452D">
        <w:rPr>
          <w:rFonts w:eastAsia="Times New Roman"/>
        </w:rPr>
        <w:t xml:space="preserve">arge-scale </w:t>
      </w:r>
      <w:r>
        <w:rPr>
          <w:rFonts w:eastAsia="Times New Roman"/>
        </w:rPr>
        <w:t>A</w:t>
      </w:r>
      <w:r w:rsidRPr="009A452D">
        <w:rPr>
          <w:rFonts w:eastAsia="Times New Roman"/>
        </w:rPr>
        <w:t xml:space="preserve">pplication in the Netherlands. </w:t>
      </w:r>
      <w:r>
        <w:rPr>
          <w:rFonts w:eastAsia="Times New Roman"/>
          <w:i/>
          <w:iCs/>
        </w:rPr>
        <w:t>Transportation Research Part C</w:t>
      </w:r>
      <w:r w:rsidRPr="009A452D">
        <w:rPr>
          <w:rFonts w:eastAsia="Times New Roman"/>
        </w:rPr>
        <w:t xml:space="preserve">, 2009. </w:t>
      </w:r>
      <w:r w:rsidRPr="003330C5">
        <w:rPr>
          <w:rFonts w:eastAsia="Times New Roman"/>
          <w:iCs/>
        </w:rPr>
        <w:t>17</w:t>
      </w:r>
      <w:r w:rsidRPr="009A452D">
        <w:rPr>
          <w:rFonts w:eastAsia="Times New Roman"/>
        </w:rPr>
        <w:t>(3): 285-297.</w:t>
      </w:r>
    </w:p>
    <w:p w:rsidR="00AD3AF3" w:rsidRPr="00AD3AF3" w:rsidRDefault="00AD3AF3" w:rsidP="00AD3AF3">
      <w:pPr>
        <w:pStyle w:val="ListParagraph"/>
        <w:numPr>
          <w:ilvl w:val="0"/>
          <w:numId w:val="19"/>
        </w:numPr>
        <w:ind w:left="360"/>
        <w:rPr>
          <w:shd w:val="clear" w:color="auto" w:fill="FFFFFF"/>
        </w:rPr>
      </w:pPr>
      <w:proofErr w:type="spellStart"/>
      <w:r w:rsidRPr="009A452D">
        <w:lastRenderedPageBreak/>
        <w:t>Ferdous</w:t>
      </w:r>
      <w:proofErr w:type="spellEnd"/>
      <w:r w:rsidRPr="009A452D">
        <w:t xml:space="preserve">, N., N. </w:t>
      </w:r>
      <w:proofErr w:type="spellStart"/>
      <w:r w:rsidRPr="009A452D">
        <w:t>Eluru</w:t>
      </w:r>
      <w:proofErr w:type="spellEnd"/>
      <w:r w:rsidRPr="009A452D">
        <w:t xml:space="preserve">, C.R. Bhat, and I. </w:t>
      </w:r>
      <w:proofErr w:type="spellStart"/>
      <w:r w:rsidRPr="009A452D">
        <w:t>Meloni</w:t>
      </w:r>
      <w:proofErr w:type="spellEnd"/>
      <w:r w:rsidRPr="009A452D">
        <w:t xml:space="preserve">. A Multivariate Ordered Response Model System for Adults' Weekday Activity Episode Generation by Activity Purpose and Social Context. </w:t>
      </w:r>
      <w:r w:rsidRPr="009A452D">
        <w:rPr>
          <w:i/>
        </w:rPr>
        <w:t>Transportation Research Part B</w:t>
      </w:r>
      <w:r w:rsidRPr="009A452D">
        <w:t>, 2010. 44(8-9): 922-943.</w:t>
      </w:r>
    </w:p>
    <w:p w:rsidR="00AD3AF3" w:rsidRPr="00AD3AF3" w:rsidRDefault="00AD3AF3" w:rsidP="00AD3AF3">
      <w:pPr>
        <w:pStyle w:val="ListParagraph"/>
        <w:numPr>
          <w:ilvl w:val="0"/>
          <w:numId w:val="19"/>
        </w:numPr>
        <w:ind w:left="360"/>
        <w:rPr>
          <w:shd w:val="clear" w:color="auto" w:fill="FFFFFF"/>
        </w:rPr>
      </w:pPr>
      <w:proofErr w:type="spellStart"/>
      <w:r w:rsidRPr="009A452D">
        <w:rPr>
          <w:shd w:val="clear" w:color="auto" w:fill="FFFFFF"/>
        </w:rPr>
        <w:t>McKelvey</w:t>
      </w:r>
      <w:proofErr w:type="spellEnd"/>
      <w:r w:rsidRPr="009A452D">
        <w:rPr>
          <w:shd w:val="clear" w:color="auto" w:fill="FFFFFF"/>
        </w:rPr>
        <w:t xml:space="preserve">, R.D., and W. </w:t>
      </w:r>
      <w:proofErr w:type="spellStart"/>
      <w:r w:rsidRPr="009A452D">
        <w:rPr>
          <w:shd w:val="clear" w:color="auto" w:fill="FFFFFF"/>
        </w:rPr>
        <w:t>Zavoina</w:t>
      </w:r>
      <w:proofErr w:type="spellEnd"/>
      <w:r w:rsidRPr="009A452D">
        <w:rPr>
          <w:shd w:val="clear" w:color="auto" w:fill="FFFFFF"/>
        </w:rPr>
        <w:t xml:space="preserve">. A Statistical Model for the Analysis of Ordinal Level Dependent Variables. </w:t>
      </w:r>
      <w:r w:rsidRPr="009A452D">
        <w:rPr>
          <w:i/>
          <w:shd w:val="clear" w:color="auto" w:fill="FFFFFF"/>
        </w:rPr>
        <w:t>Journal of Mathematical Sociology</w:t>
      </w:r>
      <w:r w:rsidRPr="009A452D">
        <w:rPr>
          <w:shd w:val="clear" w:color="auto" w:fill="FFFFFF"/>
        </w:rPr>
        <w:t>, 1975. 4(1): 103-120.</w:t>
      </w:r>
    </w:p>
    <w:p w:rsidR="00AD3AF3" w:rsidRDefault="00AD3AF3" w:rsidP="00AD3AF3">
      <w:pPr>
        <w:rPr>
          <w:shd w:val="clear" w:color="auto" w:fill="FFFFFF"/>
        </w:rPr>
      </w:pPr>
    </w:p>
    <w:p w:rsidR="00AD3AF3" w:rsidRDefault="00AD3AF3" w:rsidP="00F1272B">
      <w:pPr>
        <w:ind w:left="360" w:hanging="360"/>
        <w:rPr>
          <w:shd w:val="clear" w:color="auto" w:fill="FFFFFF"/>
        </w:rPr>
      </w:pPr>
    </w:p>
    <w:p w:rsidR="00AD3AF3" w:rsidRDefault="00AD3AF3">
      <w:pPr>
        <w:spacing w:after="160" w:line="259" w:lineRule="auto"/>
        <w:jc w:val="left"/>
        <w:rPr>
          <w:shd w:val="clear" w:color="auto" w:fill="FFFFFF"/>
        </w:rPr>
      </w:pPr>
      <w:r>
        <w:rPr>
          <w:shd w:val="clear" w:color="auto" w:fill="FFFFFF"/>
        </w:rPr>
        <w:br w:type="page"/>
      </w:r>
    </w:p>
    <w:p w:rsidR="00CD7807" w:rsidRPr="007913B4" w:rsidRDefault="00CD7807" w:rsidP="00706E50">
      <w:pPr>
        <w:jc w:val="left"/>
        <w:rPr>
          <w:rFonts w:eastAsia="Times New Roman"/>
          <w:b/>
        </w:rPr>
      </w:pPr>
      <w:r w:rsidRPr="007913B4">
        <w:rPr>
          <w:rFonts w:eastAsia="Times New Roman"/>
          <w:b/>
        </w:rPr>
        <w:lastRenderedPageBreak/>
        <w:t>LIST OF FIGURES</w:t>
      </w:r>
    </w:p>
    <w:p w:rsidR="00CD7807" w:rsidRDefault="00CD7807" w:rsidP="00706E50">
      <w:pPr>
        <w:ind w:left="480" w:hanging="480"/>
        <w:jc w:val="left"/>
        <w:rPr>
          <w:rFonts w:eastAsia="Times New Roman"/>
        </w:rPr>
      </w:pPr>
    </w:p>
    <w:p w:rsidR="00CD7807" w:rsidRDefault="00B41B52" w:rsidP="00706E50">
      <w:pPr>
        <w:ind w:left="360" w:hanging="360"/>
        <w:jc w:val="left"/>
      </w:pPr>
      <w:r w:rsidRPr="00706E50">
        <w:rPr>
          <w:caps/>
        </w:rPr>
        <w:t>Figure</w:t>
      </w:r>
      <w:r>
        <w:t xml:space="preserve"> 1 </w:t>
      </w:r>
      <w:r w:rsidR="00CD7807" w:rsidRPr="009A452D">
        <w:t>Austin’s central area.</w:t>
      </w:r>
    </w:p>
    <w:p w:rsidR="00CD7807" w:rsidRDefault="00CD7807" w:rsidP="00706E50">
      <w:pPr>
        <w:ind w:left="360" w:hanging="360"/>
        <w:jc w:val="left"/>
      </w:pPr>
    </w:p>
    <w:p w:rsidR="00CD7807" w:rsidRDefault="00706E50" w:rsidP="00706E50">
      <w:pPr>
        <w:ind w:left="360" w:hanging="360"/>
        <w:jc w:val="left"/>
      </w:pPr>
      <w:r w:rsidRPr="00706E50">
        <w:rPr>
          <w:caps/>
        </w:rPr>
        <w:t>Figure</w:t>
      </w:r>
      <w:r w:rsidR="00CC1297">
        <w:t xml:space="preserve"> 2 P</w:t>
      </w:r>
      <w:r w:rsidR="00CD7807" w:rsidRPr="009A452D">
        <w:t>roportional randomization for block group demographic data</w:t>
      </w:r>
      <w:r w:rsidR="00CD7807">
        <w:t>.</w:t>
      </w:r>
    </w:p>
    <w:p w:rsidR="00CD7807" w:rsidRDefault="00CD7807" w:rsidP="00706E50">
      <w:pPr>
        <w:ind w:left="360" w:hanging="360"/>
        <w:jc w:val="left"/>
      </w:pPr>
    </w:p>
    <w:p w:rsidR="00CD7807" w:rsidRDefault="00CD7807" w:rsidP="00706E50">
      <w:pPr>
        <w:ind w:left="360" w:hanging="360"/>
        <w:jc w:val="left"/>
      </w:pPr>
    </w:p>
    <w:p w:rsidR="00CD7807" w:rsidRDefault="00CD7807" w:rsidP="00706E50">
      <w:pPr>
        <w:ind w:left="360" w:hanging="360"/>
        <w:jc w:val="left"/>
      </w:pPr>
    </w:p>
    <w:p w:rsidR="00CD7807" w:rsidRPr="007913B4" w:rsidRDefault="00CD7807" w:rsidP="00706E50">
      <w:pPr>
        <w:ind w:left="480" w:hanging="480"/>
        <w:jc w:val="left"/>
        <w:rPr>
          <w:rFonts w:eastAsia="Times New Roman"/>
          <w:b/>
        </w:rPr>
      </w:pPr>
      <w:r w:rsidRPr="007913B4">
        <w:rPr>
          <w:rFonts w:eastAsia="Times New Roman"/>
          <w:b/>
        </w:rPr>
        <w:t>LIST OF TABLES</w:t>
      </w:r>
    </w:p>
    <w:p w:rsidR="00CD7807" w:rsidRDefault="00CD7807" w:rsidP="00706E50">
      <w:pPr>
        <w:ind w:left="480" w:hanging="480"/>
        <w:jc w:val="left"/>
        <w:rPr>
          <w:rFonts w:eastAsia="Times New Roman"/>
        </w:rPr>
      </w:pPr>
    </w:p>
    <w:p w:rsidR="00CD7807" w:rsidRDefault="00706E50" w:rsidP="00706E50">
      <w:pPr>
        <w:pStyle w:val="Caption"/>
        <w:spacing w:after="0"/>
        <w:jc w:val="left"/>
        <w:rPr>
          <w:b w:val="0"/>
        </w:rPr>
      </w:pPr>
      <w:r>
        <w:rPr>
          <w:b w:val="0"/>
        </w:rPr>
        <w:t>TABLE</w:t>
      </w:r>
      <w:r w:rsidR="00CD7807" w:rsidRPr="00CD7807">
        <w:rPr>
          <w:b w:val="0"/>
        </w:rPr>
        <w:t xml:space="preserve"> </w:t>
      </w:r>
      <w:r w:rsidR="00CD7807" w:rsidRPr="00CD7807">
        <w:rPr>
          <w:b w:val="0"/>
          <w:noProof/>
        </w:rPr>
        <w:fldChar w:fldCharType="begin"/>
      </w:r>
      <w:r w:rsidR="00CD7807" w:rsidRPr="00CD7807">
        <w:rPr>
          <w:b w:val="0"/>
          <w:noProof/>
        </w:rPr>
        <w:instrText xml:space="preserve"> SEQ Table \* ARABIC </w:instrText>
      </w:r>
      <w:r w:rsidR="00CD7807" w:rsidRPr="00CD7807">
        <w:rPr>
          <w:b w:val="0"/>
          <w:noProof/>
        </w:rPr>
        <w:fldChar w:fldCharType="separate"/>
      </w:r>
      <w:r w:rsidR="000D4A48">
        <w:rPr>
          <w:b w:val="0"/>
          <w:noProof/>
        </w:rPr>
        <w:t>1</w:t>
      </w:r>
      <w:r w:rsidR="00CD7807" w:rsidRPr="00CD7807">
        <w:rPr>
          <w:b w:val="0"/>
          <w:noProof/>
        </w:rPr>
        <w:fldChar w:fldCharType="end"/>
      </w:r>
      <w:r w:rsidR="00CD7807" w:rsidRPr="00CD7807">
        <w:rPr>
          <w:b w:val="0"/>
        </w:rPr>
        <w:t xml:space="preserve"> Characteristics of </w:t>
      </w:r>
      <w:r>
        <w:rPr>
          <w:b w:val="0"/>
        </w:rPr>
        <w:t>A</w:t>
      </w:r>
      <w:r w:rsidR="00CD7807" w:rsidRPr="00CD7807">
        <w:rPr>
          <w:b w:val="0"/>
        </w:rPr>
        <w:t xml:space="preserve">ll </w:t>
      </w:r>
      <w:r>
        <w:rPr>
          <w:b w:val="0"/>
        </w:rPr>
        <w:t>R</w:t>
      </w:r>
      <w:r w:rsidR="00CD7807" w:rsidRPr="00CD7807">
        <w:rPr>
          <w:b w:val="0"/>
        </w:rPr>
        <w:t>ide-</w:t>
      </w:r>
      <w:r>
        <w:rPr>
          <w:b w:val="0"/>
        </w:rPr>
        <w:t>H</w:t>
      </w:r>
      <w:r w:rsidR="00CD7807" w:rsidRPr="00CD7807">
        <w:rPr>
          <w:b w:val="0"/>
        </w:rPr>
        <w:t xml:space="preserve">ailing </w:t>
      </w:r>
      <w:r>
        <w:rPr>
          <w:b w:val="0"/>
        </w:rPr>
        <w:t>T</w:t>
      </w:r>
      <w:r w:rsidR="00CD7807" w:rsidRPr="00CD7807">
        <w:rPr>
          <w:b w:val="0"/>
        </w:rPr>
        <w:t xml:space="preserve">rips (Section A) and of </w:t>
      </w:r>
      <w:r>
        <w:rPr>
          <w:b w:val="0"/>
        </w:rPr>
        <w:t>F</w:t>
      </w:r>
      <w:r w:rsidR="00CD7807" w:rsidRPr="00CD7807">
        <w:rPr>
          <w:b w:val="0"/>
        </w:rPr>
        <w:t xml:space="preserve">requent </w:t>
      </w:r>
      <w:r>
        <w:rPr>
          <w:b w:val="0"/>
        </w:rPr>
        <w:t>R</w:t>
      </w:r>
      <w:r w:rsidR="00CD7807" w:rsidRPr="00CD7807">
        <w:rPr>
          <w:b w:val="0"/>
        </w:rPr>
        <w:t>ide-</w:t>
      </w:r>
      <w:r>
        <w:rPr>
          <w:b w:val="0"/>
        </w:rPr>
        <w:t>H</w:t>
      </w:r>
      <w:r w:rsidR="00CD7807" w:rsidRPr="00CD7807">
        <w:rPr>
          <w:b w:val="0"/>
        </w:rPr>
        <w:t xml:space="preserve">ailing </w:t>
      </w:r>
      <w:r>
        <w:rPr>
          <w:b w:val="0"/>
        </w:rPr>
        <w:t>U</w:t>
      </w:r>
      <w:r w:rsidR="00CD7807">
        <w:rPr>
          <w:b w:val="0"/>
        </w:rPr>
        <w:t xml:space="preserve">sers </w:t>
      </w:r>
      <w:r w:rsidR="00CD7807" w:rsidRPr="00CD7807">
        <w:rPr>
          <w:b w:val="0"/>
        </w:rPr>
        <w:t>(Section B)</w:t>
      </w:r>
    </w:p>
    <w:p w:rsidR="00CD7807" w:rsidRDefault="00CD7807" w:rsidP="00706E50">
      <w:pPr>
        <w:jc w:val="left"/>
      </w:pPr>
    </w:p>
    <w:p w:rsidR="00CD7807" w:rsidRDefault="00706E50" w:rsidP="00706E50">
      <w:pPr>
        <w:jc w:val="left"/>
      </w:pPr>
      <w:r>
        <w:t>TABLE</w:t>
      </w:r>
      <w:r w:rsidR="00CD7807" w:rsidRPr="009A452D">
        <w:t xml:space="preserve"> </w:t>
      </w:r>
      <w:r w:rsidR="00CD7807">
        <w:rPr>
          <w:noProof/>
        </w:rPr>
        <w:fldChar w:fldCharType="begin"/>
      </w:r>
      <w:r w:rsidR="00CD7807">
        <w:rPr>
          <w:noProof/>
        </w:rPr>
        <w:instrText xml:space="preserve"> SEQ Table \* ARABIC </w:instrText>
      </w:r>
      <w:r w:rsidR="00CD7807">
        <w:rPr>
          <w:noProof/>
        </w:rPr>
        <w:fldChar w:fldCharType="separate"/>
      </w:r>
      <w:r w:rsidR="000D4A48">
        <w:rPr>
          <w:noProof/>
        </w:rPr>
        <w:t>2</w:t>
      </w:r>
      <w:r w:rsidR="00CD7807">
        <w:rPr>
          <w:noProof/>
        </w:rPr>
        <w:fldChar w:fldCharType="end"/>
      </w:r>
      <w:r w:rsidR="00CD7807" w:rsidRPr="009A452D">
        <w:t xml:space="preserve"> Results of </w:t>
      </w:r>
      <w:r>
        <w:t>Multivariate O</w:t>
      </w:r>
      <w:r w:rsidR="00CD7807" w:rsidRPr="009A452D">
        <w:t xml:space="preserve">rdered </w:t>
      </w:r>
      <w:r>
        <w:t>R</w:t>
      </w:r>
      <w:r w:rsidR="00CD7807" w:rsidRPr="009A452D">
        <w:t xml:space="preserve">esponse </w:t>
      </w:r>
      <w:r>
        <w:t>M</w:t>
      </w:r>
      <w:r w:rsidR="00CD7807" w:rsidRPr="009A452D">
        <w:t xml:space="preserve">odel for </w:t>
      </w:r>
      <w:r>
        <w:t>N</w:t>
      </w:r>
      <w:r w:rsidR="00CD7807" w:rsidRPr="009A452D">
        <w:t xml:space="preserve">umber of </w:t>
      </w:r>
      <w:r>
        <w:t>T</w:t>
      </w:r>
      <w:r w:rsidR="00CD7807" w:rsidRPr="009A452D">
        <w:t xml:space="preserve">rips by </w:t>
      </w:r>
      <w:r>
        <w:t>L</w:t>
      </w:r>
      <w:r w:rsidR="00CD7807" w:rsidRPr="009A452D">
        <w:t>ocation/</w:t>
      </w:r>
      <w:r>
        <w:t>P</w:t>
      </w:r>
      <w:r w:rsidR="00CD7807" w:rsidRPr="009A452D">
        <w:t>urpose</w:t>
      </w:r>
    </w:p>
    <w:p w:rsidR="00CD7807" w:rsidRDefault="00CD7807" w:rsidP="00CD7807"/>
    <w:p w:rsidR="00CD7807" w:rsidRDefault="00CD7807" w:rsidP="00CD7807"/>
    <w:p w:rsidR="005E391A" w:rsidRDefault="005E391A" w:rsidP="00CD7807"/>
    <w:p w:rsidR="005E391A" w:rsidRDefault="005E391A"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1329BB">
      <w:pPr>
        <w:keepNext/>
        <w:jc w:val="center"/>
      </w:pPr>
    </w:p>
    <w:p w:rsidR="001329BB" w:rsidRDefault="001329BB" w:rsidP="001329BB">
      <w:pPr>
        <w:keepNext/>
        <w:jc w:val="center"/>
      </w:pPr>
    </w:p>
    <w:p w:rsidR="001329BB" w:rsidRPr="009A452D" w:rsidRDefault="001329BB" w:rsidP="001329BB">
      <w:pPr>
        <w:keepNext/>
        <w:jc w:val="center"/>
      </w:pPr>
      <w:r w:rsidRPr="009A452D">
        <w:rPr>
          <w:noProof/>
        </w:rPr>
        <w:drawing>
          <wp:inline distT="0" distB="0" distL="0" distR="0" wp14:anchorId="3665006E" wp14:editId="5BCE452A">
            <wp:extent cx="4032504" cy="48920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42824" t="30616" r="35130" b="21821"/>
                    <a:stretch/>
                  </pic:blipFill>
                  <pic:spPr bwMode="auto">
                    <a:xfrm>
                      <a:off x="0" y="0"/>
                      <a:ext cx="4032504" cy="4892040"/>
                    </a:xfrm>
                    <a:prstGeom prst="rect">
                      <a:avLst/>
                    </a:prstGeom>
                    <a:ln>
                      <a:noFill/>
                    </a:ln>
                    <a:extLst>
                      <a:ext uri="{53640926-AAD7-44D8-BBD7-CCE9431645EC}">
                        <a14:shadowObscured xmlns:a14="http://schemas.microsoft.com/office/drawing/2010/main"/>
                      </a:ext>
                    </a:extLst>
                  </pic:spPr>
                </pic:pic>
              </a:graphicData>
            </a:graphic>
          </wp:inline>
        </w:drawing>
      </w:r>
    </w:p>
    <w:p w:rsidR="001329BB" w:rsidRDefault="001329BB" w:rsidP="001329BB">
      <w:pPr>
        <w:pStyle w:val="Caption"/>
      </w:pPr>
      <w:bookmarkStart w:id="1" w:name="_Ref527976471"/>
    </w:p>
    <w:bookmarkEnd w:id="1"/>
    <w:p w:rsidR="001329BB" w:rsidRPr="009A452D" w:rsidRDefault="001329BB" w:rsidP="001329BB">
      <w:pPr>
        <w:pStyle w:val="Caption"/>
      </w:pPr>
      <w:r>
        <w:t>FIGURE</w:t>
      </w:r>
      <w:r>
        <w:t xml:space="preserve"> 1 </w:t>
      </w:r>
      <w:r w:rsidRPr="009A452D">
        <w:t>Austin’s central area.</w:t>
      </w:r>
    </w:p>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CD7807"/>
    <w:p w:rsidR="001329BB" w:rsidRDefault="001329BB" w:rsidP="001329BB">
      <w:pPr>
        <w:jc w:val="center"/>
      </w:pPr>
    </w:p>
    <w:p w:rsidR="001329BB" w:rsidRDefault="001329BB" w:rsidP="001329BB">
      <w:pPr>
        <w:jc w:val="center"/>
      </w:pPr>
    </w:p>
    <w:p w:rsidR="001329BB" w:rsidRPr="009A452D" w:rsidRDefault="001329BB" w:rsidP="001329BB">
      <w:pPr>
        <w:jc w:val="center"/>
      </w:pPr>
      <w:r w:rsidRPr="009A452D">
        <w:rPr>
          <w:noProof/>
        </w:rPr>
        <w:drawing>
          <wp:inline distT="0" distB="0" distL="0" distR="0" wp14:anchorId="090CE9FF" wp14:editId="4F799DA6">
            <wp:extent cx="2768464" cy="233374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72"/>
                    <a:stretch>
                      <a:fillRect/>
                    </a:stretch>
                  </pic:blipFill>
                  <pic:spPr>
                    <a:xfrm>
                      <a:off x="0" y="0"/>
                      <a:ext cx="2821859" cy="2378755"/>
                    </a:xfrm>
                    <a:prstGeom prst="rect">
                      <a:avLst/>
                    </a:prstGeom>
                  </pic:spPr>
                </pic:pic>
              </a:graphicData>
            </a:graphic>
          </wp:inline>
        </w:drawing>
      </w:r>
    </w:p>
    <w:p w:rsidR="001329BB" w:rsidRDefault="001329BB" w:rsidP="001329BB">
      <w:pPr>
        <w:pStyle w:val="Caption"/>
        <w:spacing w:after="0"/>
      </w:pPr>
      <w:bookmarkStart w:id="2" w:name="_Ref520509224"/>
    </w:p>
    <w:bookmarkEnd w:id="2"/>
    <w:p w:rsidR="001329BB" w:rsidRPr="009A452D" w:rsidRDefault="001329BB" w:rsidP="001329BB">
      <w:pPr>
        <w:pStyle w:val="Caption"/>
        <w:spacing w:after="0"/>
        <w:rPr>
          <w:szCs w:val="24"/>
        </w:rPr>
      </w:pPr>
      <w:r>
        <w:t>FIGURE</w:t>
      </w:r>
      <w:bookmarkStart w:id="3" w:name="_GoBack"/>
      <w:bookmarkEnd w:id="3"/>
      <w:r>
        <w:t xml:space="preserve"> 2 </w:t>
      </w:r>
      <w:r w:rsidRPr="009A452D">
        <w:t>Proportional randomization for block group demographic data</w:t>
      </w:r>
      <w:r>
        <w:t>.</w:t>
      </w:r>
    </w:p>
    <w:p w:rsidR="001329BB" w:rsidRDefault="001329BB" w:rsidP="00CD7807">
      <w:pPr>
        <w:sectPr w:rsidR="001329BB" w:rsidSect="00706E50">
          <w:headerReference w:type="default" r:id="rId73"/>
          <w:footerReference w:type="default" r:id="rId74"/>
          <w:pgSz w:w="12240" w:h="15840"/>
          <w:pgMar w:top="1440" w:right="1440" w:bottom="1440" w:left="1440" w:header="720" w:footer="720" w:gutter="0"/>
          <w:pgNumType w:start="1"/>
          <w:cols w:space="720"/>
          <w:docGrid w:linePitch="360"/>
        </w:sectPr>
      </w:pPr>
    </w:p>
    <w:p w:rsidR="005E391A" w:rsidRPr="005E391A" w:rsidRDefault="00706E50" w:rsidP="00706E50">
      <w:pPr>
        <w:pStyle w:val="Caption"/>
        <w:spacing w:after="0"/>
      </w:pPr>
      <w:r>
        <w:lastRenderedPageBreak/>
        <w:t>TABLE</w:t>
      </w:r>
      <w:r w:rsidR="00B41B52">
        <w:t xml:space="preserve"> 1 </w:t>
      </w:r>
      <w:r w:rsidR="005E391A" w:rsidRPr="009A452D">
        <w:t xml:space="preserve">Characteristics of </w:t>
      </w:r>
      <w:r>
        <w:t>A</w:t>
      </w:r>
      <w:r w:rsidR="005E391A" w:rsidRPr="009A452D">
        <w:t xml:space="preserve">ll </w:t>
      </w:r>
      <w:r>
        <w:t>R</w:t>
      </w:r>
      <w:r w:rsidR="005E391A" w:rsidRPr="009A452D">
        <w:t>ide-</w:t>
      </w:r>
      <w:r>
        <w:t>Hailing Trips (Section A) and of Frequent Ride-Hailing U</w:t>
      </w:r>
      <w:r w:rsidR="005E391A" w:rsidRPr="009A452D">
        <w:t>sers (Section B)</w:t>
      </w:r>
    </w:p>
    <w:tbl>
      <w:tblPr>
        <w:tblW w:w="10909" w:type="dxa"/>
        <w:jc w:val="center"/>
        <w:tblLook w:val="04A0" w:firstRow="1" w:lastRow="0" w:firstColumn="1" w:lastColumn="0" w:noHBand="0" w:noVBand="1"/>
      </w:tblPr>
      <w:tblGrid>
        <w:gridCol w:w="464"/>
        <w:gridCol w:w="4081"/>
        <w:gridCol w:w="720"/>
        <w:gridCol w:w="900"/>
        <w:gridCol w:w="689"/>
        <w:gridCol w:w="2100"/>
        <w:gridCol w:w="16"/>
        <w:gridCol w:w="749"/>
        <w:gridCol w:w="1190"/>
      </w:tblGrid>
      <w:tr w:rsidR="005E391A" w:rsidRPr="009A452D" w:rsidTr="001221AA">
        <w:trPr>
          <w:cantSplit/>
          <w:trHeight w:val="351"/>
          <w:jc w:val="center"/>
        </w:trPr>
        <w:tc>
          <w:tcPr>
            <w:tcW w:w="464" w:type="dxa"/>
            <w:vMerge w:val="restart"/>
            <w:tcBorders>
              <w:top w:val="thinThickThinSmallGap" w:sz="12" w:space="0" w:color="auto"/>
              <w:left w:val="thinThickThinSmallGap" w:sz="12" w:space="0" w:color="auto"/>
              <w:bottom w:val="double" w:sz="6" w:space="0" w:color="000000"/>
              <w:right w:val="double" w:sz="6" w:space="0" w:color="auto"/>
            </w:tcBorders>
            <w:shd w:val="clear" w:color="auto" w:fill="auto"/>
            <w:noWrap/>
            <w:textDirection w:val="btLr"/>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Section A: All ride-hailing trips (n=1,475,596</w:t>
            </w:r>
            <w:r>
              <w:rPr>
                <w:rFonts w:eastAsia="Times New Roman"/>
                <w:color w:val="000000"/>
                <w:sz w:val="21"/>
                <w:szCs w:val="21"/>
              </w:rPr>
              <w:t xml:space="preserve"> trips</w:t>
            </w:r>
            <w:r w:rsidRPr="009A452D">
              <w:rPr>
                <w:rFonts w:eastAsia="Times New Roman"/>
                <w:color w:val="000000"/>
                <w:sz w:val="21"/>
                <w:szCs w:val="21"/>
              </w:rPr>
              <w:t>)</w:t>
            </w:r>
          </w:p>
        </w:tc>
        <w:tc>
          <w:tcPr>
            <w:tcW w:w="4081" w:type="dxa"/>
            <w:tcBorders>
              <w:top w:val="thinThickThinSmallGap" w:sz="12" w:space="0" w:color="auto"/>
              <w:left w:val="nil"/>
              <w:bottom w:val="double" w:sz="6" w:space="0" w:color="000000"/>
              <w:right w:val="double" w:sz="6" w:space="0" w:color="000000"/>
            </w:tcBorders>
            <w:shd w:val="clear" w:color="000000" w:fill="D9D9D9"/>
            <w:vAlign w:val="center"/>
            <w:hideMark/>
          </w:tcPr>
          <w:p w:rsidR="005E391A" w:rsidRPr="009A452D" w:rsidRDefault="005E391A" w:rsidP="003330C5">
            <w:pPr>
              <w:rPr>
                <w:rFonts w:eastAsia="Times New Roman"/>
                <w:color w:val="000000"/>
                <w:sz w:val="21"/>
                <w:szCs w:val="21"/>
              </w:rPr>
            </w:pPr>
            <w:r w:rsidRPr="009A452D">
              <w:rPr>
                <w:rFonts w:eastAsia="Times New Roman"/>
                <w:color w:val="000000"/>
                <w:sz w:val="21"/>
                <w:szCs w:val="21"/>
              </w:rPr>
              <w:t xml:space="preserve">Time of </w:t>
            </w:r>
            <w:r w:rsidR="003330C5">
              <w:rPr>
                <w:rFonts w:eastAsia="Times New Roman"/>
                <w:color w:val="000000"/>
                <w:sz w:val="21"/>
                <w:szCs w:val="21"/>
              </w:rPr>
              <w:t>D</w:t>
            </w:r>
            <w:r w:rsidRPr="009A452D">
              <w:rPr>
                <w:rFonts w:eastAsia="Times New Roman"/>
                <w:color w:val="000000"/>
                <w:sz w:val="21"/>
                <w:szCs w:val="21"/>
              </w:rPr>
              <w:t>ay</w:t>
            </w:r>
          </w:p>
        </w:tc>
        <w:tc>
          <w:tcPr>
            <w:tcW w:w="720" w:type="dxa"/>
            <w:tcBorders>
              <w:top w:val="thinThickThinSmallGap" w:sz="12" w:space="0" w:color="auto"/>
              <w:left w:val="nil"/>
              <w:bottom w:val="double" w:sz="6" w:space="0" w:color="000000"/>
              <w:right w:val="nil"/>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900" w:type="dxa"/>
            <w:tcBorders>
              <w:top w:val="thinThickThinSmallGap" w:sz="12" w:space="0" w:color="auto"/>
              <w:left w:val="double" w:sz="6" w:space="0" w:color="auto"/>
              <w:bottom w:val="double" w:sz="6" w:space="0" w:color="auto"/>
              <w:right w:val="double" w:sz="6" w:space="0" w:color="000000"/>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Month</w:t>
            </w:r>
          </w:p>
        </w:tc>
        <w:tc>
          <w:tcPr>
            <w:tcW w:w="689" w:type="dxa"/>
            <w:tcBorders>
              <w:top w:val="thinThickThinSmallGap" w:sz="12" w:space="0" w:color="auto"/>
              <w:left w:val="nil"/>
              <w:bottom w:val="double" w:sz="6" w:space="0" w:color="auto"/>
              <w:right w:val="double" w:sz="6" w:space="0" w:color="auto"/>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2100" w:type="dxa"/>
            <w:vMerge w:val="restart"/>
            <w:tcBorders>
              <w:top w:val="thinThickThinSmallGap" w:sz="12" w:space="0" w:color="auto"/>
              <w:left w:val="double" w:sz="6" w:space="0" w:color="auto"/>
              <w:bottom w:val="nil"/>
              <w:right w:val="nil"/>
            </w:tcBorders>
            <w:shd w:val="clear" w:color="000000" w:fill="D9D9D9"/>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Trip Location/Purpose</w:t>
            </w:r>
          </w:p>
        </w:tc>
        <w:tc>
          <w:tcPr>
            <w:tcW w:w="765" w:type="dxa"/>
            <w:gridSpan w:val="2"/>
            <w:tcBorders>
              <w:top w:val="thinThickThinSmallGap" w:sz="12" w:space="0" w:color="auto"/>
              <w:left w:val="double" w:sz="6" w:space="0" w:color="auto"/>
              <w:bottom w:val="nil"/>
              <w:right w:val="double" w:sz="6" w:space="0" w:color="auto"/>
            </w:tcBorders>
            <w:shd w:val="clear" w:color="000000" w:fill="D9D9D9"/>
            <w:noWrap/>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Origin</w:t>
            </w:r>
          </w:p>
        </w:tc>
        <w:tc>
          <w:tcPr>
            <w:tcW w:w="1190" w:type="dxa"/>
            <w:tcBorders>
              <w:top w:val="thinThickThinSmallGap" w:sz="12" w:space="0" w:color="auto"/>
              <w:left w:val="nil"/>
              <w:bottom w:val="nil"/>
              <w:right w:val="thinThickThinSmallGap" w:sz="12" w:space="0" w:color="auto"/>
            </w:tcBorders>
            <w:shd w:val="clear" w:color="000000" w:fill="D9D9D9"/>
            <w:noWrap/>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Destination</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000000"/>
            </w:tcBorders>
            <w:shd w:val="clear" w:color="000000" w:fill="FFFFFF"/>
            <w:noWrap/>
            <w:vAlign w:val="center"/>
            <w:hideMark/>
          </w:tcPr>
          <w:p w:rsidR="005E391A" w:rsidRPr="009A452D" w:rsidRDefault="001221AA" w:rsidP="005E391A">
            <w:pPr>
              <w:rPr>
                <w:rFonts w:eastAsia="Times New Roman"/>
                <w:color w:val="000000"/>
                <w:sz w:val="21"/>
                <w:szCs w:val="21"/>
              </w:rPr>
            </w:pPr>
            <w:r>
              <w:rPr>
                <w:rFonts w:eastAsia="Times New Roman"/>
                <w:color w:val="000000"/>
                <w:sz w:val="21"/>
                <w:szCs w:val="21"/>
              </w:rPr>
              <w:t>Morning p</w:t>
            </w:r>
            <w:r w:rsidR="005E391A" w:rsidRPr="009A452D">
              <w:rPr>
                <w:rFonts w:eastAsia="Times New Roman"/>
                <w:color w:val="000000"/>
                <w:sz w:val="21"/>
                <w:szCs w:val="21"/>
              </w:rPr>
              <w:t>eak (7am-10am)</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8.76</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Aug '16</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2.51</w:t>
            </w:r>
          </w:p>
        </w:tc>
        <w:tc>
          <w:tcPr>
            <w:tcW w:w="2100" w:type="dxa"/>
            <w:vMerge/>
            <w:tcBorders>
              <w:top w:val="nil"/>
              <w:left w:val="double" w:sz="6" w:space="0" w:color="auto"/>
              <w:bottom w:val="nil"/>
              <w:right w:val="nil"/>
            </w:tcBorders>
            <w:vAlign w:val="center"/>
            <w:hideMark/>
          </w:tcPr>
          <w:p w:rsidR="005E391A" w:rsidRPr="009A452D" w:rsidRDefault="005E391A" w:rsidP="005E391A">
            <w:pPr>
              <w:jc w:val="left"/>
              <w:rPr>
                <w:rFonts w:eastAsia="Times New Roman"/>
                <w:color w:val="000000"/>
                <w:sz w:val="21"/>
                <w:szCs w:val="21"/>
              </w:rPr>
            </w:pPr>
          </w:p>
        </w:tc>
        <w:tc>
          <w:tcPr>
            <w:tcW w:w="765" w:type="dxa"/>
            <w:gridSpan w:val="2"/>
            <w:tcBorders>
              <w:top w:val="nil"/>
              <w:left w:val="double" w:sz="6" w:space="0" w:color="auto"/>
              <w:bottom w:val="double" w:sz="6" w:space="0" w:color="auto"/>
              <w:right w:val="double" w:sz="6" w:space="0" w:color="auto"/>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1190" w:type="dxa"/>
            <w:tcBorders>
              <w:top w:val="nil"/>
              <w:left w:val="nil"/>
              <w:bottom w:val="double" w:sz="6" w:space="0" w:color="auto"/>
              <w:right w:val="thinThickThinSmallGap" w:sz="12" w:space="0" w:color="auto"/>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000000"/>
            </w:tcBorders>
            <w:shd w:val="clear" w:color="000000" w:fill="FFFFFF"/>
            <w:noWrap/>
            <w:vAlign w:val="center"/>
            <w:hideMark/>
          </w:tcPr>
          <w:p w:rsidR="005E391A" w:rsidRPr="009A452D" w:rsidRDefault="001221AA" w:rsidP="005E391A">
            <w:pPr>
              <w:rPr>
                <w:rFonts w:eastAsia="Times New Roman"/>
                <w:color w:val="000000"/>
                <w:sz w:val="21"/>
                <w:szCs w:val="21"/>
              </w:rPr>
            </w:pPr>
            <w:r>
              <w:rPr>
                <w:rFonts w:eastAsia="Times New Roman"/>
                <w:color w:val="000000"/>
                <w:sz w:val="21"/>
                <w:szCs w:val="21"/>
              </w:rPr>
              <w:t>Morning off p</w:t>
            </w:r>
            <w:r w:rsidR="005E391A" w:rsidRPr="009A452D">
              <w:rPr>
                <w:rFonts w:eastAsia="Times New Roman"/>
                <w:color w:val="000000"/>
                <w:sz w:val="21"/>
                <w:szCs w:val="21"/>
              </w:rPr>
              <w:t>eak (10am-4:30pm)</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13.82</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Sep '16</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6.46</w:t>
            </w:r>
          </w:p>
        </w:tc>
        <w:tc>
          <w:tcPr>
            <w:tcW w:w="2100" w:type="dxa"/>
            <w:tcBorders>
              <w:top w:val="double" w:sz="6" w:space="0" w:color="auto"/>
              <w:left w:val="nil"/>
              <w:bottom w:val="nil"/>
              <w:right w:val="double" w:sz="6" w:space="0" w:color="auto"/>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Airport</w:t>
            </w:r>
          </w:p>
        </w:tc>
        <w:tc>
          <w:tcPr>
            <w:tcW w:w="765" w:type="dxa"/>
            <w:gridSpan w:val="2"/>
            <w:tcBorders>
              <w:top w:val="nil"/>
              <w:left w:val="nil"/>
              <w:bottom w:val="nil"/>
              <w:right w:val="double" w:sz="6"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4.10</w:t>
            </w:r>
          </w:p>
        </w:tc>
        <w:tc>
          <w:tcPr>
            <w:tcW w:w="1190" w:type="dxa"/>
            <w:tcBorders>
              <w:top w:val="nil"/>
              <w:left w:val="nil"/>
              <w:bottom w:val="nil"/>
              <w:right w:val="thinThickThinSmallGap" w:sz="12"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5.94</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000000"/>
            </w:tcBorders>
            <w:shd w:val="clear" w:color="000000" w:fill="FFFFFF"/>
            <w:noWrap/>
            <w:vAlign w:val="center"/>
            <w:hideMark/>
          </w:tcPr>
          <w:p w:rsidR="005E391A" w:rsidRPr="009A452D" w:rsidRDefault="001221AA" w:rsidP="005E391A">
            <w:pPr>
              <w:rPr>
                <w:rFonts w:eastAsia="Times New Roman"/>
                <w:color w:val="000000"/>
                <w:sz w:val="21"/>
                <w:szCs w:val="21"/>
              </w:rPr>
            </w:pPr>
            <w:r>
              <w:rPr>
                <w:rFonts w:eastAsia="Times New Roman"/>
                <w:color w:val="000000"/>
                <w:sz w:val="21"/>
                <w:szCs w:val="21"/>
              </w:rPr>
              <w:t>Evening p</w:t>
            </w:r>
            <w:r w:rsidR="005E391A" w:rsidRPr="009A452D">
              <w:rPr>
                <w:rFonts w:eastAsia="Times New Roman"/>
                <w:color w:val="000000"/>
                <w:sz w:val="21"/>
                <w:szCs w:val="21"/>
              </w:rPr>
              <w:t>eak (4:30pm-7:30pm)</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11.50</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Oct '16</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13.05</w:t>
            </w:r>
          </w:p>
        </w:tc>
        <w:tc>
          <w:tcPr>
            <w:tcW w:w="2100" w:type="dxa"/>
            <w:tcBorders>
              <w:top w:val="nil"/>
              <w:left w:val="nil"/>
              <w:bottom w:val="nil"/>
              <w:right w:val="double" w:sz="6" w:space="0" w:color="auto"/>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CBD/DMU</w:t>
            </w:r>
          </w:p>
        </w:tc>
        <w:tc>
          <w:tcPr>
            <w:tcW w:w="765" w:type="dxa"/>
            <w:gridSpan w:val="2"/>
            <w:tcBorders>
              <w:top w:val="nil"/>
              <w:left w:val="nil"/>
              <w:bottom w:val="nil"/>
              <w:right w:val="double" w:sz="6"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21.51</w:t>
            </w:r>
          </w:p>
        </w:tc>
        <w:tc>
          <w:tcPr>
            <w:tcW w:w="1190" w:type="dxa"/>
            <w:tcBorders>
              <w:top w:val="nil"/>
              <w:left w:val="nil"/>
              <w:bottom w:val="nil"/>
              <w:right w:val="thinThickThinSmallGap" w:sz="12"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22.48</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000000"/>
            </w:tcBorders>
            <w:shd w:val="clear" w:color="000000" w:fill="FFFFFF"/>
            <w:noWrap/>
            <w:vAlign w:val="center"/>
            <w:hideMark/>
          </w:tcPr>
          <w:p w:rsidR="005E391A" w:rsidRPr="009A452D" w:rsidRDefault="001221AA" w:rsidP="005E391A">
            <w:pPr>
              <w:rPr>
                <w:rFonts w:eastAsia="Times New Roman"/>
                <w:color w:val="000000"/>
                <w:sz w:val="21"/>
                <w:szCs w:val="21"/>
              </w:rPr>
            </w:pPr>
            <w:r>
              <w:rPr>
                <w:rFonts w:eastAsia="Times New Roman"/>
                <w:color w:val="000000"/>
                <w:sz w:val="21"/>
                <w:szCs w:val="21"/>
              </w:rPr>
              <w:t>Evening off p</w:t>
            </w:r>
            <w:r w:rsidR="005E391A" w:rsidRPr="009A452D">
              <w:rPr>
                <w:rFonts w:eastAsia="Times New Roman"/>
                <w:color w:val="000000"/>
                <w:sz w:val="21"/>
                <w:szCs w:val="21"/>
              </w:rPr>
              <w:t>eak (7:30pm-10pm)</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10.72</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Nov '16</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10.69</w:t>
            </w:r>
          </w:p>
        </w:tc>
        <w:tc>
          <w:tcPr>
            <w:tcW w:w="2100" w:type="dxa"/>
            <w:tcBorders>
              <w:top w:val="nil"/>
              <w:left w:val="nil"/>
              <w:bottom w:val="nil"/>
              <w:right w:val="double" w:sz="6" w:space="0" w:color="auto"/>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Education</w:t>
            </w:r>
          </w:p>
        </w:tc>
        <w:tc>
          <w:tcPr>
            <w:tcW w:w="765" w:type="dxa"/>
            <w:gridSpan w:val="2"/>
            <w:tcBorders>
              <w:top w:val="nil"/>
              <w:left w:val="nil"/>
              <w:bottom w:val="nil"/>
              <w:right w:val="double" w:sz="6"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1.33</w:t>
            </w:r>
          </w:p>
        </w:tc>
        <w:tc>
          <w:tcPr>
            <w:tcW w:w="1190" w:type="dxa"/>
            <w:tcBorders>
              <w:top w:val="nil"/>
              <w:left w:val="nil"/>
              <w:bottom w:val="nil"/>
              <w:right w:val="thinThickThinSmallGap" w:sz="12"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1.27</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000000"/>
              <w:right w:val="double" w:sz="6" w:space="0" w:color="000000"/>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Night (10pm-7am)</w:t>
            </w:r>
          </w:p>
        </w:tc>
        <w:tc>
          <w:tcPr>
            <w:tcW w:w="720" w:type="dxa"/>
            <w:tcBorders>
              <w:top w:val="nil"/>
              <w:left w:val="nil"/>
              <w:bottom w:val="double" w:sz="6" w:space="0" w:color="000000"/>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55.20</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Dec '16</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10.71</w:t>
            </w:r>
          </w:p>
        </w:tc>
        <w:tc>
          <w:tcPr>
            <w:tcW w:w="2100" w:type="dxa"/>
            <w:tcBorders>
              <w:top w:val="nil"/>
              <w:left w:val="nil"/>
              <w:bottom w:val="nil"/>
              <w:right w:val="double" w:sz="6" w:space="0" w:color="auto"/>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Residential</w:t>
            </w:r>
          </w:p>
        </w:tc>
        <w:tc>
          <w:tcPr>
            <w:tcW w:w="765" w:type="dxa"/>
            <w:gridSpan w:val="2"/>
            <w:tcBorders>
              <w:top w:val="nil"/>
              <w:left w:val="nil"/>
              <w:bottom w:val="nil"/>
              <w:right w:val="double" w:sz="6"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35.95</w:t>
            </w:r>
          </w:p>
        </w:tc>
        <w:tc>
          <w:tcPr>
            <w:tcW w:w="1190" w:type="dxa"/>
            <w:tcBorders>
              <w:top w:val="nil"/>
              <w:left w:val="nil"/>
              <w:bottom w:val="nil"/>
              <w:right w:val="thinThickThinSmallGap" w:sz="12"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32.62</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auto"/>
              <w:right w:val="double" w:sz="6" w:space="0" w:color="auto"/>
            </w:tcBorders>
            <w:shd w:val="clear" w:color="000000" w:fill="D9D9D9"/>
            <w:vAlign w:val="center"/>
            <w:hideMark/>
          </w:tcPr>
          <w:p w:rsidR="005E391A" w:rsidRPr="009A452D" w:rsidRDefault="005E391A" w:rsidP="003330C5">
            <w:pPr>
              <w:rPr>
                <w:rFonts w:eastAsia="Times New Roman"/>
                <w:color w:val="000000"/>
                <w:sz w:val="21"/>
                <w:szCs w:val="21"/>
              </w:rPr>
            </w:pPr>
            <w:r w:rsidRPr="009A452D">
              <w:rPr>
                <w:rFonts w:eastAsia="Times New Roman"/>
                <w:color w:val="000000"/>
                <w:sz w:val="21"/>
                <w:szCs w:val="21"/>
              </w:rPr>
              <w:t xml:space="preserve">Day of the </w:t>
            </w:r>
            <w:r w:rsidR="003330C5">
              <w:rPr>
                <w:rFonts w:eastAsia="Times New Roman"/>
                <w:color w:val="000000"/>
                <w:sz w:val="21"/>
                <w:szCs w:val="21"/>
              </w:rPr>
              <w:t>W</w:t>
            </w:r>
            <w:r w:rsidRPr="009A452D">
              <w:rPr>
                <w:rFonts w:eastAsia="Times New Roman"/>
                <w:color w:val="000000"/>
                <w:sz w:val="21"/>
                <w:szCs w:val="21"/>
              </w:rPr>
              <w:t>eek</w:t>
            </w:r>
          </w:p>
        </w:tc>
        <w:tc>
          <w:tcPr>
            <w:tcW w:w="720" w:type="dxa"/>
            <w:tcBorders>
              <w:top w:val="nil"/>
              <w:left w:val="nil"/>
              <w:bottom w:val="double" w:sz="6" w:space="0" w:color="auto"/>
              <w:right w:val="nil"/>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Jan '17</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13.21</w:t>
            </w:r>
          </w:p>
        </w:tc>
        <w:tc>
          <w:tcPr>
            <w:tcW w:w="2100" w:type="dxa"/>
            <w:tcBorders>
              <w:top w:val="nil"/>
              <w:left w:val="nil"/>
              <w:bottom w:val="nil"/>
              <w:right w:val="double" w:sz="6" w:space="0" w:color="auto"/>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Recreation</w:t>
            </w:r>
          </w:p>
        </w:tc>
        <w:tc>
          <w:tcPr>
            <w:tcW w:w="765" w:type="dxa"/>
            <w:gridSpan w:val="2"/>
            <w:tcBorders>
              <w:top w:val="nil"/>
              <w:left w:val="nil"/>
              <w:bottom w:val="nil"/>
              <w:right w:val="double" w:sz="6"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4.92</w:t>
            </w:r>
          </w:p>
        </w:tc>
        <w:tc>
          <w:tcPr>
            <w:tcW w:w="1190" w:type="dxa"/>
            <w:tcBorders>
              <w:top w:val="nil"/>
              <w:left w:val="nil"/>
              <w:bottom w:val="nil"/>
              <w:right w:val="thinThickThinSmallGap" w:sz="12"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5.29</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Monday to Thursday</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38.36</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Feb '17</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14.58</w:t>
            </w:r>
          </w:p>
        </w:tc>
        <w:tc>
          <w:tcPr>
            <w:tcW w:w="2100" w:type="dxa"/>
            <w:tcBorders>
              <w:top w:val="nil"/>
              <w:left w:val="nil"/>
              <w:bottom w:val="nil"/>
              <w:right w:val="double" w:sz="6" w:space="0" w:color="auto"/>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Commercial</w:t>
            </w:r>
          </w:p>
        </w:tc>
        <w:tc>
          <w:tcPr>
            <w:tcW w:w="765" w:type="dxa"/>
            <w:gridSpan w:val="2"/>
            <w:tcBorders>
              <w:top w:val="nil"/>
              <w:left w:val="nil"/>
              <w:bottom w:val="nil"/>
              <w:right w:val="double" w:sz="6"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22.11</w:t>
            </w:r>
          </w:p>
        </w:tc>
        <w:tc>
          <w:tcPr>
            <w:tcW w:w="1190" w:type="dxa"/>
            <w:tcBorders>
              <w:top w:val="nil"/>
              <w:left w:val="nil"/>
              <w:bottom w:val="nil"/>
              <w:right w:val="thinThickThinSmallGap" w:sz="12"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21.60</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Friday</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15.32</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Mar '17</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21.35</w:t>
            </w:r>
          </w:p>
        </w:tc>
        <w:tc>
          <w:tcPr>
            <w:tcW w:w="2100" w:type="dxa"/>
            <w:tcBorders>
              <w:top w:val="nil"/>
              <w:left w:val="nil"/>
              <w:bottom w:val="nil"/>
              <w:right w:val="double" w:sz="6" w:space="0" w:color="auto"/>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Work</w:t>
            </w:r>
          </w:p>
        </w:tc>
        <w:tc>
          <w:tcPr>
            <w:tcW w:w="765" w:type="dxa"/>
            <w:gridSpan w:val="2"/>
            <w:tcBorders>
              <w:top w:val="nil"/>
              <w:left w:val="nil"/>
              <w:bottom w:val="nil"/>
              <w:right w:val="double" w:sz="6"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7.12</w:t>
            </w:r>
          </w:p>
        </w:tc>
        <w:tc>
          <w:tcPr>
            <w:tcW w:w="1190" w:type="dxa"/>
            <w:tcBorders>
              <w:top w:val="nil"/>
              <w:left w:val="nil"/>
              <w:bottom w:val="nil"/>
              <w:right w:val="thinThickThinSmallGap" w:sz="12"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7.00</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auto"/>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Saturday to Sunday</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46.32</w:t>
            </w:r>
          </w:p>
        </w:tc>
        <w:tc>
          <w:tcPr>
            <w:tcW w:w="900" w:type="dxa"/>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Apr '17</w:t>
            </w:r>
          </w:p>
        </w:tc>
        <w:tc>
          <w:tcPr>
            <w:tcW w:w="689" w:type="dxa"/>
            <w:tcBorders>
              <w:top w:val="nil"/>
              <w:left w:val="nil"/>
              <w:bottom w:val="nil"/>
              <w:right w:val="double" w:sz="6" w:space="0" w:color="auto"/>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7.44</w:t>
            </w:r>
          </w:p>
        </w:tc>
        <w:tc>
          <w:tcPr>
            <w:tcW w:w="2100" w:type="dxa"/>
            <w:tcBorders>
              <w:top w:val="nil"/>
              <w:left w:val="nil"/>
              <w:bottom w:val="nil"/>
              <w:right w:val="double" w:sz="6" w:space="0" w:color="auto"/>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Other</w:t>
            </w:r>
          </w:p>
        </w:tc>
        <w:tc>
          <w:tcPr>
            <w:tcW w:w="765" w:type="dxa"/>
            <w:gridSpan w:val="2"/>
            <w:tcBorders>
              <w:top w:val="nil"/>
              <w:left w:val="nil"/>
              <w:bottom w:val="nil"/>
              <w:right w:val="double" w:sz="6"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2.96</w:t>
            </w:r>
          </w:p>
        </w:tc>
        <w:tc>
          <w:tcPr>
            <w:tcW w:w="1190" w:type="dxa"/>
            <w:tcBorders>
              <w:top w:val="nil"/>
              <w:left w:val="nil"/>
              <w:bottom w:val="nil"/>
              <w:right w:val="thinThickThinSmallGap" w:sz="12" w:space="0" w:color="auto"/>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3.80</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double" w:sz="6" w:space="0" w:color="auto"/>
              <w:left w:val="nil"/>
              <w:bottom w:val="double" w:sz="6" w:space="0" w:color="auto"/>
              <w:right w:val="double" w:sz="6" w:space="0" w:color="auto"/>
            </w:tcBorders>
            <w:shd w:val="clear" w:color="000000" w:fill="D9D9D9"/>
            <w:noWrap/>
            <w:vAlign w:val="center"/>
            <w:hideMark/>
          </w:tcPr>
          <w:p w:rsidR="005E391A" w:rsidRPr="009A452D" w:rsidRDefault="001221AA" w:rsidP="005E391A">
            <w:pPr>
              <w:rPr>
                <w:rFonts w:eastAsia="Times New Roman"/>
                <w:color w:val="000000"/>
                <w:sz w:val="21"/>
                <w:szCs w:val="21"/>
              </w:rPr>
            </w:pPr>
            <w:r>
              <w:rPr>
                <w:rFonts w:eastAsia="Times New Roman"/>
                <w:color w:val="000000"/>
                <w:sz w:val="21"/>
                <w:szCs w:val="21"/>
              </w:rPr>
              <w:t>Residential Densities and Distances to T</w:t>
            </w:r>
            <w:r w:rsidR="005E391A" w:rsidRPr="009A452D">
              <w:rPr>
                <w:rFonts w:eastAsia="Times New Roman"/>
                <w:color w:val="000000"/>
                <w:sz w:val="21"/>
                <w:szCs w:val="21"/>
              </w:rPr>
              <w:t xml:space="preserve">ransit </w:t>
            </w:r>
          </w:p>
        </w:tc>
        <w:tc>
          <w:tcPr>
            <w:tcW w:w="1620" w:type="dxa"/>
            <w:gridSpan w:val="2"/>
            <w:tcBorders>
              <w:top w:val="double" w:sz="6" w:space="0" w:color="auto"/>
              <w:left w:val="nil"/>
              <w:bottom w:val="double" w:sz="6" w:space="0" w:color="auto"/>
              <w:right w:val="nil"/>
            </w:tcBorders>
            <w:shd w:val="clear" w:color="000000" w:fill="D9D9D9"/>
            <w:noWrap/>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Mean</w:t>
            </w:r>
          </w:p>
        </w:tc>
        <w:tc>
          <w:tcPr>
            <w:tcW w:w="2789" w:type="dxa"/>
            <w:gridSpan w:val="2"/>
            <w:tcBorders>
              <w:top w:val="double" w:sz="6" w:space="0" w:color="auto"/>
              <w:left w:val="double" w:sz="6" w:space="0" w:color="auto"/>
              <w:bottom w:val="double" w:sz="6" w:space="0" w:color="auto"/>
              <w:right w:val="double" w:sz="6" w:space="0" w:color="000000"/>
            </w:tcBorders>
            <w:shd w:val="clear" w:color="000000" w:fill="D9D9D9"/>
            <w:noWrap/>
            <w:vAlign w:val="bottom"/>
            <w:hideMark/>
          </w:tcPr>
          <w:p w:rsidR="005E391A" w:rsidRPr="009A452D" w:rsidRDefault="005E391A" w:rsidP="003330C5">
            <w:pPr>
              <w:jc w:val="left"/>
              <w:rPr>
                <w:rFonts w:eastAsia="Times New Roman"/>
                <w:color w:val="000000"/>
                <w:sz w:val="21"/>
                <w:szCs w:val="21"/>
              </w:rPr>
            </w:pPr>
            <w:r w:rsidRPr="009A452D">
              <w:rPr>
                <w:rFonts w:eastAsia="Times New Roman"/>
                <w:color w:val="000000"/>
                <w:sz w:val="21"/>
                <w:szCs w:val="21"/>
              </w:rPr>
              <w:t xml:space="preserve">Rider </w:t>
            </w:r>
            <w:r w:rsidR="003330C5">
              <w:rPr>
                <w:rFonts w:eastAsia="Times New Roman"/>
                <w:color w:val="000000"/>
                <w:sz w:val="21"/>
                <w:szCs w:val="21"/>
              </w:rPr>
              <w:t>F</w:t>
            </w:r>
            <w:r w:rsidRPr="009A452D">
              <w:rPr>
                <w:rFonts w:eastAsia="Times New Roman"/>
                <w:color w:val="000000"/>
                <w:sz w:val="21"/>
                <w:szCs w:val="21"/>
              </w:rPr>
              <w:t>requency (n=258,022)</w:t>
            </w:r>
          </w:p>
        </w:tc>
        <w:tc>
          <w:tcPr>
            <w:tcW w:w="1955" w:type="dxa"/>
            <w:gridSpan w:val="3"/>
            <w:tcBorders>
              <w:top w:val="double" w:sz="6" w:space="0" w:color="auto"/>
              <w:left w:val="nil"/>
              <w:bottom w:val="double" w:sz="6" w:space="0" w:color="auto"/>
              <w:right w:val="thinThickThinSmallGap" w:sz="12" w:space="0" w:color="auto"/>
            </w:tcBorders>
            <w:shd w:val="clear" w:color="000000" w:fill="D9D9D9"/>
            <w:noWrap/>
            <w:vAlign w:val="bottom"/>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nil"/>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Residential density at origin (pop/km²)</w:t>
            </w:r>
          </w:p>
        </w:tc>
        <w:tc>
          <w:tcPr>
            <w:tcW w:w="1620" w:type="dxa"/>
            <w:gridSpan w:val="2"/>
            <w:tcBorders>
              <w:top w:val="double" w:sz="6" w:space="0" w:color="auto"/>
              <w:left w:val="double" w:sz="6" w:space="0" w:color="auto"/>
              <w:bottom w:val="nil"/>
              <w:right w:val="double" w:sz="6" w:space="0" w:color="000000"/>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2,508</w:t>
            </w:r>
          </w:p>
        </w:tc>
        <w:tc>
          <w:tcPr>
            <w:tcW w:w="2789" w:type="dxa"/>
            <w:gridSpan w:val="2"/>
            <w:tcBorders>
              <w:top w:val="double" w:sz="6" w:space="0" w:color="auto"/>
              <w:left w:val="nil"/>
              <w:bottom w:val="nil"/>
              <w:right w:val="double" w:sz="6" w:space="0" w:color="000000"/>
            </w:tcBorders>
            <w:shd w:val="clear" w:color="000000" w:fill="FFFFFF"/>
            <w:noWrap/>
            <w:vAlign w:val="bottom"/>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Single time</w:t>
            </w:r>
          </w:p>
        </w:tc>
        <w:tc>
          <w:tcPr>
            <w:tcW w:w="1955" w:type="dxa"/>
            <w:gridSpan w:val="3"/>
            <w:tcBorders>
              <w:top w:val="double" w:sz="6" w:space="0" w:color="auto"/>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33.77</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nil"/>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Residential density at destination (pop/km²)</w:t>
            </w:r>
          </w:p>
        </w:tc>
        <w:tc>
          <w:tcPr>
            <w:tcW w:w="1620" w:type="dxa"/>
            <w:gridSpan w:val="2"/>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2,376</w:t>
            </w:r>
          </w:p>
        </w:tc>
        <w:tc>
          <w:tcPr>
            <w:tcW w:w="2789" w:type="dxa"/>
            <w:gridSpan w:val="2"/>
            <w:tcBorders>
              <w:top w:val="nil"/>
              <w:left w:val="nil"/>
              <w:bottom w:val="nil"/>
              <w:right w:val="double" w:sz="6" w:space="0" w:color="000000"/>
            </w:tcBorders>
            <w:shd w:val="clear" w:color="000000" w:fill="FFFFFF"/>
            <w:noWrap/>
            <w:vAlign w:val="bottom"/>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Infrequent (2 to 10 per year)</w:t>
            </w:r>
          </w:p>
        </w:tc>
        <w:tc>
          <w:tcPr>
            <w:tcW w:w="1955" w:type="dxa"/>
            <w:gridSpan w:val="3"/>
            <w:tcBorders>
              <w:top w:val="nil"/>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49.36</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nil"/>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Distance to closest transit stop at orig. (km)</w:t>
            </w:r>
          </w:p>
        </w:tc>
        <w:tc>
          <w:tcPr>
            <w:tcW w:w="1620" w:type="dxa"/>
            <w:gridSpan w:val="2"/>
            <w:tcBorders>
              <w:top w:val="nil"/>
              <w:left w:val="double" w:sz="6" w:space="0" w:color="auto"/>
              <w:bottom w:val="nil"/>
              <w:right w:val="double" w:sz="6" w:space="0" w:color="000000"/>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0.33</w:t>
            </w:r>
          </w:p>
        </w:tc>
        <w:tc>
          <w:tcPr>
            <w:tcW w:w="2789" w:type="dxa"/>
            <w:gridSpan w:val="2"/>
            <w:tcBorders>
              <w:top w:val="nil"/>
              <w:left w:val="nil"/>
              <w:bottom w:val="nil"/>
              <w:right w:val="double" w:sz="6" w:space="0" w:color="000000"/>
            </w:tcBorders>
            <w:shd w:val="clear" w:color="000000" w:fill="FFFFFF"/>
            <w:noWrap/>
            <w:vAlign w:val="bottom"/>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Monthly (11 to 24 per year)</w:t>
            </w:r>
          </w:p>
        </w:tc>
        <w:tc>
          <w:tcPr>
            <w:tcW w:w="1955" w:type="dxa"/>
            <w:gridSpan w:val="3"/>
            <w:tcBorders>
              <w:top w:val="nil"/>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10.45</w:t>
            </w:r>
          </w:p>
        </w:tc>
      </w:tr>
      <w:tr w:rsidR="005E391A" w:rsidRPr="009A452D" w:rsidTr="001221AA">
        <w:trPr>
          <w:cantSplit/>
          <w:trHeight w:val="20"/>
          <w:jc w:val="center"/>
        </w:trPr>
        <w:tc>
          <w:tcPr>
            <w:tcW w:w="464" w:type="dxa"/>
            <w:vMerge/>
            <w:tcBorders>
              <w:top w:val="double" w:sz="6" w:space="0" w:color="auto"/>
              <w:left w:val="thinThickThinSmallGap" w:sz="12" w:space="0" w:color="auto"/>
              <w:bottom w:val="thinThickThinSmallGap" w:sz="12" w:space="0" w:color="auto"/>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thinThickThinSmallGap" w:sz="12" w:space="0" w:color="auto"/>
              <w:right w:val="nil"/>
            </w:tcBorders>
            <w:shd w:val="clear" w:color="000000" w:fill="FFFFFF"/>
            <w:noWrap/>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 xml:space="preserve">Distance to closest transit stop at </w:t>
            </w:r>
            <w:proofErr w:type="spellStart"/>
            <w:r w:rsidRPr="009A452D">
              <w:rPr>
                <w:rFonts w:eastAsia="Times New Roman"/>
                <w:color w:val="000000"/>
                <w:sz w:val="21"/>
                <w:szCs w:val="21"/>
              </w:rPr>
              <w:t>dest</w:t>
            </w:r>
            <w:proofErr w:type="spellEnd"/>
            <w:r w:rsidRPr="009A452D">
              <w:rPr>
                <w:rFonts w:eastAsia="Times New Roman"/>
                <w:color w:val="000000"/>
                <w:sz w:val="21"/>
                <w:szCs w:val="21"/>
              </w:rPr>
              <w:t>. (km)</w:t>
            </w:r>
          </w:p>
        </w:tc>
        <w:tc>
          <w:tcPr>
            <w:tcW w:w="1620" w:type="dxa"/>
            <w:gridSpan w:val="2"/>
            <w:tcBorders>
              <w:top w:val="nil"/>
              <w:left w:val="double" w:sz="6" w:space="0" w:color="auto"/>
              <w:bottom w:val="thinThickThinSmallGap" w:sz="12" w:space="0" w:color="auto"/>
              <w:right w:val="double" w:sz="6" w:space="0" w:color="000000"/>
            </w:tcBorders>
            <w:shd w:val="clear" w:color="000000" w:fill="FFFFFF"/>
            <w:noWrap/>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0.38</w:t>
            </w:r>
          </w:p>
        </w:tc>
        <w:tc>
          <w:tcPr>
            <w:tcW w:w="2789" w:type="dxa"/>
            <w:gridSpan w:val="2"/>
            <w:tcBorders>
              <w:top w:val="nil"/>
              <w:left w:val="nil"/>
              <w:bottom w:val="thinThickThinSmallGap" w:sz="12" w:space="0" w:color="auto"/>
              <w:right w:val="double" w:sz="6" w:space="0" w:color="000000"/>
            </w:tcBorders>
            <w:shd w:val="clear" w:color="000000" w:fill="FFFFFF"/>
            <w:noWrap/>
            <w:vAlign w:val="bottom"/>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Weekly (25+ per year)</w:t>
            </w:r>
          </w:p>
        </w:tc>
        <w:tc>
          <w:tcPr>
            <w:tcW w:w="1955" w:type="dxa"/>
            <w:gridSpan w:val="3"/>
            <w:tcBorders>
              <w:top w:val="nil"/>
              <w:left w:val="nil"/>
              <w:bottom w:val="thinThickThinSmallGap" w:sz="12" w:space="0" w:color="auto"/>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6.42</w:t>
            </w:r>
          </w:p>
        </w:tc>
      </w:tr>
      <w:tr w:rsidR="005E391A" w:rsidRPr="009A452D" w:rsidTr="001221AA">
        <w:trPr>
          <w:cantSplit/>
          <w:trHeight w:val="20"/>
          <w:jc w:val="center"/>
        </w:trPr>
        <w:tc>
          <w:tcPr>
            <w:tcW w:w="464" w:type="dxa"/>
            <w:vMerge w:val="restart"/>
            <w:tcBorders>
              <w:top w:val="thinThickThinSmallGap" w:sz="12" w:space="0" w:color="auto"/>
              <w:left w:val="thinThickThinSmallGap" w:sz="12" w:space="0" w:color="auto"/>
              <w:bottom w:val="double" w:sz="6" w:space="0" w:color="000000"/>
              <w:right w:val="double" w:sz="6" w:space="0" w:color="auto"/>
            </w:tcBorders>
            <w:shd w:val="clear" w:color="auto" w:fill="auto"/>
            <w:noWrap/>
            <w:textDirection w:val="btLr"/>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Section B: Frequent ride-hailing users (n=13,895</w:t>
            </w:r>
            <w:r>
              <w:rPr>
                <w:rFonts w:eastAsia="Times New Roman"/>
                <w:color w:val="000000"/>
                <w:sz w:val="21"/>
                <w:szCs w:val="21"/>
              </w:rPr>
              <w:t xml:space="preserve"> users</w:t>
            </w:r>
            <w:r w:rsidRPr="009A452D">
              <w:rPr>
                <w:rFonts w:eastAsia="Times New Roman"/>
                <w:color w:val="000000"/>
                <w:sz w:val="21"/>
                <w:szCs w:val="21"/>
              </w:rPr>
              <w:t>)</w:t>
            </w:r>
          </w:p>
        </w:tc>
        <w:tc>
          <w:tcPr>
            <w:tcW w:w="4081" w:type="dxa"/>
            <w:tcBorders>
              <w:top w:val="thinThickThinSmallGap" w:sz="12" w:space="0" w:color="auto"/>
              <w:left w:val="nil"/>
              <w:bottom w:val="double" w:sz="6" w:space="0" w:color="auto"/>
              <w:right w:val="double" w:sz="6" w:space="0" w:color="auto"/>
            </w:tcBorders>
            <w:shd w:val="clear" w:color="000000" w:fill="D9D9D9"/>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Age</w:t>
            </w:r>
          </w:p>
        </w:tc>
        <w:tc>
          <w:tcPr>
            <w:tcW w:w="720" w:type="dxa"/>
            <w:tcBorders>
              <w:top w:val="thinThickThinSmallGap" w:sz="12" w:space="0" w:color="auto"/>
              <w:left w:val="nil"/>
              <w:bottom w:val="double" w:sz="6" w:space="0" w:color="auto"/>
              <w:right w:val="nil"/>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3705" w:type="dxa"/>
            <w:gridSpan w:val="4"/>
            <w:tcBorders>
              <w:top w:val="thinThickThinSmallGap" w:sz="12" w:space="0" w:color="auto"/>
              <w:left w:val="double" w:sz="6" w:space="0" w:color="auto"/>
              <w:bottom w:val="double" w:sz="6" w:space="0" w:color="auto"/>
              <w:right w:val="double" w:sz="6" w:space="0" w:color="000000"/>
            </w:tcBorders>
            <w:shd w:val="clear" w:color="000000" w:fill="D9D9D9"/>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Race</w:t>
            </w:r>
          </w:p>
        </w:tc>
        <w:tc>
          <w:tcPr>
            <w:tcW w:w="1939" w:type="dxa"/>
            <w:gridSpan w:val="2"/>
            <w:tcBorders>
              <w:top w:val="thinThickThinSmallGap" w:sz="12" w:space="0" w:color="auto"/>
              <w:left w:val="nil"/>
              <w:bottom w:val="double" w:sz="6" w:space="0" w:color="auto"/>
              <w:right w:val="thinThickThinSmallGap" w:sz="12" w:space="0" w:color="auto"/>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Age 18 to 24</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22.99</w:t>
            </w:r>
          </w:p>
        </w:tc>
        <w:tc>
          <w:tcPr>
            <w:tcW w:w="3705" w:type="dxa"/>
            <w:gridSpan w:val="4"/>
            <w:tcBorders>
              <w:top w:val="double" w:sz="6" w:space="0" w:color="auto"/>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White</w:t>
            </w:r>
          </w:p>
        </w:tc>
        <w:tc>
          <w:tcPr>
            <w:tcW w:w="1939" w:type="dxa"/>
            <w:gridSpan w:val="2"/>
            <w:tcBorders>
              <w:top w:val="double" w:sz="6" w:space="0" w:color="auto"/>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78.58</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Age 25 to 44</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46.77</w:t>
            </w:r>
          </w:p>
        </w:tc>
        <w:tc>
          <w:tcPr>
            <w:tcW w:w="3705" w:type="dxa"/>
            <w:gridSpan w:val="4"/>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Black / African American</w:t>
            </w:r>
          </w:p>
        </w:tc>
        <w:tc>
          <w:tcPr>
            <w:tcW w:w="1939" w:type="dxa"/>
            <w:gridSpan w:val="2"/>
            <w:tcBorders>
              <w:top w:val="nil"/>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5.18</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Age 45 to 64</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21.76</w:t>
            </w:r>
          </w:p>
        </w:tc>
        <w:tc>
          <w:tcPr>
            <w:tcW w:w="3705" w:type="dxa"/>
            <w:gridSpan w:val="4"/>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Asian</w:t>
            </w:r>
          </w:p>
        </w:tc>
        <w:tc>
          <w:tcPr>
            <w:tcW w:w="1939" w:type="dxa"/>
            <w:gridSpan w:val="2"/>
            <w:tcBorders>
              <w:top w:val="nil"/>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6.71</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auto"/>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Age 65 and up</w:t>
            </w:r>
          </w:p>
        </w:tc>
        <w:tc>
          <w:tcPr>
            <w:tcW w:w="720" w:type="dxa"/>
            <w:tcBorders>
              <w:top w:val="nil"/>
              <w:left w:val="nil"/>
              <w:bottom w:val="double" w:sz="6" w:space="0" w:color="auto"/>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8.48</w:t>
            </w:r>
          </w:p>
        </w:tc>
        <w:tc>
          <w:tcPr>
            <w:tcW w:w="3705" w:type="dxa"/>
            <w:gridSpan w:val="4"/>
            <w:tcBorders>
              <w:top w:val="nil"/>
              <w:left w:val="double" w:sz="6" w:space="0" w:color="auto"/>
              <w:bottom w:val="double" w:sz="6" w:space="0" w:color="auto"/>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Other (including mixed race)</w:t>
            </w:r>
          </w:p>
        </w:tc>
        <w:tc>
          <w:tcPr>
            <w:tcW w:w="1939" w:type="dxa"/>
            <w:gridSpan w:val="2"/>
            <w:tcBorders>
              <w:top w:val="nil"/>
              <w:left w:val="nil"/>
              <w:bottom w:val="double" w:sz="6" w:space="0" w:color="auto"/>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9.53</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auto"/>
              <w:right w:val="double" w:sz="6" w:space="0" w:color="auto"/>
            </w:tcBorders>
            <w:shd w:val="clear" w:color="000000" w:fill="D9D9D9"/>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Gender</w:t>
            </w:r>
          </w:p>
        </w:tc>
        <w:tc>
          <w:tcPr>
            <w:tcW w:w="720" w:type="dxa"/>
            <w:tcBorders>
              <w:top w:val="nil"/>
              <w:left w:val="nil"/>
              <w:bottom w:val="double" w:sz="6" w:space="0" w:color="auto"/>
              <w:right w:val="nil"/>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3705" w:type="dxa"/>
            <w:gridSpan w:val="4"/>
            <w:tcBorders>
              <w:top w:val="double" w:sz="6" w:space="0" w:color="auto"/>
              <w:left w:val="double" w:sz="6" w:space="0" w:color="auto"/>
              <w:bottom w:val="double" w:sz="6" w:space="0" w:color="auto"/>
              <w:right w:val="double" w:sz="6" w:space="0" w:color="000000"/>
            </w:tcBorders>
            <w:shd w:val="clear" w:color="000000" w:fill="D9D9D9"/>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Household Income</w:t>
            </w:r>
          </w:p>
        </w:tc>
        <w:tc>
          <w:tcPr>
            <w:tcW w:w="1939" w:type="dxa"/>
            <w:gridSpan w:val="2"/>
            <w:tcBorders>
              <w:top w:val="double" w:sz="6" w:space="0" w:color="auto"/>
              <w:left w:val="nil"/>
              <w:bottom w:val="double" w:sz="6" w:space="0" w:color="auto"/>
              <w:right w:val="thinThickThinSmallGap" w:sz="12" w:space="0" w:color="auto"/>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Female</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48.31</w:t>
            </w:r>
          </w:p>
        </w:tc>
        <w:tc>
          <w:tcPr>
            <w:tcW w:w="3705" w:type="dxa"/>
            <w:gridSpan w:val="4"/>
            <w:tcBorders>
              <w:top w:val="double" w:sz="6" w:space="0" w:color="auto"/>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Below $50,000</w:t>
            </w:r>
          </w:p>
        </w:tc>
        <w:tc>
          <w:tcPr>
            <w:tcW w:w="1939" w:type="dxa"/>
            <w:gridSpan w:val="2"/>
            <w:tcBorders>
              <w:top w:val="double" w:sz="6" w:space="0" w:color="auto"/>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46.95</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Male</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51.69</w:t>
            </w:r>
          </w:p>
        </w:tc>
        <w:tc>
          <w:tcPr>
            <w:tcW w:w="3705" w:type="dxa"/>
            <w:gridSpan w:val="4"/>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Between $50,000 $99,999</w:t>
            </w:r>
          </w:p>
        </w:tc>
        <w:tc>
          <w:tcPr>
            <w:tcW w:w="1939" w:type="dxa"/>
            <w:gridSpan w:val="2"/>
            <w:tcBorders>
              <w:top w:val="nil"/>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26.41</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double" w:sz="6" w:space="0" w:color="auto"/>
              <w:left w:val="nil"/>
              <w:bottom w:val="double" w:sz="6" w:space="0" w:color="auto"/>
              <w:right w:val="double" w:sz="6" w:space="0" w:color="auto"/>
            </w:tcBorders>
            <w:shd w:val="clear" w:color="000000" w:fill="D9D9D9"/>
            <w:vAlign w:val="center"/>
            <w:hideMark/>
          </w:tcPr>
          <w:p w:rsidR="005E391A" w:rsidRPr="009A452D" w:rsidRDefault="005E391A" w:rsidP="003330C5">
            <w:pPr>
              <w:rPr>
                <w:rFonts w:eastAsia="Times New Roman"/>
                <w:color w:val="000000"/>
                <w:sz w:val="21"/>
                <w:szCs w:val="21"/>
              </w:rPr>
            </w:pPr>
            <w:r w:rsidRPr="009A452D">
              <w:rPr>
                <w:rFonts w:eastAsia="Times New Roman"/>
                <w:color w:val="000000"/>
                <w:sz w:val="21"/>
                <w:szCs w:val="21"/>
              </w:rPr>
              <w:t xml:space="preserve">Has a </w:t>
            </w:r>
            <w:r w:rsidR="003330C5">
              <w:rPr>
                <w:rFonts w:eastAsia="Times New Roman"/>
                <w:color w:val="000000"/>
                <w:sz w:val="21"/>
                <w:szCs w:val="21"/>
              </w:rPr>
              <w:t>C</w:t>
            </w:r>
            <w:r w:rsidRPr="009A452D">
              <w:rPr>
                <w:rFonts w:eastAsia="Times New Roman"/>
                <w:color w:val="000000"/>
                <w:sz w:val="21"/>
                <w:szCs w:val="21"/>
              </w:rPr>
              <w:t xml:space="preserve">hild in the </w:t>
            </w:r>
            <w:r w:rsidR="003330C5">
              <w:rPr>
                <w:rFonts w:eastAsia="Times New Roman"/>
                <w:color w:val="000000"/>
                <w:sz w:val="21"/>
                <w:szCs w:val="21"/>
              </w:rPr>
              <w:t>H</w:t>
            </w:r>
            <w:r w:rsidRPr="009A452D">
              <w:rPr>
                <w:rFonts w:eastAsia="Times New Roman"/>
                <w:color w:val="000000"/>
                <w:sz w:val="21"/>
                <w:szCs w:val="21"/>
              </w:rPr>
              <w:t>ousehold</w:t>
            </w:r>
          </w:p>
        </w:tc>
        <w:tc>
          <w:tcPr>
            <w:tcW w:w="720" w:type="dxa"/>
            <w:tcBorders>
              <w:top w:val="double" w:sz="6" w:space="0" w:color="auto"/>
              <w:left w:val="nil"/>
              <w:bottom w:val="double" w:sz="6" w:space="0" w:color="auto"/>
              <w:right w:val="nil"/>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3705" w:type="dxa"/>
            <w:gridSpan w:val="4"/>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Between $100,000 $149,999</w:t>
            </w:r>
          </w:p>
        </w:tc>
        <w:tc>
          <w:tcPr>
            <w:tcW w:w="1939" w:type="dxa"/>
            <w:gridSpan w:val="2"/>
            <w:tcBorders>
              <w:top w:val="nil"/>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12.49</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No</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83.92</w:t>
            </w:r>
          </w:p>
        </w:tc>
        <w:tc>
          <w:tcPr>
            <w:tcW w:w="3705" w:type="dxa"/>
            <w:gridSpan w:val="4"/>
            <w:tcBorders>
              <w:top w:val="nil"/>
              <w:left w:val="double" w:sz="6" w:space="0" w:color="auto"/>
              <w:bottom w:val="double" w:sz="6" w:space="0" w:color="auto"/>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$150,000 and above</w:t>
            </w:r>
          </w:p>
        </w:tc>
        <w:tc>
          <w:tcPr>
            <w:tcW w:w="1939" w:type="dxa"/>
            <w:gridSpan w:val="2"/>
            <w:tcBorders>
              <w:top w:val="nil"/>
              <w:left w:val="nil"/>
              <w:bottom w:val="double" w:sz="6" w:space="0" w:color="auto"/>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14.15</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auto"/>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Yes</w:t>
            </w:r>
          </w:p>
        </w:tc>
        <w:tc>
          <w:tcPr>
            <w:tcW w:w="720" w:type="dxa"/>
            <w:tcBorders>
              <w:top w:val="nil"/>
              <w:left w:val="nil"/>
              <w:bottom w:val="double" w:sz="6" w:space="0" w:color="auto"/>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16.08</w:t>
            </w:r>
          </w:p>
        </w:tc>
        <w:tc>
          <w:tcPr>
            <w:tcW w:w="3705" w:type="dxa"/>
            <w:gridSpan w:val="4"/>
            <w:tcBorders>
              <w:top w:val="double" w:sz="6" w:space="0" w:color="auto"/>
              <w:left w:val="double" w:sz="6" w:space="0" w:color="auto"/>
              <w:bottom w:val="double" w:sz="6" w:space="0" w:color="auto"/>
              <w:right w:val="double" w:sz="6" w:space="0" w:color="000000"/>
            </w:tcBorders>
            <w:shd w:val="clear" w:color="000000" w:fill="D9D9D9"/>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Vehicles in Household</w:t>
            </w:r>
          </w:p>
        </w:tc>
        <w:tc>
          <w:tcPr>
            <w:tcW w:w="1939" w:type="dxa"/>
            <w:gridSpan w:val="2"/>
            <w:tcBorders>
              <w:top w:val="double" w:sz="6" w:space="0" w:color="auto"/>
              <w:left w:val="nil"/>
              <w:bottom w:val="double" w:sz="6" w:space="0" w:color="auto"/>
              <w:right w:val="thinThickThinSmallGap" w:sz="12" w:space="0" w:color="auto"/>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000000"/>
              <w:right w:val="double" w:sz="6" w:space="0" w:color="000000"/>
            </w:tcBorders>
            <w:shd w:val="clear" w:color="000000" w:fill="D9D9D9"/>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Frequency of Use</w:t>
            </w:r>
          </w:p>
        </w:tc>
        <w:tc>
          <w:tcPr>
            <w:tcW w:w="720" w:type="dxa"/>
            <w:tcBorders>
              <w:top w:val="nil"/>
              <w:left w:val="nil"/>
              <w:bottom w:val="double" w:sz="6" w:space="0" w:color="auto"/>
              <w:right w:val="nil"/>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3705" w:type="dxa"/>
            <w:gridSpan w:val="4"/>
            <w:tcBorders>
              <w:top w:val="double" w:sz="6" w:space="0" w:color="auto"/>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0 vehicles</w:t>
            </w:r>
          </w:p>
        </w:tc>
        <w:tc>
          <w:tcPr>
            <w:tcW w:w="1939" w:type="dxa"/>
            <w:gridSpan w:val="2"/>
            <w:tcBorders>
              <w:top w:val="double" w:sz="6" w:space="0" w:color="auto"/>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9.54</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Monthly (11 to 24 per year)</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14.29</w:t>
            </w:r>
          </w:p>
        </w:tc>
        <w:tc>
          <w:tcPr>
            <w:tcW w:w="3705" w:type="dxa"/>
            <w:gridSpan w:val="4"/>
            <w:tcBorders>
              <w:top w:val="nil"/>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1 vehicle</w:t>
            </w:r>
          </w:p>
        </w:tc>
        <w:tc>
          <w:tcPr>
            <w:tcW w:w="1939" w:type="dxa"/>
            <w:gridSpan w:val="2"/>
            <w:tcBorders>
              <w:top w:val="nil"/>
              <w:left w:val="nil"/>
              <w:bottom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47.82</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auto"/>
              <w:right w:val="double" w:sz="6" w:space="0" w:color="000000"/>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Weekly (25+ per year)</w:t>
            </w:r>
          </w:p>
        </w:tc>
        <w:tc>
          <w:tcPr>
            <w:tcW w:w="720" w:type="dxa"/>
            <w:tcBorders>
              <w:top w:val="nil"/>
              <w:left w:val="nil"/>
              <w:bottom w:val="double" w:sz="6" w:space="0" w:color="auto"/>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85.71</w:t>
            </w:r>
          </w:p>
        </w:tc>
        <w:tc>
          <w:tcPr>
            <w:tcW w:w="3705" w:type="dxa"/>
            <w:gridSpan w:val="4"/>
            <w:tcBorders>
              <w:top w:val="nil"/>
              <w:left w:val="double" w:sz="6" w:space="0" w:color="auto"/>
              <w:bottom w:val="double" w:sz="6" w:space="0" w:color="auto"/>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2 or more vehicles</w:t>
            </w:r>
          </w:p>
        </w:tc>
        <w:tc>
          <w:tcPr>
            <w:tcW w:w="1939" w:type="dxa"/>
            <w:gridSpan w:val="2"/>
            <w:tcBorders>
              <w:top w:val="nil"/>
              <w:left w:val="nil"/>
              <w:bottom w:val="double" w:sz="6" w:space="0" w:color="auto"/>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42.64</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double" w:sz="6" w:space="0" w:color="000000"/>
              <w:right w:val="double" w:sz="6" w:space="0" w:color="000000"/>
            </w:tcBorders>
            <w:shd w:val="clear" w:color="000000" w:fill="D9D9D9"/>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Is Hispanic</w:t>
            </w:r>
          </w:p>
        </w:tc>
        <w:tc>
          <w:tcPr>
            <w:tcW w:w="720" w:type="dxa"/>
            <w:tcBorders>
              <w:top w:val="nil"/>
              <w:left w:val="nil"/>
              <w:bottom w:val="double" w:sz="6" w:space="0" w:color="auto"/>
              <w:right w:val="nil"/>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w:t>
            </w:r>
          </w:p>
        </w:tc>
        <w:tc>
          <w:tcPr>
            <w:tcW w:w="3705" w:type="dxa"/>
            <w:gridSpan w:val="4"/>
            <w:tcBorders>
              <w:top w:val="double" w:sz="6" w:space="0" w:color="auto"/>
              <w:left w:val="double" w:sz="6" w:space="0" w:color="auto"/>
              <w:bottom w:val="double" w:sz="6" w:space="0" w:color="auto"/>
              <w:right w:val="double" w:sz="6" w:space="0" w:color="000000"/>
            </w:tcBorders>
            <w:shd w:val="clear" w:color="000000" w:fill="D9D9D9"/>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Continuous Variables</w:t>
            </w:r>
          </w:p>
        </w:tc>
        <w:tc>
          <w:tcPr>
            <w:tcW w:w="1939" w:type="dxa"/>
            <w:gridSpan w:val="2"/>
            <w:tcBorders>
              <w:top w:val="double" w:sz="6" w:space="0" w:color="auto"/>
              <w:left w:val="nil"/>
              <w:bottom w:val="double" w:sz="6" w:space="0" w:color="auto"/>
              <w:right w:val="thinThickThinSmallGap" w:sz="12" w:space="0" w:color="auto"/>
            </w:tcBorders>
            <w:shd w:val="clear" w:color="000000" w:fill="D9D9D9"/>
            <w:vAlign w:val="center"/>
            <w:hideMark/>
          </w:tcPr>
          <w:p w:rsidR="005E391A" w:rsidRPr="009A452D" w:rsidRDefault="005E391A" w:rsidP="005E391A">
            <w:pPr>
              <w:jc w:val="center"/>
              <w:rPr>
                <w:rFonts w:eastAsia="Times New Roman"/>
                <w:color w:val="000000"/>
                <w:sz w:val="21"/>
                <w:szCs w:val="21"/>
              </w:rPr>
            </w:pPr>
            <w:r w:rsidRPr="009A452D">
              <w:rPr>
                <w:rFonts w:eastAsia="Times New Roman"/>
                <w:color w:val="000000"/>
                <w:sz w:val="21"/>
                <w:szCs w:val="21"/>
              </w:rPr>
              <w:t>Mean</w:t>
            </w:r>
          </w:p>
        </w:tc>
      </w:tr>
      <w:tr w:rsidR="005E391A" w:rsidRPr="009A452D" w:rsidTr="001221AA">
        <w:trPr>
          <w:cantSplit/>
          <w:trHeight w:val="20"/>
          <w:jc w:val="center"/>
        </w:trPr>
        <w:tc>
          <w:tcPr>
            <w:tcW w:w="464" w:type="dxa"/>
            <w:vMerge/>
            <w:tcBorders>
              <w:top w:val="nil"/>
              <w:left w:val="thinThickThinSmallGap" w:sz="12" w:space="0" w:color="auto"/>
              <w:bottom w:val="double" w:sz="6" w:space="0" w:color="000000"/>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nil"/>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No</w:t>
            </w:r>
          </w:p>
        </w:tc>
        <w:tc>
          <w:tcPr>
            <w:tcW w:w="720" w:type="dxa"/>
            <w:tcBorders>
              <w:top w:val="nil"/>
              <w:left w:val="nil"/>
              <w:bottom w:val="nil"/>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74.72</w:t>
            </w:r>
          </w:p>
        </w:tc>
        <w:tc>
          <w:tcPr>
            <w:tcW w:w="3705" w:type="dxa"/>
            <w:gridSpan w:val="4"/>
            <w:tcBorders>
              <w:top w:val="double" w:sz="6" w:space="0" w:color="auto"/>
              <w:left w:val="double" w:sz="6" w:space="0" w:color="auto"/>
              <w:bottom w:val="nil"/>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Residential density (pop/km²)</w:t>
            </w:r>
          </w:p>
        </w:tc>
        <w:tc>
          <w:tcPr>
            <w:tcW w:w="1939" w:type="dxa"/>
            <w:gridSpan w:val="2"/>
            <w:tcBorders>
              <w:top w:val="double" w:sz="6" w:space="0" w:color="auto"/>
              <w:left w:val="nil"/>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3142.57</w:t>
            </w:r>
          </w:p>
        </w:tc>
      </w:tr>
      <w:tr w:rsidR="005E391A" w:rsidRPr="009A452D" w:rsidTr="001221AA">
        <w:trPr>
          <w:cantSplit/>
          <w:trHeight w:val="20"/>
          <w:jc w:val="center"/>
        </w:trPr>
        <w:tc>
          <w:tcPr>
            <w:tcW w:w="464" w:type="dxa"/>
            <w:vMerge/>
            <w:tcBorders>
              <w:top w:val="nil"/>
              <w:left w:val="thinThickThinSmallGap" w:sz="12" w:space="0" w:color="auto"/>
              <w:bottom w:val="thinThickThinSmallGap" w:sz="12" w:space="0" w:color="auto"/>
              <w:right w:val="double" w:sz="6" w:space="0" w:color="auto"/>
            </w:tcBorders>
            <w:vAlign w:val="center"/>
            <w:hideMark/>
          </w:tcPr>
          <w:p w:rsidR="005E391A" w:rsidRPr="009A452D" w:rsidRDefault="005E391A" w:rsidP="005E391A">
            <w:pPr>
              <w:jc w:val="left"/>
              <w:rPr>
                <w:rFonts w:eastAsia="Times New Roman"/>
                <w:color w:val="000000"/>
                <w:sz w:val="21"/>
                <w:szCs w:val="21"/>
              </w:rPr>
            </w:pPr>
          </w:p>
        </w:tc>
        <w:tc>
          <w:tcPr>
            <w:tcW w:w="4081" w:type="dxa"/>
            <w:tcBorders>
              <w:top w:val="nil"/>
              <w:left w:val="nil"/>
              <w:bottom w:val="thinThickThinSmallGap" w:sz="12" w:space="0" w:color="auto"/>
              <w:right w:val="double" w:sz="6" w:space="0" w:color="auto"/>
            </w:tcBorders>
            <w:shd w:val="clear" w:color="000000" w:fill="FFFFFF"/>
            <w:vAlign w:val="center"/>
            <w:hideMark/>
          </w:tcPr>
          <w:p w:rsidR="005E391A" w:rsidRPr="009A452D" w:rsidRDefault="005E391A" w:rsidP="005E391A">
            <w:pPr>
              <w:rPr>
                <w:rFonts w:eastAsia="Times New Roman"/>
                <w:color w:val="000000"/>
                <w:sz w:val="21"/>
                <w:szCs w:val="21"/>
              </w:rPr>
            </w:pPr>
            <w:r w:rsidRPr="009A452D">
              <w:rPr>
                <w:rFonts w:eastAsia="Times New Roman"/>
                <w:color w:val="000000"/>
                <w:sz w:val="21"/>
                <w:szCs w:val="21"/>
              </w:rPr>
              <w:t>Yes</w:t>
            </w:r>
          </w:p>
        </w:tc>
        <w:tc>
          <w:tcPr>
            <w:tcW w:w="720" w:type="dxa"/>
            <w:tcBorders>
              <w:top w:val="nil"/>
              <w:left w:val="nil"/>
              <w:bottom w:val="thinThickThinSmallGap" w:sz="12" w:space="0" w:color="auto"/>
              <w:right w:val="nil"/>
            </w:tcBorders>
            <w:shd w:val="clear" w:color="000000" w:fill="FFFFFF"/>
            <w:vAlign w:val="center"/>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25.28</w:t>
            </w:r>
          </w:p>
        </w:tc>
        <w:tc>
          <w:tcPr>
            <w:tcW w:w="3705" w:type="dxa"/>
            <w:gridSpan w:val="4"/>
            <w:tcBorders>
              <w:top w:val="nil"/>
              <w:left w:val="double" w:sz="6" w:space="0" w:color="auto"/>
              <w:bottom w:val="thinThickThinSmallGap" w:sz="12" w:space="0" w:color="auto"/>
              <w:right w:val="double" w:sz="6" w:space="0" w:color="000000"/>
            </w:tcBorders>
            <w:shd w:val="clear" w:color="000000" w:fill="FFFFFF"/>
            <w:vAlign w:val="center"/>
            <w:hideMark/>
          </w:tcPr>
          <w:p w:rsidR="005E391A" w:rsidRPr="009A452D" w:rsidRDefault="005E391A" w:rsidP="005E391A">
            <w:pPr>
              <w:jc w:val="left"/>
              <w:rPr>
                <w:rFonts w:eastAsia="Times New Roman"/>
                <w:color w:val="000000"/>
                <w:sz w:val="21"/>
                <w:szCs w:val="21"/>
              </w:rPr>
            </w:pPr>
            <w:r w:rsidRPr="009A452D">
              <w:rPr>
                <w:rFonts w:eastAsia="Times New Roman"/>
                <w:color w:val="000000"/>
                <w:sz w:val="21"/>
                <w:szCs w:val="21"/>
              </w:rPr>
              <w:t>Distance to closest transit stop (km)</w:t>
            </w:r>
          </w:p>
        </w:tc>
        <w:tc>
          <w:tcPr>
            <w:tcW w:w="1939" w:type="dxa"/>
            <w:gridSpan w:val="2"/>
            <w:tcBorders>
              <w:top w:val="nil"/>
              <w:left w:val="nil"/>
              <w:bottom w:val="thinThickThinSmallGap" w:sz="12" w:space="0" w:color="auto"/>
              <w:right w:val="thinThickThinSmallGap" w:sz="12" w:space="0" w:color="auto"/>
            </w:tcBorders>
            <w:shd w:val="clear" w:color="000000" w:fill="FFFFFF"/>
            <w:noWrap/>
            <w:vAlign w:val="bottom"/>
            <w:hideMark/>
          </w:tcPr>
          <w:p w:rsidR="005E391A" w:rsidRPr="009A452D" w:rsidRDefault="005E391A" w:rsidP="005E391A">
            <w:pPr>
              <w:jc w:val="right"/>
              <w:rPr>
                <w:rFonts w:eastAsia="Times New Roman"/>
                <w:color w:val="000000"/>
                <w:sz w:val="21"/>
                <w:szCs w:val="21"/>
              </w:rPr>
            </w:pPr>
            <w:r w:rsidRPr="009A452D">
              <w:rPr>
                <w:rFonts w:eastAsia="Times New Roman"/>
                <w:color w:val="000000"/>
                <w:sz w:val="21"/>
                <w:szCs w:val="21"/>
              </w:rPr>
              <w:t>0.28</w:t>
            </w:r>
          </w:p>
        </w:tc>
      </w:tr>
    </w:tbl>
    <w:p w:rsidR="005E391A" w:rsidRDefault="005E391A" w:rsidP="00CD7807">
      <w:pPr>
        <w:ind w:left="360" w:hanging="360"/>
        <w:jc w:val="left"/>
        <w:rPr>
          <w:sz w:val="20"/>
          <w:szCs w:val="20"/>
        </w:rPr>
        <w:sectPr w:rsidR="005E391A" w:rsidSect="00706E50">
          <w:headerReference w:type="default" r:id="rId75"/>
          <w:footerReference w:type="default" r:id="rId76"/>
          <w:pgSz w:w="15840" w:h="12240" w:orient="landscape"/>
          <w:pgMar w:top="1296" w:right="1440" w:bottom="1152" w:left="1440" w:header="720" w:footer="720" w:gutter="0"/>
          <w:cols w:space="720"/>
          <w:docGrid w:linePitch="360"/>
        </w:sectPr>
      </w:pPr>
    </w:p>
    <w:p w:rsidR="005E391A" w:rsidRPr="009A452D" w:rsidRDefault="00706E50" w:rsidP="005E391A">
      <w:pPr>
        <w:pStyle w:val="Caption"/>
        <w:spacing w:after="0"/>
        <w:ind w:left="360"/>
      </w:pPr>
      <w:r>
        <w:lastRenderedPageBreak/>
        <w:t>TABLE</w:t>
      </w:r>
      <w:r w:rsidR="00B41B52">
        <w:t xml:space="preserve"> 2 </w:t>
      </w:r>
      <w:r w:rsidR="005E391A" w:rsidRPr="009A452D">
        <w:t xml:space="preserve">Results of </w:t>
      </w:r>
      <w:r>
        <w:t>M</w:t>
      </w:r>
      <w:r w:rsidR="005E391A" w:rsidRPr="009A452D">
        <w:t xml:space="preserve">ultivariate </w:t>
      </w:r>
      <w:r>
        <w:t>O</w:t>
      </w:r>
      <w:r w:rsidR="005E391A" w:rsidRPr="009A452D">
        <w:t xml:space="preserve">rdered </w:t>
      </w:r>
      <w:r>
        <w:t>R</w:t>
      </w:r>
      <w:r w:rsidR="005E391A" w:rsidRPr="009A452D">
        <w:t xml:space="preserve">esponse </w:t>
      </w:r>
      <w:r>
        <w:t>M</w:t>
      </w:r>
      <w:r w:rsidR="005E391A" w:rsidRPr="009A452D">
        <w:t xml:space="preserve">odel for </w:t>
      </w:r>
      <w:r>
        <w:t>N</w:t>
      </w:r>
      <w:r w:rsidR="005E391A" w:rsidRPr="009A452D">
        <w:t xml:space="preserve">umber of </w:t>
      </w:r>
      <w:r>
        <w:t>T</w:t>
      </w:r>
      <w:r w:rsidR="005E391A" w:rsidRPr="009A452D">
        <w:t xml:space="preserve">rips by </w:t>
      </w:r>
      <w:r>
        <w:t>Location/P</w:t>
      </w:r>
      <w:r w:rsidR="005E391A" w:rsidRPr="009A452D">
        <w:t>urpose</w:t>
      </w:r>
    </w:p>
    <w:tbl>
      <w:tblPr>
        <w:tblW w:w="14017" w:type="dxa"/>
        <w:jc w:val="center"/>
        <w:tblLook w:val="04A0" w:firstRow="1" w:lastRow="0" w:firstColumn="1" w:lastColumn="0" w:noHBand="0" w:noVBand="1"/>
      </w:tblPr>
      <w:tblGrid>
        <w:gridCol w:w="3420"/>
        <w:gridCol w:w="810"/>
        <w:gridCol w:w="7"/>
        <w:gridCol w:w="893"/>
        <w:gridCol w:w="7"/>
        <w:gridCol w:w="893"/>
        <w:gridCol w:w="7"/>
        <w:gridCol w:w="893"/>
        <w:gridCol w:w="7"/>
        <w:gridCol w:w="893"/>
        <w:gridCol w:w="7"/>
        <w:gridCol w:w="1050"/>
        <w:gridCol w:w="810"/>
        <w:gridCol w:w="900"/>
        <w:gridCol w:w="810"/>
        <w:gridCol w:w="914"/>
        <w:gridCol w:w="796"/>
        <w:gridCol w:w="900"/>
      </w:tblGrid>
      <w:tr w:rsidR="005E391A" w:rsidRPr="005E391A" w:rsidTr="0018093A">
        <w:trPr>
          <w:trHeight w:val="20"/>
          <w:jc w:val="center"/>
        </w:trPr>
        <w:tc>
          <w:tcPr>
            <w:tcW w:w="3420" w:type="dxa"/>
            <w:vMerge w:val="restart"/>
            <w:tcBorders>
              <w:top w:val="double" w:sz="6" w:space="0" w:color="auto"/>
              <w:left w:val="double" w:sz="6" w:space="0" w:color="auto"/>
              <w:bottom w:val="double" w:sz="6" w:space="0" w:color="000000"/>
              <w:right w:val="double" w:sz="6" w:space="0" w:color="auto"/>
            </w:tcBorders>
            <w:shd w:val="clear" w:color="000000" w:fill="FFFFFF"/>
            <w:noWrap/>
            <w:vAlign w:val="center"/>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Variables</w:t>
            </w:r>
          </w:p>
        </w:tc>
        <w:tc>
          <w:tcPr>
            <w:tcW w:w="1710" w:type="dxa"/>
            <w:gridSpan w:val="3"/>
            <w:tcBorders>
              <w:top w:val="double" w:sz="6" w:space="0" w:color="auto"/>
              <w:left w:val="nil"/>
              <w:bottom w:val="nil"/>
              <w:right w:val="double" w:sz="6" w:space="0" w:color="000000"/>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Work</w:t>
            </w:r>
          </w:p>
        </w:tc>
        <w:tc>
          <w:tcPr>
            <w:tcW w:w="1800" w:type="dxa"/>
            <w:gridSpan w:val="4"/>
            <w:tcBorders>
              <w:top w:val="double" w:sz="6" w:space="0" w:color="auto"/>
              <w:left w:val="nil"/>
              <w:bottom w:val="nil"/>
              <w:right w:val="double" w:sz="6" w:space="0" w:color="000000"/>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Airport</w:t>
            </w:r>
          </w:p>
        </w:tc>
        <w:tc>
          <w:tcPr>
            <w:tcW w:w="1957" w:type="dxa"/>
            <w:gridSpan w:val="4"/>
            <w:tcBorders>
              <w:top w:val="double" w:sz="6" w:space="0" w:color="auto"/>
              <w:left w:val="nil"/>
              <w:bottom w:val="nil"/>
              <w:right w:val="double" w:sz="6" w:space="0" w:color="000000"/>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CBD/DMU</w:t>
            </w:r>
          </w:p>
        </w:tc>
        <w:tc>
          <w:tcPr>
            <w:tcW w:w="1710" w:type="dxa"/>
            <w:gridSpan w:val="2"/>
            <w:tcBorders>
              <w:top w:val="double" w:sz="6" w:space="0" w:color="auto"/>
              <w:left w:val="nil"/>
              <w:bottom w:val="nil"/>
              <w:right w:val="double" w:sz="6" w:space="0" w:color="000000"/>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Education</w:t>
            </w:r>
          </w:p>
        </w:tc>
        <w:tc>
          <w:tcPr>
            <w:tcW w:w="1724" w:type="dxa"/>
            <w:gridSpan w:val="2"/>
            <w:tcBorders>
              <w:top w:val="double" w:sz="6" w:space="0" w:color="auto"/>
              <w:left w:val="nil"/>
              <w:bottom w:val="nil"/>
              <w:right w:val="double" w:sz="6" w:space="0" w:color="000000"/>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Commercial</w:t>
            </w:r>
          </w:p>
        </w:tc>
        <w:tc>
          <w:tcPr>
            <w:tcW w:w="1696" w:type="dxa"/>
            <w:gridSpan w:val="2"/>
            <w:tcBorders>
              <w:top w:val="double" w:sz="6" w:space="0" w:color="auto"/>
              <w:left w:val="nil"/>
              <w:bottom w:val="nil"/>
              <w:right w:val="double" w:sz="6" w:space="0" w:color="000000"/>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Recreation</w:t>
            </w:r>
          </w:p>
        </w:tc>
      </w:tr>
      <w:tr w:rsidR="005E391A" w:rsidRPr="005E391A" w:rsidTr="0018093A">
        <w:trPr>
          <w:trHeight w:val="20"/>
          <w:jc w:val="center"/>
        </w:trPr>
        <w:tc>
          <w:tcPr>
            <w:tcW w:w="3420" w:type="dxa"/>
            <w:vMerge/>
            <w:tcBorders>
              <w:top w:val="double" w:sz="6" w:space="0" w:color="auto"/>
              <w:left w:val="double" w:sz="6" w:space="0" w:color="auto"/>
              <w:bottom w:val="double" w:sz="6" w:space="0" w:color="000000"/>
              <w:right w:val="double" w:sz="6" w:space="0" w:color="auto"/>
            </w:tcBorders>
            <w:vAlign w:val="center"/>
            <w:hideMark/>
          </w:tcPr>
          <w:p w:rsidR="005E391A" w:rsidRPr="005E391A" w:rsidRDefault="005E391A" w:rsidP="005E391A">
            <w:pPr>
              <w:jc w:val="left"/>
              <w:rPr>
                <w:rFonts w:eastAsia="Times New Roman"/>
                <w:b/>
                <w:bCs/>
                <w:color w:val="000000"/>
                <w:sz w:val="20"/>
                <w:szCs w:val="20"/>
              </w:rPr>
            </w:pP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Value</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t-stat</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Value</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t-stat</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Value</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t-stat</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Value</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t-stat</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Value</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t-stat</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Value</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center"/>
              <w:rPr>
                <w:rFonts w:eastAsia="Times New Roman"/>
                <w:color w:val="000000"/>
                <w:sz w:val="20"/>
                <w:szCs w:val="20"/>
              </w:rPr>
            </w:pPr>
            <w:r w:rsidRPr="005E391A">
              <w:rPr>
                <w:rFonts w:eastAsia="Times New Roman"/>
                <w:color w:val="000000"/>
                <w:sz w:val="20"/>
                <w:szCs w:val="20"/>
              </w:rPr>
              <w:t>t-stat</w:t>
            </w:r>
          </w:p>
        </w:tc>
      </w:tr>
      <w:tr w:rsidR="005E391A" w:rsidRPr="005E391A" w:rsidTr="0018093A">
        <w:trPr>
          <w:trHeight w:val="20"/>
          <w:jc w:val="center"/>
        </w:trPr>
        <w:tc>
          <w:tcPr>
            <w:tcW w:w="3420" w:type="dxa"/>
            <w:tcBorders>
              <w:top w:val="nil"/>
              <w:left w:val="double" w:sz="6" w:space="0" w:color="auto"/>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Age</w:t>
            </w:r>
            <w:r w:rsidRPr="005E391A">
              <w:rPr>
                <w:rFonts w:eastAsia="Times New Roman"/>
                <w:i/>
                <w:iCs/>
                <w:color w:val="000000"/>
                <w:sz w:val="20"/>
                <w:szCs w:val="20"/>
              </w:rPr>
              <w:t xml:space="preserve"> (Base: Between 18 and 24)</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1057"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Between 25 and 44</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-0.132</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-33.802</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0.176</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43.008</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0.111</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21.392</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-0.470</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-83.465</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-0.090</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-17.214</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Between 45 and 64</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-0.132</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-33.802</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0.176</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43.008</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0.130</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21.988</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-0.470</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-83.465</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-0.041</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-6.843</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3420" w:type="dxa"/>
            <w:tcBorders>
              <w:top w:val="nil"/>
              <w:left w:val="double" w:sz="6" w:space="0" w:color="auto"/>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65 and older</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-0.132</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-33.802</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0.176</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43.008</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0.160</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21.483</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-0.470</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-83.465</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-0.077</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-10.140</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3420" w:type="dxa"/>
            <w:tcBorders>
              <w:top w:val="nil"/>
              <w:left w:val="double" w:sz="6" w:space="0" w:color="auto"/>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Gender</w:t>
            </w:r>
            <w:r w:rsidRPr="005E391A">
              <w:rPr>
                <w:rFonts w:eastAsia="Times New Roman"/>
                <w:i/>
                <w:iCs/>
                <w:color w:val="000000"/>
                <w:sz w:val="20"/>
                <w:szCs w:val="20"/>
              </w:rPr>
              <w:t xml:space="preserve"> (Base: Female)</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1057"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Male</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0.013</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3.467</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0.029</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8.084</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0.031</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5.836</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0.046</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12.320</w:t>
            </w:r>
          </w:p>
        </w:tc>
      </w:tr>
      <w:tr w:rsidR="005E391A" w:rsidRPr="005E391A" w:rsidTr="0018093A">
        <w:trPr>
          <w:trHeight w:val="20"/>
          <w:jc w:val="center"/>
        </w:trPr>
        <w:tc>
          <w:tcPr>
            <w:tcW w:w="3420" w:type="dxa"/>
            <w:tcBorders>
              <w:top w:val="nil"/>
              <w:left w:val="double" w:sz="6" w:space="0" w:color="auto"/>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Race</w:t>
            </w:r>
            <w:r w:rsidRPr="005E391A">
              <w:rPr>
                <w:rFonts w:eastAsia="Times New Roman"/>
                <w:i/>
                <w:iCs/>
                <w:color w:val="000000"/>
                <w:sz w:val="20"/>
                <w:szCs w:val="20"/>
              </w:rPr>
              <w:t xml:space="preserve"> (Base: White)</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1057"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Black/African American</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0.016</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1.914</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-0.234</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-25.375</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-0.193</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-24.053</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0.046</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5.737</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-0.077</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-8.940</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Asian</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0.113</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14.923</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-0.034</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-6.315</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0.032</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3.199</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0.017</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2.349</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3420" w:type="dxa"/>
            <w:tcBorders>
              <w:top w:val="nil"/>
              <w:left w:val="double" w:sz="6" w:space="0" w:color="auto"/>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Other</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0.045</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7.135</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-0.034</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-6.315</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-0.049</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-8.027</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-0.051</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-7.713</w:t>
            </w:r>
          </w:p>
        </w:tc>
      </w:tr>
      <w:tr w:rsidR="005E391A" w:rsidRPr="005E391A" w:rsidTr="0018093A">
        <w:trPr>
          <w:trHeight w:val="20"/>
          <w:jc w:val="center"/>
        </w:trPr>
        <w:tc>
          <w:tcPr>
            <w:tcW w:w="3420" w:type="dxa"/>
            <w:tcBorders>
              <w:top w:val="nil"/>
              <w:left w:val="double" w:sz="6" w:space="0" w:color="auto"/>
              <w:bottom w:val="double" w:sz="6" w:space="0" w:color="auto"/>
              <w:right w:val="nil"/>
            </w:tcBorders>
            <w:shd w:val="clear" w:color="000000" w:fill="D9D9D9"/>
            <w:noWrap/>
            <w:vAlign w:val="bottom"/>
            <w:hideMark/>
          </w:tcPr>
          <w:p w:rsidR="005E391A" w:rsidRPr="005E391A" w:rsidRDefault="005E391A" w:rsidP="001221AA">
            <w:pPr>
              <w:jc w:val="left"/>
              <w:rPr>
                <w:rFonts w:eastAsia="Times New Roman"/>
                <w:b/>
                <w:bCs/>
                <w:color w:val="000000"/>
                <w:sz w:val="20"/>
                <w:szCs w:val="20"/>
              </w:rPr>
            </w:pPr>
            <w:r w:rsidRPr="005E391A">
              <w:rPr>
                <w:rFonts w:eastAsia="Times New Roman"/>
                <w:b/>
                <w:bCs/>
                <w:color w:val="000000"/>
                <w:sz w:val="20"/>
                <w:szCs w:val="20"/>
              </w:rPr>
              <w:t xml:space="preserve">Hispanic </w:t>
            </w:r>
            <w:r w:rsidR="001221AA">
              <w:rPr>
                <w:rFonts w:eastAsia="Times New Roman"/>
                <w:b/>
                <w:bCs/>
                <w:color w:val="000000"/>
                <w:sz w:val="20"/>
                <w:szCs w:val="20"/>
              </w:rPr>
              <w:t>E</w:t>
            </w:r>
            <w:r w:rsidRPr="005E391A">
              <w:rPr>
                <w:rFonts w:eastAsia="Times New Roman"/>
                <w:b/>
                <w:bCs/>
                <w:color w:val="000000"/>
                <w:sz w:val="20"/>
                <w:szCs w:val="20"/>
              </w:rPr>
              <w:t>thnicity</w:t>
            </w:r>
            <w:r w:rsidRPr="005E391A">
              <w:rPr>
                <w:rFonts w:eastAsia="Times New Roman"/>
                <w:i/>
                <w:iCs/>
                <w:color w:val="000000"/>
                <w:sz w:val="20"/>
                <w:szCs w:val="20"/>
              </w:rPr>
              <w:t xml:space="preserve"> (Base: No)</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1057"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Yes</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-0.044</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-9.770</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-0.073</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-15.844</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-0.126</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-29.992</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-0.113</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-17.837</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0.036</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8.780</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-0.041</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-9.335</w:t>
            </w:r>
          </w:p>
        </w:tc>
      </w:tr>
      <w:tr w:rsidR="005E391A" w:rsidRPr="005E391A" w:rsidTr="0018093A">
        <w:trPr>
          <w:trHeight w:val="20"/>
          <w:jc w:val="center"/>
        </w:trPr>
        <w:tc>
          <w:tcPr>
            <w:tcW w:w="5137" w:type="dxa"/>
            <w:gridSpan w:val="5"/>
            <w:tcBorders>
              <w:top w:val="double" w:sz="6" w:space="0" w:color="auto"/>
              <w:left w:val="double" w:sz="6" w:space="0" w:color="auto"/>
              <w:bottom w:val="double" w:sz="6" w:space="0" w:color="auto"/>
              <w:right w:val="nil"/>
            </w:tcBorders>
            <w:shd w:val="clear" w:color="000000" w:fill="D9D9D9"/>
            <w:noWrap/>
            <w:vAlign w:val="bottom"/>
            <w:hideMark/>
          </w:tcPr>
          <w:p w:rsidR="005E391A" w:rsidRPr="005E391A" w:rsidRDefault="005E391A" w:rsidP="001221AA">
            <w:pPr>
              <w:jc w:val="left"/>
              <w:rPr>
                <w:rFonts w:eastAsia="Times New Roman"/>
                <w:b/>
                <w:bCs/>
                <w:color w:val="000000"/>
                <w:sz w:val="20"/>
                <w:szCs w:val="20"/>
              </w:rPr>
            </w:pPr>
            <w:r w:rsidRPr="005E391A">
              <w:rPr>
                <w:rFonts w:eastAsia="Times New Roman"/>
                <w:b/>
                <w:bCs/>
                <w:color w:val="000000"/>
                <w:sz w:val="20"/>
                <w:szCs w:val="20"/>
              </w:rPr>
              <w:t xml:space="preserve">Presence of </w:t>
            </w:r>
            <w:r w:rsidR="001221AA">
              <w:rPr>
                <w:rFonts w:eastAsia="Times New Roman"/>
                <w:b/>
                <w:bCs/>
                <w:color w:val="000000"/>
                <w:sz w:val="20"/>
                <w:szCs w:val="20"/>
              </w:rPr>
              <w:t>C</w:t>
            </w:r>
            <w:r w:rsidRPr="005E391A">
              <w:rPr>
                <w:rFonts w:eastAsia="Times New Roman"/>
                <w:b/>
                <w:bCs/>
                <w:color w:val="000000"/>
                <w:sz w:val="20"/>
                <w:szCs w:val="20"/>
              </w:rPr>
              <w:t xml:space="preserve">hildren in </w:t>
            </w:r>
            <w:r w:rsidR="001221AA">
              <w:rPr>
                <w:rFonts w:eastAsia="Times New Roman"/>
                <w:b/>
                <w:bCs/>
                <w:color w:val="000000"/>
                <w:sz w:val="20"/>
                <w:szCs w:val="20"/>
              </w:rPr>
              <w:t>H</w:t>
            </w:r>
            <w:r w:rsidRPr="005E391A">
              <w:rPr>
                <w:rFonts w:eastAsia="Times New Roman"/>
                <w:b/>
                <w:bCs/>
                <w:color w:val="000000"/>
                <w:sz w:val="20"/>
                <w:szCs w:val="20"/>
              </w:rPr>
              <w:t>ousehold</w:t>
            </w:r>
            <w:r w:rsidRPr="005E391A">
              <w:rPr>
                <w:rFonts w:eastAsia="Times New Roman"/>
                <w:i/>
                <w:iCs/>
                <w:color w:val="000000"/>
                <w:sz w:val="20"/>
                <w:szCs w:val="20"/>
              </w:rPr>
              <w:t xml:space="preserve"> (Base: No)</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105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Yes</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-0.077</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-14.689</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-0.041</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-7.616</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-0.158</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-31.852</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-0.104</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-12.885</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-0.021</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-4.234</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-0.065</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-12.372</w:t>
            </w:r>
          </w:p>
        </w:tc>
      </w:tr>
      <w:tr w:rsidR="005E391A" w:rsidRPr="005E391A" w:rsidTr="0018093A">
        <w:trPr>
          <w:trHeight w:val="20"/>
          <w:jc w:val="center"/>
        </w:trPr>
        <w:tc>
          <w:tcPr>
            <w:tcW w:w="3420" w:type="dxa"/>
            <w:tcBorders>
              <w:top w:val="nil"/>
              <w:left w:val="double" w:sz="6" w:space="0" w:color="auto"/>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rFonts w:eastAsia="Times New Roman"/>
                <w:b/>
                <w:bCs/>
                <w:color w:val="000000"/>
                <w:sz w:val="20"/>
                <w:szCs w:val="20"/>
              </w:rPr>
              <w:t>Income</w:t>
            </w:r>
            <w:r w:rsidRPr="005E391A">
              <w:rPr>
                <w:rFonts w:eastAsia="Times New Roman"/>
                <w:i/>
                <w:iCs/>
                <w:color w:val="000000"/>
                <w:sz w:val="20"/>
                <w:szCs w:val="20"/>
              </w:rPr>
              <w:t xml:space="preserve"> (Base: Up to $49,999)</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1057"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Between $50,000 and $99,999</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0.034</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7.171</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0.066</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13.282</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-0.108</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-15.611</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-0.045</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-10.195</w:t>
            </w:r>
          </w:p>
        </w:tc>
        <w:tc>
          <w:tcPr>
            <w:tcW w:w="796" w:type="dxa"/>
            <w:tcBorders>
              <w:top w:val="nil"/>
              <w:left w:val="nil"/>
              <w:bottom w:val="nil"/>
              <w:right w:val="nil"/>
            </w:tcBorders>
            <w:shd w:val="clear" w:color="000000" w:fill="FFFFFF"/>
            <w:noWrap/>
            <w:vAlign w:val="bottom"/>
            <w:hideMark/>
          </w:tcPr>
          <w:p w:rsidR="005E391A" w:rsidRPr="005E391A" w:rsidRDefault="005E391A" w:rsidP="0018093A">
            <w:pPr>
              <w:jc w:val="right"/>
              <w:rPr>
                <w:rFonts w:eastAsia="Times New Roman"/>
                <w:color w:val="000000"/>
                <w:sz w:val="20"/>
                <w:szCs w:val="20"/>
              </w:rPr>
            </w:pPr>
            <w:r w:rsidRPr="005E391A">
              <w:rPr>
                <w:color w:val="000000"/>
                <w:sz w:val="20"/>
                <w:szCs w:val="20"/>
              </w:rPr>
              <w:t>0.032</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18093A">
            <w:pPr>
              <w:jc w:val="right"/>
              <w:rPr>
                <w:rFonts w:eastAsia="Times New Roman"/>
                <w:color w:val="000000"/>
                <w:sz w:val="20"/>
                <w:szCs w:val="20"/>
              </w:rPr>
            </w:pPr>
            <w:r w:rsidRPr="005E391A">
              <w:rPr>
                <w:color w:val="000000"/>
                <w:sz w:val="20"/>
                <w:szCs w:val="20"/>
              </w:rPr>
              <w:t>8.151</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Between $100,000 and $149,999</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-0.043</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-6.971</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0.153</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24.130</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0.094</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17.597</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-0.145</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-20.065</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-0.073</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-12.753</w:t>
            </w:r>
          </w:p>
        </w:tc>
        <w:tc>
          <w:tcPr>
            <w:tcW w:w="796" w:type="dxa"/>
            <w:tcBorders>
              <w:top w:val="nil"/>
              <w:left w:val="nil"/>
              <w:bottom w:val="nil"/>
              <w:right w:val="nil"/>
            </w:tcBorders>
            <w:shd w:val="clear" w:color="000000" w:fill="FFFFFF"/>
            <w:noWrap/>
            <w:vAlign w:val="bottom"/>
            <w:hideMark/>
          </w:tcPr>
          <w:p w:rsidR="005E391A" w:rsidRPr="005E391A" w:rsidRDefault="005E391A" w:rsidP="0018093A">
            <w:pPr>
              <w:jc w:val="right"/>
              <w:rPr>
                <w:rFonts w:eastAsia="Times New Roman"/>
                <w:color w:val="000000"/>
                <w:sz w:val="20"/>
                <w:szCs w:val="20"/>
              </w:rPr>
            </w:pPr>
            <w:r w:rsidRPr="005E391A">
              <w:rPr>
                <w:color w:val="000000"/>
                <w:sz w:val="20"/>
                <w:szCs w:val="20"/>
              </w:rPr>
              <w:t>0.032</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18093A">
            <w:pPr>
              <w:jc w:val="right"/>
              <w:rPr>
                <w:rFonts w:eastAsia="Times New Roman"/>
                <w:color w:val="000000"/>
                <w:sz w:val="20"/>
                <w:szCs w:val="20"/>
              </w:rPr>
            </w:pPr>
            <w:r w:rsidRPr="005E391A">
              <w:rPr>
                <w:color w:val="000000"/>
                <w:sz w:val="20"/>
                <w:szCs w:val="20"/>
              </w:rPr>
              <w:t>8.151</w:t>
            </w:r>
          </w:p>
        </w:tc>
      </w:tr>
      <w:tr w:rsidR="005E391A" w:rsidRPr="005E391A" w:rsidTr="0018093A">
        <w:trPr>
          <w:trHeight w:val="20"/>
          <w:jc w:val="center"/>
        </w:trPr>
        <w:tc>
          <w:tcPr>
            <w:tcW w:w="3420" w:type="dxa"/>
            <w:tcBorders>
              <w:top w:val="nil"/>
              <w:left w:val="double" w:sz="6" w:space="0" w:color="auto"/>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$150,000 or more</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-0.065</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-10.836</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0.229</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38.671</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0.255</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50.010</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-0.145</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-20.065</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-0.115</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-20.684</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18093A">
            <w:pPr>
              <w:jc w:val="right"/>
              <w:rPr>
                <w:rFonts w:eastAsia="Times New Roman"/>
                <w:color w:val="000000"/>
                <w:sz w:val="20"/>
                <w:szCs w:val="20"/>
              </w:rPr>
            </w:pPr>
            <w:r w:rsidRPr="005E391A">
              <w:rPr>
                <w:color w:val="000000"/>
                <w:sz w:val="20"/>
                <w:szCs w:val="20"/>
              </w:rPr>
              <w:t>0.032</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18093A">
            <w:pPr>
              <w:jc w:val="right"/>
              <w:rPr>
                <w:rFonts w:eastAsia="Times New Roman"/>
                <w:color w:val="000000"/>
                <w:sz w:val="20"/>
                <w:szCs w:val="20"/>
              </w:rPr>
            </w:pPr>
            <w:r w:rsidRPr="005E391A">
              <w:rPr>
                <w:color w:val="000000"/>
                <w:sz w:val="20"/>
                <w:szCs w:val="20"/>
              </w:rPr>
              <w:t>8.151</w:t>
            </w:r>
          </w:p>
        </w:tc>
      </w:tr>
      <w:tr w:rsidR="005E391A" w:rsidRPr="005E391A" w:rsidTr="0018093A">
        <w:trPr>
          <w:trHeight w:val="20"/>
          <w:jc w:val="center"/>
        </w:trPr>
        <w:tc>
          <w:tcPr>
            <w:tcW w:w="4237" w:type="dxa"/>
            <w:gridSpan w:val="3"/>
            <w:tcBorders>
              <w:top w:val="double" w:sz="6" w:space="0" w:color="auto"/>
              <w:left w:val="double" w:sz="6" w:space="0" w:color="auto"/>
              <w:bottom w:val="double" w:sz="6" w:space="0" w:color="auto"/>
              <w:right w:val="nil"/>
            </w:tcBorders>
            <w:shd w:val="clear" w:color="000000" w:fill="D9D9D9"/>
            <w:noWrap/>
            <w:vAlign w:val="bottom"/>
            <w:hideMark/>
          </w:tcPr>
          <w:p w:rsidR="005E391A" w:rsidRPr="005E391A" w:rsidRDefault="005E391A" w:rsidP="001221AA">
            <w:pPr>
              <w:jc w:val="left"/>
              <w:rPr>
                <w:rFonts w:eastAsia="Times New Roman"/>
                <w:b/>
                <w:bCs/>
                <w:color w:val="000000"/>
                <w:sz w:val="20"/>
                <w:szCs w:val="20"/>
              </w:rPr>
            </w:pPr>
            <w:r w:rsidRPr="005E391A">
              <w:rPr>
                <w:rFonts w:eastAsia="Times New Roman"/>
                <w:b/>
                <w:bCs/>
                <w:color w:val="000000"/>
                <w:sz w:val="20"/>
                <w:szCs w:val="20"/>
              </w:rPr>
              <w:t xml:space="preserve">Vehicles in </w:t>
            </w:r>
            <w:r w:rsidR="001221AA">
              <w:rPr>
                <w:rFonts w:eastAsia="Times New Roman"/>
                <w:b/>
                <w:bCs/>
                <w:color w:val="000000"/>
                <w:sz w:val="20"/>
                <w:szCs w:val="20"/>
              </w:rPr>
              <w:t>H</w:t>
            </w:r>
            <w:r w:rsidRPr="005E391A">
              <w:rPr>
                <w:rFonts w:eastAsia="Times New Roman"/>
                <w:b/>
                <w:bCs/>
                <w:color w:val="000000"/>
                <w:sz w:val="20"/>
                <w:szCs w:val="20"/>
              </w:rPr>
              <w:t>ousehold</w:t>
            </w:r>
            <w:r w:rsidRPr="005E391A">
              <w:rPr>
                <w:rFonts w:eastAsia="Times New Roman"/>
                <w:i/>
                <w:iCs/>
                <w:color w:val="000000"/>
                <w:sz w:val="20"/>
                <w:szCs w:val="20"/>
              </w:rPr>
              <w:t xml:space="preserve"> (Base: 0 vehicles)</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105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1 vehicle</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-0.026</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-5.465</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0.029</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4.219</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0.071</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11.310</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-0.095</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-14.794</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-0.017</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-2.715</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0.040</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6.060</w:t>
            </w:r>
          </w:p>
        </w:tc>
      </w:tr>
      <w:tr w:rsidR="005E391A" w:rsidRPr="005E391A" w:rsidTr="0018093A">
        <w:trPr>
          <w:trHeight w:val="20"/>
          <w:jc w:val="center"/>
        </w:trPr>
        <w:tc>
          <w:tcPr>
            <w:tcW w:w="3420" w:type="dxa"/>
            <w:tcBorders>
              <w:top w:val="nil"/>
              <w:left w:val="double" w:sz="6" w:space="0" w:color="auto"/>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2 or more vehicles</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-0.026</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-5.465</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0.029</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4.219</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0.020</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3.101</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-0.095</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-14.794</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-0.047</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-7.325</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0.020</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2.978</w:t>
            </w:r>
          </w:p>
        </w:tc>
      </w:tr>
      <w:tr w:rsidR="005E391A" w:rsidRPr="005E391A" w:rsidTr="0018093A">
        <w:trPr>
          <w:trHeight w:val="20"/>
          <w:jc w:val="center"/>
        </w:trPr>
        <w:tc>
          <w:tcPr>
            <w:tcW w:w="3420" w:type="dxa"/>
            <w:tcBorders>
              <w:top w:val="nil"/>
              <w:left w:val="double" w:sz="6" w:space="0" w:color="auto"/>
              <w:bottom w:val="double" w:sz="6" w:space="0" w:color="auto"/>
              <w:right w:val="nil"/>
            </w:tcBorders>
            <w:shd w:val="clear" w:color="000000" w:fill="D9D9D9"/>
            <w:noWrap/>
            <w:vAlign w:val="bottom"/>
            <w:hideMark/>
          </w:tcPr>
          <w:p w:rsidR="005E391A" w:rsidRPr="005E391A" w:rsidRDefault="005E391A" w:rsidP="001221AA">
            <w:pPr>
              <w:jc w:val="left"/>
              <w:rPr>
                <w:rFonts w:eastAsia="Times New Roman"/>
                <w:b/>
                <w:bCs/>
                <w:color w:val="000000"/>
                <w:sz w:val="20"/>
                <w:szCs w:val="20"/>
              </w:rPr>
            </w:pPr>
            <w:r w:rsidRPr="005E391A">
              <w:rPr>
                <w:rFonts w:eastAsia="Times New Roman"/>
                <w:b/>
                <w:bCs/>
                <w:color w:val="000000"/>
                <w:sz w:val="20"/>
                <w:szCs w:val="20"/>
              </w:rPr>
              <w:t xml:space="preserve">Continuous </w:t>
            </w:r>
            <w:r w:rsidR="001221AA">
              <w:rPr>
                <w:rFonts w:eastAsia="Times New Roman"/>
                <w:b/>
                <w:bCs/>
                <w:color w:val="000000"/>
                <w:sz w:val="20"/>
                <w:szCs w:val="20"/>
              </w:rPr>
              <w:t>V</w:t>
            </w:r>
            <w:r w:rsidRPr="005E391A">
              <w:rPr>
                <w:rFonts w:eastAsia="Times New Roman"/>
                <w:b/>
                <w:bCs/>
                <w:color w:val="000000"/>
                <w:sz w:val="20"/>
                <w:szCs w:val="20"/>
              </w:rPr>
              <w:t>ariables</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1057"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Residential density (pop x 1.000/km²)</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0.015</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22.968</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-0.005</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-6.667</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0.013</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21.084</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0.031</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39.219</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0.016</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25.404</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-0.005</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-7.993</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Distance to closest transit stop (km)</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0.073</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17.955</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-0.156</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-37.673</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-0.383</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-101.848</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-0.261</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-40.162</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-0.165</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-40.876</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-0.191</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-39.508</w:t>
            </w:r>
          </w:p>
        </w:tc>
      </w:tr>
      <w:tr w:rsidR="005E391A" w:rsidRPr="005E391A" w:rsidTr="0018093A">
        <w:trPr>
          <w:trHeight w:val="20"/>
          <w:jc w:val="center"/>
        </w:trPr>
        <w:tc>
          <w:tcPr>
            <w:tcW w:w="3420" w:type="dxa"/>
            <w:tcBorders>
              <w:top w:val="double" w:sz="6" w:space="0" w:color="auto"/>
              <w:left w:val="double" w:sz="6" w:space="0" w:color="auto"/>
              <w:bottom w:val="double" w:sz="6" w:space="0" w:color="auto"/>
              <w:right w:val="nil"/>
            </w:tcBorders>
            <w:shd w:val="clear" w:color="000000" w:fill="D9D9D9"/>
            <w:noWrap/>
            <w:vAlign w:val="bottom"/>
            <w:hideMark/>
          </w:tcPr>
          <w:p w:rsidR="005E391A" w:rsidRPr="005E391A" w:rsidRDefault="005E391A" w:rsidP="001221AA">
            <w:pPr>
              <w:jc w:val="left"/>
              <w:rPr>
                <w:rFonts w:eastAsia="Times New Roman"/>
                <w:b/>
                <w:bCs/>
                <w:color w:val="000000"/>
                <w:sz w:val="20"/>
                <w:szCs w:val="20"/>
              </w:rPr>
            </w:pPr>
            <w:r w:rsidRPr="005E391A">
              <w:rPr>
                <w:rFonts w:eastAsia="Times New Roman"/>
                <w:b/>
                <w:bCs/>
                <w:color w:val="000000"/>
                <w:sz w:val="20"/>
                <w:szCs w:val="20"/>
              </w:rPr>
              <w:t xml:space="preserve">Correlation </w:t>
            </w:r>
            <w:r w:rsidR="001221AA">
              <w:rPr>
                <w:rFonts w:eastAsia="Times New Roman"/>
                <w:b/>
                <w:bCs/>
                <w:color w:val="000000"/>
                <w:sz w:val="20"/>
                <w:szCs w:val="20"/>
              </w:rPr>
              <w:t>T</w:t>
            </w:r>
            <w:r w:rsidRPr="005E391A">
              <w:rPr>
                <w:rFonts w:eastAsia="Times New Roman"/>
                <w:b/>
                <w:bCs/>
                <w:color w:val="000000"/>
                <w:sz w:val="20"/>
                <w:szCs w:val="20"/>
              </w:rPr>
              <w:t>erms</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1057" w:type="dxa"/>
            <w:gridSpan w:val="2"/>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810"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14"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796" w:type="dxa"/>
            <w:tcBorders>
              <w:top w:val="nil"/>
              <w:left w:val="nil"/>
              <w:bottom w:val="double" w:sz="6" w:space="0" w:color="auto"/>
              <w:right w:val="nil"/>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c>
          <w:tcPr>
            <w:tcW w:w="900" w:type="dxa"/>
            <w:tcBorders>
              <w:top w:val="nil"/>
              <w:left w:val="nil"/>
              <w:bottom w:val="double" w:sz="6" w:space="0" w:color="auto"/>
              <w:right w:val="double" w:sz="6" w:space="0" w:color="auto"/>
            </w:tcBorders>
            <w:shd w:val="clear" w:color="000000" w:fill="D9D9D9"/>
            <w:noWrap/>
            <w:vAlign w:val="bottom"/>
            <w:hideMark/>
          </w:tcPr>
          <w:p w:rsidR="005E391A" w:rsidRPr="005E391A" w:rsidRDefault="005E391A" w:rsidP="005E391A">
            <w:pPr>
              <w:jc w:val="left"/>
              <w:rPr>
                <w:rFonts w:eastAsia="Times New Roman"/>
                <w:b/>
                <w:bCs/>
                <w:color w:val="000000"/>
                <w:sz w:val="20"/>
                <w:szCs w:val="20"/>
              </w:rPr>
            </w:pPr>
            <w:r w:rsidRPr="005E391A">
              <w:rPr>
                <w:b/>
                <w:bCs/>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Airport</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-0.048</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-4.181</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CBD/DMU</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0.044</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4.510</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0.183</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18.163</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Education</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0.084</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5.558</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3420" w:type="dxa"/>
            <w:tcBorders>
              <w:top w:val="nil"/>
              <w:left w:val="double" w:sz="6" w:space="0" w:color="auto"/>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Commercial</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0.257</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30.271</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-0.035</w:t>
            </w:r>
          </w:p>
        </w:tc>
        <w:tc>
          <w:tcPr>
            <w:tcW w:w="900"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-3.241</w:t>
            </w:r>
          </w:p>
        </w:tc>
        <w:tc>
          <w:tcPr>
            <w:tcW w:w="900" w:type="dxa"/>
            <w:gridSpan w:val="2"/>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0.050</w:t>
            </w:r>
          </w:p>
        </w:tc>
        <w:tc>
          <w:tcPr>
            <w:tcW w:w="1057" w:type="dxa"/>
            <w:gridSpan w:val="2"/>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5.474</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0.161</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12.055</w:t>
            </w:r>
          </w:p>
        </w:tc>
        <w:tc>
          <w:tcPr>
            <w:tcW w:w="810"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14"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796" w:type="dxa"/>
            <w:tcBorders>
              <w:top w:val="nil"/>
              <w:left w:val="nil"/>
              <w:bottom w:val="nil"/>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nil"/>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3420" w:type="dxa"/>
            <w:tcBorders>
              <w:top w:val="nil"/>
              <w:left w:val="double" w:sz="6" w:space="0" w:color="auto"/>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Recreation</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0.095</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8.628</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0.098</w:t>
            </w:r>
          </w:p>
        </w:tc>
        <w:tc>
          <w:tcPr>
            <w:tcW w:w="900"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8.685</w:t>
            </w:r>
          </w:p>
        </w:tc>
        <w:tc>
          <w:tcPr>
            <w:tcW w:w="900" w:type="dxa"/>
            <w:gridSpan w:val="2"/>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0.324</w:t>
            </w:r>
          </w:p>
        </w:tc>
        <w:tc>
          <w:tcPr>
            <w:tcW w:w="1057" w:type="dxa"/>
            <w:gridSpan w:val="2"/>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40.483</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0.063</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4.361</w:t>
            </w:r>
          </w:p>
        </w:tc>
        <w:tc>
          <w:tcPr>
            <w:tcW w:w="810"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0.133</w:t>
            </w:r>
          </w:p>
        </w:tc>
        <w:tc>
          <w:tcPr>
            <w:tcW w:w="914"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right"/>
              <w:rPr>
                <w:rFonts w:eastAsia="Times New Roman"/>
                <w:color w:val="000000"/>
                <w:sz w:val="20"/>
                <w:szCs w:val="20"/>
              </w:rPr>
            </w:pPr>
            <w:r w:rsidRPr="005E391A">
              <w:rPr>
                <w:color w:val="000000"/>
                <w:sz w:val="20"/>
                <w:szCs w:val="20"/>
              </w:rPr>
              <w:t>13.619</w:t>
            </w:r>
          </w:p>
        </w:tc>
        <w:tc>
          <w:tcPr>
            <w:tcW w:w="796" w:type="dxa"/>
            <w:tcBorders>
              <w:top w:val="nil"/>
              <w:left w:val="nil"/>
              <w:bottom w:val="double" w:sz="6" w:space="0" w:color="auto"/>
              <w:right w:val="nil"/>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c>
          <w:tcPr>
            <w:tcW w:w="900" w:type="dxa"/>
            <w:tcBorders>
              <w:top w:val="nil"/>
              <w:left w:val="nil"/>
              <w:bottom w:val="double" w:sz="6" w:space="0" w:color="auto"/>
              <w:right w:val="double" w:sz="6" w:space="0" w:color="auto"/>
            </w:tcBorders>
            <w:shd w:val="clear" w:color="000000" w:fill="FFFFFF"/>
            <w:noWrap/>
            <w:vAlign w:val="bottom"/>
            <w:hideMark/>
          </w:tcPr>
          <w:p w:rsidR="005E391A" w:rsidRPr="005E391A" w:rsidRDefault="005E391A" w:rsidP="005E391A">
            <w:pPr>
              <w:jc w:val="left"/>
              <w:rPr>
                <w:rFonts w:eastAsia="Times New Roman"/>
                <w:color w:val="000000"/>
                <w:sz w:val="20"/>
                <w:szCs w:val="20"/>
              </w:rPr>
            </w:pPr>
            <w:r w:rsidRPr="005E391A">
              <w:rPr>
                <w:color w:val="000000"/>
                <w:sz w:val="20"/>
                <w:szCs w:val="20"/>
              </w:rPr>
              <w:t> </w:t>
            </w:r>
          </w:p>
        </w:tc>
      </w:tr>
      <w:tr w:rsidR="005E391A" w:rsidRPr="005E391A" w:rsidTr="0018093A">
        <w:trPr>
          <w:trHeight w:val="20"/>
          <w:jc w:val="center"/>
        </w:trPr>
        <w:tc>
          <w:tcPr>
            <w:tcW w:w="14017" w:type="dxa"/>
            <w:gridSpan w:val="18"/>
            <w:tcBorders>
              <w:top w:val="double" w:sz="6" w:space="0" w:color="auto"/>
              <w:left w:val="double" w:sz="6" w:space="0" w:color="auto"/>
              <w:bottom w:val="nil"/>
              <w:right w:val="double" w:sz="6" w:space="0" w:color="000000"/>
            </w:tcBorders>
            <w:shd w:val="clear" w:color="000000" w:fill="FFFFFF"/>
            <w:noWrap/>
            <w:vAlign w:val="center"/>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Goodness-of-Fit Statistics: Predicted Log likelihood of Full Model: -140,427</w:t>
            </w:r>
          </w:p>
        </w:tc>
      </w:tr>
      <w:tr w:rsidR="005E391A" w:rsidRPr="005E391A" w:rsidTr="0018093A">
        <w:trPr>
          <w:trHeight w:val="20"/>
          <w:jc w:val="center"/>
        </w:trPr>
        <w:tc>
          <w:tcPr>
            <w:tcW w:w="14017" w:type="dxa"/>
            <w:gridSpan w:val="18"/>
            <w:tcBorders>
              <w:top w:val="nil"/>
              <w:left w:val="double" w:sz="6" w:space="0" w:color="auto"/>
              <w:bottom w:val="nil"/>
              <w:right w:val="double" w:sz="6" w:space="0" w:color="000000"/>
            </w:tcBorders>
            <w:shd w:val="clear" w:color="000000" w:fill="FFFFFF"/>
            <w:noWrap/>
            <w:vAlign w:val="center"/>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 xml:space="preserve">                                            Predicted Log likelihood of Null Model (only thresholds and no correlation terms):  -152,241</w:t>
            </w:r>
          </w:p>
        </w:tc>
      </w:tr>
      <w:tr w:rsidR="005E391A" w:rsidRPr="005E391A" w:rsidTr="0018093A">
        <w:trPr>
          <w:trHeight w:val="20"/>
          <w:jc w:val="center"/>
        </w:trPr>
        <w:tc>
          <w:tcPr>
            <w:tcW w:w="14017" w:type="dxa"/>
            <w:gridSpan w:val="18"/>
            <w:tcBorders>
              <w:top w:val="nil"/>
              <w:left w:val="double" w:sz="6" w:space="0" w:color="auto"/>
              <w:bottom w:val="nil"/>
              <w:right w:val="double" w:sz="6" w:space="0" w:color="000000"/>
            </w:tcBorders>
            <w:shd w:val="clear" w:color="000000" w:fill="FFFFFF"/>
            <w:noWrap/>
            <w:vAlign w:val="center"/>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 xml:space="preserve">                                            Likelihood Ratio Test Statistic (</w:t>
            </w:r>
            <w:r w:rsidR="003330C5" w:rsidRPr="003330C5">
              <w:rPr>
                <w:rFonts w:ascii="Symbol" w:hAnsi="Symbol"/>
                <w:sz w:val="20"/>
              </w:rPr>
              <w:t></w:t>
            </w:r>
            <w:r w:rsidRPr="005E391A">
              <w:rPr>
                <w:rFonts w:eastAsia="Times New Roman"/>
                <w:color w:val="000000"/>
                <w:sz w:val="20"/>
                <w:szCs w:val="20"/>
                <w:vertAlign w:val="superscript"/>
              </w:rPr>
              <w:t>2</w:t>
            </w:r>
            <w:r w:rsidRPr="005E391A">
              <w:rPr>
                <w:rFonts w:eastAsia="Times New Roman"/>
                <w:color w:val="000000"/>
                <w:sz w:val="20"/>
                <w:szCs w:val="20"/>
              </w:rPr>
              <w:t>) = 23,628; p-value = 0.000</w:t>
            </w:r>
          </w:p>
        </w:tc>
      </w:tr>
      <w:tr w:rsidR="005E391A" w:rsidRPr="005E391A" w:rsidTr="0018093A">
        <w:trPr>
          <w:trHeight w:val="20"/>
          <w:jc w:val="center"/>
        </w:trPr>
        <w:tc>
          <w:tcPr>
            <w:tcW w:w="14017" w:type="dxa"/>
            <w:gridSpan w:val="18"/>
            <w:tcBorders>
              <w:top w:val="nil"/>
              <w:left w:val="double" w:sz="6" w:space="0" w:color="auto"/>
              <w:bottom w:val="nil"/>
              <w:right w:val="double" w:sz="6" w:space="0" w:color="000000"/>
            </w:tcBorders>
            <w:shd w:val="clear" w:color="000000" w:fill="FFFFFF"/>
            <w:noWrap/>
            <w:vAlign w:val="center"/>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All coefficients are statistically significant at the 0.05 level</w:t>
            </w:r>
          </w:p>
        </w:tc>
      </w:tr>
      <w:tr w:rsidR="005E391A" w:rsidRPr="005E391A" w:rsidTr="0018093A">
        <w:trPr>
          <w:trHeight w:val="20"/>
          <w:jc w:val="center"/>
        </w:trPr>
        <w:tc>
          <w:tcPr>
            <w:tcW w:w="14017" w:type="dxa"/>
            <w:gridSpan w:val="18"/>
            <w:tcBorders>
              <w:top w:val="nil"/>
              <w:left w:val="double" w:sz="6" w:space="0" w:color="auto"/>
              <w:bottom w:val="double" w:sz="6" w:space="0" w:color="auto"/>
              <w:right w:val="double" w:sz="6" w:space="0" w:color="000000"/>
            </w:tcBorders>
            <w:shd w:val="clear" w:color="000000" w:fill="FFFFFF"/>
            <w:noWrap/>
            <w:vAlign w:val="center"/>
            <w:hideMark/>
          </w:tcPr>
          <w:p w:rsidR="005E391A" w:rsidRPr="005E391A" w:rsidRDefault="005E391A" w:rsidP="005E391A">
            <w:pPr>
              <w:jc w:val="left"/>
              <w:rPr>
                <w:rFonts w:eastAsia="Times New Roman"/>
                <w:color w:val="000000"/>
                <w:sz w:val="20"/>
                <w:szCs w:val="20"/>
              </w:rPr>
            </w:pPr>
            <w:r w:rsidRPr="005E391A">
              <w:rPr>
                <w:rFonts w:eastAsia="Times New Roman"/>
                <w:color w:val="000000"/>
                <w:sz w:val="20"/>
                <w:szCs w:val="20"/>
              </w:rPr>
              <w:t>Variables with identical values represent categories that were combined during estimation due to not being statistically different from each other</w:t>
            </w:r>
          </w:p>
        </w:tc>
      </w:tr>
    </w:tbl>
    <w:p w:rsidR="005E391A" w:rsidRPr="005E391A" w:rsidRDefault="005E391A" w:rsidP="005E391A">
      <w:pPr>
        <w:jc w:val="left"/>
        <w:rPr>
          <w:sz w:val="16"/>
          <w:szCs w:val="16"/>
        </w:rPr>
      </w:pPr>
    </w:p>
    <w:sectPr w:rsidR="005E391A" w:rsidRPr="005E391A" w:rsidSect="005E391A">
      <w:pgSz w:w="15840" w:h="12240" w:orient="landscape"/>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E11" w:rsidRDefault="00AD1E11" w:rsidP="002C31FB">
      <w:r>
        <w:separator/>
      </w:r>
    </w:p>
    <w:p w:rsidR="00AD1E11" w:rsidRDefault="00AD1E11" w:rsidP="002C31FB"/>
  </w:endnote>
  <w:endnote w:type="continuationSeparator" w:id="0">
    <w:p w:rsidR="00AD1E11" w:rsidRDefault="00AD1E11" w:rsidP="002C31FB">
      <w:r>
        <w:continuationSeparator/>
      </w:r>
    </w:p>
    <w:p w:rsidR="00AD1E11" w:rsidRDefault="00AD1E11" w:rsidP="002C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11" w:rsidRDefault="00AD1E11" w:rsidP="002C31FB">
    <w:pPr>
      <w:pStyle w:val="Footer"/>
    </w:pPr>
  </w:p>
  <w:p w:rsidR="00AD1E11" w:rsidRDefault="00AD1E11" w:rsidP="002C3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11" w:rsidRDefault="00AD1E11" w:rsidP="002C31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11" w:rsidRDefault="00AD1E11" w:rsidP="002C31FB">
    <w:pPr>
      <w:pStyle w:val="Footer"/>
    </w:pPr>
  </w:p>
  <w:p w:rsidR="00AD1E11" w:rsidRDefault="00AD1E11" w:rsidP="002C31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11" w:rsidRDefault="00AD1E11" w:rsidP="002C3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E11" w:rsidRDefault="00AD1E11" w:rsidP="002C31FB">
      <w:r>
        <w:separator/>
      </w:r>
    </w:p>
    <w:p w:rsidR="00AD1E11" w:rsidRDefault="00AD1E11" w:rsidP="002C31FB"/>
  </w:footnote>
  <w:footnote w:type="continuationSeparator" w:id="0">
    <w:p w:rsidR="00AD1E11" w:rsidRDefault="00AD1E11" w:rsidP="002C31FB">
      <w:r>
        <w:continuationSeparator/>
      </w:r>
    </w:p>
    <w:p w:rsidR="00AD1E11" w:rsidRDefault="00AD1E11" w:rsidP="002C31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11" w:rsidRDefault="00AD1E11">
    <w:pPr>
      <w:pStyle w:val="Header"/>
      <w:jc w:val="center"/>
    </w:pPr>
  </w:p>
  <w:p w:rsidR="00AD1E11" w:rsidRDefault="00AD1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11" w:rsidRPr="00F233C6" w:rsidRDefault="00AD1E11" w:rsidP="002C31FB">
    <w:pPr>
      <w:pStyle w:val="Header"/>
      <w:rPr>
        <w:sz w:val="22"/>
        <w:szCs w:val="22"/>
      </w:rPr>
    </w:pPr>
    <w:r w:rsidRPr="00F233C6">
      <w:rPr>
        <w:sz w:val="22"/>
        <w:szCs w:val="22"/>
      </w:rPr>
      <w:t xml:space="preserve">Dias, </w:t>
    </w:r>
    <w:proofErr w:type="spellStart"/>
    <w:r w:rsidRPr="00F233C6">
      <w:rPr>
        <w:sz w:val="22"/>
        <w:szCs w:val="22"/>
      </w:rPr>
      <w:t>Lavieri</w:t>
    </w:r>
    <w:proofErr w:type="spellEnd"/>
    <w:r w:rsidRPr="00F233C6">
      <w:rPr>
        <w:sz w:val="22"/>
        <w:szCs w:val="22"/>
      </w:rPr>
      <w:t>, Kim, Bhat</w:t>
    </w:r>
    <w:r>
      <w:rPr>
        <w:sz w:val="22"/>
        <w:szCs w:val="22"/>
      </w:rPr>
      <w:t>,</w:t>
    </w:r>
    <w:r w:rsidRPr="00F233C6">
      <w:rPr>
        <w:sz w:val="22"/>
        <w:szCs w:val="22"/>
      </w:rPr>
      <w:t xml:space="preserve"> and </w:t>
    </w:r>
    <w:proofErr w:type="spellStart"/>
    <w:r w:rsidRPr="00F233C6">
      <w:rPr>
        <w:sz w:val="22"/>
        <w:szCs w:val="22"/>
      </w:rPr>
      <w:t>Pendyala</w:t>
    </w:r>
    <w:proofErr w:type="spellEnd"/>
    <w:r w:rsidRPr="00F233C6">
      <w:rPr>
        <w:sz w:val="22"/>
        <w:szCs w:val="22"/>
      </w:rPr>
      <w:tab/>
    </w:r>
    <w:r w:rsidRPr="00F233C6">
      <w:rPr>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11" w:rsidRPr="00F233C6" w:rsidRDefault="00AD1E11" w:rsidP="005D27B0">
    <w:pPr>
      <w:pStyle w:val="Header"/>
      <w:tabs>
        <w:tab w:val="clear" w:pos="4680"/>
      </w:tabs>
      <w:jc w:val="left"/>
      <w:rPr>
        <w:sz w:val="22"/>
        <w:szCs w:val="22"/>
      </w:rPr>
    </w:pPr>
    <w:r w:rsidRPr="00F233C6">
      <w:rPr>
        <w:sz w:val="22"/>
        <w:szCs w:val="22"/>
      </w:rPr>
      <w:t xml:space="preserve">Dias, </w:t>
    </w:r>
    <w:proofErr w:type="spellStart"/>
    <w:r w:rsidRPr="00F233C6">
      <w:rPr>
        <w:sz w:val="22"/>
        <w:szCs w:val="22"/>
      </w:rPr>
      <w:t>Lavieri</w:t>
    </w:r>
    <w:proofErr w:type="spellEnd"/>
    <w:r w:rsidRPr="00F233C6">
      <w:rPr>
        <w:sz w:val="22"/>
        <w:szCs w:val="22"/>
      </w:rPr>
      <w:t>, Kim, Bhat</w:t>
    </w:r>
    <w:r>
      <w:rPr>
        <w:sz w:val="22"/>
        <w:szCs w:val="22"/>
      </w:rPr>
      <w:t>,</w:t>
    </w:r>
    <w:r w:rsidRPr="00F233C6">
      <w:rPr>
        <w:sz w:val="22"/>
        <w:szCs w:val="22"/>
      </w:rPr>
      <w:t xml:space="preserve"> and </w:t>
    </w:r>
    <w:proofErr w:type="spellStart"/>
    <w:r w:rsidRPr="00F233C6">
      <w:rPr>
        <w:sz w:val="22"/>
        <w:szCs w:val="22"/>
      </w:rPr>
      <w:t>Pendyala</w:t>
    </w:r>
    <w:proofErr w:type="spellEnd"/>
    <w:r>
      <w:rPr>
        <w:sz w:val="22"/>
        <w:szCs w:val="22"/>
      </w:rPr>
      <w:t xml:space="preserve">                                                                                                       </w:t>
    </w:r>
    <w:r w:rsidRPr="005D27B0">
      <w:rPr>
        <w:sz w:val="22"/>
        <w:szCs w:val="22"/>
      </w:rPr>
      <w:fldChar w:fldCharType="begin"/>
    </w:r>
    <w:r w:rsidRPr="005D27B0">
      <w:rPr>
        <w:sz w:val="22"/>
        <w:szCs w:val="22"/>
      </w:rPr>
      <w:instrText xml:space="preserve"> PAGE   \* MERGEFORMAT </w:instrText>
    </w:r>
    <w:r w:rsidRPr="005D27B0">
      <w:rPr>
        <w:sz w:val="22"/>
        <w:szCs w:val="22"/>
      </w:rPr>
      <w:fldChar w:fldCharType="separate"/>
    </w:r>
    <w:r w:rsidR="001329BB">
      <w:rPr>
        <w:noProof/>
        <w:sz w:val="22"/>
        <w:szCs w:val="22"/>
      </w:rPr>
      <w:t>16</w:t>
    </w:r>
    <w:r w:rsidRPr="005D27B0">
      <w:rPr>
        <w:noProof/>
        <w:sz w:val="22"/>
        <w:szCs w:val="22"/>
      </w:rPr>
      <w:fldChar w:fldCharType="end"/>
    </w:r>
    <w:r w:rsidRPr="00F233C6">
      <w:rPr>
        <w:sz w:val="22"/>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11" w:rsidRPr="00F233C6" w:rsidRDefault="00AD1E11" w:rsidP="00A125C4">
    <w:pPr>
      <w:pStyle w:val="Header"/>
      <w:tabs>
        <w:tab w:val="clear" w:pos="9360"/>
        <w:tab w:val="right" w:pos="12960"/>
      </w:tabs>
      <w:rPr>
        <w:sz w:val="22"/>
        <w:szCs w:val="22"/>
      </w:rPr>
    </w:pPr>
    <w:r w:rsidRPr="00F233C6">
      <w:rPr>
        <w:sz w:val="22"/>
        <w:szCs w:val="22"/>
      </w:rPr>
      <w:t xml:space="preserve">Dias, </w:t>
    </w:r>
    <w:proofErr w:type="spellStart"/>
    <w:r w:rsidRPr="00F233C6">
      <w:rPr>
        <w:sz w:val="22"/>
        <w:szCs w:val="22"/>
      </w:rPr>
      <w:t>Lavieri</w:t>
    </w:r>
    <w:proofErr w:type="spellEnd"/>
    <w:r w:rsidRPr="00F233C6">
      <w:rPr>
        <w:sz w:val="22"/>
        <w:szCs w:val="22"/>
      </w:rPr>
      <w:t>, Kim, Bhat</w:t>
    </w:r>
    <w:r>
      <w:rPr>
        <w:sz w:val="22"/>
        <w:szCs w:val="22"/>
      </w:rPr>
      <w:t>,</w:t>
    </w:r>
    <w:r w:rsidRPr="00F233C6">
      <w:rPr>
        <w:sz w:val="22"/>
        <w:szCs w:val="22"/>
      </w:rPr>
      <w:t xml:space="preserve"> and </w:t>
    </w:r>
    <w:proofErr w:type="spellStart"/>
    <w:r w:rsidRPr="00F233C6">
      <w:rPr>
        <w:sz w:val="22"/>
        <w:szCs w:val="22"/>
      </w:rPr>
      <w:t>Pendyala</w:t>
    </w:r>
    <w:proofErr w:type="spellEnd"/>
    <w:r w:rsidRPr="00F233C6">
      <w:rPr>
        <w:sz w:val="22"/>
        <w:szCs w:val="22"/>
      </w:rPr>
      <w:tab/>
    </w:r>
    <w:r w:rsidRPr="00F233C6">
      <w:rPr>
        <w:sz w:val="22"/>
        <w:szCs w:val="22"/>
      </w:rPr>
      <w:tab/>
    </w:r>
    <w:r w:rsidRPr="00F233C6">
      <w:rPr>
        <w:sz w:val="22"/>
        <w:szCs w:val="22"/>
      </w:rPr>
      <w:fldChar w:fldCharType="begin"/>
    </w:r>
    <w:r w:rsidRPr="00F233C6">
      <w:rPr>
        <w:sz w:val="22"/>
        <w:szCs w:val="22"/>
      </w:rPr>
      <w:instrText xml:space="preserve"> PAGE   \* MERGEFORMAT </w:instrText>
    </w:r>
    <w:r w:rsidRPr="00F233C6">
      <w:rPr>
        <w:sz w:val="22"/>
        <w:szCs w:val="22"/>
      </w:rPr>
      <w:fldChar w:fldCharType="separate"/>
    </w:r>
    <w:r w:rsidR="001329BB">
      <w:rPr>
        <w:noProof/>
        <w:sz w:val="22"/>
        <w:szCs w:val="22"/>
      </w:rPr>
      <w:t>18</w:t>
    </w:r>
    <w:r w:rsidRPr="00F233C6">
      <w:rPr>
        <w:noProof/>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315"/>
    <w:multiLevelType w:val="hybridMultilevel"/>
    <w:tmpl w:val="4682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E5275"/>
    <w:multiLevelType w:val="hybridMultilevel"/>
    <w:tmpl w:val="139E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D00C4"/>
    <w:multiLevelType w:val="hybridMultilevel"/>
    <w:tmpl w:val="FBF82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60B98"/>
    <w:multiLevelType w:val="hybridMultilevel"/>
    <w:tmpl w:val="D934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318BC"/>
    <w:multiLevelType w:val="hybridMultilevel"/>
    <w:tmpl w:val="1884E1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1D41EA"/>
    <w:multiLevelType w:val="multilevel"/>
    <w:tmpl w:val="2B3C053C"/>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62C6BAF"/>
    <w:multiLevelType w:val="hybridMultilevel"/>
    <w:tmpl w:val="FFA4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94952"/>
    <w:multiLevelType w:val="multilevel"/>
    <w:tmpl w:val="2B3C053C"/>
    <w:numStyleLink w:val="Style1"/>
  </w:abstractNum>
  <w:abstractNum w:abstractNumId="8" w15:restartNumberingAfterBreak="0">
    <w:nsid w:val="40FD6D0D"/>
    <w:multiLevelType w:val="hybridMultilevel"/>
    <w:tmpl w:val="DA6A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76E94"/>
    <w:multiLevelType w:val="hybridMultilevel"/>
    <w:tmpl w:val="DA743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E0858"/>
    <w:multiLevelType w:val="hybridMultilevel"/>
    <w:tmpl w:val="A0EC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A4429"/>
    <w:multiLevelType w:val="hybridMultilevel"/>
    <w:tmpl w:val="4E2A229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9E6DC3"/>
    <w:multiLevelType w:val="hybridMultilevel"/>
    <w:tmpl w:val="241CCE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2661DE"/>
    <w:multiLevelType w:val="hybridMultilevel"/>
    <w:tmpl w:val="6C80D86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2660"/>
    <w:multiLevelType w:val="multilevel"/>
    <w:tmpl w:val="CA967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256444"/>
    <w:multiLevelType w:val="multilevel"/>
    <w:tmpl w:val="BC7697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EC1A2F"/>
    <w:multiLevelType w:val="hybridMultilevel"/>
    <w:tmpl w:val="5082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D7CB2"/>
    <w:multiLevelType w:val="multilevel"/>
    <w:tmpl w:val="5310EAD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D8C3765"/>
    <w:multiLevelType w:val="hybridMultilevel"/>
    <w:tmpl w:val="B69C1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2"/>
  </w:num>
  <w:num w:numId="6">
    <w:abstractNumId w:val="15"/>
  </w:num>
  <w:num w:numId="7">
    <w:abstractNumId w:val="17"/>
  </w:num>
  <w:num w:numId="8">
    <w:abstractNumId w:val="5"/>
  </w:num>
  <w:num w:numId="9">
    <w:abstractNumId w:val="7"/>
  </w:num>
  <w:num w:numId="10">
    <w:abstractNumId w:val="18"/>
  </w:num>
  <w:num w:numId="11">
    <w:abstractNumId w:val="3"/>
  </w:num>
  <w:num w:numId="12">
    <w:abstractNumId w:val="8"/>
  </w:num>
  <w:num w:numId="13">
    <w:abstractNumId w:val="16"/>
  </w:num>
  <w:num w:numId="14">
    <w:abstractNumId w:val="11"/>
  </w:num>
  <w:num w:numId="15">
    <w:abstractNumId w:val="12"/>
  </w:num>
  <w:num w:numId="16">
    <w:abstractNumId w:val="13"/>
  </w:num>
  <w:num w:numId="17">
    <w:abstractNumId w:val="14"/>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93"/>
    <w:rsid w:val="00001048"/>
    <w:rsid w:val="000120E7"/>
    <w:rsid w:val="00012113"/>
    <w:rsid w:val="000122E0"/>
    <w:rsid w:val="00017F69"/>
    <w:rsid w:val="00022F83"/>
    <w:rsid w:val="00026264"/>
    <w:rsid w:val="00035FAF"/>
    <w:rsid w:val="000369BF"/>
    <w:rsid w:val="000464D8"/>
    <w:rsid w:val="000477A4"/>
    <w:rsid w:val="0005379D"/>
    <w:rsid w:val="00055D32"/>
    <w:rsid w:val="00067D7C"/>
    <w:rsid w:val="00076712"/>
    <w:rsid w:val="00076AEF"/>
    <w:rsid w:val="00081A1D"/>
    <w:rsid w:val="00087020"/>
    <w:rsid w:val="0008710F"/>
    <w:rsid w:val="000871E5"/>
    <w:rsid w:val="00093770"/>
    <w:rsid w:val="0009458D"/>
    <w:rsid w:val="00096F59"/>
    <w:rsid w:val="000A23C7"/>
    <w:rsid w:val="000A3471"/>
    <w:rsid w:val="000A50B4"/>
    <w:rsid w:val="000A7436"/>
    <w:rsid w:val="000B1DA6"/>
    <w:rsid w:val="000B63B6"/>
    <w:rsid w:val="000B7FA1"/>
    <w:rsid w:val="000C09B9"/>
    <w:rsid w:val="000C3C05"/>
    <w:rsid w:val="000C69B3"/>
    <w:rsid w:val="000D103A"/>
    <w:rsid w:val="000D30FB"/>
    <w:rsid w:val="000D4467"/>
    <w:rsid w:val="000D4A48"/>
    <w:rsid w:val="000E27D2"/>
    <w:rsid w:val="000E333D"/>
    <w:rsid w:val="000E375F"/>
    <w:rsid w:val="000F2FA6"/>
    <w:rsid w:val="000F6613"/>
    <w:rsid w:val="000F72EC"/>
    <w:rsid w:val="000F78F2"/>
    <w:rsid w:val="0011202B"/>
    <w:rsid w:val="001165AF"/>
    <w:rsid w:val="001170D5"/>
    <w:rsid w:val="001221AA"/>
    <w:rsid w:val="00125949"/>
    <w:rsid w:val="00127711"/>
    <w:rsid w:val="0013289A"/>
    <w:rsid w:val="001329BB"/>
    <w:rsid w:val="00133D9B"/>
    <w:rsid w:val="0013749E"/>
    <w:rsid w:val="00140E67"/>
    <w:rsid w:val="00153E69"/>
    <w:rsid w:val="00155F04"/>
    <w:rsid w:val="001566B9"/>
    <w:rsid w:val="00157F86"/>
    <w:rsid w:val="00164E22"/>
    <w:rsid w:val="00166BDA"/>
    <w:rsid w:val="00173EBC"/>
    <w:rsid w:val="001752E3"/>
    <w:rsid w:val="001762C5"/>
    <w:rsid w:val="0018093A"/>
    <w:rsid w:val="0018164F"/>
    <w:rsid w:val="001879F2"/>
    <w:rsid w:val="00190F6B"/>
    <w:rsid w:val="001A1D7B"/>
    <w:rsid w:val="001A5C9E"/>
    <w:rsid w:val="001B1EE8"/>
    <w:rsid w:val="001B3BB0"/>
    <w:rsid w:val="001B6DAC"/>
    <w:rsid w:val="001C279C"/>
    <w:rsid w:val="001C2D94"/>
    <w:rsid w:val="001C4454"/>
    <w:rsid w:val="001C4C13"/>
    <w:rsid w:val="001C5760"/>
    <w:rsid w:val="001D0C18"/>
    <w:rsid w:val="001D58A7"/>
    <w:rsid w:val="001D7F8C"/>
    <w:rsid w:val="001E6E11"/>
    <w:rsid w:val="001F6FC1"/>
    <w:rsid w:val="00200BB9"/>
    <w:rsid w:val="00204AD1"/>
    <w:rsid w:val="00214BF8"/>
    <w:rsid w:val="002202DB"/>
    <w:rsid w:val="00223087"/>
    <w:rsid w:val="002230F1"/>
    <w:rsid w:val="00223994"/>
    <w:rsid w:val="00226A26"/>
    <w:rsid w:val="002273FE"/>
    <w:rsid w:val="0023680A"/>
    <w:rsid w:val="00240F12"/>
    <w:rsid w:val="00241154"/>
    <w:rsid w:val="00245E0F"/>
    <w:rsid w:val="00246E39"/>
    <w:rsid w:val="00247C74"/>
    <w:rsid w:val="00250748"/>
    <w:rsid w:val="002513AC"/>
    <w:rsid w:val="00252BAB"/>
    <w:rsid w:val="002549AE"/>
    <w:rsid w:val="00262DC2"/>
    <w:rsid w:val="00262F21"/>
    <w:rsid w:val="00265072"/>
    <w:rsid w:val="00266CE0"/>
    <w:rsid w:val="00266E05"/>
    <w:rsid w:val="00274041"/>
    <w:rsid w:val="00274382"/>
    <w:rsid w:val="00277E81"/>
    <w:rsid w:val="00296448"/>
    <w:rsid w:val="00297F1B"/>
    <w:rsid w:val="002A1577"/>
    <w:rsid w:val="002A3DD9"/>
    <w:rsid w:val="002A4CBE"/>
    <w:rsid w:val="002A528C"/>
    <w:rsid w:val="002A6C66"/>
    <w:rsid w:val="002B4467"/>
    <w:rsid w:val="002B4697"/>
    <w:rsid w:val="002B7E64"/>
    <w:rsid w:val="002C08BC"/>
    <w:rsid w:val="002C311B"/>
    <w:rsid w:val="002C31FB"/>
    <w:rsid w:val="002E3C17"/>
    <w:rsid w:val="002E7E52"/>
    <w:rsid w:val="002F5D00"/>
    <w:rsid w:val="002F7025"/>
    <w:rsid w:val="002F7077"/>
    <w:rsid w:val="003052C2"/>
    <w:rsid w:val="0030702E"/>
    <w:rsid w:val="00311A0F"/>
    <w:rsid w:val="003123B9"/>
    <w:rsid w:val="003330C5"/>
    <w:rsid w:val="00333EA8"/>
    <w:rsid w:val="00334AB6"/>
    <w:rsid w:val="00336112"/>
    <w:rsid w:val="00340503"/>
    <w:rsid w:val="00341A8E"/>
    <w:rsid w:val="00342DC9"/>
    <w:rsid w:val="00344EC1"/>
    <w:rsid w:val="0034555E"/>
    <w:rsid w:val="003459B9"/>
    <w:rsid w:val="00346A95"/>
    <w:rsid w:val="003511D7"/>
    <w:rsid w:val="00352125"/>
    <w:rsid w:val="00357771"/>
    <w:rsid w:val="00362814"/>
    <w:rsid w:val="00362EE6"/>
    <w:rsid w:val="0037631B"/>
    <w:rsid w:val="00383558"/>
    <w:rsid w:val="0038379D"/>
    <w:rsid w:val="00391C72"/>
    <w:rsid w:val="00397A61"/>
    <w:rsid w:val="003A3DD1"/>
    <w:rsid w:val="003A504F"/>
    <w:rsid w:val="003B2ECF"/>
    <w:rsid w:val="003B546B"/>
    <w:rsid w:val="003B72B9"/>
    <w:rsid w:val="003C3D5A"/>
    <w:rsid w:val="003C78BE"/>
    <w:rsid w:val="003D0C95"/>
    <w:rsid w:val="003D1FB9"/>
    <w:rsid w:val="003D217E"/>
    <w:rsid w:val="003D552F"/>
    <w:rsid w:val="003E0041"/>
    <w:rsid w:val="003E485B"/>
    <w:rsid w:val="003E7F20"/>
    <w:rsid w:val="003F11A1"/>
    <w:rsid w:val="004019E1"/>
    <w:rsid w:val="0041336D"/>
    <w:rsid w:val="00422C57"/>
    <w:rsid w:val="004276ED"/>
    <w:rsid w:val="0043469C"/>
    <w:rsid w:val="0043643E"/>
    <w:rsid w:val="00436EE0"/>
    <w:rsid w:val="00442C6C"/>
    <w:rsid w:val="00443BE8"/>
    <w:rsid w:val="0044664F"/>
    <w:rsid w:val="00455082"/>
    <w:rsid w:val="004564C6"/>
    <w:rsid w:val="00461286"/>
    <w:rsid w:val="0046184C"/>
    <w:rsid w:val="004621D9"/>
    <w:rsid w:val="004640FF"/>
    <w:rsid w:val="004649DC"/>
    <w:rsid w:val="00465A59"/>
    <w:rsid w:val="004669FB"/>
    <w:rsid w:val="004713F9"/>
    <w:rsid w:val="00476ACA"/>
    <w:rsid w:val="00477265"/>
    <w:rsid w:val="004838FC"/>
    <w:rsid w:val="00485BA6"/>
    <w:rsid w:val="00486005"/>
    <w:rsid w:val="00486253"/>
    <w:rsid w:val="004918C2"/>
    <w:rsid w:val="00492EBE"/>
    <w:rsid w:val="00497C04"/>
    <w:rsid w:val="004A3ED5"/>
    <w:rsid w:val="004A417B"/>
    <w:rsid w:val="004A4AE6"/>
    <w:rsid w:val="004B1CC2"/>
    <w:rsid w:val="004B29B6"/>
    <w:rsid w:val="004D0A3C"/>
    <w:rsid w:val="004D24D4"/>
    <w:rsid w:val="004D3857"/>
    <w:rsid w:val="004D3978"/>
    <w:rsid w:val="004D3B72"/>
    <w:rsid w:val="004E1B62"/>
    <w:rsid w:val="004E6E75"/>
    <w:rsid w:val="004E7738"/>
    <w:rsid w:val="004F6AD0"/>
    <w:rsid w:val="00501951"/>
    <w:rsid w:val="0050788A"/>
    <w:rsid w:val="00515838"/>
    <w:rsid w:val="0052213F"/>
    <w:rsid w:val="00522358"/>
    <w:rsid w:val="00522A55"/>
    <w:rsid w:val="0052396E"/>
    <w:rsid w:val="00531923"/>
    <w:rsid w:val="005325B9"/>
    <w:rsid w:val="005414DF"/>
    <w:rsid w:val="00551E71"/>
    <w:rsid w:val="0055569B"/>
    <w:rsid w:val="005572B0"/>
    <w:rsid w:val="00561CCD"/>
    <w:rsid w:val="005659E9"/>
    <w:rsid w:val="0057208D"/>
    <w:rsid w:val="00572A15"/>
    <w:rsid w:val="00572DFC"/>
    <w:rsid w:val="00581B37"/>
    <w:rsid w:val="00585D54"/>
    <w:rsid w:val="005955B5"/>
    <w:rsid w:val="005A0A36"/>
    <w:rsid w:val="005A2CA6"/>
    <w:rsid w:val="005A4E54"/>
    <w:rsid w:val="005B0AD3"/>
    <w:rsid w:val="005B4D93"/>
    <w:rsid w:val="005B59F5"/>
    <w:rsid w:val="005B7EE4"/>
    <w:rsid w:val="005D0545"/>
    <w:rsid w:val="005D27B0"/>
    <w:rsid w:val="005D55BA"/>
    <w:rsid w:val="005E391A"/>
    <w:rsid w:val="005E6619"/>
    <w:rsid w:val="005F017A"/>
    <w:rsid w:val="005F66E8"/>
    <w:rsid w:val="005F7D8E"/>
    <w:rsid w:val="00600413"/>
    <w:rsid w:val="00612482"/>
    <w:rsid w:val="00615B45"/>
    <w:rsid w:val="00615B9C"/>
    <w:rsid w:val="00622310"/>
    <w:rsid w:val="006231F9"/>
    <w:rsid w:val="00623419"/>
    <w:rsid w:val="006322AB"/>
    <w:rsid w:val="006339B1"/>
    <w:rsid w:val="00636A53"/>
    <w:rsid w:val="00636EBF"/>
    <w:rsid w:val="006372D0"/>
    <w:rsid w:val="00640745"/>
    <w:rsid w:val="00640982"/>
    <w:rsid w:val="00640F2A"/>
    <w:rsid w:val="006472B0"/>
    <w:rsid w:val="006552C4"/>
    <w:rsid w:val="00660D11"/>
    <w:rsid w:val="00665476"/>
    <w:rsid w:val="00667F6B"/>
    <w:rsid w:val="00672717"/>
    <w:rsid w:val="0067360D"/>
    <w:rsid w:val="00673A1E"/>
    <w:rsid w:val="006754F5"/>
    <w:rsid w:val="00677CEF"/>
    <w:rsid w:val="00677DA9"/>
    <w:rsid w:val="00681C5F"/>
    <w:rsid w:val="006821CA"/>
    <w:rsid w:val="00686841"/>
    <w:rsid w:val="006868C9"/>
    <w:rsid w:val="00693738"/>
    <w:rsid w:val="00693D64"/>
    <w:rsid w:val="006940C3"/>
    <w:rsid w:val="00695458"/>
    <w:rsid w:val="00697751"/>
    <w:rsid w:val="006A114B"/>
    <w:rsid w:val="006A51FA"/>
    <w:rsid w:val="006B18CE"/>
    <w:rsid w:val="006B4104"/>
    <w:rsid w:val="006C1363"/>
    <w:rsid w:val="006C1B30"/>
    <w:rsid w:val="006C53BF"/>
    <w:rsid w:val="006C56D3"/>
    <w:rsid w:val="006D4A6B"/>
    <w:rsid w:val="006D4FCC"/>
    <w:rsid w:val="006D5CEB"/>
    <w:rsid w:val="006D7DAC"/>
    <w:rsid w:val="006E421C"/>
    <w:rsid w:val="006E6224"/>
    <w:rsid w:val="006F071D"/>
    <w:rsid w:val="006F4DD9"/>
    <w:rsid w:val="0070631E"/>
    <w:rsid w:val="00706E50"/>
    <w:rsid w:val="007110F2"/>
    <w:rsid w:val="00711A34"/>
    <w:rsid w:val="00712238"/>
    <w:rsid w:val="007143C8"/>
    <w:rsid w:val="00715C66"/>
    <w:rsid w:val="007218A4"/>
    <w:rsid w:val="007220A4"/>
    <w:rsid w:val="00726DCC"/>
    <w:rsid w:val="00731DAB"/>
    <w:rsid w:val="0073725A"/>
    <w:rsid w:val="007376A9"/>
    <w:rsid w:val="00741309"/>
    <w:rsid w:val="00746D18"/>
    <w:rsid w:val="00752500"/>
    <w:rsid w:val="0075511B"/>
    <w:rsid w:val="00755941"/>
    <w:rsid w:val="00756A07"/>
    <w:rsid w:val="00761320"/>
    <w:rsid w:val="007657F0"/>
    <w:rsid w:val="00766101"/>
    <w:rsid w:val="00766115"/>
    <w:rsid w:val="00770614"/>
    <w:rsid w:val="00771EC6"/>
    <w:rsid w:val="00773AB2"/>
    <w:rsid w:val="0077577E"/>
    <w:rsid w:val="00777388"/>
    <w:rsid w:val="00777AFC"/>
    <w:rsid w:val="00783DF8"/>
    <w:rsid w:val="00784924"/>
    <w:rsid w:val="007854AA"/>
    <w:rsid w:val="00786530"/>
    <w:rsid w:val="007933EE"/>
    <w:rsid w:val="00793509"/>
    <w:rsid w:val="00794A9B"/>
    <w:rsid w:val="00795004"/>
    <w:rsid w:val="00795A94"/>
    <w:rsid w:val="007A1D70"/>
    <w:rsid w:val="007A38DF"/>
    <w:rsid w:val="007B14D6"/>
    <w:rsid w:val="007B59C6"/>
    <w:rsid w:val="007B5CA1"/>
    <w:rsid w:val="007C04E7"/>
    <w:rsid w:val="007C2C17"/>
    <w:rsid w:val="007C786F"/>
    <w:rsid w:val="007D0548"/>
    <w:rsid w:val="007D1B6E"/>
    <w:rsid w:val="007D2384"/>
    <w:rsid w:val="007D5DE9"/>
    <w:rsid w:val="007E088D"/>
    <w:rsid w:val="007E0C8D"/>
    <w:rsid w:val="007E6DE3"/>
    <w:rsid w:val="00803AF4"/>
    <w:rsid w:val="00813E89"/>
    <w:rsid w:val="008152EF"/>
    <w:rsid w:val="00824D77"/>
    <w:rsid w:val="00832AC9"/>
    <w:rsid w:val="00841266"/>
    <w:rsid w:val="0084144E"/>
    <w:rsid w:val="008535F1"/>
    <w:rsid w:val="00854A1A"/>
    <w:rsid w:val="008611EA"/>
    <w:rsid w:val="00861B20"/>
    <w:rsid w:val="008628B8"/>
    <w:rsid w:val="0086362F"/>
    <w:rsid w:val="008659E4"/>
    <w:rsid w:val="008664FA"/>
    <w:rsid w:val="00874CB8"/>
    <w:rsid w:val="00874E24"/>
    <w:rsid w:val="00875583"/>
    <w:rsid w:val="0087620F"/>
    <w:rsid w:val="0087652A"/>
    <w:rsid w:val="00881EF1"/>
    <w:rsid w:val="00887C8C"/>
    <w:rsid w:val="008A1FA1"/>
    <w:rsid w:val="008A24DC"/>
    <w:rsid w:val="008A6835"/>
    <w:rsid w:val="008A7F01"/>
    <w:rsid w:val="008B120C"/>
    <w:rsid w:val="008B3C5E"/>
    <w:rsid w:val="008B6941"/>
    <w:rsid w:val="008C0121"/>
    <w:rsid w:val="008C0A98"/>
    <w:rsid w:val="008C3453"/>
    <w:rsid w:val="008C7B6E"/>
    <w:rsid w:val="008D27FD"/>
    <w:rsid w:val="008D2AB5"/>
    <w:rsid w:val="008D6768"/>
    <w:rsid w:val="008D777E"/>
    <w:rsid w:val="008D7F3F"/>
    <w:rsid w:val="008E2E95"/>
    <w:rsid w:val="008E39C5"/>
    <w:rsid w:val="008E5493"/>
    <w:rsid w:val="008F4D99"/>
    <w:rsid w:val="008F602C"/>
    <w:rsid w:val="009001D3"/>
    <w:rsid w:val="00906AB9"/>
    <w:rsid w:val="00907108"/>
    <w:rsid w:val="00907C7B"/>
    <w:rsid w:val="00907CCF"/>
    <w:rsid w:val="00910935"/>
    <w:rsid w:val="00913B02"/>
    <w:rsid w:val="00913FE0"/>
    <w:rsid w:val="00914693"/>
    <w:rsid w:val="00917D1F"/>
    <w:rsid w:val="00920C70"/>
    <w:rsid w:val="00921035"/>
    <w:rsid w:val="0093056C"/>
    <w:rsid w:val="0093518A"/>
    <w:rsid w:val="0093527A"/>
    <w:rsid w:val="00941AA4"/>
    <w:rsid w:val="00947B10"/>
    <w:rsid w:val="009532DE"/>
    <w:rsid w:val="00954927"/>
    <w:rsid w:val="00954C6C"/>
    <w:rsid w:val="00963066"/>
    <w:rsid w:val="0096572A"/>
    <w:rsid w:val="00973A17"/>
    <w:rsid w:val="00974DED"/>
    <w:rsid w:val="00974EC1"/>
    <w:rsid w:val="00995BEA"/>
    <w:rsid w:val="0099744D"/>
    <w:rsid w:val="009A2742"/>
    <w:rsid w:val="009A35A6"/>
    <w:rsid w:val="009A3A12"/>
    <w:rsid w:val="009A452D"/>
    <w:rsid w:val="009B141E"/>
    <w:rsid w:val="009B5E78"/>
    <w:rsid w:val="009B6A0E"/>
    <w:rsid w:val="009B6F38"/>
    <w:rsid w:val="009C651E"/>
    <w:rsid w:val="009C6F54"/>
    <w:rsid w:val="009C7735"/>
    <w:rsid w:val="009D0382"/>
    <w:rsid w:val="009D2064"/>
    <w:rsid w:val="009D2F44"/>
    <w:rsid w:val="009D3D05"/>
    <w:rsid w:val="009D4DD7"/>
    <w:rsid w:val="009D5BF6"/>
    <w:rsid w:val="009E3B61"/>
    <w:rsid w:val="009E47F6"/>
    <w:rsid w:val="009E60C1"/>
    <w:rsid w:val="009F0362"/>
    <w:rsid w:val="009F048C"/>
    <w:rsid w:val="009F40C7"/>
    <w:rsid w:val="009F7ECD"/>
    <w:rsid w:val="00A07261"/>
    <w:rsid w:val="00A10992"/>
    <w:rsid w:val="00A125C4"/>
    <w:rsid w:val="00A15622"/>
    <w:rsid w:val="00A24857"/>
    <w:rsid w:val="00A319D5"/>
    <w:rsid w:val="00A32854"/>
    <w:rsid w:val="00A331E0"/>
    <w:rsid w:val="00A3534E"/>
    <w:rsid w:val="00A35806"/>
    <w:rsid w:val="00A40D5A"/>
    <w:rsid w:val="00A42A01"/>
    <w:rsid w:val="00A45281"/>
    <w:rsid w:val="00A471FF"/>
    <w:rsid w:val="00A47E23"/>
    <w:rsid w:val="00A51ADE"/>
    <w:rsid w:val="00A51BAD"/>
    <w:rsid w:val="00A51F38"/>
    <w:rsid w:val="00A5489F"/>
    <w:rsid w:val="00A57273"/>
    <w:rsid w:val="00A63B3B"/>
    <w:rsid w:val="00A64E1C"/>
    <w:rsid w:val="00A673C3"/>
    <w:rsid w:val="00A70827"/>
    <w:rsid w:val="00A80B93"/>
    <w:rsid w:val="00A8181B"/>
    <w:rsid w:val="00A8393B"/>
    <w:rsid w:val="00A8503A"/>
    <w:rsid w:val="00AA2630"/>
    <w:rsid w:val="00AC311C"/>
    <w:rsid w:val="00AC5DE4"/>
    <w:rsid w:val="00AD0BAA"/>
    <w:rsid w:val="00AD1E11"/>
    <w:rsid w:val="00AD3AF3"/>
    <w:rsid w:val="00AD451B"/>
    <w:rsid w:val="00AD59D8"/>
    <w:rsid w:val="00AD5ECE"/>
    <w:rsid w:val="00AE2CE2"/>
    <w:rsid w:val="00AE34F9"/>
    <w:rsid w:val="00AE3AD2"/>
    <w:rsid w:val="00AE4A63"/>
    <w:rsid w:val="00AE5870"/>
    <w:rsid w:val="00AE5C23"/>
    <w:rsid w:val="00AF5B35"/>
    <w:rsid w:val="00AF6DEA"/>
    <w:rsid w:val="00AF76A9"/>
    <w:rsid w:val="00AF7877"/>
    <w:rsid w:val="00B02ED3"/>
    <w:rsid w:val="00B031AF"/>
    <w:rsid w:val="00B032AD"/>
    <w:rsid w:val="00B10E2D"/>
    <w:rsid w:val="00B15C84"/>
    <w:rsid w:val="00B16641"/>
    <w:rsid w:val="00B23E55"/>
    <w:rsid w:val="00B257E4"/>
    <w:rsid w:val="00B27B09"/>
    <w:rsid w:val="00B32337"/>
    <w:rsid w:val="00B325EA"/>
    <w:rsid w:val="00B34E3E"/>
    <w:rsid w:val="00B41B52"/>
    <w:rsid w:val="00B42696"/>
    <w:rsid w:val="00B42923"/>
    <w:rsid w:val="00B50571"/>
    <w:rsid w:val="00B52838"/>
    <w:rsid w:val="00B64CAB"/>
    <w:rsid w:val="00B666B9"/>
    <w:rsid w:val="00B749E0"/>
    <w:rsid w:val="00B8612B"/>
    <w:rsid w:val="00B91F1B"/>
    <w:rsid w:val="00B925B8"/>
    <w:rsid w:val="00B95A06"/>
    <w:rsid w:val="00BA00C6"/>
    <w:rsid w:val="00BA44AC"/>
    <w:rsid w:val="00BA5F29"/>
    <w:rsid w:val="00BA6FBF"/>
    <w:rsid w:val="00BA7B88"/>
    <w:rsid w:val="00BB130D"/>
    <w:rsid w:val="00BB415D"/>
    <w:rsid w:val="00BB6414"/>
    <w:rsid w:val="00BB7F39"/>
    <w:rsid w:val="00BC1DFE"/>
    <w:rsid w:val="00BC49EC"/>
    <w:rsid w:val="00BD3574"/>
    <w:rsid w:val="00BD4088"/>
    <w:rsid w:val="00BD450F"/>
    <w:rsid w:val="00BD4A7D"/>
    <w:rsid w:val="00BE4692"/>
    <w:rsid w:val="00BF0065"/>
    <w:rsid w:val="00BF703C"/>
    <w:rsid w:val="00BF73E6"/>
    <w:rsid w:val="00BF7E4C"/>
    <w:rsid w:val="00C00F73"/>
    <w:rsid w:val="00C025C4"/>
    <w:rsid w:val="00C02C22"/>
    <w:rsid w:val="00C1554E"/>
    <w:rsid w:val="00C173A8"/>
    <w:rsid w:val="00C22FAB"/>
    <w:rsid w:val="00C23533"/>
    <w:rsid w:val="00C2481C"/>
    <w:rsid w:val="00C25078"/>
    <w:rsid w:val="00C27FA9"/>
    <w:rsid w:val="00C32FED"/>
    <w:rsid w:val="00C34A5F"/>
    <w:rsid w:val="00C37919"/>
    <w:rsid w:val="00C425F9"/>
    <w:rsid w:val="00C46832"/>
    <w:rsid w:val="00C47C34"/>
    <w:rsid w:val="00C503D4"/>
    <w:rsid w:val="00C5226A"/>
    <w:rsid w:val="00C55A41"/>
    <w:rsid w:val="00C61281"/>
    <w:rsid w:val="00C62846"/>
    <w:rsid w:val="00C64086"/>
    <w:rsid w:val="00C64129"/>
    <w:rsid w:val="00C645D0"/>
    <w:rsid w:val="00C74619"/>
    <w:rsid w:val="00C748C0"/>
    <w:rsid w:val="00C74E5C"/>
    <w:rsid w:val="00C806E1"/>
    <w:rsid w:val="00C809A5"/>
    <w:rsid w:val="00C836D0"/>
    <w:rsid w:val="00C869A4"/>
    <w:rsid w:val="00C875D4"/>
    <w:rsid w:val="00C9251B"/>
    <w:rsid w:val="00CA01DA"/>
    <w:rsid w:val="00CA14E1"/>
    <w:rsid w:val="00CA5330"/>
    <w:rsid w:val="00CA7777"/>
    <w:rsid w:val="00CB2249"/>
    <w:rsid w:val="00CB49E6"/>
    <w:rsid w:val="00CB55AD"/>
    <w:rsid w:val="00CC1297"/>
    <w:rsid w:val="00CC165E"/>
    <w:rsid w:val="00CC176D"/>
    <w:rsid w:val="00CC373F"/>
    <w:rsid w:val="00CC5540"/>
    <w:rsid w:val="00CC5DF2"/>
    <w:rsid w:val="00CC74A1"/>
    <w:rsid w:val="00CD3ED7"/>
    <w:rsid w:val="00CD452F"/>
    <w:rsid w:val="00CD7807"/>
    <w:rsid w:val="00CF204B"/>
    <w:rsid w:val="00CF3ED1"/>
    <w:rsid w:val="00CF3F4C"/>
    <w:rsid w:val="00CF4FA0"/>
    <w:rsid w:val="00CF7FAB"/>
    <w:rsid w:val="00D00627"/>
    <w:rsid w:val="00D174D1"/>
    <w:rsid w:val="00D234BD"/>
    <w:rsid w:val="00D2434A"/>
    <w:rsid w:val="00D279C7"/>
    <w:rsid w:val="00D3023B"/>
    <w:rsid w:val="00D32472"/>
    <w:rsid w:val="00D3585F"/>
    <w:rsid w:val="00D4342C"/>
    <w:rsid w:val="00D4360F"/>
    <w:rsid w:val="00D446EA"/>
    <w:rsid w:val="00D452C1"/>
    <w:rsid w:val="00D474A7"/>
    <w:rsid w:val="00D54B41"/>
    <w:rsid w:val="00D55DA7"/>
    <w:rsid w:val="00D573D1"/>
    <w:rsid w:val="00D57E32"/>
    <w:rsid w:val="00D63117"/>
    <w:rsid w:val="00D63957"/>
    <w:rsid w:val="00D64AAF"/>
    <w:rsid w:val="00D6602A"/>
    <w:rsid w:val="00D75A59"/>
    <w:rsid w:val="00D77710"/>
    <w:rsid w:val="00D825F4"/>
    <w:rsid w:val="00D85B0B"/>
    <w:rsid w:val="00D85F4B"/>
    <w:rsid w:val="00D90977"/>
    <w:rsid w:val="00D91A11"/>
    <w:rsid w:val="00D94FD6"/>
    <w:rsid w:val="00D96383"/>
    <w:rsid w:val="00DA0B7D"/>
    <w:rsid w:val="00DA202F"/>
    <w:rsid w:val="00DA4DD0"/>
    <w:rsid w:val="00DB0D3C"/>
    <w:rsid w:val="00DB2A34"/>
    <w:rsid w:val="00DB74EE"/>
    <w:rsid w:val="00DB7D24"/>
    <w:rsid w:val="00DD64D7"/>
    <w:rsid w:val="00DD77DA"/>
    <w:rsid w:val="00DE02FF"/>
    <w:rsid w:val="00DE1BDE"/>
    <w:rsid w:val="00DE3696"/>
    <w:rsid w:val="00DF3DB0"/>
    <w:rsid w:val="00E00CC7"/>
    <w:rsid w:val="00E0180E"/>
    <w:rsid w:val="00E0261C"/>
    <w:rsid w:val="00E03BEC"/>
    <w:rsid w:val="00E10180"/>
    <w:rsid w:val="00E12684"/>
    <w:rsid w:val="00E17383"/>
    <w:rsid w:val="00E204AB"/>
    <w:rsid w:val="00E21DDE"/>
    <w:rsid w:val="00E31F1B"/>
    <w:rsid w:val="00E35225"/>
    <w:rsid w:val="00E36819"/>
    <w:rsid w:val="00E45A74"/>
    <w:rsid w:val="00E4641B"/>
    <w:rsid w:val="00E4655C"/>
    <w:rsid w:val="00E50940"/>
    <w:rsid w:val="00E52350"/>
    <w:rsid w:val="00E607F6"/>
    <w:rsid w:val="00E63E3B"/>
    <w:rsid w:val="00E6402D"/>
    <w:rsid w:val="00E6592C"/>
    <w:rsid w:val="00E73030"/>
    <w:rsid w:val="00E74145"/>
    <w:rsid w:val="00E7479C"/>
    <w:rsid w:val="00E846A5"/>
    <w:rsid w:val="00E86CC5"/>
    <w:rsid w:val="00E91F8A"/>
    <w:rsid w:val="00E93633"/>
    <w:rsid w:val="00E93BC0"/>
    <w:rsid w:val="00E95AE8"/>
    <w:rsid w:val="00E9725A"/>
    <w:rsid w:val="00EA0A80"/>
    <w:rsid w:val="00EA31D3"/>
    <w:rsid w:val="00EB296E"/>
    <w:rsid w:val="00EB4FE3"/>
    <w:rsid w:val="00EC33B8"/>
    <w:rsid w:val="00EC3770"/>
    <w:rsid w:val="00EC564E"/>
    <w:rsid w:val="00ED1C5D"/>
    <w:rsid w:val="00ED30B8"/>
    <w:rsid w:val="00ED3739"/>
    <w:rsid w:val="00ED573F"/>
    <w:rsid w:val="00EE0103"/>
    <w:rsid w:val="00EE1F42"/>
    <w:rsid w:val="00EE7871"/>
    <w:rsid w:val="00EF21A8"/>
    <w:rsid w:val="00EF44FC"/>
    <w:rsid w:val="00EF56B8"/>
    <w:rsid w:val="00EF56C7"/>
    <w:rsid w:val="00F02A81"/>
    <w:rsid w:val="00F03985"/>
    <w:rsid w:val="00F1198E"/>
    <w:rsid w:val="00F1272B"/>
    <w:rsid w:val="00F12D4E"/>
    <w:rsid w:val="00F13C90"/>
    <w:rsid w:val="00F1610C"/>
    <w:rsid w:val="00F165BD"/>
    <w:rsid w:val="00F1670D"/>
    <w:rsid w:val="00F208FE"/>
    <w:rsid w:val="00F233C6"/>
    <w:rsid w:val="00F236D5"/>
    <w:rsid w:val="00F27717"/>
    <w:rsid w:val="00F34BDB"/>
    <w:rsid w:val="00F46167"/>
    <w:rsid w:val="00F4620D"/>
    <w:rsid w:val="00F60579"/>
    <w:rsid w:val="00F67D0E"/>
    <w:rsid w:val="00F70CD0"/>
    <w:rsid w:val="00F71304"/>
    <w:rsid w:val="00F71A90"/>
    <w:rsid w:val="00F74BBD"/>
    <w:rsid w:val="00F76F43"/>
    <w:rsid w:val="00F77D00"/>
    <w:rsid w:val="00F82641"/>
    <w:rsid w:val="00F8451A"/>
    <w:rsid w:val="00F8705C"/>
    <w:rsid w:val="00FA0519"/>
    <w:rsid w:val="00FA5C1C"/>
    <w:rsid w:val="00FB0CAA"/>
    <w:rsid w:val="00FB7B36"/>
    <w:rsid w:val="00FC0A10"/>
    <w:rsid w:val="00FC1CFD"/>
    <w:rsid w:val="00FC45A6"/>
    <w:rsid w:val="00FC4BC8"/>
    <w:rsid w:val="00FC5F63"/>
    <w:rsid w:val="00FC7890"/>
    <w:rsid w:val="00FD04AF"/>
    <w:rsid w:val="00FD3975"/>
    <w:rsid w:val="00FD489C"/>
    <w:rsid w:val="00FD54FD"/>
    <w:rsid w:val="00FD7023"/>
    <w:rsid w:val="00FE05B9"/>
    <w:rsid w:val="00FE391D"/>
    <w:rsid w:val="00FE58F1"/>
    <w:rsid w:val="00FE59B9"/>
    <w:rsid w:val="00FF0336"/>
    <w:rsid w:val="00FF1CFE"/>
    <w:rsid w:val="00FF357E"/>
    <w:rsid w:val="00FF524D"/>
    <w:rsid w:val="00F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A486F83-5E44-4C35-AB1F-A852A26C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1FB"/>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9C7735"/>
    <w:pPr>
      <w:keepNext/>
      <w:keepLines/>
      <w:numPr>
        <w:numId w:val="7"/>
      </w:numPr>
      <w:spacing w:before="240"/>
      <w:outlineLvl w:val="0"/>
    </w:pPr>
    <w:rPr>
      <w:b/>
      <w:smallCaps/>
      <w:sz w:val="26"/>
    </w:rPr>
  </w:style>
  <w:style w:type="paragraph" w:styleId="Heading2">
    <w:name w:val="heading 2"/>
    <w:basedOn w:val="Normal"/>
    <w:next w:val="Normal"/>
    <w:link w:val="Heading2Char"/>
    <w:uiPriority w:val="9"/>
    <w:unhideWhenUsed/>
    <w:qFormat/>
    <w:rsid w:val="00E4641B"/>
    <w:pPr>
      <w:keepNext/>
      <w:keepLines/>
      <w:numPr>
        <w:ilvl w:val="1"/>
        <w:numId w:val="7"/>
      </w:numPr>
      <w:spacing w:before="40"/>
      <w:outlineLvl w:val="1"/>
    </w:pPr>
    <w:rPr>
      <w:rFonts w:eastAsiaTheme="majorEastAsia" w:cstheme="majorBidi"/>
      <w:b/>
      <w:smallCaps/>
      <w:szCs w:val="26"/>
    </w:rPr>
  </w:style>
  <w:style w:type="paragraph" w:styleId="Heading3">
    <w:name w:val="heading 3"/>
    <w:basedOn w:val="Normal"/>
    <w:next w:val="Normal"/>
    <w:link w:val="Heading3Char"/>
    <w:uiPriority w:val="9"/>
    <w:unhideWhenUsed/>
    <w:qFormat/>
    <w:rsid w:val="0038379D"/>
    <w:pPr>
      <w:keepNext/>
      <w:keepLines/>
      <w:numPr>
        <w:ilvl w:val="2"/>
        <w:numId w:val="7"/>
      </w:numPr>
      <w:spacing w:before="40"/>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153E69"/>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53E69"/>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3E69"/>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3E69"/>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3E69"/>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3E6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69BF"/>
    <w:pPr>
      <w:contextualSpacing/>
    </w:pPr>
    <w:rPr>
      <w:rFonts w:eastAsiaTheme="majorEastAsia" w:cstheme="majorBidi"/>
      <w:b/>
      <w:caps/>
      <w:spacing w:val="-10"/>
      <w:kern w:val="28"/>
      <w:sz w:val="26"/>
      <w:szCs w:val="56"/>
    </w:rPr>
  </w:style>
  <w:style w:type="character" w:customStyle="1" w:styleId="TitleChar">
    <w:name w:val="Title Char"/>
    <w:basedOn w:val="DefaultParagraphFont"/>
    <w:link w:val="Title"/>
    <w:uiPriority w:val="10"/>
    <w:rsid w:val="000369BF"/>
    <w:rPr>
      <w:rFonts w:ascii="Times New Roman" w:eastAsiaTheme="majorEastAsia" w:hAnsi="Times New Roman" w:cstheme="majorBidi"/>
      <w:b/>
      <w:caps/>
      <w:spacing w:val="-10"/>
      <w:kern w:val="28"/>
      <w:sz w:val="26"/>
      <w:szCs w:val="56"/>
    </w:rPr>
  </w:style>
  <w:style w:type="character" w:styleId="Hyperlink">
    <w:name w:val="Hyperlink"/>
    <w:basedOn w:val="DefaultParagraphFont"/>
    <w:uiPriority w:val="99"/>
    <w:unhideWhenUsed/>
    <w:rsid w:val="00914693"/>
    <w:rPr>
      <w:color w:val="0563C1" w:themeColor="hyperlink"/>
      <w:u w:val="single"/>
    </w:rPr>
  </w:style>
  <w:style w:type="character" w:styleId="LineNumber">
    <w:name w:val="line number"/>
    <w:basedOn w:val="DefaultParagraphFont"/>
    <w:uiPriority w:val="99"/>
    <w:semiHidden/>
    <w:unhideWhenUsed/>
    <w:rsid w:val="00914693"/>
  </w:style>
  <w:style w:type="paragraph" w:styleId="ListParagraph">
    <w:name w:val="List Paragraph"/>
    <w:basedOn w:val="Normal"/>
    <w:uiPriority w:val="34"/>
    <w:qFormat/>
    <w:rsid w:val="009B6A0E"/>
    <w:pPr>
      <w:ind w:left="720"/>
      <w:contextualSpacing/>
    </w:pPr>
  </w:style>
  <w:style w:type="paragraph" w:styleId="Header">
    <w:name w:val="header"/>
    <w:basedOn w:val="Normal"/>
    <w:link w:val="HeaderChar"/>
    <w:uiPriority w:val="99"/>
    <w:unhideWhenUsed/>
    <w:rsid w:val="00FC4BC8"/>
    <w:pPr>
      <w:tabs>
        <w:tab w:val="center" w:pos="4680"/>
        <w:tab w:val="right" w:pos="9360"/>
      </w:tabs>
    </w:pPr>
  </w:style>
  <w:style w:type="character" w:customStyle="1" w:styleId="HeaderChar">
    <w:name w:val="Header Char"/>
    <w:basedOn w:val="DefaultParagraphFont"/>
    <w:link w:val="Header"/>
    <w:uiPriority w:val="99"/>
    <w:rsid w:val="00FC4BC8"/>
  </w:style>
  <w:style w:type="paragraph" w:styleId="Footer">
    <w:name w:val="footer"/>
    <w:basedOn w:val="Normal"/>
    <w:link w:val="FooterChar"/>
    <w:uiPriority w:val="99"/>
    <w:unhideWhenUsed/>
    <w:rsid w:val="00FC4BC8"/>
    <w:pPr>
      <w:tabs>
        <w:tab w:val="center" w:pos="4680"/>
        <w:tab w:val="right" w:pos="9360"/>
      </w:tabs>
    </w:pPr>
  </w:style>
  <w:style w:type="character" w:customStyle="1" w:styleId="FooterChar">
    <w:name w:val="Footer Char"/>
    <w:basedOn w:val="DefaultParagraphFont"/>
    <w:link w:val="Footer"/>
    <w:uiPriority w:val="99"/>
    <w:rsid w:val="00FC4BC8"/>
  </w:style>
  <w:style w:type="paragraph" w:styleId="Caption">
    <w:name w:val="caption"/>
    <w:basedOn w:val="Normal"/>
    <w:next w:val="Normal"/>
    <w:uiPriority w:val="35"/>
    <w:unhideWhenUsed/>
    <w:qFormat/>
    <w:rsid w:val="00D91A11"/>
    <w:pPr>
      <w:spacing w:after="120"/>
      <w:jc w:val="center"/>
    </w:pPr>
    <w:rPr>
      <w:b/>
      <w:iCs/>
      <w:szCs w:val="18"/>
    </w:rPr>
  </w:style>
  <w:style w:type="character" w:customStyle="1" w:styleId="prefix">
    <w:name w:val="prefix"/>
    <w:basedOn w:val="DefaultParagraphFont"/>
    <w:rsid w:val="00311A0F"/>
  </w:style>
  <w:style w:type="paragraph" w:styleId="FootnoteText">
    <w:name w:val="footnote text"/>
    <w:basedOn w:val="Normal"/>
    <w:link w:val="FootnoteTextChar"/>
    <w:uiPriority w:val="99"/>
    <w:unhideWhenUsed/>
    <w:rsid w:val="009D0382"/>
    <w:rPr>
      <w:sz w:val="20"/>
      <w:szCs w:val="20"/>
    </w:rPr>
  </w:style>
  <w:style w:type="character" w:customStyle="1" w:styleId="FootnoteTextChar">
    <w:name w:val="Footnote Text Char"/>
    <w:basedOn w:val="DefaultParagraphFont"/>
    <w:link w:val="FootnoteText"/>
    <w:uiPriority w:val="99"/>
    <w:rsid w:val="009D0382"/>
    <w:rPr>
      <w:sz w:val="20"/>
      <w:szCs w:val="20"/>
    </w:rPr>
  </w:style>
  <w:style w:type="character" w:styleId="FootnoteReference">
    <w:name w:val="footnote reference"/>
    <w:basedOn w:val="DefaultParagraphFont"/>
    <w:uiPriority w:val="99"/>
    <w:semiHidden/>
    <w:unhideWhenUsed/>
    <w:rsid w:val="009D0382"/>
    <w:rPr>
      <w:vertAlign w:val="superscript"/>
    </w:rPr>
  </w:style>
  <w:style w:type="character" w:customStyle="1" w:styleId="Heading1Char">
    <w:name w:val="Heading 1 Char"/>
    <w:basedOn w:val="DefaultParagraphFont"/>
    <w:link w:val="Heading1"/>
    <w:uiPriority w:val="9"/>
    <w:rsid w:val="009C7735"/>
    <w:rPr>
      <w:rFonts w:ascii="Times New Roman" w:hAnsi="Times New Roman" w:cs="Times New Roman"/>
      <w:b/>
      <w:smallCaps/>
      <w:sz w:val="26"/>
      <w:szCs w:val="24"/>
    </w:rPr>
  </w:style>
  <w:style w:type="character" w:customStyle="1" w:styleId="Heading2Char">
    <w:name w:val="Heading 2 Char"/>
    <w:basedOn w:val="DefaultParagraphFont"/>
    <w:link w:val="Heading2"/>
    <w:uiPriority w:val="9"/>
    <w:rsid w:val="00E4641B"/>
    <w:rPr>
      <w:rFonts w:ascii="Times New Roman" w:eastAsiaTheme="majorEastAsia" w:hAnsi="Times New Roman" w:cstheme="majorBidi"/>
      <w:b/>
      <w:smallCaps/>
      <w:sz w:val="24"/>
      <w:szCs w:val="26"/>
    </w:rPr>
  </w:style>
  <w:style w:type="character" w:customStyle="1" w:styleId="Heading3Char">
    <w:name w:val="Heading 3 Char"/>
    <w:basedOn w:val="DefaultParagraphFont"/>
    <w:link w:val="Heading3"/>
    <w:uiPriority w:val="9"/>
    <w:rsid w:val="0038379D"/>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semiHidden/>
    <w:rsid w:val="00153E6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53E6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53E6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53E6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53E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3E6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153E69"/>
    <w:pPr>
      <w:numPr>
        <w:numId w:val="8"/>
      </w:numPr>
    </w:pPr>
  </w:style>
  <w:style w:type="paragraph" w:customStyle="1" w:styleId="text">
    <w:name w:val="text"/>
    <w:aliases w:val="t"/>
    <w:basedOn w:val="Normal"/>
    <w:uiPriority w:val="99"/>
    <w:rsid w:val="004D24D4"/>
    <w:pPr>
      <w:overflowPunct w:val="0"/>
      <w:autoSpaceDE w:val="0"/>
      <w:autoSpaceDN w:val="0"/>
      <w:adjustRightInd w:val="0"/>
      <w:spacing w:line="480" w:lineRule="atLeast"/>
      <w:ind w:firstLine="720"/>
      <w:textAlignment w:val="baseline"/>
    </w:pPr>
    <w:rPr>
      <w:rFonts w:ascii="Times" w:eastAsia="Calibri" w:hAnsi="Times"/>
      <w:szCs w:val="20"/>
    </w:rPr>
  </w:style>
  <w:style w:type="paragraph" w:styleId="BodyText2">
    <w:name w:val="Body Text 2"/>
    <w:basedOn w:val="Normal"/>
    <w:link w:val="BodyText2Char"/>
    <w:uiPriority w:val="99"/>
    <w:rsid w:val="004D24D4"/>
    <w:pPr>
      <w:spacing w:after="120" w:line="360" w:lineRule="auto"/>
      <w:ind w:firstLine="720"/>
      <w:jc w:val="left"/>
    </w:pPr>
    <w:rPr>
      <w:rFonts w:eastAsia="Calibri"/>
    </w:rPr>
  </w:style>
  <w:style w:type="character" w:customStyle="1" w:styleId="BodyText2Char">
    <w:name w:val="Body Text 2 Char"/>
    <w:basedOn w:val="DefaultParagraphFont"/>
    <w:link w:val="BodyText2"/>
    <w:uiPriority w:val="99"/>
    <w:rsid w:val="004D24D4"/>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F8705C"/>
    <w:rPr>
      <w:color w:val="954F72" w:themeColor="followedHyperlink"/>
      <w:u w:val="single"/>
    </w:rPr>
  </w:style>
  <w:style w:type="paragraph" w:styleId="BalloonText">
    <w:name w:val="Balloon Text"/>
    <w:basedOn w:val="Normal"/>
    <w:link w:val="BalloonTextChar"/>
    <w:uiPriority w:val="99"/>
    <w:semiHidden/>
    <w:unhideWhenUsed/>
    <w:rsid w:val="00461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86"/>
    <w:rPr>
      <w:rFonts w:ascii="Segoe UI" w:hAnsi="Segoe UI" w:cs="Segoe UI"/>
      <w:sz w:val="18"/>
      <w:szCs w:val="18"/>
    </w:rPr>
  </w:style>
  <w:style w:type="character" w:styleId="Emphasis">
    <w:name w:val="Emphasis"/>
    <w:basedOn w:val="DefaultParagraphFont"/>
    <w:uiPriority w:val="20"/>
    <w:qFormat/>
    <w:rsid w:val="00C27F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9823">
      <w:bodyDiv w:val="1"/>
      <w:marLeft w:val="0"/>
      <w:marRight w:val="0"/>
      <w:marTop w:val="0"/>
      <w:marBottom w:val="0"/>
      <w:divBdr>
        <w:top w:val="none" w:sz="0" w:space="0" w:color="auto"/>
        <w:left w:val="none" w:sz="0" w:space="0" w:color="auto"/>
        <w:bottom w:val="none" w:sz="0" w:space="0" w:color="auto"/>
        <w:right w:val="none" w:sz="0" w:space="0" w:color="auto"/>
      </w:divBdr>
    </w:div>
    <w:div w:id="102312915">
      <w:bodyDiv w:val="1"/>
      <w:marLeft w:val="0"/>
      <w:marRight w:val="0"/>
      <w:marTop w:val="0"/>
      <w:marBottom w:val="0"/>
      <w:divBdr>
        <w:top w:val="none" w:sz="0" w:space="0" w:color="auto"/>
        <w:left w:val="none" w:sz="0" w:space="0" w:color="auto"/>
        <w:bottom w:val="none" w:sz="0" w:space="0" w:color="auto"/>
        <w:right w:val="none" w:sz="0" w:space="0" w:color="auto"/>
      </w:divBdr>
      <w:divsChild>
        <w:div w:id="360324779">
          <w:marLeft w:val="0"/>
          <w:marRight w:val="0"/>
          <w:marTop w:val="0"/>
          <w:marBottom w:val="0"/>
          <w:divBdr>
            <w:top w:val="none" w:sz="0" w:space="0" w:color="auto"/>
            <w:left w:val="none" w:sz="0" w:space="0" w:color="auto"/>
            <w:bottom w:val="none" w:sz="0" w:space="0" w:color="auto"/>
            <w:right w:val="none" w:sz="0" w:space="0" w:color="auto"/>
          </w:divBdr>
        </w:div>
      </w:divsChild>
    </w:div>
    <w:div w:id="162011787">
      <w:bodyDiv w:val="1"/>
      <w:marLeft w:val="0"/>
      <w:marRight w:val="0"/>
      <w:marTop w:val="0"/>
      <w:marBottom w:val="0"/>
      <w:divBdr>
        <w:top w:val="none" w:sz="0" w:space="0" w:color="auto"/>
        <w:left w:val="none" w:sz="0" w:space="0" w:color="auto"/>
        <w:bottom w:val="none" w:sz="0" w:space="0" w:color="auto"/>
        <w:right w:val="none" w:sz="0" w:space="0" w:color="auto"/>
      </w:divBdr>
    </w:div>
    <w:div w:id="207030072">
      <w:bodyDiv w:val="1"/>
      <w:marLeft w:val="0"/>
      <w:marRight w:val="0"/>
      <w:marTop w:val="0"/>
      <w:marBottom w:val="0"/>
      <w:divBdr>
        <w:top w:val="none" w:sz="0" w:space="0" w:color="auto"/>
        <w:left w:val="none" w:sz="0" w:space="0" w:color="auto"/>
        <w:bottom w:val="none" w:sz="0" w:space="0" w:color="auto"/>
        <w:right w:val="none" w:sz="0" w:space="0" w:color="auto"/>
      </w:divBdr>
    </w:div>
    <w:div w:id="228998041">
      <w:bodyDiv w:val="1"/>
      <w:marLeft w:val="0"/>
      <w:marRight w:val="0"/>
      <w:marTop w:val="0"/>
      <w:marBottom w:val="0"/>
      <w:divBdr>
        <w:top w:val="none" w:sz="0" w:space="0" w:color="auto"/>
        <w:left w:val="none" w:sz="0" w:space="0" w:color="auto"/>
        <w:bottom w:val="none" w:sz="0" w:space="0" w:color="auto"/>
        <w:right w:val="none" w:sz="0" w:space="0" w:color="auto"/>
      </w:divBdr>
    </w:div>
    <w:div w:id="259292024">
      <w:bodyDiv w:val="1"/>
      <w:marLeft w:val="0"/>
      <w:marRight w:val="0"/>
      <w:marTop w:val="0"/>
      <w:marBottom w:val="0"/>
      <w:divBdr>
        <w:top w:val="none" w:sz="0" w:space="0" w:color="auto"/>
        <w:left w:val="none" w:sz="0" w:space="0" w:color="auto"/>
        <w:bottom w:val="none" w:sz="0" w:space="0" w:color="auto"/>
        <w:right w:val="none" w:sz="0" w:space="0" w:color="auto"/>
      </w:divBdr>
    </w:div>
    <w:div w:id="398407052">
      <w:bodyDiv w:val="1"/>
      <w:marLeft w:val="0"/>
      <w:marRight w:val="0"/>
      <w:marTop w:val="0"/>
      <w:marBottom w:val="0"/>
      <w:divBdr>
        <w:top w:val="none" w:sz="0" w:space="0" w:color="auto"/>
        <w:left w:val="none" w:sz="0" w:space="0" w:color="auto"/>
        <w:bottom w:val="none" w:sz="0" w:space="0" w:color="auto"/>
        <w:right w:val="none" w:sz="0" w:space="0" w:color="auto"/>
      </w:divBdr>
    </w:div>
    <w:div w:id="518470503">
      <w:bodyDiv w:val="1"/>
      <w:marLeft w:val="0"/>
      <w:marRight w:val="0"/>
      <w:marTop w:val="0"/>
      <w:marBottom w:val="0"/>
      <w:divBdr>
        <w:top w:val="none" w:sz="0" w:space="0" w:color="auto"/>
        <w:left w:val="none" w:sz="0" w:space="0" w:color="auto"/>
        <w:bottom w:val="none" w:sz="0" w:space="0" w:color="auto"/>
        <w:right w:val="none" w:sz="0" w:space="0" w:color="auto"/>
      </w:divBdr>
    </w:div>
    <w:div w:id="569076529">
      <w:bodyDiv w:val="1"/>
      <w:marLeft w:val="0"/>
      <w:marRight w:val="0"/>
      <w:marTop w:val="0"/>
      <w:marBottom w:val="0"/>
      <w:divBdr>
        <w:top w:val="none" w:sz="0" w:space="0" w:color="auto"/>
        <w:left w:val="none" w:sz="0" w:space="0" w:color="auto"/>
        <w:bottom w:val="none" w:sz="0" w:space="0" w:color="auto"/>
        <w:right w:val="none" w:sz="0" w:space="0" w:color="auto"/>
      </w:divBdr>
    </w:div>
    <w:div w:id="587273218">
      <w:bodyDiv w:val="1"/>
      <w:marLeft w:val="0"/>
      <w:marRight w:val="0"/>
      <w:marTop w:val="0"/>
      <w:marBottom w:val="0"/>
      <w:divBdr>
        <w:top w:val="none" w:sz="0" w:space="0" w:color="auto"/>
        <w:left w:val="none" w:sz="0" w:space="0" w:color="auto"/>
        <w:bottom w:val="none" w:sz="0" w:space="0" w:color="auto"/>
        <w:right w:val="none" w:sz="0" w:space="0" w:color="auto"/>
      </w:divBdr>
    </w:div>
    <w:div w:id="676539783">
      <w:bodyDiv w:val="1"/>
      <w:marLeft w:val="0"/>
      <w:marRight w:val="0"/>
      <w:marTop w:val="0"/>
      <w:marBottom w:val="0"/>
      <w:divBdr>
        <w:top w:val="none" w:sz="0" w:space="0" w:color="auto"/>
        <w:left w:val="none" w:sz="0" w:space="0" w:color="auto"/>
        <w:bottom w:val="none" w:sz="0" w:space="0" w:color="auto"/>
        <w:right w:val="none" w:sz="0" w:space="0" w:color="auto"/>
      </w:divBdr>
    </w:div>
    <w:div w:id="677734808">
      <w:bodyDiv w:val="1"/>
      <w:marLeft w:val="0"/>
      <w:marRight w:val="0"/>
      <w:marTop w:val="0"/>
      <w:marBottom w:val="0"/>
      <w:divBdr>
        <w:top w:val="none" w:sz="0" w:space="0" w:color="auto"/>
        <w:left w:val="none" w:sz="0" w:space="0" w:color="auto"/>
        <w:bottom w:val="none" w:sz="0" w:space="0" w:color="auto"/>
        <w:right w:val="none" w:sz="0" w:space="0" w:color="auto"/>
      </w:divBdr>
    </w:div>
    <w:div w:id="706027763">
      <w:bodyDiv w:val="1"/>
      <w:marLeft w:val="0"/>
      <w:marRight w:val="0"/>
      <w:marTop w:val="0"/>
      <w:marBottom w:val="0"/>
      <w:divBdr>
        <w:top w:val="none" w:sz="0" w:space="0" w:color="auto"/>
        <w:left w:val="none" w:sz="0" w:space="0" w:color="auto"/>
        <w:bottom w:val="none" w:sz="0" w:space="0" w:color="auto"/>
        <w:right w:val="none" w:sz="0" w:space="0" w:color="auto"/>
      </w:divBdr>
    </w:div>
    <w:div w:id="783696887">
      <w:bodyDiv w:val="1"/>
      <w:marLeft w:val="0"/>
      <w:marRight w:val="0"/>
      <w:marTop w:val="0"/>
      <w:marBottom w:val="0"/>
      <w:divBdr>
        <w:top w:val="none" w:sz="0" w:space="0" w:color="auto"/>
        <w:left w:val="none" w:sz="0" w:space="0" w:color="auto"/>
        <w:bottom w:val="none" w:sz="0" w:space="0" w:color="auto"/>
        <w:right w:val="none" w:sz="0" w:space="0" w:color="auto"/>
      </w:divBdr>
    </w:div>
    <w:div w:id="792751281">
      <w:bodyDiv w:val="1"/>
      <w:marLeft w:val="0"/>
      <w:marRight w:val="0"/>
      <w:marTop w:val="0"/>
      <w:marBottom w:val="0"/>
      <w:divBdr>
        <w:top w:val="none" w:sz="0" w:space="0" w:color="auto"/>
        <w:left w:val="none" w:sz="0" w:space="0" w:color="auto"/>
        <w:bottom w:val="none" w:sz="0" w:space="0" w:color="auto"/>
        <w:right w:val="none" w:sz="0" w:space="0" w:color="auto"/>
      </w:divBdr>
      <w:divsChild>
        <w:div w:id="1709523567">
          <w:marLeft w:val="0"/>
          <w:marRight w:val="0"/>
          <w:marTop w:val="0"/>
          <w:marBottom w:val="0"/>
          <w:divBdr>
            <w:top w:val="none" w:sz="0" w:space="0" w:color="auto"/>
            <w:left w:val="none" w:sz="0" w:space="0" w:color="auto"/>
            <w:bottom w:val="none" w:sz="0" w:space="0" w:color="auto"/>
            <w:right w:val="none" w:sz="0" w:space="0" w:color="auto"/>
          </w:divBdr>
        </w:div>
      </w:divsChild>
    </w:div>
    <w:div w:id="1152982892">
      <w:bodyDiv w:val="1"/>
      <w:marLeft w:val="0"/>
      <w:marRight w:val="0"/>
      <w:marTop w:val="0"/>
      <w:marBottom w:val="0"/>
      <w:divBdr>
        <w:top w:val="none" w:sz="0" w:space="0" w:color="auto"/>
        <w:left w:val="none" w:sz="0" w:space="0" w:color="auto"/>
        <w:bottom w:val="none" w:sz="0" w:space="0" w:color="auto"/>
        <w:right w:val="none" w:sz="0" w:space="0" w:color="auto"/>
      </w:divBdr>
    </w:div>
    <w:div w:id="1181092117">
      <w:bodyDiv w:val="1"/>
      <w:marLeft w:val="0"/>
      <w:marRight w:val="0"/>
      <w:marTop w:val="0"/>
      <w:marBottom w:val="0"/>
      <w:divBdr>
        <w:top w:val="none" w:sz="0" w:space="0" w:color="auto"/>
        <w:left w:val="none" w:sz="0" w:space="0" w:color="auto"/>
        <w:bottom w:val="none" w:sz="0" w:space="0" w:color="auto"/>
        <w:right w:val="none" w:sz="0" w:space="0" w:color="auto"/>
      </w:divBdr>
    </w:div>
    <w:div w:id="1277175163">
      <w:bodyDiv w:val="1"/>
      <w:marLeft w:val="0"/>
      <w:marRight w:val="0"/>
      <w:marTop w:val="0"/>
      <w:marBottom w:val="0"/>
      <w:divBdr>
        <w:top w:val="none" w:sz="0" w:space="0" w:color="auto"/>
        <w:left w:val="none" w:sz="0" w:space="0" w:color="auto"/>
        <w:bottom w:val="none" w:sz="0" w:space="0" w:color="auto"/>
        <w:right w:val="none" w:sz="0" w:space="0" w:color="auto"/>
      </w:divBdr>
    </w:div>
    <w:div w:id="1278610042">
      <w:bodyDiv w:val="1"/>
      <w:marLeft w:val="0"/>
      <w:marRight w:val="0"/>
      <w:marTop w:val="0"/>
      <w:marBottom w:val="0"/>
      <w:divBdr>
        <w:top w:val="none" w:sz="0" w:space="0" w:color="auto"/>
        <w:left w:val="none" w:sz="0" w:space="0" w:color="auto"/>
        <w:bottom w:val="none" w:sz="0" w:space="0" w:color="auto"/>
        <w:right w:val="none" w:sz="0" w:space="0" w:color="auto"/>
      </w:divBdr>
    </w:div>
    <w:div w:id="1307391354">
      <w:bodyDiv w:val="1"/>
      <w:marLeft w:val="0"/>
      <w:marRight w:val="0"/>
      <w:marTop w:val="0"/>
      <w:marBottom w:val="0"/>
      <w:divBdr>
        <w:top w:val="none" w:sz="0" w:space="0" w:color="auto"/>
        <w:left w:val="none" w:sz="0" w:space="0" w:color="auto"/>
        <w:bottom w:val="none" w:sz="0" w:space="0" w:color="auto"/>
        <w:right w:val="none" w:sz="0" w:space="0" w:color="auto"/>
      </w:divBdr>
    </w:div>
    <w:div w:id="1388720362">
      <w:bodyDiv w:val="1"/>
      <w:marLeft w:val="0"/>
      <w:marRight w:val="0"/>
      <w:marTop w:val="0"/>
      <w:marBottom w:val="0"/>
      <w:divBdr>
        <w:top w:val="none" w:sz="0" w:space="0" w:color="auto"/>
        <w:left w:val="none" w:sz="0" w:space="0" w:color="auto"/>
        <w:bottom w:val="none" w:sz="0" w:space="0" w:color="auto"/>
        <w:right w:val="none" w:sz="0" w:space="0" w:color="auto"/>
      </w:divBdr>
    </w:div>
    <w:div w:id="1409962589">
      <w:bodyDiv w:val="1"/>
      <w:marLeft w:val="0"/>
      <w:marRight w:val="0"/>
      <w:marTop w:val="0"/>
      <w:marBottom w:val="0"/>
      <w:divBdr>
        <w:top w:val="none" w:sz="0" w:space="0" w:color="auto"/>
        <w:left w:val="none" w:sz="0" w:space="0" w:color="auto"/>
        <w:bottom w:val="none" w:sz="0" w:space="0" w:color="auto"/>
        <w:right w:val="none" w:sz="0" w:space="0" w:color="auto"/>
      </w:divBdr>
    </w:div>
    <w:div w:id="1480657047">
      <w:bodyDiv w:val="1"/>
      <w:marLeft w:val="0"/>
      <w:marRight w:val="0"/>
      <w:marTop w:val="0"/>
      <w:marBottom w:val="0"/>
      <w:divBdr>
        <w:top w:val="none" w:sz="0" w:space="0" w:color="auto"/>
        <w:left w:val="none" w:sz="0" w:space="0" w:color="auto"/>
        <w:bottom w:val="none" w:sz="0" w:space="0" w:color="auto"/>
        <w:right w:val="none" w:sz="0" w:space="0" w:color="auto"/>
      </w:divBdr>
    </w:div>
    <w:div w:id="1529105053">
      <w:bodyDiv w:val="1"/>
      <w:marLeft w:val="0"/>
      <w:marRight w:val="0"/>
      <w:marTop w:val="0"/>
      <w:marBottom w:val="0"/>
      <w:divBdr>
        <w:top w:val="none" w:sz="0" w:space="0" w:color="auto"/>
        <w:left w:val="none" w:sz="0" w:space="0" w:color="auto"/>
        <w:bottom w:val="none" w:sz="0" w:space="0" w:color="auto"/>
        <w:right w:val="none" w:sz="0" w:space="0" w:color="auto"/>
      </w:divBdr>
    </w:div>
    <w:div w:id="1557813382">
      <w:bodyDiv w:val="1"/>
      <w:marLeft w:val="0"/>
      <w:marRight w:val="0"/>
      <w:marTop w:val="0"/>
      <w:marBottom w:val="0"/>
      <w:divBdr>
        <w:top w:val="none" w:sz="0" w:space="0" w:color="auto"/>
        <w:left w:val="none" w:sz="0" w:space="0" w:color="auto"/>
        <w:bottom w:val="none" w:sz="0" w:space="0" w:color="auto"/>
        <w:right w:val="none" w:sz="0" w:space="0" w:color="auto"/>
      </w:divBdr>
    </w:div>
    <w:div w:id="1687170335">
      <w:bodyDiv w:val="1"/>
      <w:marLeft w:val="0"/>
      <w:marRight w:val="0"/>
      <w:marTop w:val="0"/>
      <w:marBottom w:val="0"/>
      <w:divBdr>
        <w:top w:val="none" w:sz="0" w:space="0" w:color="auto"/>
        <w:left w:val="none" w:sz="0" w:space="0" w:color="auto"/>
        <w:bottom w:val="none" w:sz="0" w:space="0" w:color="auto"/>
        <w:right w:val="none" w:sz="0" w:space="0" w:color="auto"/>
      </w:divBdr>
    </w:div>
    <w:div w:id="1718238718">
      <w:bodyDiv w:val="1"/>
      <w:marLeft w:val="0"/>
      <w:marRight w:val="0"/>
      <w:marTop w:val="0"/>
      <w:marBottom w:val="0"/>
      <w:divBdr>
        <w:top w:val="none" w:sz="0" w:space="0" w:color="auto"/>
        <w:left w:val="none" w:sz="0" w:space="0" w:color="auto"/>
        <w:bottom w:val="none" w:sz="0" w:space="0" w:color="auto"/>
        <w:right w:val="none" w:sz="0" w:space="0" w:color="auto"/>
      </w:divBdr>
    </w:div>
    <w:div w:id="1764035345">
      <w:bodyDiv w:val="1"/>
      <w:marLeft w:val="0"/>
      <w:marRight w:val="0"/>
      <w:marTop w:val="0"/>
      <w:marBottom w:val="0"/>
      <w:divBdr>
        <w:top w:val="none" w:sz="0" w:space="0" w:color="auto"/>
        <w:left w:val="none" w:sz="0" w:space="0" w:color="auto"/>
        <w:bottom w:val="none" w:sz="0" w:space="0" w:color="auto"/>
        <w:right w:val="none" w:sz="0" w:space="0" w:color="auto"/>
      </w:divBdr>
    </w:div>
    <w:div w:id="1915551750">
      <w:bodyDiv w:val="1"/>
      <w:marLeft w:val="0"/>
      <w:marRight w:val="0"/>
      <w:marTop w:val="0"/>
      <w:marBottom w:val="0"/>
      <w:divBdr>
        <w:top w:val="none" w:sz="0" w:space="0" w:color="auto"/>
        <w:left w:val="none" w:sz="0" w:space="0" w:color="auto"/>
        <w:bottom w:val="none" w:sz="0" w:space="0" w:color="auto"/>
        <w:right w:val="none" w:sz="0" w:space="0" w:color="auto"/>
      </w:divBdr>
    </w:div>
    <w:div w:id="1939604323">
      <w:bodyDiv w:val="1"/>
      <w:marLeft w:val="0"/>
      <w:marRight w:val="0"/>
      <w:marTop w:val="0"/>
      <w:marBottom w:val="0"/>
      <w:divBdr>
        <w:top w:val="none" w:sz="0" w:space="0" w:color="auto"/>
        <w:left w:val="none" w:sz="0" w:space="0" w:color="auto"/>
        <w:bottom w:val="none" w:sz="0" w:space="0" w:color="auto"/>
        <w:right w:val="none" w:sz="0" w:space="0" w:color="auto"/>
      </w:divBdr>
    </w:div>
    <w:div w:id="2021227025">
      <w:bodyDiv w:val="1"/>
      <w:marLeft w:val="0"/>
      <w:marRight w:val="0"/>
      <w:marTop w:val="0"/>
      <w:marBottom w:val="0"/>
      <w:divBdr>
        <w:top w:val="none" w:sz="0" w:space="0" w:color="auto"/>
        <w:left w:val="none" w:sz="0" w:space="0" w:color="auto"/>
        <w:bottom w:val="none" w:sz="0" w:space="0" w:color="auto"/>
        <w:right w:val="none" w:sz="0" w:space="0" w:color="auto"/>
      </w:divBdr>
    </w:div>
    <w:div w:id="202527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image" Target="media/image13.wmf"/><Relationship Id="rId47" Type="http://schemas.openxmlformats.org/officeDocument/2006/relationships/oleObject" Target="embeddings/oleObject16.bin"/><Relationship Id="rId50" Type="http://schemas.openxmlformats.org/officeDocument/2006/relationships/image" Target="media/image17.wmf"/><Relationship Id="rId55" Type="http://schemas.openxmlformats.org/officeDocument/2006/relationships/oleObject" Target="embeddings/oleObject20.bin"/><Relationship Id="rId63" Type="http://schemas.openxmlformats.org/officeDocument/2006/relationships/image" Target="media/image23.wmf"/><Relationship Id="rId68" Type="http://schemas.openxmlformats.org/officeDocument/2006/relationships/hyperlink" Target="https://www.statista.com/statistics/263847/carsharing-growth-members-in-north-america/"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7.wmf"/><Relationship Id="rId11" Type="http://schemas.openxmlformats.org/officeDocument/2006/relationships/hyperlink" Target="mailto:bhat@mail.utexas.edu"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12.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1.wmf"/><Relationship Id="rId66" Type="http://schemas.openxmlformats.org/officeDocument/2006/relationships/oleObject" Target="embeddings/oleObject26.bin"/><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1.bin"/><Relationship Id="rId61" Type="http://schemas.openxmlformats.org/officeDocument/2006/relationships/oleObject" Target="embeddings/oleObject23.bin"/><Relationship Id="rId10" Type="http://schemas.openxmlformats.org/officeDocument/2006/relationships/hyperlink" Target="mailto:taehooie.kim@asu.edu"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header" Target="header3.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tricia.lavieri@unimelb.edu.au" TargetMode="Externa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25.bin"/><Relationship Id="rId69" Type="http://schemas.openxmlformats.org/officeDocument/2006/relationships/hyperlink" Target="http://www.pewinternet.org/2016/05/19/the-new-digital-economy/" TargetMode="External"/><Relationship Id="rId77" Type="http://schemas.openxmlformats.org/officeDocument/2006/relationships/fontTable" Target="fontTable.xml"/><Relationship Id="rId8" Type="http://schemas.openxmlformats.org/officeDocument/2006/relationships/hyperlink" Target="mailto:fdias@utexas.edu" TargetMode="External"/><Relationship Id="rId51" Type="http://schemas.openxmlformats.org/officeDocument/2006/relationships/oleObject" Target="embeddings/oleObject18.bin"/><Relationship Id="rId72" Type="http://schemas.openxmlformats.org/officeDocument/2006/relationships/image" Target="media/image26.png"/><Relationship Id="rId3" Type="http://schemas.openxmlformats.org/officeDocument/2006/relationships/styles" Target="styles.xml"/><Relationship Id="rId12" Type="http://schemas.openxmlformats.org/officeDocument/2006/relationships/hyperlink" Target="mailto:ram.pendyala@asu.edu"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hyperlink" Target="https://www.statista.com/statistics/715236/us-uber-users-by-device/" TargetMode="External"/><Relationship Id="rId20" Type="http://schemas.openxmlformats.org/officeDocument/2006/relationships/oleObject" Target="embeddings/oleObject2.bin"/><Relationship Id="rId41" Type="http://schemas.openxmlformats.org/officeDocument/2006/relationships/oleObject" Target="embeddings/oleObject13.bin"/><Relationship Id="rId54" Type="http://schemas.openxmlformats.org/officeDocument/2006/relationships/image" Target="media/image19.wmf"/><Relationship Id="rId62" Type="http://schemas.openxmlformats.org/officeDocument/2006/relationships/oleObject" Target="embeddings/oleObject24.bin"/><Relationship Id="rId70" Type="http://schemas.openxmlformats.org/officeDocument/2006/relationships/hyperlink" Target="https://data.world/ride-austin/ride-austin-june-6-april-13"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9249-541D-408A-B0E6-FAAC2EF4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8001</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Pendyala</dc:creator>
  <cp:keywords/>
  <dc:description/>
  <cp:lastModifiedBy>Macias, Lisa J</cp:lastModifiedBy>
  <cp:revision>2</cp:revision>
  <cp:lastPrinted>2019-02-20T15:13:00Z</cp:lastPrinted>
  <dcterms:created xsi:type="dcterms:W3CDTF">2019-04-02T16:00:00Z</dcterms:created>
  <dcterms:modified xsi:type="dcterms:W3CDTF">2019-04-02T16:00:00Z</dcterms:modified>
</cp:coreProperties>
</file>