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04102" w14:textId="77777777" w:rsidR="00DD0713" w:rsidRPr="00DD0713" w:rsidRDefault="00DD0713" w:rsidP="00DD0713">
      <w:pPr>
        <w:jc w:val="center"/>
        <w:rPr>
          <w:rStyle w:val="Style1Char"/>
          <w:b w:val="0"/>
          <w:bCs w:val="0"/>
          <w:color w:val="auto"/>
          <w:sz w:val="24"/>
          <w:szCs w:val="24"/>
        </w:rPr>
      </w:pPr>
      <w:bookmarkStart w:id="0" w:name="_GoBack"/>
      <w:bookmarkEnd w:id="0"/>
    </w:p>
    <w:p w14:paraId="6822B743" w14:textId="77777777" w:rsidR="00DD0713" w:rsidRPr="00DD0713" w:rsidRDefault="00DD0713" w:rsidP="00DD0713">
      <w:pPr>
        <w:jc w:val="center"/>
        <w:rPr>
          <w:rStyle w:val="Style1Char"/>
          <w:b w:val="0"/>
          <w:bCs w:val="0"/>
          <w:color w:val="auto"/>
          <w:sz w:val="24"/>
          <w:szCs w:val="24"/>
        </w:rPr>
      </w:pPr>
    </w:p>
    <w:p w14:paraId="6ABF6559" w14:textId="77777777" w:rsidR="000B4881" w:rsidRDefault="000B4881" w:rsidP="00DD0713">
      <w:pPr>
        <w:jc w:val="center"/>
        <w:rPr>
          <w:b/>
        </w:rPr>
      </w:pPr>
    </w:p>
    <w:p w14:paraId="52F7FF57" w14:textId="77777777" w:rsidR="000B4881" w:rsidRDefault="000B4881" w:rsidP="00DD0713">
      <w:pPr>
        <w:jc w:val="center"/>
        <w:rPr>
          <w:b/>
        </w:rPr>
      </w:pPr>
    </w:p>
    <w:p w14:paraId="65B5B3E5" w14:textId="4B9FF7F3" w:rsidR="005A5C8E" w:rsidRPr="00DD0713" w:rsidRDefault="0002035B" w:rsidP="00DD0713">
      <w:pPr>
        <w:jc w:val="center"/>
        <w:rPr>
          <w:b/>
        </w:rPr>
      </w:pPr>
      <w:r w:rsidRPr="00DD0713">
        <w:rPr>
          <w:b/>
        </w:rPr>
        <w:t>A Socio-Technical Model of Autonomous Vehicle Adoption Using Ranked Choice Stated Preference Data</w:t>
      </w:r>
    </w:p>
    <w:p w14:paraId="48A71635" w14:textId="4D0BC040" w:rsidR="00DD0713" w:rsidRPr="00DD0713" w:rsidRDefault="00DD0713" w:rsidP="00DD0713">
      <w:pPr>
        <w:jc w:val="center"/>
        <w:rPr>
          <w:b/>
        </w:rPr>
      </w:pPr>
    </w:p>
    <w:p w14:paraId="56DB3EA6" w14:textId="3FCDC91F" w:rsidR="00DD0713" w:rsidRDefault="00DD0713" w:rsidP="00DD0713">
      <w:pPr>
        <w:jc w:val="center"/>
        <w:rPr>
          <w:rStyle w:val="Style1Char"/>
          <w:b w:val="0"/>
          <w:bCs w:val="0"/>
          <w:color w:val="auto"/>
          <w:sz w:val="24"/>
          <w:szCs w:val="24"/>
        </w:rPr>
      </w:pPr>
    </w:p>
    <w:p w14:paraId="54A972DE" w14:textId="03A888DE" w:rsidR="00DD0713" w:rsidRDefault="00DD0713" w:rsidP="00DD0713">
      <w:pPr>
        <w:jc w:val="center"/>
        <w:rPr>
          <w:rStyle w:val="Style1Char"/>
          <w:b w:val="0"/>
          <w:bCs w:val="0"/>
          <w:color w:val="auto"/>
          <w:sz w:val="24"/>
          <w:szCs w:val="24"/>
        </w:rPr>
      </w:pPr>
    </w:p>
    <w:p w14:paraId="7397546F" w14:textId="2427DD10" w:rsidR="00DD0713" w:rsidRDefault="00DD0713" w:rsidP="00DD0713">
      <w:pPr>
        <w:jc w:val="center"/>
        <w:rPr>
          <w:rStyle w:val="Style1Char"/>
          <w:b w:val="0"/>
          <w:bCs w:val="0"/>
          <w:color w:val="auto"/>
          <w:sz w:val="24"/>
          <w:szCs w:val="24"/>
        </w:rPr>
      </w:pPr>
    </w:p>
    <w:p w14:paraId="28588030" w14:textId="25DE590D" w:rsidR="000B4881" w:rsidRDefault="000B4881" w:rsidP="00DD0713">
      <w:pPr>
        <w:jc w:val="center"/>
        <w:rPr>
          <w:rStyle w:val="Style1Char"/>
          <w:b w:val="0"/>
          <w:bCs w:val="0"/>
          <w:color w:val="auto"/>
          <w:sz w:val="24"/>
          <w:szCs w:val="24"/>
        </w:rPr>
      </w:pPr>
    </w:p>
    <w:p w14:paraId="5E0B12E0" w14:textId="77777777" w:rsidR="00176F5A" w:rsidRPr="00DD0713" w:rsidRDefault="00176F5A" w:rsidP="00DD0713">
      <w:pPr>
        <w:jc w:val="center"/>
        <w:rPr>
          <w:rStyle w:val="Style1Char"/>
          <w:b w:val="0"/>
          <w:bCs w:val="0"/>
          <w:color w:val="auto"/>
          <w:sz w:val="24"/>
          <w:szCs w:val="24"/>
        </w:rPr>
      </w:pPr>
    </w:p>
    <w:p w14:paraId="2F1E8792" w14:textId="5A9BB04E" w:rsidR="00DD0713" w:rsidRPr="00DD0713" w:rsidRDefault="00DD0713" w:rsidP="00DD0713">
      <w:pPr>
        <w:jc w:val="center"/>
        <w:rPr>
          <w:b/>
          <w:bCs/>
        </w:rPr>
      </w:pPr>
      <w:r w:rsidRPr="00DD0713">
        <w:rPr>
          <w:b/>
          <w:bCs/>
        </w:rPr>
        <w:t xml:space="preserve">Katherine </w:t>
      </w:r>
      <w:r w:rsidR="0078666A">
        <w:rPr>
          <w:b/>
          <w:bCs/>
        </w:rPr>
        <w:t xml:space="preserve">E. </w:t>
      </w:r>
      <w:r w:rsidRPr="00DD0713">
        <w:rPr>
          <w:b/>
          <w:bCs/>
        </w:rPr>
        <w:t>Asmussen</w:t>
      </w:r>
    </w:p>
    <w:p w14:paraId="4143BEAF" w14:textId="77777777" w:rsidR="00DD0713" w:rsidRPr="00DD0713" w:rsidRDefault="00DD0713" w:rsidP="00DD0713">
      <w:pPr>
        <w:jc w:val="center"/>
        <w:rPr>
          <w:bCs/>
        </w:rPr>
      </w:pPr>
      <w:r w:rsidRPr="00DD0713">
        <w:t>The University of Texas at Austin</w:t>
      </w:r>
    </w:p>
    <w:p w14:paraId="5EF726D3" w14:textId="77777777" w:rsidR="00DD0713" w:rsidRPr="00DD0713" w:rsidRDefault="00DD0713" w:rsidP="00DD0713">
      <w:pPr>
        <w:jc w:val="center"/>
        <w:rPr>
          <w:bCs/>
        </w:rPr>
      </w:pPr>
      <w:r w:rsidRPr="00DD0713">
        <w:t>Department of Civil, Architectural and Environmental Engineering</w:t>
      </w:r>
    </w:p>
    <w:p w14:paraId="4A995208" w14:textId="77777777" w:rsidR="00DD0713" w:rsidRPr="00DD0713" w:rsidRDefault="00DD0713" w:rsidP="00DD0713">
      <w:pPr>
        <w:jc w:val="center"/>
        <w:rPr>
          <w:bCs/>
        </w:rPr>
      </w:pPr>
      <w:r w:rsidRPr="00DD0713">
        <w:t>301 E. Dean Keeton St. Stop C1761, Austin TX 78712, USA</w:t>
      </w:r>
    </w:p>
    <w:p w14:paraId="76ECCD87" w14:textId="79B8BDB6" w:rsidR="00DD0713" w:rsidRPr="00DD0713" w:rsidRDefault="00DD0713" w:rsidP="00DD0713">
      <w:pPr>
        <w:jc w:val="center"/>
      </w:pPr>
      <w:r w:rsidRPr="00DD0713">
        <w:t xml:space="preserve">Email: </w:t>
      </w:r>
      <w:hyperlink r:id="rId8" w:history="1">
        <w:r w:rsidRPr="00DD0713">
          <w:rPr>
            <w:rStyle w:val="Hyperlink"/>
            <w:szCs w:val="24"/>
          </w:rPr>
          <w:t>kasmussen29@utexas.edu</w:t>
        </w:r>
      </w:hyperlink>
    </w:p>
    <w:p w14:paraId="661DF124" w14:textId="26464293" w:rsidR="00DD0713" w:rsidRDefault="00DD0713" w:rsidP="00DD0713">
      <w:pPr>
        <w:jc w:val="center"/>
        <w:rPr>
          <w:rStyle w:val="Style1Char"/>
          <w:b w:val="0"/>
          <w:bCs w:val="0"/>
          <w:color w:val="auto"/>
          <w:sz w:val="24"/>
          <w:szCs w:val="24"/>
        </w:rPr>
      </w:pPr>
    </w:p>
    <w:p w14:paraId="7074D16C" w14:textId="77777777" w:rsidR="00DD0713" w:rsidRDefault="00DD0713" w:rsidP="00DD0713">
      <w:pPr>
        <w:jc w:val="center"/>
        <w:rPr>
          <w:rStyle w:val="Style1Char"/>
          <w:b w:val="0"/>
          <w:bCs w:val="0"/>
          <w:color w:val="auto"/>
          <w:sz w:val="24"/>
          <w:szCs w:val="24"/>
        </w:rPr>
      </w:pPr>
    </w:p>
    <w:p w14:paraId="57F40F4E" w14:textId="77777777" w:rsidR="00DD0713" w:rsidRPr="00C034F1" w:rsidRDefault="00DD0713" w:rsidP="00DD0713">
      <w:pPr>
        <w:jc w:val="center"/>
        <w:rPr>
          <w:b/>
          <w:bCs/>
        </w:rPr>
      </w:pPr>
      <w:r w:rsidRPr="00C034F1">
        <w:rPr>
          <w:b/>
          <w:bCs/>
        </w:rPr>
        <w:t>Aupal Mondal</w:t>
      </w:r>
    </w:p>
    <w:p w14:paraId="48FC0D5C" w14:textId="77777777" w:rsidR="00DD0713" w:rsidRPr="00CF5A9A" w:rsidRDefault="00DD0713" w:rsidP="00DD0713">
      <w:pPr>
        <w:jc w:val="center"/>
        <w:rPr>
          <w:bCs/>
        </w:rPr>
      </w:pPr>
      <w:r w:rsidRPr="00CF5A9A">
        <w:t>The University of Texas at Austin</w:t>
      </w:r>
    </w:p>
    <w:p w14:paraId="08995D17" w14:textId="77777777" w:rsidR="00DD0713" w:rsidRPr="00CF5A9A" w:rsidRDefault="00DD0713" w:rsidP="00DD0713">
      <w:pPr>
        <w:jc w:val="center"/>
        <w:rPr>
          <w:bCs/>
        </w:rPr>
      </w:pPr>
      <w:r w:rsidRPr="00CF5A9A">
        <w:t>Department of Civil, Architectural and Environmental Engineering</w:t>
      </w:r>
    </w:p>
    <w:p w14:paraId="7E94E696" w14:textId="77777777" w:rsidR="00DD0713" w:rsidRPr="00CF5A9A" w:rsidRDefault="00DD0713" w:rsidP="00DD0713">
      <w:pPr>
        <w:jc w:val="center"/>
        <w:rPr>
          <w:bCs/>
        </w:rPr>
      </w:pPr>
      <w:r w:rsidRPr="00CF5A9A">
        <w:t>301 E. Dean Keeton St. Stop C1761, Austin TX 78712, USA</w:t>
      </w:r>
    </w:p>
    <w:p w14:paraId="315F0147" w14:textId="3F52F9F6" w:rsidR="00DD0713" w:rsidRPr="00DA545A" w:rsidRDefault="00DD0713" w:rsidP="00DD0713">
      <w:pPr>
        <w:jc w:val="center"/>
      </w:pPr>
      <w:r>
        <w:t xml:space="preserve">Email: </w:t>
      </w:r>
      <w:hyperlink r:id="rId9" w:history="1">
        <w:r w:rsidRPr="00A8585E">
          <w:rPr>
            <w:rStyle w:val="Hyperlink"/>
          </w:rPr>
          <w:t>aupal.mondal@utexas.edu</w:t>
        </w:r>
      </w:hyperlink>
    </w:p>
    <w:p w14:paraId="666E9FEF" w14:textId="4C931C23" w:rsidR="00DD0713" w:rsidRDefault="00DD0713" w:rsidP="00DD0713">
      <w:pPr>
        <w:jc w:val="center"/>
        <w:rPr>
          <w:rStyle w:val="Style1Char"/>
          <w:b w:val="0"/>
          <w:bCs w:val="0"/>
          <w:color w:val="auto"/>
          <w:sz w:val="24"/>
          <w:szCs w:val="24"/>
        </w:rPr>
      </w:pPr>
    </w:p>
    <w:p w14:paraId="42AB46F4" w14:textId="77777777" w:rsidR="00DD0713" w:rsidRDefault="00DD0713" w:rsidP="00DD0713">
      <w:pPr>
        <w:jc w:val="center"/>
        <w:rPr>
          <w:rStyle w:val="Style1Char"/>
          <w:b w:val="0"/>
          <w:bCs w:val="0"/>
          <w:color w:val="auto"/>
          <w:sz w:val="24"/>
          <w:szCs w:val="24"/>
        </w:rPr>
      </w:pPr>
    </w:p>
    <w:p w14:paraId="05927089" w14:textId="2CCECFD6" w:rsidR="00DD0713" w:rsidRPr="00CF5A9A" w:rsidRDefault="00DD0713" w:rsidP="00DD0713">
      <w:pPr>
        <w:jc w:val="center"/>
        <w:rPr>
          <w:b/>
          <w:lang w:val="fr-FR"/>
        </w:rPr>
      </w:pPr>
      <w:r>
        <w:rPr>
          <w:b/>
          <w:lang w:val="fr-FR"/>
        </w:rPr>
        <w:t>Chandra R. Bhat</w:t>
      </w:r>
      <w:r w:rsidR="00F73DBA">
        <w:rPr>
          <w:b/>
          <w:lang w:val="fr-FR"/>
        </w:rPr>
        <w:t xml:space="preserve"> </w:t>
      </w:r>
      <w:r w:rsidR="00F73DBA" w:rsidRPr="00EF20AE">
        <w:rPr>
          <w:b/>
        </w:rPr>
        <w:t>(corresponding author)</w:t>
      </w:r>
    </w:p>
    <w:p w14:paraId="5DF3F79B" w14:textId="77777777" w:rsidR="00DD0713" w:rsidRPr="00CF5A9A" w:rsidRDefault="00DD0713" w:rsidP="00DD0713">
      <w:pPr>
        <w:jc w:val="center"/>
        <w:rPr>
          <w:bCs/>
        </w:rPr>
      </w:pPr>
      <w:r w:rsidRPr="00CF5A9A">
        <w:t>The University of Texas at Austin</w:t>
      </w:r>
    </w:p>
    <w:p w14:paraId="736EEC38" w14:textId="77777777" w:rsidR="00DD0713" w:rsidRPr="00CF5A9A" w:rsidRDefault="00DD0713" w:rsidP="00DD0713">
      <w:pPr>
        <w:jc w:val="center"/>
        <w:rPr>
          <w:bCs/>
        </w:rPr>
      </w:pPr>
      <w:r w:rsidRPr="00CF5A9A">
        <w:t>Department of Civil, Architectural and Environmental Engineering</w:t>
      </w:r>
    </w:p>
    <w:p w14:paraId="0169044D" w14:textId="77777777" w:rsidR="00DD0713" w:rsidRPr="00CF5A9A" w:rsidRDefault="00DD0713" w:rsidP="00DD0713">
      <w:pPr>
        <w:jc w:val="center"/>
        <w:rPr>
          <w:bCs/>
        </w:rPr>
      </w:pPr>
      <w:r w:rsidRPr="00CF5A9A">
        <w:t>301 E. Dean Keeton St. Stop C1761, Austin TX 78712, USA</w:t>
      </w:r>
    </w:p>
    <w:p w14:paraId="34D6BD70" w14:textId="77777777" w:rsidR="00DD0713" w:rsidRPr="00CF5A9A" w:rsidRDefault="00DD0713" w:rsidP="00DD0713">
      <w:pPr>
        <w:jc w:val="center"/>
        <w:rPr>
          <w:bCs/>
          <w:lang w:val="fr-FR"/>
        </w:rPr>
      </w:pPr>
      <w:r w:rsidRPr="00CF5A9A">
        <w:rPr>
          <w:lang w:val="pt-BR"/>
        </w:rPr>
        <w:t>Tel:</w:t>
      </w:r>
      <w:r w:rsidRPr="00CF5A9A">
        <w:t xml:space="preserve"> 1-512-471-4535; </w:t>
      </w:r>
      <w:r w:rsidRPr="00CF5A9A">
        <w:rPr>
          <w:lang w:val="fr-FR"/>
        </w:rPr>
        <w:t xml:space="preserve">Email: </w:t>
      </w:r>
      <w:hyperlink r:id="rId10" w:history="1">
        <w:r w:rsidRPr="00CF5A9A">
          <w:rPr>
            <w:rStyle w:val="Hyperlink"/>
            <w:lang w:val="fr-FR"/>
          </w:rPr>
          <w:t>bhat@mail.utexas.edu</w:t>
        </w:r>
      </w:hyperlink>
    </w:p>
    <w:p w14:paraId="2D2E45C2" w14:textId="77777777" w:rsidR="00DD0713" w:rsidRPr="00CF5A9A" w:rsidRDefault="00DD0713" w:rsidP="00DD0713">
      <w:pPr>
        <w:jc w:val="center"/>
        <w:rPr>
          <w:bCs/>
        </w:rPr>
      </w:pPr>
      <w:r w:rsidRPr="00CF5A9A">
        <w:t>and</w:t>
      </w:r>
    </w:p>
    <w:p w14:paraId="6337012C" w14:textId="77777777" w:rsidR="00DD0713" w:rsidRPr="00834273" w:rsidRDefault="00DD0713" w:rsidP="00DD0713">
      <w:pPr>
        <w:jc w:val="center"/>
        <w:rPr>
          <w:b/>
        </w:rPr>
      </w:pPr>
      <w:r>
        <w:t>The Hong Kong Polytechnic University</w:t>
      </w:r>
      <w:r w:rsidRPr="00CF5A9A">
        <w:t xml:space="preserve">, </w:t>
      </w:r>
      <w:r>
        <w:t>Hung Hom, Kowloon, Hong Kong</w:t>
      </w:r>
    </w:p>
    <w:p w14:paraId="1470D775" w14:textId="77777777" w:rsidR="00DD0713" w:rsidRDefault="00DD0713" w:rsidP="00DD0713">
      <w:pPr>
        <w:jc w:val="center"/>
        <w:rPr>
          <w:rStyle w:val="Style1Char"/>
          <w:b w:val="0"/>
          <w:bCs w:val="0"/>
          <w:color w:val="auto"/>
          <w:sz w:val="24"/>
          <w:szCs w:val="24"/>
        </w:rPr>
      </w:pPr>
    </w:p>
    <w:p w14:paraId="73DCC469" w14:textId="77777777" w:rsidR="00DD0713" w:rsidRPr="00DD0713" w:rsidRDefault="00DD0713" w:rsidP="00DD0713">
      <w:pPr>
        <w:jc w:val="center"/>
        <w:rPr>
          <w:rStyle w:val="Style1Char"/>
          <w:b w:val="0"/>
          <w:bCs w:val="0"/>
          <w:color w:val="auto"/>
          <w:sz w:val="24"/>
          <w:szCs w:val="24"/>
        </w:rPr>
      </w:pPr>
    </w:p>
    <w:p w14:paraId="131FFC57" w14:textId="5C0710E4" w:rsidR="00DD0713" w:rsidRDefault="00DD0713" w:rsidP="00DD0713">
      <w:pPr>
        <w:rPr>
          <w:rStyle w:val="Style1Char"/>
          <w:b w:val="0"/>
          <w:bCs w:val="0"/>
          <w:color w:val="auto"/>
        </w:rPr>
      </w:pPr>
    </w:p>
    <w:p w14:paraId="7045337B" w14:textId="77777777" w:rsidR="00DD0713" w:rsidRDefault="00DD0713" w:rsidP="00DD0713">
      <w:pPr>
        <w:rPr>
          <w:b/>
        </w:rPr>
      </w:pPr>
      <w:r>
        <w:rPr>
          <w:b/>
        </w:rPr>
        <w:br w:type="page"/>
      </w:r>
    </w:p>
    <w:p w14:paraId="7AB2F97E" w14:textId="5FAFA476" w:rsidR="00BD23B2" w:rsidRPr="00DD0713" w:rsidRDefault="00E04EEA" w:rsidP="0091464C">
      <w:pPr>
        <w:spacing w:line="276" w:lineRule="auto"/>
        <w:rPr>
          <w:b/>
        </w:rPr>
      </w:pPr>
      <w:r w:rsidRPr="00DD0713">
        <w:rPr>
          <w:b/>
        </w:rPr>
        <w:lastRenderedPageBreak/>
        <w:t>ABSTRACT</w:t>
      </w:r>
    </w:p>
    <w:p w14:paraId="4F92A13C" w14:textId="2E72C053" w:rsidR="00FA1F31" w:rsidRPr="00EC5DBB" w:rsidRDefault="00FA1F31" w:rsidP="0091464C">
      <w:pPr>
        <w:spacing w:line="276" w:lineRule="auto"/>
        <w:jc w:val="both"/>
        <w:rPr>
          <w:szCs w:val="24"/>
        </w:rPr>
      </w:pPr>
      <w:r>
        <w:rPr>
          <w:szCs w:val="24"/>
        </w:rPr>
        <w:t>Understanding th</w:t>
      </w:r>
      <w:r>
        <w:rPr>
          <w:rFonts w:cs="Times New Roman"/>
          <w:color w:val="222222"/>
          <w:szCs w:val="24"/>
          <w:shd w:val="clear" w:color="auto" w:fill="FFFFFF"/>
        </w:rPr>
        <w:t>e</w:t>
      </w:r>
      <w:r w:rsidRPr="009144BF">
        <w:rPr>
          <w:rFonts w:cs="Times New Roman"/>
          <w:color w:val="222222"/>
          <w:szCs w:val="24"/>
          <w:shd w:val="clear" w:color="auto" w:fill="FFFFFF"/>
        </w:rPr>
        <w:t xml:space="preserve"> </w:t>
      </w:r>
      <w:r>
        <w:rPr>
          <w:rFonts w:cs="Times New Roman"/>
          <w:color w:val="222222"/>
          <w:szCs w:val="24"/>
          <w:shd w:val="clear" w:color="auto" w:fill="FFFFFF"/>
        </w:rPr>
        <w:t>“</w:t>
      </w:r>
      <w:r w:rsidRPr="009144BF">
        <w:rPr>
          <w:rFonts w:cs="Times New Roman"/>
          <w:i/>
          <w:color w:val="222222"/>
          <w:szCs w:val="24"/>
          <w:shd w:val="clear" w:color="auto" w:fill="FFFFFF"/>
        </w:rPr>
        <w:t>if</w:t>
      </w:r>
      <w:r>
        <w:rPr>
          <w:rFonts w:cs="Times New Roman"/>
          <w:color w:val="222222"/>
          <w:szCs w:val="24"/>
          <w:shd w:val="clear" w:color="auto" w:fill="FFFFFF"/>
        </w:rPr>
        <w:t>” and “</w:t>
      </w:r>
      <w:r w:rsidRPr="009144BF">
        <w:rPr>
          <w:rFonts w:cs="Times New Roman"/>
          <w:i/>
          <w:color w:val="222222"/>
          <w:szCs w:val="24"/>
          <w:shd w:val="clear" w:color="auto" w:fill="FFFFFF"/>
        </w:rPr>
        <w:t>when</w:t>
      </w:r>
      <w:r>
        <w:rPr>
          <w:rFonts w:cs="Times New Roman"/>
          <w:color w:val="222222"/>
          <w:szCs w:val="24"/>
          <w:shd w:val="clear" w:color="auto" w:fill="FFFFFF"/>
        </w:rPr>
        <w:t>” of autonomous vehicle (</w:t>
      </w:r>
      <w:r w:rsidRPr="009144BF">
        <w:rPr>
          <w:rFonts w:cs="Times New Roman"/>
          <w:color w:val="222222"/>
          <w:szCs w:val="24"/>
          <w:shd w:val="clear" w:color="auto" w:fill="FFFFFF"/>
        </w:rPr>
        <w:t>AV</w:t>
      </w:r>
      <w:r>
        <w:rPr>
          <w:rFonts w:cs="Times New Roman"/>
          <w:color w:val="222222"/>
          <w:szCs w:val="24"/>
          <w:shd w:val="clear" w:color="auto" w:fill="FFFFFF"/>
        </w:rPr>
        <w:t xml:space="preserve">) adoption </w:t>
      </w:r>
      <w:r w:rsidRPr="009144BF">
        <w:rPr>
          <w:rFonts w:cs="Times New Roman"/>
          <w:color w:val="222222"/>
          <w:szCs w:val="24"/>
          <w:shd w:val="clear" w:color="auto" w:fill="FFFFFF"/>
        </w:rPr>
        <w:t>is of clear interest to car manufacturers</w:t>
      </w:r>
      <w:r>
        <w:rPr>
          <w:rFonts w:cs="Times New Roman"/>
          <w:color w:val="222222"/>
          <w:szCs w:val="24"/>
          <w:shd w:val="clear" w:color="auto" w:fill="FFFFFF"/>
        </w:rPr>
        <w:t xml:space="preserve"> in their positioning of business processes, but also </w:t>
      </w:r>
      <w:r w:rsidRPr="009144BF">
        <w:rPr>
          <w:rFonts w:cs="Times New Roman"/>
          <w:color w:val="222222"/>
          <w:szCs w:val="24"/>
          <w:shd w:val="clear" w:color="auto" w:fill="FFFFFF"/>
        </w:rPr>
        <w:t>to transportation planners and traffic engineers</w:t>
      </w:r>
      <w:r>
        <w:rPr>
          <w:szCs w:val="24"/>
        </w:rPr>
        <w:t xml:space="preserve">. In this paper, we examine the individual-level AV adoption and timing process, considering the psycho-social factors of driving control, mobility control, safety concerns, and tech-savviness. A </w:t>
      </w:r>
      <w:r w:rsidR="003473F8">
        <w:rPr>
          <w:szCs w:val="24"/>
        </w:rPr>
        <w:t xml:space="preserve">ranked choice </w:t>
      </w:r>
      <w:r>
        <w:rPr>
          <w:szCs w:val="24"/>
        </w:rPr>
        <w:t xml:space="preserve">stated preference design is used to elicit responses from Austin area residents regarding AV adoption. </w:t>
      </w:r>
      <w:r>
        <w:rPr>
          <w:rFonts w:cs="Times New Roman"/>
          <w:szCs w:val="24"/>
        </w:rPr>
        <w:t xml:space="preserve">Our results underscore the need to examine the </w:t>
      </w:r>
      <w:r w:rsidR="003473F8">
        <w:rPr>
          <w:rFonts w:cs="Times New Roman"/>
          <w:szCs w:val="24"/>
        </w:rPr>
        <w:t xml:space="preserve">adoption </w:t>
      </w:r>
      <w:r>
        <w:rPr>
          <w:rFonts w:cs="Times New Roman"/>
          <w:szCs w:val="24"/>
        </w:rPr>
        <w:t xml:space="preserve">of technology through a psycho-social lens. </w:t>
      </w:r>
      <w:r w:rsidR="003473F8">
        <w:rPr>
          <w:rFonts w:cs="Times New Roman"/>
          <w:szCs w:val="24"/>
        </w:rPr>
        <w:t>In particular, t</w:t>
      </w:r>
      <w:r>
        <w:rPr>
          <w:rFonts w:cs="Times New Roman"/>
          <w:szCs w:val="24"/>
        </w:rPr>
        <w:t xml:space="preserve">echnology developments and design </w:t>
      </w:r>
      <w:r w:rsidR="003473F8">
        <w:rPr>
          <w:rFonts w:cs="Times New Roman"/>
          <w:szCs w:val="24"/>
        </w:rPr>
        <w:t xml:space="preserve">should not </w:t>
      </w:r>
      <w:r>
        <w:rPr>
          <w:rFonts w:cs="Times New Roman"/>
          <w:szCs w:val="24"/>
        </w:rPr>
        <w:t xml:space="preserve">be divorced from careful investigations of habits and consumption motivations of different groups of individuals in the population.  </w:t>
      </w:r>
      <w:r w:rsidR="003473F8">
        <w:rPr>
          <w:rFonts w:cs="Times New Roman"/>
          <w:szCs w:val="24"/>
        </w:rPr>
        <w:t xml:space="preserve">The findings from our analysis are translated to specific policy actions to promote AV adoption and accelerate the adoption time frame. </w:t>
      </w:r>
    </w:p>
    <w:p w14:paraId="6B90E00F" w14:textId="69250D5F" w:rsidR="00FA1F31" w:rsidRDefault="00FA1F31" w:rsidP="0091464C">
      <w:pPr>
        <w:spacing w:line="276" w:lineRule="auto"/>
        <w:jc w:val="both"/>
        <w:rPr>
          <w:rFonts w:cs="Times New Roman"/>
          <w:szCs w:val="24"/>
        </w:rPr>
      </w:pPr>
    </w:p>
    <w:p w14:paraId="4D7ED5CB" w14:textId="71AC24A2" w:rsidR="00DD0713" w:rsidRPr="00FA1F31" w:rsidRDefault="00DD0713" w:rsidP="0091464C">
      <w:pPr>
        <w:spacing w:line="276" w:lineRule="auto"/>
        <w:jc w:val="both"/>
        <w:rPr>
          <w:rFonts w:cs="Times New Roman"/>
          <w:szCs w:val="24"/>
        </w:rPr>
      </w:pPr>
      <w:r>
        <w:rPr>
          <w:i/>
        </w:rPr>
        <w:t>Keywords:</w:t>
      </w:r>
      <w:r>
        <w:t xml:space="preserve"> Socio-technical model; autonomous vehicles; ranked choice; psycho-social variables; multivariate analysis.</w:t>
      </w:r>
    </w:p>
    <w:p w14:paraId="3AB89C2B" w14:textId="42B4E799" w:rsidR="00CB3AD2" w:rsidRPr="00A14EAF" w:rsidRDefault="00CB3AD2" w:rsidP="0091464C">
      <w:pPr>
        <w:spacing w:line="276" w:lineRule="auto"/>
        <w:jc w:val="both"/>
        <w:rPr>
          <w:rFonts w:cs="Times New Roman"/>
          <w:color w:val="222222"/>
          <w:shd w:val="clear" w:color="auto" w:fill="FFFFFF"/>
        </w:rPr>
      </w:pPr>
    </w:p>
    <w:p w14:paraId="6DC70B84" w14:textId="77777777" w:rsidR="003473F8" w:rsidRDefault="003473F8" w:rsidP="0091464C">
      <w:pPr>
        <w:spacing w:line="276" w:lineRule="auto"/>
        <w:rPr>
          <w:rFonts w:eastAsiaTheme="majorEastAsia" w:cstheme="majorBidi"/>
          <w:b/>
          <w:bCs/>
          <w:sz w:val="28"/>
          <w:szCs w:val="32"/>
        </w:rPr>
      </w:pPr>
      <w:r>
        <w:br w:type="page"/>
      </w:r>
    </w:p>
    <w:p w14:paraId="604E35B5" w14:textId="77777777" w:rsidR="0091464C" w:rsidRDefault="0091464C" w:rsidP="0091464C">
      <w:pPr>
        <w:pStyle w:val="ListParagraph"/>
        <w:numPr>
          <w:ilvl w:val="0"/>
          <w:numId w:val="23"/>
        </w:numPr>
        <w:spacing w:line="276" w:lineRule="auto"/>
        <w:ind w:left="540" w:hanging="540"/>
        <w:rPr>
          <w:b/>
        </w:rPr>
        <w:sectPr w:rsidR="0091464C" w:rsidSect="006372E9">
          <w:footerReference w:type="default" r:id="rId11"/>
          <w:pgSz w:w="12240" w:h="15840"/>
          <w:pgMar w:top="1440" w:right="1440" w:bottom="1440" w:left="1440" w:header="720" w:footer="720" w:gutter="0"/>
          <w:cols w:space="720"/>
          <w:docGrid w:linePitch="360"/>
        </w:sectPr>
      </w:pPr>
    </w:p>
    <w:p w14:paraId="68C8CE4A" w14:textId="604F6122" w:rsidR="00FF7D87" w:rsidRPr="00DD0713" w:rsidRDefault="00E04EEA" w:rsidP="0091464C">
      <w:pPr>
        <w:pStyle w:val="ListParagraph"/>
        <w:numPr>
          <w:ilvl w:val="0"/>
          <w:numId w:val="23"/>
        </w:numPr>
        <w:spacing w:line="276" w:lineRule="auto"/>
        <w:ind w:left="540" w:hanging="540"/>
        <w:rPr>
          <w:b/>
        </w:rPr>
      </w:pPr>
      <w:r w:rsidRPr="00DD0713">
        <w:rPr>
          <w:b/>
        </w:rPr>
        <w:lastRenderedPageBreak/>
        <w:t>INTRODUCTION</w:t>
      </w:r>
    </w:p>
    <w:p w14:paraId="13240867" w14:textId="5EE81A11" w:rsidR="00F327B7" w:rsidRPr="009144BF" w:rsidRDefault="00CA5962" w:rsidP="006B3123">
      <w:pPr>
        <w:spacing w:line="276" w:lineRule="auto"/>
        <w:jc w:val="both"/>
        <w:rPr>
          <w:szCs w:val="24"/>
        </w:rPr>
      </w:pPr>
      <w:r w:rsidRPr="009144BF">
        <w:rPr>
          <w:rFonts w:cs="Times New Roman"/>
          <w:color w:val="222222"/>
          <w:szCs w:val="24"/>
          <w:shd w:val="clear" w:color="auto" w:fill="FFFFFF"/>
        </w:rPr>
        <w:t xml:space="preserve">Autonomous vehicle (AV) technology is now well within the realm of thinkable possibility and is rapidly advancing as a distinct transportation market reality </w:t>
      </w:r>
      <w:r w:rsidR="008E7E69" w:rsidRPr="009144BF">
        <w:rPr>
          <w:rFonts w:cs="Times New Roman"/>
          <w:color w:val="222222"/>
          <w:szCs w:val="24"/>
          <w:shd w:val="clear" w:color="auto" w:fill="FFFFFF"/>
        </w:rPr>
        <w:t>of</w:t>
      </w:r>
      <w:r w:rsidRPr="009144BF">
        <w:rPr>
          <w:rFonts w:cs="Times New Roman"/>
          <w:color w:val="222222"/>
          <w:szCs w:val="24"/>
          <w:shd w:val="clear" w:color="auto" w:fill="FFFFFF"/>
        </w:rPr>
        <w:t xml:space="preserve"> the near future.</w:t>
      </w:r>
      <w:r w:rsidR="002C4BC5" w:rsidRPr="002C4BC5">
        <w:rPr>
          <w:rStyle w:val="FootnoteReference"/>
          <w:rFonts w:cs="Times New Roman"/>
          <w:color w:val="222222"/>
          <w:szCs w:val="24"/>
          <w:shd w:val="clear" w:color="auto" w:fill="FFFFFF"/>
        </w:rPr>
        <w:t xml:space="preserve"> </w:t>
      </w:r>
      <w:r w:rsidR="002C4BC5">
        <w:rPr>
          <w:rStyle w:val="FootnoteReference"/>
          <w:rFonts w:cs="Times New Roman"/>
          <w:color w:val="222222"/>
          <w:szCs w:val="24"/>
          <w:shd w:val="clear" w:color="auto" w:fill="FFFFFF"/>
        </w:rPr>
        <w:footnoteReference w:id="1"/>
      </w:r>
      <w:r w:rsidR="002C4BC5" w:rsidRPr="009144BF">
        <w:rPr>
          <w:rFonts w:cs="Times New Roman"/>
          <w:color w:val="222222"/>
          <w:szCs w:val="24"/>
          <w:shd w:val="clear" w:color="auto" w:fill="FFFFFF"/>
        </w:rPr>
        <w:t xml:space="preserve"> </w:t>
      </w:r>
      <w:r w:rsidR="003313BB" w:rsidRPr="00AF3E42">
        <w:rPr>
          <w:rFonts w:cs="Times New Roman"/>
          <w:color w:val="222222"/>
          <w:szCs w:val="24"/>
          <w:shd w:val="clear" w:color="auto" w:fill="FFFFFF"/>
        </w:rPr>
        <w:t>Cars with near-fully automated vehicles are now expected to be available for public consumption</w:t>
      </w:r>
      <w:r w:rsidR="003313BB" w:rsidRPr="009144BF">
        <w:rPr>
          <w:rFonts w:cs="Times New Roman"/>
          <w:color w:val="222222"/>
          <w:szCs w:val="24"/>
          <w:shd w:val="clear" w:color="auto" w:fill="FFFFFF"/>
        </w:rPr>
        <w:t xml:space="preserve"> </w:t>
      </w:r>
      <w:r w:rsidR="004C2E6D" w:rsidRPr="009144BF">
        <w:rPr>
          <w:rFonts w:cs="Times New Roman"/>
          <w:color w:val="222222"/>
          <w:szCs w:val="24"/>
          <w:shd w:val="clear" w:color="auto" w:fill="FFFFFF"/>
        </w:rPr>
        <w:t>by the mid</w:t>
      </w:r>
      <w:r w:rsidR="003313BB" w:rsidRPr="009144BF">
        <w:rPr>
          <w:rFonts w:cs="Times New Roman"/>
          <w:color w:val="222222"/>
          <w:szCs w:val="24"/>
          <w:shd w:val="clear" w:color="auto" w:fill="FFFFFF"/>
        </w:rPr>
        <w:t xml:space="preserve"> to late</w:t>
      </w:r>
      <w:r w:rsidR="004C2E6D" w:rsidRPr="009144BF">
        <w:rPr>
          <w:rFonts w:cs="Times New Roman"/>
          <w:color w:val="222222"/>
          <w:szCs w:val="24"/>
          <w:shd w:val="clear" w:color="auto" w:fill="FFFFFF"/>
        </w:rPr>
        <w:t xml:space="preserve"> 2020</w:t>
      </w:r>
      <w:r w:rsidR="003313BB" w:rsidRPr="009144BF">
        <w:rPr>
          <w:rFonts w:cs="Times New Roman"/>
          <w:color w:val="222222"/>
          <w:szCs w:val="24"/>
          <w:shd w:val="clear" w:color="auto" w:fill="FFFFFF"/>
        </w:rPr>
        <w:t>s. Fully auto</w:t>
      </w:r>
      <w:r w:rsidR="00B70EA2">
        <w:rPr>
          <w:rFonts w:cs="Times New Roman"/>
          <w:color w:val="222222"/>
          <w:szCs w:val="24"/>
          <w:shd w:val="clear" w:color="auto" w:fill="FFFFFF"/>
        </w:rPr>
        <w:t>nomous</w:t>
      </w:r>
      <w:r w:rsidR="003313BB" w:rsidRPr="009144BF">
        <w:rPr>
          <w:rFonts w:cs="Times New Roman"/>
          <w:color w:val="222222"/>
          <w:szCs w:val="24"/>
          <w:shd w:val="clear" w:color="auto" w:fill="FFFFFF"/>
        </w:rPr>
        <w:t xml:space="preserve"> vehicles</w:t>
      </w:r>
      <w:r w:rsidR="00B70EA2">
        <w:rPr>
          <w:rFonts w:cs="Times New Roman"/>
          <w:color w:val="222222"/>
          <w:szCs w:val="24"/>
          <w:shd w:val="clear" w:color="auto" w:fill="FFFFFF"/>
        </w:rPr>
        <w:t xml:space="preserve"> or AVs </w:t>
      </w:r>
      <w:r w:rsidR="003313BB" w:rsidRPr="009144BF">
        <w:rPr>
          <w:rFonts w:cs="Times New Roman"/>
          <w:color w:val="222222"/>
          <w:szCs w:val="24"/>
          <w:shd w:val="clear" w:color="auto" w:fill="FFFFFF"/>
        </w:rPr>
        <w:t xml:space="preserve">(with no need for any human intervention) are expected </w:t>
      </w:r>
      <w:r w:rsidR="002C4BC5">
        <w:rPr>
          <w:rFonts w:cs="Times New Roman"/>
          <w:color w:val="222222"/>
          <w:szCs w:val="24"/>
          <w:shd w:val="clear" w:color="auto" w:fill="FFFFFF"/>
        </w:rPr>
        <w:t xml:space="preserve">to be available in the marketplace </w:t>
      </w:r>
      <w:r w:rsidR="004C2E6D" w:rsidRPr="009144BF">
        <w:rPr>
          <w:rFonts w:cs="Times New Roman"/>
          <w:color w:val="222222"/>
          <w:szCs w:val="24"/>
          <w:shd w:val="clear" w:color="auto" w:fill="FFFFFF"/>
        </w:rPr>
        <w:t xml:space="preserve">by the </w:t>
      </w:r>
      <w:r w:rsidR="003313BB" w:rsidRPr="009144BF">
        <w:rPr>
          <w:rFonts w:cs="Times New Roman"/>
          <w:color w:val="222222"/>
          <w:szCs w:val="24"/>
          <w:shd w:val="clear" w:color="auto" w:fill="FFFFFF"/>
        </w:rPr>
        <w:t>mid-</w:t>
      </w:r>
      <w:r w:rsidR="004C2E6D" w:rsidRPr="009144BF">
        <w:rPr>
          <w:rFonts w:cs="Times New Roman"/>
          <w:color w:val="222222"/>
          <w:szCs w:val="24"/>
          <w:shd w:val="clear" w:color="auto" w:fill="FFFFFF"/>
        </w:rPr>
        <w:t>2030s</w:t>
      </w:r>
      <w:r w:rsidR="00A20DAA" w:rsidRPr="009144BF">
        <w:rPr>
          <w:rFonts w:cs="Times New Roman"/>
          <w:color w:val="222222"/>
          <w:szCs w:val="24"/>
          <w:shd w:val="clear" w:color="auto" w:fill="FFFFFF"/>
        </w:rPr>
        <w:t xml:space="preserve"> (Anderson, 2020)</w:t>
      </w:r>
      <w:r w:rsidR="004C2E6D" w:rsidRPr="009144BF">
        <w:rPr>
          <w:rFonts w:cs="Times New Roman"/>
          <w:color w:val="222222"/>
          <w:szCs w:val="24"/>
          <w:shd w:val="clear" w:color="auto" w:fill="FFFFFF"/>
        </w:rPr>
        <w:t xml:space="preserve">. </w:t>
      </w:r>
      <w:r w:rsidR="00FB3D8B" w:rsidRPr="009144BF">
        <w:rPr>
          <w:rFonts w:cs="Times New Roman"/>
          <w:szCs w:val="24"/>
        </w:rPr>
        <w:t xml:space="preserve">Of course, introduction into the </w:t>
      </w:r>
      <w:r w:rsidR="00991263" w:rsidRPr="009144BF">
        <w:rPr>
          <w:rFonts w:cs="Times New Roman"/>
          <w:szCs w:val="24"/>
        </w:rPr>
        <w:t>marketplace</w:t>
      </w:r>
      <w:r w:rsidR="00FB3D8B" w:rsidRPr="009144BF">
        <w:rPr>
          <w:rFonts w:cs="Times New Roman"/>
          <w:szCs w:val="24"/>
        </w:rPr>
        <w:t xml:space="preserve">, by itself, does not determine how quickly AVs will </w:t>
      </w:r>
      <w:r w:rsidR="00C3350B" w:rsidRPr="009144BF">
        <w:rPr>
          <w:rFonts w:cs="Times New Roman"/>
          <w:szCs w:val="24"/>
        </w:rPr>
        <w:t>be purchased and used by consumers</w:t>
      </w:r>
      <w:r w:rsidR="00FB3D8B" w:rsidRPr="009144BF">
        <w:rPr>
          <w:rFonts w:cs="Times New Roman"/>
          <w:szCs w:val="24"/>
        </w:rPr>
        <w:t xml:space="preserve">. On the demand side, </w:t>
      </w:r>
      <w:r w:rsidR="00F327B7" w:rsidRPr="009144BF">
        <w:rPr>
          <w:rFonts w:cs="Times New Roman"/>
          <w:szCs w:val="24"/>
        </w:rPr>
        <w:t>penetration</w:t>
      </w:r>
      <w:r w:rsidR="00FB3D8B" w:rsidRPr="009144BF">
        <w:rPr>
          <w:rFonts w:cs="Times New Roman"/>
          <w:szCs w:val="24"/>
        </w:rPr>
        <w:t xml:space="preserve"> will </w:t>
      </w:r>
      <w:r w:rsidR="00F327B7" w:rsidRPr="009144BF">
        <w:rPr>
          <w:rFonts w:cs="Times New Roman"/>
          <w:szCs w:val="24"/>
        </w:rPr>
        <w:t xml:space="preserve">depend on consumers’ acceptance of this new technology, and </w:t>
      </w:r>
      <w:r w:rsidR="00241898">
        <w:rPr>
          <w:rFonts w:cs="Times New Roman"/>
          <w:szCs w:val="24"/>
        </w:rPr>
        <w:t>how quickly this happens</w:t>
      </w:r>
      <w:r w:rsidR="00F327B7" w:rsidRPr="009144BF">
        <w:rPr>
          <w:rFonts w:cs="Times New Roman"/>
          <w:szCs w:val="24"/>
        </w:rPr>
        <w:t xml:space="preserve">. </w:t>
      </w:r>
      <w:r w:rsidR="00C3350B" w:rsidRPr="009144BF">
        <w:rPr>
          <w:rFonts w:cs="Times New Roman"/>
          <w:color w:val="222222"/>
          <w:szCs w:val="24"/>
          <w:shd w:val="clear" w:color="auto" w:fill="FFFFFF"/>
        </w:rPr>
        <w:t>Th</w:t>
      </w:r>
      <w:r w:rsidR="002C4BC5">
        <w:rPr>
          <w:rFonts w:cs="Times New Roman"/>
          <w:color w:val="222222"/>
          <w:szCs w:val="24"/>
          <w:shd w:val="clear" w:color="auto" w:fill="FFFFFF"/>
        </w:rPr>
        <w:t xml:space="preserve">ese </w:t>
      </w:r>
      <w:r w:rsidR="00241898">
        <w:rPr>
          <w:rFonts w:cs="Times New Roman"/>
          <w:color w:val="222222"/>
          <w:szCs w:val="24"/>
          <w:shd w:val="clear" w:color="auto" w:fill="FFFFFF"/>
        </w:rPr>
        <w:t>“</w:t>
      </w:r>
      <w:r w:rsidR="00241898" w:rsidRPr="009144BF">
        <w:rPr>
          <w:rFonts w:cs="Times New Roman"/>
          <w:i/>
          <w:color w:val="222222"/>
          <w:szCs w:val="24"/>
          <w:shd w:val="clear" w:color="auto" w:fill="FFFFFF"/>
        </w:rPr>
        <w:t>if</w:t>
      </w:r>
      <w:r w:rsidR="00241898">
        <w:rPr>
          <w:rFonts w:cs="Times New Roman"/>
          <w:color w:val="222222"/>
          <w:szCs w:val="24"/>
          <w:shd w:val="clear" w:color="auto" w:fill="FFFFFF"/>
        </w:rPr>
        <w:t>” and “</w:t>
      </w:r>
      <w:r w:rsidR="00241898" w:rsidRPr="009144BF">
        <w:rPr>
          <w:rFonts w:cs="Times New Roman"/>
          <w:i/>
          <w:color w:val="222222"/>
          <w:szCs w:val="24"/>
          <w:shd w:val="clear" w:color="auto" w:fill="FFFFFF"/>
        </w:rPr>
        <w:t>when</w:t>
      </w:r>
      <w:r w:rsidR="00241898">
        <w:rPr>
          <w:rFonts w:cs="Times New Roman"/>
          <w:color w:val="222222"/>
          <w:szCs w:val="24"/>
          <w:shd w:val="clear" w:color="auto" w:fill="FFFFFF"/>
        </w:rPr>
        <w:t xml:space="preserve">” </w:t>
      </w:r>
      <w:r w:rsidR="002C4BC5">
        <w:rPr>
          <w:rFonts w:cs="Times New Roman"/>
          <w:color w:val="222222"/>
          <w:szCs w:val="24"/>
          <w:shd w:val="clear" w:color="auto" w:fill="FFFFFF"/>
        </w:rPr>
        <w:t xml:space="preserve">dimensions </w:t>
      </w:r>
      <w:r w:rsidR="00241898">
        <w:rPr>
          <w:rFonts w:cs="Times New Roman"/>
          <w:color w:val="222222"/>
          <w:szCs w:val="24"/>
          <w:shd w:val="clear" w:color="auto" w:fill="FFFFFF"/>
        </w:rPr>
        <w:t xml:space="preserve">of </w:t>
      </w:r>
      <w:r w:rsidR="00C3350B" w:rsidRPr="009144BF">
        <w:rPr>
          <w:rFonts w:cs="Times New Roman"/>
          <w:color w:val="222222"/>
          <w:szCs w:val="24"/>
          <w:shd w:val="clear" w:color="auto" w:fill="FFFFFF"/>
        </w:rPr>
        <w:t>AV</w:t>
      </w:r>
      <w:r w:rsidR="00241898">
        <w:rPr>
          <w:rFonts w:cs="Times New Roman"/>
          <w:color w:val="222222"/>
          <w:szCs w:val="24"/>
          <w:shd w:val="clear" w:color="auto" w:fill="FFFFFF"/>
        </w:rPr>
        <w:t xml:space="preserve"> adoption </w:t>
      </w:r>
      <w:r w:rsidR="00BB6A55">
        <w:rPr>
          <w:rFonts w:cs="Times New Roman"/>
          <w:color w:val="222222"/>
          <w:szCs w:val="24"/>
          <w:shd w:val="clear" w:color="auto" w:fill="FFFFFF"/>
        </w:rPr>
        <w:t>are</w:t>
      </w:r>
      <w:r w:rsidR="00C3350B" w:rsidRPr="009144BF">
        <w:rPr>
          <w:rFonts w:cs="Times New Roman"/>
          <w:color w:val="222222"/>
          <w:szCs w:val="24"/>
          <w:shd w:val="clear" w:color="auto" w:fill="FFFFFF"/>
        </w:rPr>
        <w:t xml:space="preserve"> of clear interest to car manufacturers, as they assess profit margins and </w:t>
      </w:r>
      <w:r w:rsidR="004718A1" w:rsidRPr="009144BF">
        <w:rPr>
          <w:rFonts w:cs="Times New Roman"/>
          <w:color w:val="222222"/>
          <w:szCs w:val="24"/>
          <w:shd w:val="clear" w:color="auto" w:fill="FFFFFF"/>
        </w:rPr>
        <w:t xml:space="preserve">consider </w:t>
      </w:r>
      <w:r w:rsidR="00C3350B" w:rsidRPr="009144BF">
        <w:rPr>
          <w:rFonts w:cs="Times New Roman"/>
          <w:color w:val="222222"/>
          <w:szCs w:val="24"/>
          <w:shd w:val="clear" w:color="auto" w:fill="FFFFFF"/>
        </w:rPr>
        <w:t>modif</w:t>
      </w:r>
      <w:r w:rsidR="004718A1" w:rsidRPr="009144BF">
        <w:rPr>
          <w:rFonts w:cs="Times New Roman"/>
          <w:color w:val="222222"/>
          <w:szCs w:val="24"/>
          <w:shd w:val="clear" w:color="auto" w:fill="FFFFFF"/>
        </w:rPr>
        <w:t xml:space="preserve">ications to </w:t>
      </w:r>
      <w:r w:rsidR="00C3350B" w:rsidRPr="009144BF">
        <w:rPr>
          <w:rFonts w:cs="Times New Roman"/>
          <w:color w:val="222222"/>
          <w:szCs w:val="24"/>
          <w:shd w:val="clear" w:color="auto" w:fill="FFFFFF"/>
        </w:rPr>
        <w:t xml:space="preserve">their </w:t>
      </w:r>
      <w:r w:rsidR="004718A1" w:rsidRPr="009144BF">
        <w:rPr>
          <w:rFonts w:cs="Times New Roman"/>
          <w:color w:val="222222"/>
          <w:szCs w:val="24"/>
          <w:shd w:val="clear" w:color="auto" w:fill="FFFFFF"/>
        </w:rPr>
        <w:t xml:space="preserve">medium-to-long term </w:t>
      </w:r>
      <w:r w:rsidR="00C3350B" w:rsidRPr="009144BF">
        <w:rPr>
          <w:rFonts w:cs="Times New Roman"/>
          <w:color w:val="222222"/>
          <w:szCs w:val="24"/>
          <w:shd w:val="clear" w:color="auto" w:fill="FFFFFF"/>
        </w:rPr>
        <w:t xml:space="preserve">supply chain protocols. </w:t>
      </w:r>
      <w:r w:rsidR="00482D4A" w:rsidRPr="009144BF">
        <w:rPr>
          <w:rFonts w:cs="Times New Roman"/>
          <w:color w:val="222222"/>
          <w:szCs w:val="24"/>
          <w:shd w:val="clear" w:color="auto" w:fill="FFFFFF"/>
        </w:rPr>
        <w:t>But i</w:t>
      </w:r>
      <w:r w:rsidR="00501DD1" w:rsidRPr="009144BF">
        <w:rPr>
          <w:rFonts w:cs="Times New Roman"/>
          <w:color w:val="222222"/>
          <w:szCs w:val="24"/>
          <w:shd w:val="clear" w:color="auto" w:fill="FFFFFF"/>
        </w:rPr>
        <w:t xml:space="preserve">t </w:t>
      </w:r>
      <w:r w:rsidR="00482D4A" w:rsidRPr="009144BF">
        <w:rPr>
          <w:rFonts w:cs="Times New Roman"/>
          <w:color w:val="222222"/>
          <w:szCs w:val="24"/>
          <w:shd w:val="clear" w:color="auto" w:fill="FFFFFF"/>
        </w:rPr>
        <w:t xml:space="preserve">also </w:t>
      </w:r>
      <w:r w:rsidR="00501DD1" w:rsidRPr="009144BF">
        <w:rPr>
          <w:rFonts w:cs="Times New Roman"/>
          <w:color w:val="222222"/>
          <w:szCs w:val="24"/>
          <w:shd w:val="clear" w:color="auto" w:fill="FFFFFF"/>
        </w:rPr>
        <w:t xml:space="preserve">is </w:t>
      </w:r>
      <w:r w:rsidR="00482D4A" w:rsidRPr="009144BF">
        <w:rPr>
          <w:rFonts w:cs="Times New Roman"/>
          <w:color w:val="222222"/>
          <w:szCs w:val="24"/>
          <w:shd w:val="clear" w:color="auto" w:fill="FFFFFF"/>
        </w:rPr>
        <w:t xml:space="preserve">of substantial interest to transportation planners and traffic engineers. </w:t>
      </w:r>
      <w:r w:rsidR="004718A1" w:rsidRPr="009144BF">
        <w:rPr>
          <w:rFonts w:cs="Times New Roman"/>
          <w:color w:val="222222"/>
          <w:szCs w:val="24"/>
          <w:shd w:val="clear" w:color="auto" w:fill="FFFFFF"/>
        </w:rPr>
        <w:t xml:space="preserve">After all, </w:t>
      </w:r>
      <w:r w:rsidR="004718A1" w:rsidRPr="009144BF">
        <w:rPr>
          <w:szCs w:val="24"/>
        </w:rPr>
        <w:t xml:space="preserve">the adoption rate of AVs in the short, medium, and long range is central to the study of </w:t>
      </w:r>
      <w:r w:rsidR="002814E4" w:rsidRPr="009144BF">
        <w:rPr>
          <w:szCs w:val="24"/>
        </w:rPr>
        <w:t>AV</w:t>
      </w:r>
      <w:r w:rsidR="004718A1" w:rsidRPr="009144BF">
        <w:rPr>
          <w:szCs w:val="24"/>
        </w:rPr>
        <w:t xml:space="preserve"> impacts on </w:t>
      </w:r>
      <w:r w:rsidR="00991263" w:rsidRPr="009144BF">
        <w:rPr>
          <w:szCs w:val="24"/>
        </w:rPr>
        <w:t>mobility and</w:t>
      </w:r>
      <w:r w:rsidR="004718A1" w:rsidRPr="009144BF">
        <w:rPr>
          <w:szCs w:val="24"/>
        </w:rPr>
        <w:t xml:space="preserve"> </w:t>
      </w:r>
      <w:r w:rsidR="002814E4" w:rsidRPr="009144BF">
        <w:rPr>
          <w:szCs w:val="24"/>
        </w:rPr>
        <w:t xml:space="preserve">is </w:t>
      </w:r>
      <w:r w:rsidR="004718A1" w:rsidRPr="009144BF">
        <w:rPr>
          <w:szCs w:val="24"/>
        </w:rPr>
        <w:t>a key component of transportation planning</w:t>
      </w:r>
      <w:r w:rsidR="00FE700C">
        <w:rPr>
          <w:szCs w:val="24"/>
        </w:rPr>
        <w:t xml:space="preserve"> (see, for example, Guerra, 2016 and Dias </w:t>
      </w:r>
      <w:r w:rsidR="00FE700C" w:rsidRPr="00430256">
        <w:rPr>
          <w:i/>
          <w:iCs/>
          <w:szCs w:val="24"/>
        </w:rPr>
        <w:t>et al.,</w:t>
      </w:r>
      <w:r w:rsidR="00FE700C">
        <w:rPr>
          <w:szCs w:val="24"/>
        </w:rPr>
        <w:t xml:space="preserve"> 2020)</w:t>
      </w:r>
      <w:r w:rsidR="004718A1" w:rsidRPr="009144BF">
        <w:rPr>
          <w:szCs w:val="24"/>
        </w:rPr>
        <w:t>.</w:t>
      </w:r>
      <w:r w:rsidR="002814E4" w:rsidRPr="009144BF">
        <w:rPr>
          <w:szCs w:val="24"/>
        </w:rPr>
        <w:t xml:space="preserve"> Indeed,</w:t>
      </w:r>
      <w:r w:rsidR="002814E4" w:rsidRPr="009144BF">
        <w:rPr>
          <w:rFonts w:cs="Times New Roman"/>
          <w:szCs w:val="24"/>
        </w:rPr>
        <w:t xml:space="preserve"> understanding and predicting the potential impacts of AV technologies on </w:t>
      </w:r>
      <w:r w:rsidR="00FE700C">
        <w:rPr>
          <w:rFonts w:cs="Times New Roman"/>
          <w:szCs w:val="24"/>
        </w:rPr>
        <w:t xml:space="preserve">household </w:t>
      </w:r>
      <w:r w:rsidR="002814E4" w:rsidRPr="009144BF">
        <w:rPr>
          <w:rFonts w:cs="Times New Roman"/>
          <w:szCs w:val="24"/>
        </w:rPr>
        <w:t xml:space="preserve">vehicle ownership and use, </w:t>
      </w:r>
      <w:r w:rsidR="00FE700C">
        <w:rPr>
          <w:rFonts w:cs="Times New Roman"/>
          <w:szCs w:val="24"/>
        </w:rPr>
        <w:t xml:space="preserve">individual </w:t>
      </w:r>
      <w:r w:rsidR="002814E4" w:rsidRPr="009144BF">
        <w:rPr>
          <w:rFonts w:cs="Times New Roman"/>
          <w:szCs w:val="24"/>
        </w:rPr>
        <w:t xml:space="preserve">activity-travel behavior, and </w:t>
      </w:r>
      <w:r w:rsidR="002814E4" w:rsidRPr="00901853">
        <w:rPr>
          <w:rFonts w:cs="Times New Roman"/>
          <w:szCs w:val="24"/>
        </w:rPr>
        <w:t>job-housing choices is critical to land use and transportation systems planning</w:t>
      </w:r>
      <w:r w:rsidR="00AF57A5" w:rsidRPr="00901853">
        <w:rPr>
          <w:rFonts w:cs="Times New Roman"/>
          <w:szCs w:val="24"/>
        </w:rPr>
        <w:t xml:space="preserve"> (Mahmassani </w:t>
      </w:r>
      <w:r w:rsidR="00AF57A5" w:rsidRPr="004D7EA3">
        <w:rPr>
          <w:rFonts w:cs="Times New Roman"/>
          <w:i/>
          <w:iCs/>
          <w:szCs w:val="24"/>
        </w:rPr>
        <w:t>et al</w:t>
      </w:r>
      <w:r w:rsidR="00AF57A5" w:rsidRPr="00E32A2A">
        <w:rPr>
          <w:rFonts w:cs="Times New Roman"/>
          <w:iCs/>
          <w:szCs w:val="24"/>
        </w:rPr>
        <w:t>.,</w:t>
      </w:r>
      <w:r w:rsidR="00AF57A5" w:rsidRPr="00901853">
        <w:rPr>
          <w:rFonts w:cs="Times New Roman"/>
          <w:szCs w:val="24"/>
        </w:rPr>
        <w:t xml:space="preserve"> 2018)</w:t>
      </w:r>
      <w:r w:rsidR="002814E4" w:rsidRPr="00901853">
        <w:rPr>
          <w:rFonts w:cs="Times New Roman"/>
          <w:szCs w:val="24"/>
        </w:rPr>
        <w:t>.</w:t>
      </w:r>
      <w:r w:rsidR="002814E4" w:rsidRPr="00901853">
        <w:rPr>
          <w:szCs w:val="24"/>
        </w:rPr>
        <w:t xml:space="preserve"> </w:t>
      </w:r>
    </w:p>
    <w:p w14:paraId="2AA16EF3" w14:textId="3CE6EB0D" w:rsidR="002B1054" w:rsidRPr="002B7FB1" w:rsidRDefault="002B1054" w:rsidP="0091464C">
      <w:pPr>
        <w:spacing w:line="276" w:lineRule="auto"/>
        <w:ind w:firstLine="720"/>
        <w:jc w:val="both"/>
        <w:rPr>
          <w:rFonts w:cs="Times New Roman"/>
          <w:szCs w:val="24"/>
        </w:rPr>
      </w:pPr>
      <w:r w:rsidRPr="00A76F89">
        <w:rPr>
          <w:rFonts w:cs="Times New Roman"/>
          <w:szCs w:val="24"/>
        </w:rPr>
        <w:t xml:space="preserve">The goal of this research paper is to further the understanding of the </w:t>
      </w:r>
      <w:r w:rsidR="006D728F">
        <w:rPr>
          <w:rFonts w:cs="Times New Roman"/>
          <w:szCs w:val="24"/>
        </w:rPr>
        <w:t xml:space="preserve">individual-level </w:t>
      </w:r>
      <w:r w:rsidRPr="00A76F89">
        <w:rPr>
          <w:rFonts w:cs="Times New Roman"/>
          <w:szCs w:val="24"/>
        </w:rPr>
        <w:t xml:space="preserve">factors that contribute to AV adoption </w:t>
      </w:r>
      <w:r w:rsidR="00BC405C" w:rsidRPr="00A76F89">
        <w:rPr>
          <w:rFonts w:cs="Times New Roman"/>
          <w:szCs w:val="24"/>
        </w:rPr>
        <w:t xml:space="preserve">(AVD) </w:t>
      </w:r>
      <w:r w:rsidRPr="00A76F89">
        <w:rPr>
          <w:rFonts w:cs="Times New Roman"/>
          <w:szCs w:val="24"/>
        </w:rPr>
        <w:t>and duration to adoption</w:t>
      </w:r>
      <w:r w:rsidRPr="002B7FB1">
        <w:rPr>
          <w:rFonts w:cs="Times New Roman"/>
          <w:szCs w:val="24"/>
        </w:rPr>
        <w:t xml:space="preserve"> </w:t>
      </w:r>
      <w:r w:rsidR="00BC405C" w:rsidRPr="002B7FB1">
        <w:rPr>
          <w:rFonts w:cs="Times New Roman"/>
          <w:szCs w:val="24"/>
        </w:rPr>
        <w:t xml:space="preserve">(DAD) </w:t>
      </w:r>
      <w:r w:rsidRPr="002B7FB1">
        <w:rPr>
          <w:rFonts w:cs="Times New Roman"/>
          <w:szCs w:val="24"/>
        </w:rPr>
        <w:t xml:space="preserve">(the </w:t>
      </w:r>
      <w:r w:rsidRPr="009144BF">
        <w:rPr>
          <w:rFonts w:cs="Times New Roman"/>
          <w:i/>
          <w:szCs w:val="24"/>
        </w:rPr>
        <w:t>if</w:t>
      </w:r>
      <w:r w:rsidRPr="00A76F89">
        <w:rPr>
          <w:rFonts w:cs="Times New Roman"/>
          <w:szCs w:val="24"/>
        </w:rPr>
        <w:t xml:space="preserve"> and </w:t>
      </w:r>
      <w:r w:rsidRPr="009144BF">
        <w:rPr>
          <w:rFonts w:cs="Times New Roman"/>
          <w:i/>
          <w:szCs w:val="24"/>
        </w:rPr>
        <w:t>when</w:t>
      </w:r>
      <w:r w:rsidRPr="00A76F89">
        <w:rPr>
          <w:rFonts w:cs="Times New Roman"/>
          <w:szCs w:val="24"/>
        </w:rPr>
        <w:t xml:space="preserve"> dimensions of adoption)</w:t>
      </w:r>
      <w:r w:rsidRPr="002B7FB1">
        <w:rPr>
          <w:rFonts w:cs="Times New Roman"/>
          <w:szCs w:val="24"/>
        </w:rPr>
        <w:t xml:space="preserve">. </w:t>
      </w:r>
      <w:r w:rsidR="00BC405C" w:rsidRPr="002B7FB1">
        <w:rPr>
          <w:rFonts w:cs="Times New Roman"/>
          <w:szCs w:val="24"/>
        </w:rPr>
        <w:t xml:space="preserve">Individual socio-demographics as well as psycho-social variables (in the form of latent psychological constructs) are used as determinant variables, while acknowledging the potential endogeneity of these psycho-social variables to the AVD and DAD decisions. </w:t>
      </w:r>
      <w:r w:rsidR="006E1DCB" w:rsidRPr="002B7FB1">
        <w:rPr>
          <w:rFonts w:cs="Times New Roman"/>
          <w:szCs w:val="24"/>
        </w:rPr>
        <w:t xml:space="preserve">A multivariate model accommodating </w:t>
      </w:r>
      <w:r w:rsidR="00152A49" w:rsidRPr="002B7FB1">
        <w:rPr>
          <w:rFonts w:cs="Times New Roman"/>
          <w:szCs w:val="24"/>
        </w:rPr>
        <w:t xml:space="preserve">a total of seven variables, including a mix of </w:t>
      </w:r>
      <w:r w:rsidR="006E1DCB" w:rsidRPr="002B7FB1">
        <w:rPr>
          <w:rFonts w:cs="Times New Roman"/>
          <w:szCs w:val="24"/>
        </w:rPr>
        <w:t>continuous variables, a ranked variable, and a nominal variable</w:t>
      </w:r>
      <w:r w:rsidR="00152A49" w:rsidRPr="002B7FB1">
        <w:rPr>
          <w:rFonts w:cs="Times New Roman"/>
          <w:szCs w:val="24"/>
        </w:rPr>
        <w:t>,</w:t>
      </w:r>
      <w:r w:rsidR="006E1DCB" w:rsidRPr="002B7FB1">
        <w:rPr>
          <w:rFonts w:cs="Times New Roman"/>
          <w:szCs w:val="24"/>
        </w:rPr>
        <w:t xml:space="preserve"> is estimated</w:t>
      </w:r>
      <w:r w:rsidR="00152A49" w:rsidRPr="002B7FB1">
        <w:rPr>
          <w:rFonts w:cs="Times New Roman"/>
          <w:szCs w:val="24"/>
        </w:rPr>
        <w:t>.</w:t>
      </w:r>
      <w:r w:rsidR="006E1DCB" w:rsidRPr="002B7FB1">
        <w:rPr>
          <w:rFonts w:cs="Times New Roman"/>
          <w:szCs w:val="24"/>
        </w:rPr>
        <w:t xml:space="preserve"> </w:t>
      </w:r>
      <w:r w:rsidRPr="002B7FB1">
        <w:rPr>
          <w:rFonts w:cs="Times New Roman"/>
          <w:szCs w:val="24"/>
        </w:rPr>
        <w:t xml:space="preserve">Based on the model results, we propose policy measures that could make individuals more amenable to </w:t>
      </w:r>
      <w:r w:rsidR="00BC405C" w:rsidRPr="002B7FB1">
        <w:rPr>
          <w:rFonts w:cs="Times New Roman"/>
          <w:szCs w:val="24"/>
        </w:rPr>
        <w:t xml:space="preserve">adopting AVs </w:t>
      </w:r>
      <w:r w:rsidR="006E1DCB" w:rsidRPr="002B7FB1">
        <w:rPr>
          <w:rFonts w:cs="Times New Roman"/>
          <w:szCs w:val="24"/>
        </w:rPr>
        <w:t>quickly</w:t>
      </w:r>
      <w:r w:rsidR="001A7EEE">
        <w:rPr>
          <w:rFonts w:cs="Times New Roman"/>
          <w:szCs w:val="24"/>
        </w:rPr>
        <w:t>.</w:t>
      </w:r>
      <w:r w:rsidR="00152A49" w:rsidRPr="002B7FB1">
        <w:rPr>
          <w:rFonts w:cs="Times New Roman"/>
          <w:szCs w:val="24"/>
        </w:rPr>
        <w:t xml:space="preserve"> </w:t>
      </w:r>
      <w:r w:rsidRPr="00A76F89">
        <w:rPr>
          <w:rFonts w:cs="Times New Roman"/>
          <w:szCs w:val="24"/>
        </w:rPr>
        <w:t>The study uses data from a</w:t>
      </w:r>
      <w:r w:rsidR="00152A49" w:rsidRPr="00A76F89">
        <w:rPr>
          <w:rFonts w:cs="Times New Roman"/>
          <w:szCs w:val="24"/>
        </w:rPr>
        <w:t>n Austin-based</w:t>
      </w:r>
      <w:r w:rsidRPr="00A76F89">
        <w:rPr>
          <w:rFonts w:cs="Times New Roman"/>
          <w:szCs w:val="24"/>
        </w:rPr>
        <w:t xml:space="preserve"> survey on </w:t>
      </w:r>
      <w:r w:rsidR="00152A49" w:rsidRPr="002B7FB1">
        <w:rPr>
          <w:rFonts w:cs="Times New Roman"/>
          <w:szCs w:val="24"/>
        </w:rPr>
        <w:t>new mobility services</w:t>
      </w:r>
      <w:r w:rsidRPr="002B7FB1">
        <w:rPr>
          <w:rFonts w:cs="Times New Roman"/>
          <w:szCs w:val="24"/>
        </w:rPr>
        <w:t xml:space="preserve"> conducted by the </w:t>
      </w:r>
      <w:r w:rsidR="00152A49" w:rsidRPr="002B7FB1">
        <w:rPr>
          <w:rFonts w:cs="Times New Roman"/>
          <w:szCs w:val="24"/>
        </w:rPr>
        <w:t>authors as part of a multi-city survey</w:t>
      </w:r>
      <w:r w:rsidRPr="002B7FB1">
        <w:rPr>
          <w:rFonts w:cs="Times New Roman"/>
          <w:szCs w:val="24"/>
        </w:rPr>
        <w:t xml:space="preserve">. </w:t>
      </w:r>
    </w:p>
    <w:p w14:paraId="13026D73" w14:textId="45495CF8" w:rsidR="00E6536C" w:rsidRDefault="002B1054" w:rsidP="005279CF">
      <w:pPr>
        <w:spacing w:line="276" w:lineRule="auto"/>
        <w:ind w:firstLine="720"/>
        <w:jc w:val="both"/>
        <w:rPr>
          <w:rFonts w:cs="Times New Roman"/>
          <w:color w:val="222222"/>
          <w:szCs w:val="24"/>
          <w:shd w:val="clear" w:color="auto" w:fill="FFFFFF"/>
        </w:rPr>
      </w:pPr>
      <w:r w:rsidRPr="002B7FB1">
        <w:rPr>
          <w:rFonts w:cs="Times New Roman"/>
          <w:szCs w:val="24"/>
        </w:rPr>
        <w:lastRenderedPageBreak/>
        <w:t xml:space="preserve">The rest of this paper is organized as follows. Section 2 provides a brief overview of past literature </w:t>
      </w:r>
      <w:r w:rsidR="00152A49" w:rsidRPr="002B7FB1">
        <w:rPr>
          <w:rFonts w:cs="Times New Roman"/>
          <w:szCs w:val="24"/>
        </w:rPr>
        <w:t xml:space="preserve">of individual-level models </w:t>
      </w:r>
      <w:r w:rsidRPr="002B7FB1">
        <w:rPr>
          <w:rFonts w:cs="Times New Roman"/>
          <w:szCs w:val="24"/>
        </w:rPr>
        <w:t xml:space="preserve">relevant to understanding </w:t>
      </w:r>
      <w:r w:rsidR="00152A49" w:rsidRPr="002B7FB1">
        <w:rPr>
          <w:rFonts w:cs="Times New Roman"/>
          <w:szCs w:val="24"/>
        </w:rPr>
        <w:t>the AVD and DAD decisions.</w:t>
      </w:r>
      <w:r w:rsidR="00152A49" w:rsidRPr="009144BF">
        <w:rPr>
          <w:rFonts w:cs="Times New Roman"/>
          <w:color w:val="222222"/>
          <w:szCs w:val="24"/>
          <w:shd w:val="clear" w:color="auto" w:fill="FFFFFF"/>
        </w:rPr>
        <w:t xml:space="preserve"> Section 3 presents the </w:t>
      </w:r>
      <w:r w:rsidR="008224C7" w:rsidRPr="009144BF">
        <w:rPr>
          <w:rFonts w:cs="Times New Roman"/>
          <w:color w:val="222222"/>
          <w:szCs w:val="24"/>
          <w:shd w:val="clear" w:color="auto" w:fill="FFFFFF"/>
        </w:rPr>
        <w:t xml:space="preserve">survey administration process, data preparation steps, and the </w:t>
      </w:r>
      <w:r w:rsidR="00152A49" w:rsidRPr="009144BF">
        <w:rPr>
          <w:rFonts w:cs="Times New Roman"/>
          <w:color w:val="222222"/>
          <w:szCs w:val="24"/>
          <w:shd w:val="clear" w:color="auto" w:fill="FFFFFF"/>
        </w:rPr>
        <w:t>analytic framework</w:t>
      </w:r>
      <w:r w:rsidR="008224C7" w:rsidRPr="009144BF">
        <w:rPr>
          <w:rFonts w:cs="Times New Roman"/>
          <w:color w:val="222222"/>
          <w:szCs w:val="24"/>
          <w:shd w:val="clear" w:color="auto" w:fill="FFFFFF"/>
        </w:rPr>
        <w:t>.</w:t>
      </w:r>
      <w:r w:rsidR="00152A49" w:rsidRPr="009144BF">
        <w:rPr>
          <w:rFonts w:cs="Times New Roman"/>
          <w:color w:val="222222"/>
          <w:szCs w:val="24"/>
          <w:shd w:val="clear" w:color="auto" w:fill="FFFFFF"/>
        </w:rPr>
        <w:t xml:space="preserve"> Section 4 presents the model estimation results and goodness of fit measures. Section 5 </w:t>
      </w:r>
      <w:r w:rsidR="008224C7" w:rsidRPr="009144BF">
        <w:rPr>
          <w:rFonts w:cs="Times New Roman"/>
          <w:color w:val="222222"/>
          <w:szCs w:val="24"/>
          <w:shd w:val="clear" w:color="auto" w:fill="FFFFFF"/>
        </w:rPr>
        <w:t>discu</w:t>
      </w:r>
      <w:r w:rsidR="00096FCA">
        <w:rPr>
          <w:rFonts w:cs="Times New Roman"/>
          <w:color w:val="222222"/>
          <w:szCs w:val="24"/>
          <w:shd w:val="clear" w:color="auto" w:fill="FFFFFF"/>
        </w:rPr>
        <w:t xml:space="preserve">sses </w:t>
      </w:r>
      <w:r w:rsidR="008224C7" w:rsidRPr="009144BF">
        <w:rPr>
          <w:rFonts w:cs="Times New Roman"/>
          <w:color w:val="222222"/>
          <w:szCs w:val="24"/>
          <w:shd w:val="clear" w:color="auto" w:fill="FFFFFF"/>
        </w:rPr>
        <w:t xml:space="preserve">policy </w:t>
      </w:r>
      <w:r w:rsidR="008224C7" w:rsidRPr="0041126D">
        <w:rPr>
          <w:rFonts w:cs="Times New Roman"/>
          <w:color w:val="222222"/>
          <w:szCs w:val="24"/>
          <w:shd w:val="clear" w:color="auto" w:fill="FFFFFF"/>
        </w:rPr>
        <w:t>implications</w:t>
      </w:r>
      <w:r w:rsidR="00B50E0B" w:rsidRPr="0041126D">
        <w:rPr>
          <w:rFonts w:cs="Times New Roman"/>
          <w:color w:val="222222"/>
          <w:szCs w:val="24"/>
          <w:shd w:val="clear" w:color="auto" w:fill="FFFFFF"/>
        </w:rPr>
        <w:t xml:space="preserve"> </w:t>
      </w:r>
      <w:r w:rsidR="00241898" w:rsidRPr="0041126D">
        <w:rPr>
          <w:rFonts w:cs="Times New Roman"/>
          <w:color w:val="222222"/>
          <w:szCs w:val="24"/>
          <w:shd w:val="clear" w:color="auto" w:fill="FFFFFF"/>
        </w:rPr>
        <w:t xml:space="preserve">to </w:t>
      </w:r>
      <w:r w:rsidR="00B50E0B" w:rsidRPr="0041126D">
        <w:rPr>
          <w:rFonts w:cs="Times New Roman"/>
          <w:color w:val="222222"/>
          <w:szCs w:val="24"/>
          <w:shd w:val="clear" w:color="auto" w:fill="FFFFFF"/>
        </w:rPr>
        <w:t>accelerate AV</w:t>
      </w:r>
      <w:r w:rsidR="00B50E0B" w:rsidRPr="009144BF">
        <w:rPr>
          <w:rFonts w:cs="Times New Roman"/>
          <w:color w:val="222222"/>
          <w:szCs w:val="24"/>
          <w:shd w:val="clear" w:color="auto" w:fill="FFFFFF"/>
        </w:rPr>
        <w:t xml:space="preserve"> adoption</w:t>
      </w:r>
      <w:r w:rsidR="00096FCA">
        <w:rPr>
          <w:rFonts w:cs="Times New Roman"/>
          <w:color w:val="222222"/>
          <w:szCs w:val="24"/>
          <w:shd w:val="clear" w:color="auto" w:fill="FFFFFF"/>
        </w:rPr>
        <w:t xml:space="preserve">. Finally, Section 6 concludes the paper with a summary discussion of the important findings, </w:t>
      </w:r>
      <w:r w:rsidR="008224C7" w:rsidRPr="009144BF">
        <w:rPr>
          <w:rFonts w:cs="Times New Roman"/>
          <w:color w:val="222222"/>
          <w:szCs w:val="24"/>
          <w:shd w:val="clear" w:color="auto" w:fill="FFFFFF"/>
        </w:rPr>
        <w:t>a</w:t>
      </w:r>
      <w:r w:rsidR="00241898">
        <w:rPr>
          <w:rFonts w:cs="Times New Roman"/>
          <w:color w:val="222222"/>
          <w:szCs w:val="24"/>
          <w:shd w:val="clear" w:color="auto" w:fill="FFFFFF"/>
        </w:rPr>
        <w:t>long with</w:t>
      </w:r>
      <w:r w:rsidR="008224C7" w:rsidRPr="009144BF">
        <w:rPr>
          <w:rFonts w:cs="Times New Roman"/>
          <w:color w:val="222222"/>
          <w:szCs w:val="24"/>
          <w:shd w:val="clear" w:color="auto" w:fill="FFFFFF"/>
        </w:rPr>
        <w:t xml:space="preserve"> </w:t>
      </w:r>
      <w:r w:rsidR="00B50E0B" w:rsidRPr="009144BF">
        <w:rPr>
          <w:rFonts w:cs="Times New Roman"/>
          <w:color w:val="222222"/>
          <w:szCs w:val="24"/>
          <w:shd w:val="clear" w:color="auto" w:fill="FFFFFF"/>
        </w:rPr>
        <w:t xml:space="preserve">an identification of </w:t>
      </w:r>
      <w:r w:rsidR="00152A49" w:rsidRPr="009144BF">
        <w:rPr>
          <w:rFonts w:cs="Times New Roman"/>
          <w:color w:val="222222"/>
          <w:szCs w:val="24"/>
          <w:shd w:val="clear" w:color="auto" w:fill="FFFFFF"/>
        </w:rPr>
        <w:t xml:space="preserve">future research directions. </w:t>
      </w:r>
    </w:p>
    <w:p w14:paraId="2A806B4A" w14:textId="77777777" w:rsidR="0016254A" w:rsidRPr="009144BF" w:rsidRDefault="0016254A" w:rsidP="0091464C">
      <w:pPr>
        <w:spacing w:line="276" w:lineRule="auto"/>
        <w:jc w:val="both"/>
        <w:rPr>
          <w:rFonts w:cs="Times New Roman"/>
          <w:szCs w:val="24"/>
          <w:shd w:val="clear" w:color="auto" w:fill="FFFFFF"/>
        </w:rPr>
      </w:pPr>
    </w:p>
    <w:p w14:paraId="40D7908F" w14:textId="3D3C9C48" w:rsidR="004A4980" w:rsidRPr="0016254A" w:rsidRDefault="00E04EEA" w:rsidP="00BA4553">
      <w:pPr>
        <w:pStyle w:val="ListParagraph"/>
        <w:keepNext/>
        <w:keepLines/>
        <w:numPr>
          <w:ilvl w:val="0"/>
          <w:numId w:val="23"/>
        </w:numPr>
        <w:spacing w:line="276" w:lineRule="auto"/>
        <w:ind w:left="540" w:hanging="540"/>
        <w:rPr>
          <w:b/>
          <w:szCs w:val="24"/>
          <w:shd w:val="clear" w:color="auto" w:fill="FFFFFF"/>
        </w:rPr>
      </w:pPr>
      <w:r w:rsidRPr="0016254A">
        <w:rPr>
          <w:b/>
          <w:shd w:val="clear" w:color="auto" w:fill="FFFFFF"/>
        </w:rPr>
        <w:t>LITERATURE REVIEW</w:t>
      </w:r>
      <w:r w:rsidR="004A4980" w:rsidRPr="0016254A">
        <w:rPr>
          <w:b/>
          <w:szCs w:val="24"/>
          <w:shd w:val="clear" w:color="auto" w:fill="FFFFFF"/>
        </w:rPr>
        <w:tab/>
      </w:r>
    </w:p>
    <w:p w14:paraId="495AF583" w14:textId="52CB7941" w:rsidR="00E07875" w:rsidRPr="00764E41" w:rsidRDefault="00B50E0B" w:rsidP="00BA4553">
      <w:pPr>
        <w:keepNext/>
        <w:keepLines/>
        <w:spacing w:line="276" w:lineRule="auto"/>
        <w:jc w:val="both"/>
        <w:rPr>
          <w:szCs w:val="24"/>
        </w:rPr>
      </w:pPr>
      <w:r w:rsidRPr="009144BF">
        <w:rPr>
          <w:szCs w:val="24"/>
        </w:rPr>
        <w:t xml:space="preserve">There is a growing body of literature devoted to the study of the adoption and impacts of transformative technologies in transportation, including AVs and mobility-on-demand services (such as car-sharing and ride-hailing). In the future, there is likely to be a convergence of these, as mobility-on-demand services </w:t>
      </w:r>
      <w:r w:rsidR="006D728F">
        <w:rPr>
          <w:szCs w:val="24"/>
        </w:rPr>
        <w:t xml:space="preserve">increasingly </w:t>
      </w:r>
      <w:r w:rsidRPr="009144BF">
        <w:rPr>
          <w:szCs w:val="24"/>
        </w:rPr>
        <w:t>us</w:t>
      </w:r>
      <w:r w:rsidR="006D728F">
        <w:rPr>
          <w:szCs w:val="24"/>
        </w:rPr>
        <w:t>e</w:t>
      </w:r>
      <w:r w:rsidR="00241898">
        <w:rPr>
          <w:szCs w:val="24"/>
        </w:rPr>
        <w:t xml:space="preserve"> </w:t>
      </w:r>
      <w:r w:rsidRPr="009144BF">
        <w:rPr>
          <w:szCs w:val="24"/>
        </w:rPr>
        <w:t xml:space="preserve">AVs for providing transportation. </w:t>
      </w:r>
      <w:r w:rsidR="006D728F">
        <w:rPr>
          <w:szCs w:val="24"/>
        </w:rPr>
        <w:t xml:space="preserve">Due to this likely overall </w:t>
      </w:r>
      <w:r w:rsidR="00B364B9" w:rsidRPr="009144BF">
        <w:rPr>
          <w:szCs w:val="24"/>
        </w:rPr>
        <w:t xml:space="preserve">convergence toward AVs, there has been substantial </w:t>
      </w:r>
      <w:r w:rsidR="00241898">
        <w:rPr>
          <w:szCs w:val="24"/>
        </w:rPr>
        <w:t xml:space="preserve">recent </w:t>
      </w:r>
      <w:r w:rsidR="00B364B9" w:rsidRPr="009144BF">
        <w:rPr>
          <w:szCs w:val="24"/>
        </w:rPr>
        <w:t xml:space="preserve">literature focusing on the potential changes </w:t>
      </w:r>
      <w:r w:rsidRPr="009144BF">
        <w:rPr>
          <w:szCs w:val="24"/>
        </w:rPr>
        <w:t xml:space="preserve">in transportation </w:t>
      </w:r>
      <w:r w:rsidRPr="00901853">
        <w:rPr>
          <w:szCs w:val="24"/>
        </w:rPr>
        <w:t xml:space="preserve">system performance in an AV future, </w:t>
      </w:r>
      <w:r w:rsidR="00B364B9" w:rsidRPr="00901853">
        <w:rPr>
          <w:szCs w:val="24"/>
        </w:rPr>
        <w:t xml:space="preserve">including </w:t>
      </w:r>
      <w:r w:rsidRPr="00901853">
        <w:rPr>
          <w:szCs w:val="24"/>
        </w:rPr>
        <w:t xml:space="preserve">possible impacts of AV technology on highway </w:t>
      </w:r>
      <w:r w:rsidR="00B364B9" w:rsidRPr="00901853">
        <w:rPr>
          <w:szCs w:val="24"/>
        </w:rPr>
        <w:t>capacity (</w:t>
      </w:r>
      <w:r w:rsidR="001100B4" w:rsidRPr="00901853">
        <w:rPr>
          <w:szCs w:val="24"/>
        </w:rPr>
        <w:t>Simko, 2016</w:t>
      </w:r>
      <w:r w:rsidR="00A81B35">
        <w:rPr>
          <w:szCs w:val="24"/>
        </w:rPr>
        <w:t xml:space="preserve">; </w:t>
      </w:r>
      <w:r w:rsidR="00B364B9" w:rsidRPr="00901853">
        <w:rPr>
          <w:szCs w:val="24"/>
        </w:rPr>
        <w:t xml:space="preserve">Meyer </w:t>
      </w:r>
      <w:r w:rsidR="00B364B9" w:rsidRPr="004D7EA3">
        <w:rPr>
          <w:i/>
          <w:iCs/>
          <w:szCs w:val="24"/>
        </w:rPr>
        <w:t>et al</w:t>
      </w:r>
      <w:r w:rsidR="00B364B9" w:rsidRPr="00E32A2A">
        <w:rPr>
          <w:iCs/>
          <w:szCs w:val="24"/>
        </w:rPr>
        <w:t>.,</w:t>
      </w:r>
      <w:r w:rsidR="00B364B9" w:rsidRPr="00901853">
        <w:rPr>
          <w:szCs w:val="24"/>
        </w:rPr>
        <w:t xml:space="preserve"> 2017)</w:t>
      </w:r>
      <w:r w:rsidRPr="00901853">
        <w:rPr>
          <w:szCs w:val="24"/>
        </w:rPr>
        <w:t xml:space="preserve">, </w:t>
      </w:r>
      <w:r w:rsidR="00B364B9" w:rsidRPr="00901853">
        <w:rPr>
          <w:szCs w:val="24"/>
        </w:rPr>
        <w:t>work and home location</w:t>
      </w:r>
      <w:r w:rsidR="00480AE7" w:rsidRPr="00901853">
        <w:rPr>
          <w:szCs w:val="24"/>
        </w:rPr>
        <w:t xml:space="preserve"> choices</w:t>
      </w:r>
      <w:r w:rsidR="00B364B9" w:rsidRPr="00901853">
        <w:rPr>
          <w:szCs w:val="24"/>
        </w:rPr>
        <w:t xml:space="preserve"> (</w:t>
      </w:r>
      <w:r w:rsidR="001100B4" w:rsidRPr="00901853">
        <w:rPr>
          <w:szCs w:val="24"/>
        </w:rPr>
        <w:t>Zhang and Guhathakurta</w:t>
      </w:r>
      <w:r w:rsidR="001100B4" w:rsidRPr="00901853">
        <w:rPr>
          <w:rFonts w:cs="Times New Roman"/>
          <w:color w:val="222222"/>
          <w:szCs w:val="24"/>
          <w:shd w:val="clear" w:color="auto" w:fill="FFFFFF"/>
        </w:rPr>
        <w:t>, 2018</w:t>
      </w:r>
      <w:r w:rsidR="00A81B35">
        <w:rPr>
          <w:rFonts w:cs="Times New Roman"/>
          <w:color w:val="222222"/>
          <w:szCs w:val="24"/>
          <w:shd w:val="clear" w:color="auto" w:fill="FFFFFF"/>
        </w:rPr>
        <w:t xml:space="preserve">; </w:t>
      </w:r>
      <w:r w:rsidR="00B364B9" w:rsidRPr="00901853">
        <w:rPr>
          <w:szCs w:val="24"/>
        </w:rPr>
        <w:t xml:space="preserve">Moore </w:t>
      </w:r>
      <w:r w:rsidR="00B364B9" w:rsidRPr="004D7EA3">
        <w:rPr>
          <w:i/>
          <w:iCs/>
          <w:szCs w:val="24"/>
        </w:rPr>
        <w:t>et al</w:t>
      </w:r>
      <w:r w:rsidR="00B364B9" w:rsidRPr="00E32A2A">
        <w:rPr>
          <w:iCs/>
          <w:szCs w:val="24"/>
        </w:rPr>
        <w:t>.,</w:t>
      </w:r>
      <w:r w:rsidR="00B364B9" w:rsidRPr="00901853">
        <w:rPr>
          <w:szCs w:val="24"/>
        </w:rPr>
        <w:t xml:space="preserve"> 2020)</w:t>
      </w:r>
      <w:r w:rsidRPr="00901853">
        <w:rPr>
          <w:szCs w:val="24"/>
        </w:rPr>
        <w:t xml:space="preserve">, parking </w:t>
      </w:r>
      <w:r w:rsidR="00480AE7" w:rsidRPr="00901853">
        <w:rPr>
          <w:szCs w:val="24"/>
        </w:rPr>
        <w:t xml:space="preserve">and </w:t>
      </w:r>
      <w:r w:rsidRPr="00901853">
        <w:rPr>
          <w:szCs w:val="24"/>
        </w:rPr>
        <w:t>infrastructure</w:t>
      </w:r>
      <w:r w:rsidRPr="009144BF">
        <w:rPr>
          <w:szCs w:val="24"/>
        </w:rPr>
        <w:t xml:space="preserve"> </w:t>
      </w:r>
      <w:r w:rsidR="00480AE7" w:rsidRPr="009144BF">
        <w:rPr>
          <w:szCs w:val="24"/>
        </w:rPr>
        <w:t>design (including curb design considerations for drop-off/pick-up and traffic lane/median design</w:t>
      </w:r>
      <w:r w:rsidR="00E07875" w:rsidRPr="009144BF">
        <w:rPr>
          <w:szCs w:val="24"/>
        </w:rPr>
        <w:t xml:space="preserve">; </w:t>
      </w:r>
      <w:r w:rsidR="001100B4">
        <w:rPr>
          <w:szCs w:val="24"/>
        </w:rPr>
        <w:t xml:space="preserve">see </w:t>
      </w:r>
      <w:r w:rsidR="00480AE7" w:rsidRPr="00560D76">
        <w:rPr>
          <w:szCs w:val="24"/>
        </w:rPr>
        <w:t xml:space="preserve">Zhang </w:t>
      </w:r>
      <w:r w:rsidR="00480AE7" w:rsidRPr="004D7EA3">
        <w:rPr>
          <w:i/>
          <w:iCs/>
          <w:szCs w:val="24"/>
        </w:rPr>
        <w:t>et al</w:t>
      </w:r>
      <w:r w:rsidR="00480AE7" w:rsidRPr="00E32A2A">
        <w:rPr>
          <w:iCs/>
          <w:szCs w:val="24"/>
        </w:rPr>
        <w:t>.,</w:t>
      </w:r>
      <w:r w:rsidR="00480AE7" w:rsidRPr="00560D76">
        <w:rPr>
          <w:szCs w:val="24"/>
        </w:rPr>
        <w:t xml:space="preserve"> 2015</w:t>
      </w:r>
      <w:r w:rsidR="00A81B35">
        <w:rPr>
          <w:szCs w:val="24"/>
        </w:rPr>
        <w:t xml:space="preserve">; </w:t>
      </w:r>
      <w:r w:rsidR="00480AE7" w:rsidRPr="009144BF">
        <w:rPr>
          <w:szCs w:val="24"/>
        </w:rPr>
        <w:t xml:space="preserve">Henaghan, </w:t>
      </w:r>
      <w:r w:rsidR="00E07875" w:rsidRPr="009144BF">
        <w:rPr>
          <w:szCs w:val="24"/>
        </w:rPr>
        <w:t>2018</w:t>
      </w:r>
      <w:r w:rsidR="00480AE7" w:rsidRPr="009144BF">
        <w:rPr>
          <w:szCs w:val="24"/>
        </w:rPr>
        <w:t xml:space="preserve">), roadway safety effects (see, for example, </w:t>
      </w:r>
      <w:r w:rsidR="00AF3E42">
        <w:rPr>
          <w:szCs w:val="24"/>
        </w:rPr>
        <w:t>Litman, 2020</w:t>
      </w:r>
      <w:r w:rsidR="00A81B35">
        <w:rPr>
          <w:szCs w:val="24"/>
        </w:rPr>
        <w:t>;</w:t>
      </w:r>
      <w:r w:rsidR="00AF3E42">
        <w:rPr>
          <w:szCs w:val="24"/>
        </w:rPr>
        <w:t xml:space="preserve"> </w:t>
      </w:r>
      <w:r w:rsidR="00480AE7" w:rsidRPr="009144BF">
        <w:rPr>
          <w:szCs w:val="24"/>
        </w:rPr>
        <w:t xml:space="preserve">Haboucha </w:t>
      </w:r>
      <w:r w:rsidR="00480AE7" w:rsidRPr="004D7EA3">
        <w:rPr>
          <w:i/>
          <w:iCs/>
          <w:szCs w:val="24"/>
        </w:rPr>
        <w:t>et al</w:t>
      </w:r>
      <w:r w:rsidR="00480AE7" w:rsidRPr="00E32A2A">
        <w:rPr>
          <w:iCs/>
          <w:szCs w:val="24"/>
        </w:rPr>
        <w:t>.,</w:t>
      </w:r>
      <w:r w:rsidR="00480AE7" w:rsidRPr="009144BF">
        <w:rPr>
          <w:szCs w:val="24"/>
        </w:rPr>
        <w:t xml:space="preserve"> 2017</w:t>
      </w:r>
      <w:r w:rsidR="00A81B35">
        <w:rPr>
          <w:szCs w:val="24"/>
        </w:rPr>
        <w:t>;</w:t>
      </w:r>
      <w:r w:rsidR="009645A9">
        <w:rPr>
          <w:szCs w:val="24"/>
        </w:rPr>
        <w:t xml:space="preserve"> Rasouli </w:t>
      </w:r>
      <w:r w:rsidR="00497318" w:rsidRPr="00264E6C">
        <w:rPr>
          <w:rFonts w:cs="Times New Roman"/>
          <w:color w:val="222222"/>
          <w:szCs w:val="24"/>
          <w:shd w:val="clear" w:color="auto" w:fill="FFFFFF"/>
        </w:rPr>
        <w:t>and Tsotsos</w:t>
      </w:r>
      <w:r w:rsidR="009645A9" w:rsidRPr="00E32A2A">
        <w:rPr>
          <w:iCs/>
          <w:szCs w:val="24"/>
        </w:rPr>
        <w:t>,</w:t>
      </w:r>
      <w:r w:rsidR="009645A9">
        <w:rPr>
          <w:szCs w:val="24"/>
        </w:rPr>
        <w:t xml:space="preserve"> 20</w:t>
      </w:r>
      <w:r w:rsidR="00497318">
        <w:rPr>
          <w:szCs w:val="24"/>
        </w:rPr>
        <w:t>20</w:t>
      </w:r>
      <w:r w:rsidR="00480AE7" w:rsidRPr="009144BF">
        <w:rPr>
          <w:szCs w:val="24"/>
        </w:rPr>
        <w:t xml:space="preserve">), </w:t>
      </w:r>
      <w:r w:rsidR="00E07875" w:rsidRPr="009144BF">
        <w:rPr>
          <w:szCs w:val="24"/>
        </w:rPr>
        <w:t xml:space="preserve">and general impacts on activity-travel behavior (see, for example, </w:t>
      </w:r>
      <w:r w:rsidR="00E07875" w:rsidRPr="00846EC0">
        <w:rPr>
          <w:szCs w:val="24"/>
        </w:rPr>
        <w:t xml:space="preserve">Childress </w:t>
      </w:r>
      <w:r w:rsidR="00E07875" w:rsidRPr="004D7EA3">
        <w:rPr>
          <w:i/>
          <w:iCs/>
          <w:szCs w:val="24"/>
        </w:rPr>
        <w:t>et al</w:t>
      </w:r>
      <w:r w:rsidR="00E07875" w:rsidRPr="00E32A2A">
        <w:rPr>
          <w:iCs/>
          <w:szCs w:val="24"/>
        </w:rPr>
        <w:t>.,</w:t>
      </w:r>
      <w:r w:rsidR="00E07875" w:rsidRPr="00E32A2A">
        <w:rPr>
          <w:szCs w:val="24"/>
        </w:rPr>
        <w:t xml:space="preserve"> </w:t>
      </w:r>
      <w:r w:rsidR="00E07875" w:rsidRPr="00846EC0">
        <w:rPr>
          <w:szCs w:val="24"/>
        </w:rPr>
        <w:t>2015</w:t>
      </w:r>
      <w:r w:rsidR="00A81B35">
        <w:rPr>
          <w:szCs w:val="24"/>
        </w:rPr>
        <w:t>;</w:t>
      </w:r>
      <w:r w:rsidR="00E07875" w:rsidRPr="00846EC0">
        <w:rPr>
          <w:szCs w:val="24"/>
        </w:rPr>
        <w:t xml:space="preserve"> </w:t>
      </w:r>
      <w:proofErr w:type="spellStart"/>
      <w:r w:rsidR="00710347" w:rsidRPr="003171A4">
        <w:rPr>
          <w:rFonts w:cs="Times New Roman"/>
          <w:szCs w:val="24"/>
        </w:rPr>
        <w:t>Kröger</w:t>
      </w:r>
      <w:proofErr w:type="spellEnd"/>
      <w:r w:rsidR="00E07875" w:rsidRPr="0039429D">
        <w:rPr>
          <w:szCs w:val="24"/>
        </w:rPr>
        <w:t xml:space="preserve"> </w:t>
      </w:r>
      <w:r w:rsidR="00E07875" w:rsidRPr="0039429D">
        <w:rPr>
          <w:i/>
          <w:iCs/>
          <w:szCs w:val="24"/>
        </w:rPr>
        <w:t>et al</w:t>
      </w:r>
      <w:r w:rsidR="00E07875" w:rsidRPr="0039429D">
        <w:rPr>
          <w:iCs/>
          <w:szCs w:val="24"/>
        </w:rPr>
        <w:t>.,</w:t>
      </w:r>
      <w:r w:rsidR="00E07875" w:rsidRPr="0039429D">
        <w:rPr>
          <w:szCs w:val="24"/>
        </w:rPr>
        <w:t xml:space="preserve"> 201</w:t>
      </w:r>
      <w:r w:rsidR="0039429D" w:rsidRPr="0039429D">
        <w:rPr>
          <w:szCs w:val="24"/>
        </w:rPr>
        <w:t>6</w:t>
      </w:r>
      <w:r w:rsidR="0039429D">
        <w:rPr>
          <w:szCs w:val="24"/>
        </w:rPr>
        <w:t>,</w:t>
      </w:r>
      <w:r w:rsidR="00E07875" w:rsidRPr="00846EC0">
        <w:rPr>
          <w:szCs w:val="24"/>
        </w:rPr>
        <w:t xml:space="preserve"> Dias </w:t>
      </w:r>
      <w:r w:rsidR="00E07875" w:rsidRPr="004D7EA3">
        <w:rPr>
          <w:i/>
          <w:iCs/>
          <w:szCs w:val="24"/>
        </w:rPr>
        <w:t>et al</w:t>
      </w:r>
      <w:r w:rsidR="00E07875" w:rsidRPr="00E32A2A">
        <w:rPr>
          <w:iCs/>
          <w:szCs w:val="24"/>
        </w:rPr>
        <w:t>.,</w:t>
      </w:r>
      <w:r w:rsidR="00E07875" w:rsidRPr="00846EC0">
        <w:rPr>
          <w:szCs w:val="24"/>
        </w:rPr>
        <w:t xml:space="preserve"> 2020)</w:t>
      </w:r>
      <w:r w:rsidRPr="00846EC0">
        <w:rPr>
          <w:szCs w:val="24"/>
        </w:rPr>
        <w:t>.</w:t>
      </w:r>
      <w:r w:rsidRPr="009645A9">
        <w:rPr>
          <w:b/>
          <w:bCs/>
          <w:szCs w:val="24"/>
        </w:rPr>
        <w:t xml:space="preserve"> </w:t>
      </w:r>
      <w:r w:rsidR="00E07875" w:rsidRPr="009144BF">
        <w:rPr>
          <w:szCs w:val="24"/>
        </w:rPr>
        <w:t xml:space="preserve">Some of these studies do consider the difference between private AV ownership and </w:t>
      </w:r>
      <w:r w:rsidR="006D728F">
        <w:rPr>
          <w:szCs w:val="24"/>
        </w:rPr>
        <w:t xml:space="preserve">the </w:t>
      </w:r>
      <w:r w:rsidR="00241898">
        <w:rPr>
          <w:szCs w:val="24"/>
        </w:rPr>
        <w:t xml:space="preserve">use of </w:t>
      </w:r>
      <w:r w:rsidR="00E07875" w:rsidRPr="009144BF">
        <w:rPr>
          <w:szCs w:val="24"/>
        </w:rPr>
        <w:t xml:space="preserve">mobility-on-demand </w:t>
      </w:r>
      <w:r w:rsidR="001100B4">
        <w:rPr>
          <w:szCs w:val="24"/>
        </w:rPr>
        <w:t>shared AV (</w:t>
      </w:r>
      <w:r w:rsidR="00E07875" w:rsidRPr="009144BF">
        <w:rPr>
          <w:szCs w:val="24"/>
        </w:rPr>
        <w:t>SAV</w:t>
      </w:r>
      <w:r w:rsidR="001100B4">
        <w:rPr>
          <w:szCs w:val="24"/>
        </w:rPr>
        <w:t>)</w:t>
      </w:r>
      <w:r w:rsidR="00E07875" w:rsidRPr="009144BF">
        <w:rPr>
          <w:szCs w:val="24"/>
        </w:rPr>
        <w:t xml:space="preserve"> </w:t>
      </w:r>
      <w:r w:rsidR="00241898">
        <w:rPr>
          <w:szCs w:val="24"/>
        </w:rPr>
        <w:t>services (</w:t>
      </w:r>
      <w:r w:rsidR="00241898" w:rsidRPr="005E01F9">
        <w:rPr>
          <w:szCs w:val="24"/>
        </w:rPr>
        <w:t xml:space="preserve">ride-hailing/rental </w:t>
      </w:r>
      <w:r w:rsidR="00241898">
        <w:rPr>
          <w:szCs w:val="24"/>
        </w:rPr>
        <w:t>fleet services</w:t>
      </w:r>
      <w:r w:rsidR="00241898" w:rsidRPr="005E01F9">
        <w:rPr>
          <w:szCs w:val="24"/>
        </w:rPr>
        <w:t xml:space="preserve"> operated by mobility companies</w:t>
      </w:r>
      <w:r w:rsidR="00241898">
        <w:rPr>
          <w:szCs w:val="24"/>
        </w:rPr>
        <w:t>)</w:t>
      </w:r>
      <w:r w:rsidR="00E07875" w:rsidRPr="009144BF">
        <w:rPr>
          <w:szCs w:val="24"/>
        </w:rPr>
        <w:t xml:space="preserve"> </w:t>
      </w:r>
      <w:r w:rsidR="006D728F">
        <w:rPr>
          <w:szCs w:val="24"/>
        </w:rPr>
        <w:t>when</w:t>
      </w:r>
      <w:r w:rsidR="00E07875" w:rsidRPr="009144BF">
        <w:rPr>
          <w:szCs w:val="24"/>
        </w:rPr>
        <w:t xml:space="preserve"> </w:t>
      </w:r>
      <w:r w:rsidR="002A0BDA" w:rsidRPr="009144BF">
        <w:rPr>
          <w:szCs w:val="24"/>
        </w:rPr>
        <w:t xml:space="preserve">investigating potential </w:t>
      </w:r>
      <w:r w:rsidR="00E07875" w:rsidRPr="009144BF">
        <w:rPr>
          <w:szCs w:val="24"/>
        </w:rPr>
        <w:t xml:space="preserve">AV effects on land-use and activity-travel behavior, </w:t>
      </w:r>
      <w:r w:rsidR="002A0BDA" w:rsidRPr="009144BF">
        <w:rPr>
          <w:szCs w:val="24"/>
        </w:rPr>
        <w:t xml:space="preserve">while </w:t>
      </w:r>
      <w:r w:rsidR="00E07875" w:rsidRPr="009144BF">
        <w:rPr>
          <w:szCs w:val="24"/>
        </w:rPr>
        <w:t>m</w:t>
      </w:r>
      <w:r w:rsidR="00E07875" w:rsidRPr="00846EC0">
        <w:rPr>
          <w:szCs w:val="24"/>
        </w:rPr>
        <w:t xml:space="preserve">any do not. Some recent papers have also produced reviews of studies focused on potential </w:t>
      </w:r>
      <w:r w:rsidR="00E07875" w:rsidRPr="004A549E">
        <w:rPr>
          <w:szCs w:val="24"/>
        </w:rPr>
        <w:t>AV impacts (see</w:t>
      </w:r>
      <w:r w:rsidR="001100B4" w:rsidRPr="004A549E">
        <w:rPr>
          <w:szCs w:val="24"/>
        </w:rPr>
        <w:t xml:space="preserve"> </w:t>
      </w:r>
      <w:r w:rsidR="00E07875" w:rsidRPr="00764E41">
        <w:rPr>
          <w:szCs w:val="24"/>
        </w:rPr>
        <w:t xml:space="preserve">Hawkins and </w:t>
      </w:r>
      <w:r w:rsidR="00497318" w:rsidRPr="0000691D">
        <w:rPr>
          <w:rFonts w:cs="Times New Roman"/>
          <w:szCs w:val="24"/>
          <w:shd w:val="clear" w:color="auto" w:fill="FFFFFF"/>
        </w:rPr>
        <w:t>Nurul</w:t>
      </w:r>
      <w:r w:rsidR="00497318" w:rsidRPr="00764E41">
        <w:rPr>
          <w:szCs w:val="24"/>
        </w:rPr>
        <w:t xml:space="preserve"> </w:t>
      </w:r>
      <w:r w:rsidR="00E07875" w:rsidRPr="00764E41">
        <w:rPr>
          <w:szCs w:val="24"/>
        </w:rPr>
        <w:t>Habib, 2019</w:t>
      </w:r>
      <w:r w:rsidR="00A81B35">
        <w:rPr>
          <w:szCs w:val="24"/>
        </w:rPr>
        <w:t>;</w:t>
      </w:r>
      <w:r w:rsidR="00E07875" w:rsidRPr="009645A9">
        <w:rPr>
          <w:b/>
          <w:bCs/>
          <w:szCs w:val="24"/>
        </w:rPr>
        <w:t xml:space="preserve"> </w:t>
      </w:r>
      <w:r w:rsidR="00E07875" w:rsidRPr="00764E41">
        <w:rPr>
          <w:szCs w:val="24"/>
        </w:rPr>
        <w:t xml:space="preserve">Soteropoulos </w:t>
      </w:r>
      <w:r w:rsidR="00E07875" w:rsidRPr="00764E41">
        <w:rPr>
          <w:i/>
          <w:szCs w:val="24"/>
        </w:rPr>
        <w:t>et al</w:t>
      </w:r>
      <w:r w:rsidR="00E07875" w:rsidRPr="00764E41">
        <w:rPr>
          <w:szCs w:val="24"/>
        </w:rPr>
        <w:t>., 2019</w:t>
      </w:r>
      <w:r w:rsidR="00A81B35">
        <w:rPr>
          <w:szCs w:val="24"/>
        </w:rPr>
        <w:t>;</w:t>
      </w:r>
      <w:r w:rsidR="00EA675F" w:rsidRPr="00764E41">
        <w:rPr>
          <w:szCs w:val="24"/>
        </w:rPr>
        <w:t xml:space="preserve"> </w:t>
      </w:r>
      <w:bookmarkStart w:id="3" w:name="_Hlk45547873"/>
      <w:r w:rsidR="001100B4">
        <w:rPr>
          <w:szCs w:val="24"/>
        </w:rPr>
        <w:t>Gkartzonikas and Gkritza</w:t>
      </w:r>
      <w:bookmarkEnd w:id="3"/>
      <w:r w:rsidR="001100B4">
        <w:rPr>
          <w:szCs w:val="24"/>
        </w:rPr>
        <w:t>, 2019</w:t>
      </w:r>
      <w:r w:rsidR="00A81B35">
        <w:rPr>
          <w:szCs w:val="24"/>
        </w:rPr>
        <w:t>;</w:t>
      </w:r>
      <w:r w:rsidR="00EA675F" w:rsidRPr="00764E41">
        <w:rPr>
          <w:szCs w:val="24"/>
        </w:rPr>
        <w:t xml:space="preserve"> Dias </w:t>
      </w:r>
      <w:r w:rsidR="00EA675F" w:rsidRPr="004D7EA3">
        <w:rPr>
          <w:i/>
          <w:iCs/>
          <w:szCs w:val="24"/>
        </w:rPr>
        <w:t>et al</w:t>
      </w:r>
      <w:r w:rsidR="00EA675F" w:rsidRPr="00E32A2A">
        <w:rPr>
          <w:iCs/>
          <w:szCs w:val="24"/>
        </w:rPr>
        <w:t>.,</w:t>
      </w:r>
      <w:r w:rsidR="00EA675F" w:rsidRPr="00764E41">
        <w:rPr>
          <w:szCs w:val="24"/>
        </w:rPr>
        <w:t xml:space="preserve"> 2020</w:t>
      </w:r>
      <w:r w:rsidR="00E07875" w:rsidRPr="00764E41">
        <w:rPr>
          <w:szCs w:val="24"/>
        </w:rPr>
        <w:t>)</w:t>
      </w:r>
      <w:r w:rsidR="00BC572B" w:rsidRPr="00764E41">
        <w:rPr>
          <w:szCs w:val="24"/>
        </w:rPr>
        <w:t>.</w:t>
      </w:r>
    </w:p>
    <w:p w14:paraId="7FF7E151" w14:textId="28F02ED2" w:rsidR="00DB4249" w:rsidRPr="009144BF" w:rsidRDefault="002A0BDA" w:rsidP="0091464C">
      <w:pPr>
        <w:spacing w:line="276" w:lineRule="auto"/>
        <w:ind w:firstLine="720"/>
        <w:jc w:val="both"/>
        <w:rPr>
          <w:szCs w:val="24"/>
        </w:rPr>
      </w:pPr>
      <w:r w:rsidRPr="009144BF">
        <w:rPr>
          <w:szCs w:val="24"/>
        </w:rPr>
        <w:t xml:space="preserve">One issue that </w:t>
      </w:r>
      <w:r w:rsidR="00241898">
        <w:rPr>
          <w:szCs w:val="24"/>
        </w:rPr>
        <w:t xml:space="preserve">comes through </w:t>
      </w:r>
      <w:r w:rsidRPr="009144BF">
        <w:rPr>
          <w:szCs w:val="24"/>
        </w:rPr>
        <w:t>clear</w:t>
      </w:r>
      <w:r w:rsidR="00241898">
        <w:rPr>
          <w:szCs w:val="24"/>
        </w:rPr>
        <w:t>ly</w:t>
      </w:r>
      <w:r w:rsidRPr="009144BF">
        <w:rPr>
          <w:szCs w:val="24"/>
        </w:rPr>
        <w:t xml:space="preserve"> from the reviews</w:t>
      </w:r>
      <w:r w:rsidR="00BC572B">
        <w:rPr>
          <w:szCs w:val="24"/>
        </w:rPr>
        <w:t xml:space="preserve"> listed above </w:t>
      </w:r>
      <w:r w:rsidRPr="009144BF">
        <w:rPr>
          <w:szCs w:val="24"/>
        </w:rPr>
        <w:t xml:space="preserve">is that </w:t>
      </w:r>
      <w:r w:rsidR="00E07875" w:rsidRPr="009144BF">
        <w:rPr>
          <w:szCs w:val="24"/>
        </w:rPr>
        <w:t xml:space="preserve">most studies attempting to understand AV effects on travel behavior and land-use are based on simulations using </w:t>
      </w:r>
      <w:r w:rsidR="00E07875" w:rsidRPr="009144BF">
        <w:rPr>
          <w:i/>
          <w:szCs w:val="24"/>
        </w:rPr>
        <w:t>a priori</w:t>
      </w:r>
      <w:r w:rsidR="00E07875" w:rsidRPr="009144BF">
        <w:rPr>
          <w:szCs w:val="24"/>
        </w:rPr>
        <w:t xml:space="preserve"> assumptions related to </w:t>
      </w:r>
      <w:r w:rsidR="00DD4697" w:rsidRPr="009144BF">
        <w:rPr>
          <w:szCs w:val="24"/>
        </w:rPr>
        <w:t xml:space="preserve">AV market adoption and user acceptance (based on, for example, macro-predictions of AV adoption rates and fleet penetrations). In the past few years, there has been an increasing emphasis on studying the AV adoption process itself. The </w:t>
      </w:r>
      <w:r w:rsidR="003A71BD" w:rsidRPr="009144BF">
        <w:rPr>
          <w:szCs w:val="24"/>
        </w:rPr>
        <w:t xml:space="preserve">relatively </w:t>
      </w:r>
      <w:r w:rsidR="00DD4697" w:rsidRPr="009144BF">
        <w:rPr>
          <w:szCs w:val="24"/>
        </w:rPr>
        <w:t xml:space="preserve">early literature in this area </w:t>
      </w:r>
      <w:r w:rsidR="00EA675F" w:rsidRPr="009144BF">
        <w:rPr>
          <w:szCs w:val="24"/>
        </w:rPr>
        <w:t>examined adoption rates as a function of sociodemographic variables and technology features</w:t>
      </w:r>
      <w:r w:rsidR="00C71E35">
        <w:rPr>
          <w:szCs w:val="24"/>
        </w:rPr>
        <w:t xml:space="preserve"> </w:t>
      </w:r>
      <w:r w:rsidR="00EA675F" w:rsidRPr="009144BF">
        <w:rPr>
          <w:szCs w:val="24"/>
        </w:rPr>
        <w:t xml:space="preserve">(such as lane-keeping, parking assistance, automatic braking, </w:t>
      </w:r>
      <w:r w:rsidR="00EA675F" w:rsidRPr="00A76F89">
        <w:rPr>
          <w:rFonts w:cs="Times New Roman"/>
          <w:color w:val="000000" w:themeColor="text1"/>
          <w:szCs w:val="24"/>
        </w:rPr>
        <w:t>and</w:t>
      </w:r>
      <w:r w:rsidR="00EA675F" w:rsidRPr="009144BF">
        <w:rPr>
          <w:rFonts w:cs="Times New Roman"/>
          <w:color w:val="000000" w:themeColor="text1"/>
          <w:szCs w:val="24"/>
        </w:rPr>
        <w:t xml:space="preserve"> </w:t>
      </w:r>
      <w:r w:rsidR="00EA675F" w:rsidRPr="00A76F89">
        <w:rPr>
          <w:rFonts w:cs="Times New Roman"/>
          <w:color w:val="000000" w:themeColor="text1"/>
          <w:szCs w:val="24"/>
        </w:rPr>
        <w:t xml:space="preserve">entertainment </w:t>
      </w:r>
      <w:r w:rsidR="00EA675F" w:rsidRPr="009144BF">
        <w:rPr>
          <w:rFonts w:cs="Times New Roman"/>
          <w:color w:val="000000" w:themeColor="text1"/>
          <w:szCs w:val="24"/>
        </w:rPr>
        <w:t>applications</w:t>
      </w:r>
      <w:r w:rsidR="00EA675F" w:rsidRPr="00A76F89">
        <w:rPr>
          <w:rFonts w:cs="Times New Roman"/>
          <w:color w:val="000000" w:themeColor="text1"/>
          <w:szCs w:val="24"/>
        </w:rPr>
        <w:t>; see</w:t>
      </w:r>
      <w:r w:rsidR="001100B4">
        <w:rPr>
          <w:rFonts w:cs="Times New Roman"/>
          <w:color w:val="000000" w:themeColor="text1"/>
          <w:szCs w:val="24"/>
        </w:rPr>
        <w:t xml:space="preserve"> </w:t>
      </w:r>
      <w:r w:rsidR="003A71BD" w:rsidRPr="00A76F89">
        <w:rPr>
          <w:rFonts w:cs="Times New Roman"/>
          <w:color w:val="000000" w:themeColor="text1"/>
          <w:szCs w:val="24"/>
        </w:rPr>
        <w:t xml:space="preserve">Howard and Dai, 2014 and </w:t>
      </w:r>
      <w:r w:rsidR="00C71E35">
        <w:rPr>
          <w:rFonts w:cs="Times New Roman"/>
          <w:color w:val="000000" w:themeColor="text1"/>
          <w:szCs w:val="24"/>
        </w:rPr>
        <w:t>Schoettle and Sivak, 2014</w:t>
      </w:r>
      <w:r w:rsidR="003A71BD" w:rsidRPr="002B7FB1">
        <w:rPr>
          <w:rFonts w:cs="Times New Roman"/>
          <w:color w:val="000000" w:themeColor="text1"/>
          <w:szCs w:val="24"/>
        </w:rPr>
        <w:t xml:space="preserve">). </w:t>
      </w:r>
      <w:r w:rsidR="00C71E35">
        <w:rPr>
          <w:rFonts w:cs="Times New Roman"/>
          <w:color w:val="000000" w:themeColor="text1"/>
          <w:szCs w:val="24"/>
        </w:rPr>
        <w:t xml:space="preserve">Much of this research was based on descriptive analysis (Silberg </w:t>
      </w:r>
      <w:r w:rsidR="00C71E35" w:rsidRPr="004D7EA3">
        <w:rPr>
          <w:rFonts w:cs="Times New Roman"/>
          <w:i/>
          <w:iCs/>
          <w:color w:val="000000" w:themeColor="text1"/>
          <w:szCs w:val="24"/>
        </w:rPr>
        <w:t>et al</w:t>
      </w:r>
      <w:r w:rsidR="00C71E35" w:rsidRPr="00E32A2A">
        <w:rPr>
          <w:rFonts w:cs="Times New Roman"/>
          <w:iCs/>
          <w:color w:val="000000" w:themeColor="text1"/>
          <w:szCs w:val="24"/>
        </w:rPr>
        <w:t>.,</w:t>
      </w:r>
      <w:r w:rsidR="00C71E35" w:rsidRPr="00E32A2A">
        <w:rPr>
          <w:rFonts w:cs="Times New Roman"/>
          <w:color w:val="000000" w:themeColor="text1"/>
          <w:szCs w:val="24"/>
        </w:rPr>
        <w:t xml:space="preserve"> </w:t>
      </w:r>
      <w:r w:rsidR="00C71E35">
        <w:rPr>
          <w:rFonts w:cs="Times New Roman"/>
          <w:color w:val="000000" w:themeColor="text1"/>
          <w:szCs w:val="24"/>
        </w:rPr>
        <w:t>2013</w:t>
      </w:r>
      <w:r w:rsidR="00A81B35">
        <w:rPr>
          <w:rFonts w:cs="Times New Roman"/>
          <w:color w:val="000000" w:themeColor="text1"/>
          <w:szCs w:val="24"/>
        </w:rPr>
        <w:t>;</w:t>
      </w:r>
      <w:r w:rsidR="00C71E35">
        <w:rPr>
          <w:rFonts w:cs="Times New Roman"/>
          <w:color w:val="000000" w:themeColor="text1"/>
          <w:szCs w:val="24"/>
        </w:rPr>
        <w:t xml:space="preserve"> Vallet, 2013</w:t>
      </w:r>
      <w:r w:rsidR="00A81B35">
        <w:rPr>
          <w:rFonts w:cs="Times New Roman"/>
          <w:color w:val="000000" w:themeColor="text1"/>
          <w:szCs w:val="24"/>
        </w:rPr>
        <w:t>;</w:t>
      </w:r>
      <w:r w:rsidR="00C71E35">
        <w:rPr>
          <w:rFonts w:cs="Times New Roman"/>
          <w:color w:val="000000" w:themeColor="text1"/>
          <w:szCs w:val="24"/>
        </w:rPr>
        <w:t xml:space="preserve"> Payre </w:t>
      </w:r>
      <w:r w:rsidR="00C71E35" w:rsidRPr="004D7EA3">
        <w:rPr>
          <w:rFonts w:cs="Times New Roman"/>
          <w:i/>
          <w:iCs/>
          <w:color w:val="000000" w:themeColor="text1"/>
          <w:szCs w:val="24"/>
        </w:rPr>
        <w:t>et al</w:t>
      </w:r>
      <w:r w:rsidR="00C71E35" w:rsidRPr="00E32A2A">
        <w:rPr>
          <w:rFonts w:cs="Times New Roman"/>
          <w:iCs/>
          <w:color w:val="000000" w:themeColor="text1"/>
          <w:szCs w:val="24"/>
        </w:rPr>
        <w:t>.,</w:t>
      </w:r>
      <w:r w:rsidR="00C71E35" w:rsidRPr="00E32A2A">
        <w:rPr>
          <w:rFonts w:cs="Times New Roman"/>
          <w:color w:val="000000" w:themeColor="text1"/>
          <w:szCs w:val="24"/>
        </w:rPr>
        <w:t xml:space="preserve"> </w:t>
      </w:r>
      <w:r w:rsidR="00C71E35">
        <w:rPr>
          <w:rFonts w:cs="Times New Roman"/>
          <w:color w:val="000000" w:themeColor="text1"/>
          <w:szCs w:val="24"/>
        </w:rPr>
        <w:t xml:space="preserve">2014), though some early studies used structural equation models or discrete choice models (see Shin </w:t>
      </w:r>
      <w:r w:rsidR="00C71E35" w:rsidRPr="004D7EA3">
        <w:rPr>
          <w:rFonts w:cs="Times New Roman"/>
          <w:i/>
          <w:iCs/>
          <w:color w:val="000000" w:themeColor="text1"/>
          <w:szCs w:val="24"/>
        </w:rPr>
        <w:t>et al</w:t>
      </w:r>
      <w:r w:rsidR="00C71E35" w:rsidRPr="00E32A2A">
        <w:rPr>
          <w:rFonts w:cs="Times New Roman"/>
          <w:iCs/>
          <w:color w:val="000000" w:themeColor="text1"/>
          <w:szCs w:val="24"/>
        </w:rPr>
        <w:t>.,</w:t>
      </w:r>
      <w:r w:rsidR="00C71E35" w:rsidRPr="00E32A2A">
        <w:rPr>
          <w:rFonts w:cs="Times New Roman"/>
          <w:color w:val="000000" w:themeColor="text1"/>
          <w:szCs w:val="24"/>
        </w:rPr>
        <w:t xml:space="preserve"> </w:t>
      </w:r>
      <w:r w:rsidR="00C71E35">
        <w:rPr>
          <w:rFonts w:cs="Times New Roman"/>
          <w:color w:val="000000" w:themeColor="text1"/>
          <w:szCs w:val="24"/>
        </w:rPr>
        <w:t>2015</w:t>
      </w:r>
      <w:r w:rsidR="00A81B35">
        <w:rPr>
          <w:rFonts w:cs="Times New Roman"/>
          <w:color w:val="000000" w:themeColor="text1"/>
          <w:szCs w:val="24"/>
        </w:rPr>
        <w:t>;</w:t>
      </w:r>
      <w:r w:rsidR="00C71E35">
        <w:rPr>
          <w:rFonts w:cs="Times New Roman"/>
          <w:color w:val="000000" w:themeColor="text1"/>
          <w:szCs w:val="24"/>
        </w:rPr>
        <w:t xml:space="preserve"> </w:t>
      </w:r>
      <w:r w:rsidR="00C71E35" w:rsidRPr="0069747C">
        <w:rPr>
          <w:rFonts w:cs="Times New Roman"/>
          <w:color w:val="000000" w:themeColor="text1"/>
          <w:szCs w:val="24"/>
        </w:rPr>
        <w:t xml:space="preserve">Abraham </w:t>
      </w:r>
      <w:r w:rsidR="00C71E35" w:rsidRPr="00194EF3">
        <w:rPr>
          <w:rFonts w:cs="Times New Roman"/>
          <w:i/>
          <w:iCs/>
          <w:color w:val="000000" w:themeColor="text1"/>
          <w:szCs w:val="24"/>
        </w:rPr>
        <w:t>et al</w:t>
      </w:r>
      <w:r w:rsidR="00C71E35" w:rsidRPr="00E32A2A">
        <w:rPr>
          <w:rFonts w:cs="Times New Roman"/>
          <w:iCs/>
          <w:color w:val="000000" w:themeColor="text1"/>
          <w:szCs w:val="24"/>
        </w:rPr>
        <w:t>.,</w:t>
      </w:r>
      <w:r w:rsidR="00C71E35" w:rsidRPr="00E32A2A">
        <w:rPr>
          <w:rFonts w:cs="Times New Roman"/>
          <w:color w:val="000000" w:themeColor="text1"/>
          <w:szCs w:val="24"/>
        </w:rPr>
        <w:t xml:space="preserve"> </w:t>
      </w:r>
      <w:r w:rsidR="00C71E35" w:rsidRPr="0069747C">
        <w:rPr>
          <w:rFonts w:cs="Times New Roman"/>
          <w:color w:val="000000" w:themeColor="text1"/>
          <w:szCs w:val="24"/>
        </w:rPr>
        <w:t>2016</w:t>
      </w:r>
      <w:r w:rsidR="00C71E35">
        <w:rPr>
          <w:rFonts w:cs="Times New Roman"/>
          <w:color w:val="000000" w:themeColor="text1"/>
          <w:szCs w:val="24"/>
        </w:rPr>
        <w:t xml:space="preserve">). </w:t>
      </w:r>
      <w:bookmarkStart w:id="4" w:name="_Hlk52797717"/>
      <w:r w:rsidR="003A71BD" w:rsidRPr="002B7FB1">
        <w:rPr>
          <w:rFonts w:cs="Times New Roman"/>
          <w:color w:val="000000" w:themeColor="text1"/>
          <w:szCs w:val="24"/>
        </w:rPr>
        <w:t xml:space="preserve">More recently, there has been an increased recognition of the importance of attitudinal </w:t>
      </w:r>
      <w:r w:rsidR="00100DEB" w:rsidRPr="002B7FB1">
        <w:rPr>
          <w:rFonts w:cs="Times New Roman"/>
          <w:color w:val="000000" w:themeColor="text1"/>
          <w:szCs w:val="24"/>
        </w:rPr>
        <w:t xml:space="preserve">and lifestyle factors </w:t>
      </w:r>
      <w:r w:rsidR="003A71BD" w:rsidRPr="002B7FB1">
        <w:rPr>
          <w:rFonts w:cs="Times New Roman"/>
          <w:color w:val="000000" w:themeColor="text1"/>
          <w:szCs w:val="24"/>
        </w:rPr>
        <w:t>in influencing the A</w:t>
      </w:r>
      <w:r w:rsidR="00100DEB" w:rsidRPr="002B7FB1">
        <w:rPr>
          <w:rFonts w:cs="Times New Roman"/>
          <w:color w:val="000000" w:themeColor="text1"/>
          <w:szCs w:val="24"/>
        </w:rPr>
        <w:t xml:space="preserve">VD </w:t>
      </w:r>
      <w:r w:rsidR="003A71BD" w:rsidRPr="002B7FB1">
        <w:rPr>
          <w:rFonts w:cs="Times New Roman"/>
          <w:color w:val="000000" w:themeColor="text1"/>
          <w:szCs w:val="24"/>
        </w:rPr>
        <w:t>decision</w:t>
      </w:r>
      <w:r w:rsidR="00100DEB" w:rsidRPr="002B7FB1">
        <w:rPr>
          <w:rFonts w:cs="Times New Roman"/>
          <w:color w:val="000000" w:themeColor="text1"/>
          <w:szCs w:val="24"/>
        </w:rPr>
        <w:t>,</w:t>
      </w:r>
      <w:r w:rsidR="006E08A8" w:rsidRPr="009144BF">
        <w:rPr>
          <w:szCs w:val="24"/>
        </w:rPr>
        <w:t xml:space="preserve"> including (a) tech-savviness (Zmud and Sener</w:t>
      </w:r>
      <w:r w:rsidR="006E08A8" w:rsidRPr="00237D11">
        <w:rPr>
          <w:iCs/>
          <w:szCs w:val="24"/>
        </w:rPr>
        <w:t>,</w:t>
      </w:r>
      <w:r w:rsidR="006E08A8" w:rsidRPr="00237D11">
        <w:rPr>
          <w:szCs w:val="24"/>
        </w:rPr>
        <w:t xml:space="preserve"> </w:t>
      </w:r>
      <w:r w:rsidR="006E08A8" w:rsidRPr="009144BF">
        <w:rPr>
          <w:szCs w:val="24"/>
        </w:rPr>
        <w:t>2017</w:t>
      </w:r>
      <w:r w:rsidR="00A81B35">
        <w:rPr>
          <w:szCs w:val="24"/>
        </w:rPr>
        <w:t>;</w:t>
      </w:r>
      <w:r w:rsidR="006E08A8" w:rsidRPr="009144BF">
        <w:rPr>
          <w:szCs w:val="24"/>
        </w:rPr>
        <w:t xml:space="preserve"> Lavieri and Bhat, 2019</w:t>
      </w:r>
      <w:r w:rsidR="00E012D7">
        <w:rPr>
          <w:szCs w:val="24"/>
        </w:rPr>
        <w:t>a</w:t>
      </w:r>
      <w:r w:rsidR="006E08A8" w:rsidRPr="009144BF">
        <w:rPr>
          <w:szCs w:val="24"/>
        </w:rPr>
        <w:t>), (b) green lifestyles (</w:t>
      </w:r>
      <w:r w:rsidR="00100DEB" w:rsidRPr="009144BF">
        <w:rPr>
          <w:szCs w:val="24"/>
        </w:rPr>
        <w:t xml:space="preserve">Haboucha </w:t>
      </w:r>
      <w:r w:rsidR="00100DEB" w:rsidRPr="00764E41">
        <w:rPr>
          <w:i/>
          <w:iCs/>
          <w:szCs w:val="24"/>
        </w:rPr>
        <w:lastRenderedPageBreak/>
        <w:t>et al</w:t>
      </w:r>
      <w:r w:rsidR="00100DEB" w:rsidRPr="00E32A2A">
        <w:rPr>
          <w:iCs/>
          <w:szCs w:val="24"/>
        </w:rPr>
        <w:t>.,</w:t>
      </w:r>
      <w:r w:rsidR="00100DEB" w:rsidRPr="00A76F89">
        <w:rPr>
          <w:rFonts w:cs="Times New Roman"/>
          <w:color w:val="000000" w:themeColor="text1"/>
          <w:szCs w:val="24"/>
        </w:rPr>
        <w:t xml:space="preserve"> </w:t>
      </w:r>
      <w:r w:rsidR="006E08A8" w:rsidRPr="00A76F89">
        <w:rPr>
          <w:rFonts w:cs="Times New Roman"/>
          <w:color w:val="000000" w:themeColor="text1"/>
          <w:szCs w:val="24"/>
        </w:rPr>
        <w:t>2017</w:t>
      </w:r>
      <w:r w:rsidR="00A81B35">
        <w:rPr>
          <w:rFonts w:cs="Times New Roman"/>
          <w:color w:val="000000" w:themeColor="text1"/>
          <w:szCs w:val="24"/>
        </w:rPr>
        <w:t xml:space="preserve">; </w:t>
      </w:r>
      <w:r w:rsidR="006E08A8" w:rsidRPr="00A76F89">
        <w:rPr>
          <w:rFonts w:cs="Times New Roman"/>
          <w:color w:val="000000" w:themeColor="text1"/>
          <w:szCs w:val="24"/>
        </w:rPr>
        <w:t xml:space="preserve">Lavieri </w:t>
      </w:r>
      <w:r w:rsidR="006E08A8" w:rsidRPr="00764E41">
        <w:rPr>
          <w:rFonts w:cs="Times New Roman"/>
          <w:i/>
          <w:iCs/>
          <w:color w:val="000000" w:themeColor="text1"/>
          <w:szCs w:val="24"/>
        </w:rPr>
        <w:t>et al</w:t>
      </w:r>
      <w:r w:rsidR="006E08A8" w:rsidRPr="00A76F89">
        <w:rPr>
          <w:rFonts w:cs="Times New Roman"/>
          <w:color w:val="000000" w:themeColor="text1"/>
          <w:szCs w:val="24"/>
        </w:rPr>
        <w:t xml:space="preserve">., 2017), </w:t>
      </w:r>
      <w:r w:rsidR="006E08A8" w:rsidRPr="002B7FB1">
        <w:rPr>
          <w:rFonts w:cs="Times New Roman"/>
          <w:color w:val="000000" w:themeColor="text1"/>
          <w:szCs w:val="24"/>
        </w:rPr>
        <w:t xml:space="preserve">(c) privacy and security concern (Zmud </w:t>
      </w:r>
      <w:r w:rsidR="006E08A8" w:rsidRPr="00B5480B">
        <w:rPr>
          <w:rFonts w:cs="Times New Roman"/>
          <w:i/>
          <w:iCs/>
          <w:color w:val="000000" w:themeColor="text1"/>
          <w:szCs w:val="24"/>
        </w:rPr>
        <w:t>et al</w:t>
      </w:r>
      <w:r w:rsidR="006E08A8" w:rsidRPr="00E32A2A">
        <w:rPr>
          <w:rFonts w:cs="Times New Roman"/>
          <w:iCs/>
          <w:color w:val="000000" w:themeColor="text1"/>
          <w:szCs w:val="24"/>
        </w:rPr>
        <w:t>.,</w:t>
      </w:r>
      <w:r w:rsidR="006E08A8" w:rsidRPr="002B7FB1">
        <w:rPr>
          <w:rFonts w:cs="Times New Roman"/>
          <w:color w:val="000000" w:themeColor="text1"/>
          <w:szCs w:val="24"/>
        </w:rPr>
        <w:t xml:space="preserve"> 2016</w:t>
      </w:r>
      <w:r w:rsidR="00A81B35">
        <w:rPr>
          <w:rFonts w:cs="Times New Roman"/>
          <w:color w:val="000000" w:themeColor="text1"/>
          <w:szCs w:val="24"/>
        </w:rPr>
        <w:t>;</w:t>
      </w:r>
      <w:r w:rsidR="00B5480B">
        <w:rPr>
          <w:rFonts w:cs="Times New Roman"/>
          <w:color w:val="000000" w:themeColor="text1"/>
          <w:szCs w:val="24"/>
        </w:rPr>
        <w:t xml:space="preserve"> </w:t>
      </w:r>
      <w:r w:rsidR="00B5480B" w:rsidRPr="009144BF">
        <w:rPr>
          <w:szCs w:val="24"/>
        </w:rPr>
        <w:t>Lavieri and Bhat, 2019</w:t>
      </w:r>
      <w:r w:rsidR="001937D1">
        <w:rPr>
          <w:szCs w:val="24"/>
        </w:rPr>
        <w:t>a</w:t>
      </w:r>
      <w:r w:rsidR="00AC1B1F">
        <w:rPr>
          <w:szCs w:val="24"/>
        </w:rPr>
        <w:t>,b</w:t>
      </w:r>
      <w:r w:rsidR="006E08A8" w:rsidRPr="002B7FB1">
        <w:rPr>
          <w:rFonts w:cs="Times New Roman"/>
          <w:color w:val="000000" w:themeColor="text1"/>
          <w:szCs w:val="24"/>
        </w:rPr>
        <w:t xml:space="preserve">), </w:t>
      </w:r>
      <w:r w:rsidR="004E5B81" w:rsidRPr="002B7FB1">
        <w:rPr>
          <w:rFonts w:cs="Times New Roman"/>
          <w:color w:val="000000" w:themeColor="text1"/>
          <w:szCs w:val="24"/>
        </w:rPr>
        <w:t>(d) safety perceptions (Kaur and Rampersad, 2018</w:t>
      </w:r>
      <w:r w:rsidR="00A81B35">
        <w:rPr>
          <w:rFonts w:cs="Times New Roman"/>
          <w:color w:val="000000" w:themeColor="text1"/>
          <w:szCs w:val="24"/>
        </w:rPr>
        <w:t>;</w:t>
      </w:r>
      <w:r w:rsidR="004E5B81" w:rsidRPr="002B7FB1">
        <w:rPr>
          <w:rFonts w:cs="Times New Roman"/>
          <w:color w:val="000000" w:themeColor="text1"/>
          <w:szCs w:val="24"/>
        </w:rPr>
        <w:t xml:space="preserve"> </w:t>
      </w:r>
      <w:r w:rsidR="003953CE">
        <w:rPr>
          <w:rFonts w:cs="Times New Roman"/>
          <w:color w:val="000000" w:themeColor="text1"/>
          <w:szCs w:val="24"/>
        </w:rPr>
        <w:t xml:space="preserve">de </w:t>
      </w:r>
      <w:r w:rsidR="004E5B81" w:rsidRPr="002B7FB1">
        <w:rPr>
          <w:rFonts w:cs="Times New Roman"/>
          <w:noProof/>
          <w:szCs w:val="24"/>
        </w:rPr>
        <w:t xml:space="preserve">Miguel </w:t>
      </w:r>
      <w:r w:rsidR="004E5B81" w:rsidRPr="00B5480B">
        <w:rPr>
          <w:rFonts w:cs="Times New Roman"/>
          <w:i/>
          <w:iCs/>
          <w:noProof/>
          <w:szCs w:val="24"/>
        </w:rPr>
        <w:t>et al</w:t>
      </w:r>
      <w:r w:rsidR="004E5B81" w:rsidRPr="00E32A2A">
        <w:rPr>
          <w:rFonts w:cs="Times New Roman"/>
          <w:iCs/>
          <w:noProof/>
          <w:szCs w:val="24"/>
        </w:rPr>
        <w:t>.,</w:t>
      </w:r>
      <w:r w:rsidR="004E5B81" w:rsidRPr="00E32A2A">
        <w:rPr>
          <w:rFonts w:cs="Times New Roman"/>
          <w:noProof/>
          <w:szCs w:val="24"/>
        </w:rPr>
        <w:t xml:space="preserve"> </w:t>
      </w:r>
      <w:r w:rsidR="004E5B81" w:rsidRPr="002B7FB1">
        <w:rPr>
          <w:rFonts w:cs="Times New Roman"/>
          <w:noProof/>
          <w:szCs w:val="24"/>
        </w:rPr>
        <w:t>2019</w:t>
      </w:r>
      <w:r w:rsidR="00A81B35">
        <w:rPr>
          <w:rFonts w:cs="Times New Roman"/>
          <w:noProof/>
          <w:szCs w:val="24"/>
        </w:rPr>
        <w:t>;</w:t>
      </w:r>
      <w:r w:rsidR="004E5B81" w:rsidRPr="002B7FB1">
        <w:rPr>
          <w:rFonts w:cs="Times New Roman"/>
          <w:noProof/>
          <w:szCs w:val="24"/>
        </w:rPr>
        <w:t xml:space="preserve"> Moody </w:t>
      </w:r>
      <w:r w:rsidR="004E5B81" w:rsidRPr="00B5480B">
        <w:rPr>
          <w:rFonts w:cs="Times New Roman"/>
          <w:i/>
          <w:iCs/>
          <w:noProof/>
          <w:szCs w:val="24"/>
        </w:rPr>
        <w:t>et al</w:t>
      </w:r>
      <w:r w:rsidR="004E5B81" w:rsidRPr="00E32A2A">
        <w:rPr>
          <w:rFonts w:cs="Times New Roman"/>
          <w:iCs/>
          <w:noProof/>
          <w:szCs w:val="24"/>
        </w:rPr>
        <w:t>.,</w:t>
      </w:r>
      <w:r w:rsidR="004E5B81" w:rsidRPr="00E32A2A">
        <w:rPr>
          <w:rFonts w:cs="Times New Roman"/>
          <w:noProof/>
          <w:szCs w:val="24"/>
        </w:rPr>
        <w:t xml:space="preserve"> </w:t>
      </w:r>
      <w:r w:rsidR="004E5B81" w:rsidRPr="002B7FB1">
        <w:rPr>
          <w:rFonts w:cs="Times New Roman"/>
          <w:noProof/>
          <w:szCs w:val="24"/>
        </w:rPr>
        <w:t>20</w:t>
      </w:r>
      <w:r w:rsidR="00237D11">
        <w:rPr>
          <w:rFonts w:cs="Times New Roman"/>
          <w:noProof/>
          <w:szCs w:val="24"/>
        </w:rPr>
        <w:t>20</w:t>
      </w:r>
      <w:r w:rsidR="004E5B81" w:rsidRPr="002B7FB1">
        <w:rPr>
          <w:rFonts w:cs="Times New Roman"/>
          <w:noProof/>
          <w:szCs w:val="24"/>
        </w:rPr>
        <w:t>),</w:t>
      </w:r>
      <w:r w:rsidR="0024132F" w:rsidRPr="002B7FB1">
        <w:rPr>
          <w:rFonts w:cs="Times New Roman"/>
          <w:noProof/>
          <w:szCs w:val="24"/>
        </w:rPr>
        <w:t xml:space="preserve"> (e)</w:t>
      </w:r>
      <w:r w:rsidR="004E5B81" w:rsidRPr="002B7FB1">
        <w:rPr>
          <w:rFonts w:cs="Times New Roman"/>
          <w:noProof/>
          <w:szCs w:val="24"/>
        </w:rPr>
        <w:t xml:space="preserve"> </w:t>
      </w:r>
      <w:r w:rsidR="0024132F" w:rsidRPr="002B7FB1">
        <w:rPr>
          <w:rFonts w:cs="Times New Roman"/>
          <w:noProof/>
          <w:szCs w:val="24"/>
        </w:rPr>
        <w:t xml:space="preserve">interest in </w:t>
      </w:r>
      <w:r w:rsidR="006D728F">
        <w:rPr>
          <w:rFonts w:cs="Times New Roman"/>
          <w:noProof/>
          <w:szCs w:val="24"/>
        </w:rPr>
        <w:t xml:space="preserve">the </w:t>
      </w:r>
      <w:r w:rsidR="0024132F" w:rsidRPr="00A76F89">
        <w:rPr>
          <w:rFonts w:cs="Times New Roman"/>
          <w:noProof/>
          <w:szCs w:val="24"/>
        </w:rPr>
        <w:t>productive use of travel time (Lavieri</w:t>
      </w:r>
      <w:r w:rsidR="001937D1">
        <w:rPr>
          <w:rFonts w:cs="Times New Roman"/>
          <w:noProof/>
          <w:szCs w:val="24"/>
        </w:rPr>
        <w:t xml:space="preserve"> and Bha</w:t>
      </w:r>
      <w:r w:rsidR="00E279B0">
        <w:rPr>
          <w:rFonts w:cs="Times New Roman"/>
          <w:noProof/>
          <w:szCs w:val="24"/>
        </w:rPr>
        <w:t>t</w:t>
      </w:r>
      <w:r w:rsidR="0024132F" w:rsidRPr="00B5480B">
        <w:rPr>
          <w:rFonts w:cs="Times New Roman"/>
          <w:i/>
          <w:iCs/>
          <w:noProof/>
          <w:szCs w:val="24"/>
        </w:rPr>
        <w:t>,</w:t>
      </w:r>
      <w:r w:rsidR="0024132F" w:rsidRPr="00A76F89">
        <w:rPr>
          <w:rFonts w:cs="Times New Roman"/>
          <w:noProof/>
          <w:szCs w:val="24"/>
        </w:rPr>
        <w:t xml:space="preserve"> 2019</w:t>
      </w:r>
      <w:r w:rsidR="00AC1B1F">
        <w:rPr>
          <w:rFonts w:cs="Times New Roman"/>
          <w:noProof/>
          <w:szCs w:val="24"/>
        </w:rPr>
        <w:t>b</w:t>
      </w:r>
      <w:r w:rsidR="00A81B35">
        <w:rPr>
          <w:rFonts w:cs="Times New Roman"/>
          <w:noProof/>
          <w:szCs w:val="24"/>
        </w:rPr>
        <w:t>;</w:t>
      </w:r>
      <w:r w:rsidR="00FA319B" w:rsidRPr="00A76F89">
        <w:rPr>
          <w:rFonts w:cs="Times New Roman"/>
          <w:noProof/>
          <w:szCs w:val="24"/>
        </w:rPr>
        <w:t xml:space="preserve"> Moore </w:t>
      </w:r>
      <w:r w:rsidR="00FA319B" w:rsidRPr="00B5480B">
        <w:rPr>
          <w:rFonts w:cs="Times New Roman"/>
          <w:i/>
          <w:iCs/>
          <w:noProof/>
          <w:szCs w:val="24"/>
        </w:rPr>
        <w:t>et al</w:t>
      </w:r>
      <w:r w:rsidR="00FA319B" w:rsidRPr="00E32A2A">
        <w:rPr>
          <w:rFonts w:cs="Times New Roman"/>
          <w:iCs/>
          <w:noProof/>
          <w:szCs w:val="24"/>
        </w:rPr>
        <w:t>.,</w:t>
      </w:r>
      <w:r w:rsidR="00FA319B" w:rsidRPr="00E32A2A">
        <w:rPr>
          <w:rFonts w:cs="Times New Roman"/>
          <w:noProof/>
          <w:szCs w:val="24"/>
        </w:rPr>
        <w:t xml:space="preserve"> </w:t>
      </w:r>
      <w:r w:rsidR="00FA319B" w:rsidRPr="00A76F89">
        <w:rPr>
          <w:rFonts w:cs="Times New Roman"/>
          <w:noProof/>
          <w:szCs w:val="24"/>
        </w:rPr>
        <w:t>2020</w:t>
      </w:r>
      <w:r w:rsidR="0024132F" w:rsidRPr="00A76F89">
        <w:rPr>
          <w:rFonts w:cs="Times New Roman"/>
          <w:noProof/>
          <w:szCs w:val="24"/>
        </w:rPr>
        <w:t>)</w:t>
      </w:r>
      <w:r w:rsidR="003953CE">
        <w:rPr>
          <w:rFonts w:cs="Times New Roman"/>
          <w:noProof/>
          <w:szCs w:val="24"/>
        </w:rPr>
        <w:t xml:space="preserve"> and (f) variety</w:t>
      </w:r>
      <w:r w:rsidR="001F446A">
        <w:rPr>
          <w:rFonts w:cs="Times New Roman"/>
          <w:noProof/>
          <w:szCs w:val="24"/>
        </w:rPr>
        <w:t>-</w:t>
      </w:r>
      <w:r w:rsidR="003953CE">
        <w:rPr>
          <w:rFonts w:cs="Times New Roman"/>
          <w:noProof/>
          <w:szCs w:val="24"/>
        </w:rPr>
        <w:t xml:space="preserve">seeking lifestyle (Alemi </w:t>
      </w:r>
      <w:r w:rsidR="003953CE" w:rsidRPr="003953CE">
        <w:rPr>
          <w:rFonts w:cs="Times New Roman"/>
          <w:i/>
          <w:iCs/>
          <w:noProof/>
          <w:szCs w:val="24"/>
        </w:rPr>
        <w:t>et al</w:t>
      </w:r>
      <w:r w:rsidR="003953CE">
        <w:rPr>
          <w:rFonts w:cs="Times New Roman"/>
          <w:noProof/>
          <w:szCs w:val="24"/>
        </w:rPr>
        <w:t>., 2018</w:t>
      </w:r>
      <w:r w:rsidR="00A81B35">
        <w:rPr>
          <w:rFonts w:cs="Times New Roman"/>
          <w:noProof/>
          <w:szCs w:val="24"/>
        </w:rPr>
        <w:t xml:space="preserve">; </w:t>
      </w:r>
      <w:r w:rsidR="003953CE">
        <w:rPr>
          <w:rFonts w:cs="Times New Roman"/>
          <w:noProof/>
          <w:szCs w:val="24"/>
        </w:rPr>
        <w:t>Lavieri</w:t>
      </w:r>
      <w:r w:rsidR="001937D1">
        <w:rPr>
          <w:rFonts w:cs="Times New Roman"/>
          <w:noProof/>
          <w:szCs w:val="24"/>
        </w:rPr>
        <w:t xml:space="preserve"> and Bhat</w:t>
      </w:r>
      <w:r w:rsidR="00E012D7" w:rsidRPr="00E32A2A">
        <w:rPr>
          <w:rFonts w:cs="Times New Roman"/>
          <w:iCs/>
          <w:noProof/>
          <w:szCs w:val="24"/>
        </w:rPr>
        <w:t>.</w:t>
      </w:r>
      <w:r w:rsidR="003953CE" w:rsidRPr="00E32A2A">
        <w:rPr>
          <w:rFonts w:cs="Times New Roman"/>
          <w:iCs/>
          <w:noProof/>
          <w:szCs w:val="24"/>
        </w:rPr>
        <w:t>,</w:t>
      </w:r>
      <w:r w:rsidR="003953CE" w:rsidRPr="00E32A2A">
        <w:rPr>
          <w:rFonts w:cs="Times New Roman"/>
          <w:noProof/>
          <w:szCs w:val="24"/>
        </w:rPr>
        <w:t xml:space="preserve"> </w:t>
      </w:r>
      <w:r w:rsidR="003953CE">
        <w:rPr>
          <w:rFonts w:cs="Times New Roman"/>
          <w:noProof/>
          <w:szCs w:val="24"/>
        </w:rPr>
        <w:t>2019</w:t>
      </w:r>
      <w:r w:rsidR="00AC1B1F">
        <w:rPr>
          <w:rFonts w:cs="Times New Roman"/>
          <w:noProof/>
          <w:szCs w:val="24"/>
        </w:rPr>
        <w:t>a</w:t>
      </w:r>
      <w:r w:rsidR="003953CE">
        <w:rPr>
          <w:rFonts w:cs="Times New Roman"/>
          <w:noProof/>
          <w:szCs w:val="24"/>
        </w:rPr>
        <w:t xml:space="preserve">). </w:t>
      </w:r>
      <w:bookmarkEnd w:id="4"/>
      <w:r w:rsidR="006E08A8" w:rsidRPr="00A76F89">
        <w:rPr>
          <w:rFonts w:cs="Times New Roman"/>
          <w:color w:val="000000" w:themeColor="text1"/>
          <w:szCs w:val="24"/>
        </w:rPr>
        <w:t>As in the case of assessin</w:t>
      </w:r>
      <w:r w:rsidR="006E08A8" w:rsidRPr="002B7FB1">
        <w:rPr>
          <w:rFonts w:cs="Times New Roman"/>
          <w:color w:val="000000" w:themeColor="text1"/>
          <w:szCs w:val="24"/>
        </w:rPr>
        <w:t>g AV impacts on activity-travel behavior, many of these earlier studies do not, however, differentiate between the adoption paradigms/configurations of private AV vehicle ownership versus SAV system use</w:t>
      </w:r>
      <w:r w:rsidR="004E5B81" w:rsidRPr="002B7FB1">
        <w:rPr>
          <w:rFonts w:cs="Times New Roman"/>
          <w:color w:val="000000" w:themeColor="text1"/>
          <w:szCs w:val="24"/>
        </w:rPr>
        <w:t xml:space="preserve">. To our knowledge, </w:t>
      </w:r>
      <w:r w:rsidR="00983B30">
        <w:rPr>
          <w:rFonts w:cs="Times New Roman"/>
          <w:color w:val="000000" w:themeColor="text1"/>
          <w:szCs w:val="24"/>
        </w:rPr>
        <w:t xml:space="preserve">only a handful of </w:t>
      </w:r>
      <w:r w:rsidR="004E5B81" w:rsidRPr="002B7FB1">
        <w:rPr>
          <w:rFonts w:cs="Times New Roman"/>
          <w:color w:val="000000" w:themeColor="text1"/>
          <w:szCs w:val="24"/>
        </w:rPr>
        <w:t>studies examine th</w:t>
      </w:r>
      <w:r w:rsidR="006D728F">
        <w:rPr>
          <w:rFonts w:cs="Times New Roman"/>
          <w:color w:val="000000" w:themeColor="text1"/>
          <w:szCs w:val="24"/>
        </w:rPr>
        <w:t>e</w:t>
      </w:r>
      <w:r w:rsidR="004E5B81" w:rsidRPr="00A76F89">
        <w:rPr>
          <w:rFonts w:cs="Times New Roman"/>
          <w:color w:val="000000" w:themeColor="text1"/>
          <w:szCs w:val="24"/>
        </w:rPr>
        <w:t xml:space="preserve"> adoption paradigm</w:t>
      </w:r>
      <w:r w:rsidR="001F446A">
        <w:rPr>
          <w:rFonts w:cs="Times New Roman"/>
          <w:color w:val="000000" w:themeColor="text1"/>
          <w:szCs w:val="24"/>
        </w:rPr>
        <w:t>, including</w:t>
      </w:r>
      <w:r w:rsidR="004E5B81" w:rsidRPr="00A76F89">
        <w:rPr>
          <w:rFonts w:cs="Times New Roman"/>
          <w:color w:val="000000" w:themeColor="text1"/>
          <w:szCs w:val="24"/>
        </w:rPr>
        <w:t xml:space="preserve"> Zmud and Sener (2017)</w:t>
      </w:r>
      <w:r w:rsidR="007C5716">
        <w:rPr>
          <w:rFonts w:cs="Times New Roman"/>
          <w:color w:val="000000" w:themeColor="text1"/>
          <w:szCs w:val="24"/>
        </w:rPr>
        <w:t xml:space="preserve"> and </w:t>
      </w:r>
      <w:r w:rsidR="004E5B81" w:rsidRPr="00A76F89">
        <w:rPr>
          <w:rFonts w:cs="Times New Roman"/>
          <w:color w:val="000000" w:themeColor="text1"/>
          <w:szCs w:val="24"/>
        </w:rPr>
        <w:t xml:space="preserve">Lavieri </w:t>
      </w:r>
      <w:r w:rsidR="004E5B81" w:rsidRPr="007C5716">
        <w:rPr>
          <w:rFonts w:cs="Times New Roman"/>
          <w:i/>
          <w:iCs/>
          <w:color w:val="000000" w:themeColor="text1"/>
          <w:szCs w:val="24"/>
        </w:rPr>
        <w:t>et al</w:t>
      </w:r>
      <w:r w:rsidR="004E5B81" w:rsidRPr="00E32A2A">
        <w:rPr>
          <w:rFonts w:cs="Times New Roman"/>
          <w:iCs/>
          <w:color w:val="000000" w:themeColor="text1"/>
          <w:szCs w:val="24"/>
        </w:rPr>
        <w:t>.</w:t>
      </w:r>
      <w:r w:rsidR="004E5B81" w:rsidRPr="00E32A2A">
        <w:rPr>
          <w:rFonts w:cs="Times New Roman"/>
          <w:color w:val="000000" w:themeColor="text1"/>
          <w:szCs w:val="24"/>
        </w:rPr>
        <w:t xml:space="preserve"> </w:t>
      </w:r>
      <w:r w:rsidR="004E5B81" w:rsidRPr="00A76F89">
        <w:rPr>
          <w:rFonts w:cs="Times New Roman"/>
          <w:color w:val="000000" w:themeColor="text1"/>
          <w:szCs w:val="24"/>
        </w:rPr>
        <w:t>(201</w:t>
      </w:r>
      <w:r w:rsidR="000503E4" w:rsidRPr="00A76F89">
        <w:rPr>
          <w:rFonts w:cs="Times New Roman"/>
          <w:color w:val="000000" w:themeColor="text1"/>
          <w:szCs w:val="24"/>
        </w:rPr>
        <w:t>7</w:t>
      </w:r>
      <w:r w:rsidR="004E5B81" w:rsidRPr="002B7FB1">
        <w:rPr>
          <w:rFonts w:cs="Times New Roman"/>
          <w:color w:val="000000" w:themeColor="text1"/>
          <w:szCs w:val="24"/>
        </w:rPr>
        <w:t>)</w:t>
      </w:r>
      <w:r w:rsidR="001F446A">
        <w:rPr>
          <w:rFonts w:cs="Times New Roman"/>
          <w:color w:val="000000" w:themeColor="text1"/>
          <w:szCs w:val="24"/>
        </w:rPr>
        <w:t xml:space="preserve">. </w:t>
      </w:r>
      <w:r w:rsidR="004E5B81" w:rsidRPr="00A76F89">
        <w:rPr>
          <w:rFonts w:cs="Times New Roman"/>
          <w:color w:val="000000" w:themeColor="text1"/>
          <w:szCs w:val="24"/>
        </w:rPr>
        <w:t xml:space="preserve">This is </w:t>
      </w:r>
      <w:r w:rsidR="006E08A8" w:rsidRPr="00A76F89">
        <w:rPr>
          <w:rFonts w:cs="Times New Roman"/>
          <w:color w:val="000000" w:themeColor="text1"/>
          <w:szCs w:val="24"/>
        </w:rPr>
        <w:t xml:space="preserve">despite </w:t>
      </w:r>
      <w:r w:rsidR="004E5B81" w:rsidRPr="00A76F89">
        <w:rPr>
          <w:rFonts w:cs="Times New Roman"/>
          <w:color w:val="000000" w:themeColor="text1"/>
          <w:szCs w:val="24"/>
        </w:rPr>
        <w:t xml:space="preserve">the fact that </w:t>
      </w:r>
      <w:r w:rsidR="004E5B81" w:rsidRPr="009144BF">
        <w:rPr>
          <w:szCs w:val="24"/>
        </w:rPr>
        <w:t xml:space="preserve">the impacts of AV technology on the transportation system are likely to be very different depending on the AV usage paradigm that prevails in the market. </w:t>
      </w:r>
    </w:p>
    <w:p w14:paraId="691D785D" w14:textId="408A3A2F" w:rsidR="004B6722" w:rsidRDefault="006B715F" w:rsidP="0091464C">
      <w:pPr>
        <w:spacing w:line="276" w:lineRule="auto"/>
        <w:ind w:firstLine="720"/>
        <w:jc w:val="both"/>
        <w:rPr>
          <w:rFonts w:cs="Times New Roman"/>
          <w:szCs w:val="24"/>
        </w:rPr>
      </w:pPr>
      <w:r w:rsidRPr="009144BF">
        <w:rPr>
          <w:szCs w:val="24"/>
        </w:rPr>
        <w:t>In addition to the limited attention on the paradigm</w:t>
      </w:r>
      <w:r w:rsidR="00540998" w:rsidRPr="009144BF">
        <w:rPr>
          <w:szCs w:val="24"/>
        </w:rPr>
        <w:t>/configuration of</w:t>
      </w:r>
      <w:r w:rsidRPr="009144BF">
        <w:rPr>
          <w:szCs w:val="24"/>
        </w:rPr>
        <w:t xml:space="preserve"> </w:t>
      </w:r>
      <w:r w:rsidR="003433A5">
        <w:rPr>
          <w:szCs w:val="24"/>
        </w:rPr>
        <w:t>AV adoption (</w:t>
      </w:r>
      <w:r w:rsidRPr="009144BF">
        <w:rPr>
          <w:szCs w:val="24"/>
        </w:rPr>
        <w:t>AV</w:t>
      </w:r>
      <w:r w:rsidR="00540998" w:rsidRPr="009144BF">
        <w:rPr>
          <w:szCs w:val="24"/>
        </w:rPr>
        <w:t>D</w:t>
      </w:r>
      <w:r w:rsidR="003433A5">
        <w:rPr>
          <w:szCs w:val="24"/>
        </w:rPr>
        <w:t>)</w:t>
      </w:r>
      <w:r w:rsidRPr="009144BF">
        <w:rPr>
          <w:szCs w:val="24"/>
        </w:rPr>
        <w:t xml:space="preserve">, there is also relatively little </w:t>
      </w:r>
      <w:r w:rsidR="00291FC5" w:rsidRPr="009144BF">
        <w:rPr>
          <w:szCs w:val="24"/>
        </w:rPr>
        <w:t xml:space="preserve">attention accorded </w:t>
      </w:r>
      <w:r w:rsidR="00614BDD">
        <w:rPr>
          <w:szCs w:val="24"/>
        </w:rPr>
        <w:t xml:space="preserve">in the literature </w:t>
      </w:r>
      <w:r w:rsidR="00291FC5" w:rsidRPr="009144BF">
        <w:rPr>
          <w:szCs w:val="24"/>
        </w:rPr>
        <w:t xml:space="preserve">to </w:t>
      </w:r>
      <w:r w:rsidRPr="009144BF">
        <w:rPr>
          <w:szCs w:val="24"/>
        </w:rPr>
        <w:t xml:space="preserve">the </w:t>
      </w:r>
      <w:r w:rsidR="003433A5">
        <w:rPr>
          <w:szCs w:val="24"/>
        </w:rPr>
        <w:t>duration to adoption (</w:t>
      </w:r>
      <w:r w:rsidRPr="009144BF">
        <w:rPr>
          <w:szCs w:val="24"/>
        </w:rPr>
        <w:t>DAD</w:t>
      </w:r>
      <w:r w:rsidR="003433A5">
        <w:rPr>
          <w:szCs w:val="24"/>
        </w:rPr>
        <w:t>)</w:t>
      </w:r>
      <w:r w:rsidRPr="009144BF">
        <w:rPr>
          <w:szCs w:val="24"/>
        </w:rPr>
        <w:t xml:space="preserve"> dimension </w:t>
      </w:r>
      <w:r w:rsidR="00291FC5" w:rsidRPr="009144BF">
        <w:rPr>
          <w:szCs w:val="24"/>
        </w:rPr>
        <w:t xml:space="preserve">of </w:t>
      </w:r>
      <w:r w:rsidRPr="009144BF">
        <w:rPr>
          <w:szCs w:val="24"/>
        </w:rPr>
        <w:t xml:space="preserve">choice, a critical issue in being able to </w:t>
      </w:r>
      <w:r w:rsidR="00E946DA" w:rsidRPr="009144BF">
        <w:rPr>
          <w:szCs w:val="24"/>
        </w:rPr>
        <w:t xml:space="preserve">project </w:t>
      </w:r>
      <w:r w:rsidRPr="009144BF">
        <w:rPr>
          <w:szCs w:val="24"/>
        </w:rPr>
        <w:t>AV</w:t>
      </w:r>
      <w:r w:rsidR="00540998" w:rsidRPr="009144BF">
        <w:rPr>
          <w:szCs w:val="24"/>
        </w:rPr>
        <w:t xml:space="preserve">D </w:t>
      </w:r>
      <w:r w:rsidRPr="009144BF">
        <w:rPr>
          <w:szCs w:val="24"/>
        </w:rPr>
        <w:t>rates over time</w:t>
      </w:r>
      <w:r w:rsidRPr="00A76F89">
        <w:rPr>
          <w:rFonts w:cs="Times New Roman"/>
          <w:szCs w:val="24"/>
        </w:rPr>
        <w:t xml:space="preserve">. </w:t>
      </w:r>
      <w:r w:rsidR="00782435">
        <w:rPr>
          <w:rFonts w:cs="Times New Roman"/>
          <w:szCs w:val="24"/>
        </w:rPr>
        <w:t xml:space="preserve">This is particularly important because </w:t>
      </w:r>
      <w:r w:rsidR="00572C4D">
        <w:rPr>
          <w:rFonts w:cs="Times New Roman"/>
          <w:szCs w:val="24"/>
        </w:rPr>
        <w:t>of the typical S-curve pattern observed in the uptake of most technological innovations, with the early adopters and the late adopters (the “laggards”) occupying the flat portion</w:t>
      </w:r>
      <w:r w:rsidR="00C877A0">
        <w:rPr>
          <w:rFonts w:cs="Times New Roman"/>
          <w:szCs w:val="24"/>
        </w:rPr>
        <w:t>s</w:t>
      </w:r>
      <w:r w:rsidR="00572C4D">
        <w:rPr>
          <w:rFonts w:cs="Times New Roman"/>
          <w:szCs w:val="24"/>
        </w:rPr>
        <w:t xml:space="preserve"> of the curve (see</w:t>
      </w:r>
      <w:r w:rsidR="001100B4">
        <w:rPr>
          <w:rFonts w:cs="Times New Roman"/>
          <w:szCs w:val="24"/>
        </w:rPr>
        <w:t xml:space="preserve"> </w:t>
      </w:r>
      <w:r w:rsidR="00572C4D">
        <w:rPr>
          <w:rFonts w:cs="Times New Roman"/>
          <w:szCs w:val="24"/>
        </w:rPr>
        <w:t xml:space="preserve">Liljamo </w:t>
      </w:r>
      <w:r w:rsidR="00572C4D" w:rsidRPr="004D7EA3">
        <w:rPr>
          <w:rFonts w:cs="Times New Roman"/>
          <w:i/>
          <w:iCs/>
          <w:szCs w:val="24"/>
        </w:rPr>
        <w:t>et al</w:t>
      </w:r>
      <w:r w:rsidR="00572C4D" w:rsidRPr="00E32A2A">
        <w:rPr>
          <w:rFonts w:cs="Times New Roman"/>
          <w:iCs/>
          <w:szCs w:val="24"/>
        </w:rPr>
        <w:t>.,</w:t>
      </w:r>
      <w:r w:rsidR="00572C4D">
        <w:rPr>
          <w:rFonts w:cs="Times New Roman"/>
          <w:szCs w:val="24"/>
        </w:rPr>
        <w:t xml:space="preserve"> 2018). Understanding and distinguishing the characteristics of individuals in these two extreme groups (and those who fall somewhere in-between) is important </w:t>
      </w:r>
      <w:r w:rsidR="00FE7B8F">
        <w:rPr>
          <w:rFonts w:cs="Times New Roman"/>
          <w:szCs w:val="24"/>
        </w:rPr>
        <w:t xml:space="preserve">to position information and safety campaigns to accelerate the acceptance/adoption of AVs </w:t>
      </w:r>
      <w:r w:rsidR="001100B4">
        <w:rPr>
          <w:rFonts w:cs="Times New Roman"/>
          <w:szCs w:val="24"/>
        </w:rPr>
        <w:t>and</w:t>
      </w:r>
      <w:r w:rsidR="00FE7B8F">
        <w:rPr>
          <w:rFonts w:cs="Times New Roman"/>
          <w:szCs w:val="24"/>
        </w:rPr>
        <w:t xml:space="preserve"> bring them into the mainstream, particularly, if possible, in the SAV mode of operation. </w:t>
      </w:r>
    </w:p>
    <w:p w14:paraId="7B2DD91E" w14:textId="77777777" w:rsidR="0016254A" w:rsidRPr="009144BF" w:rsidRDefault="0016254A" w:rsidP="0091464C">
      <w:pPr>
        <w:spacing w:line="276" w:lineRule="auto"/>
        <w:jc w:val="both"/>
        <w:rPr>
          <w:rFonts w:cs="Times New Roman"/>
          <w:color w:val="222222"/>
          <w:szCs w:val="24"/>
          <w:shd w:val="clear" w:color="auto" w:fill="FFFFFF"/>
        </w:rPr>
      </w:pPr>
    </w:p>
    <w:p w14:paraId="44CA3244" w14:textId="5FE0A66B" w:rsidR="00291FC5" w:rsidRPr="0016254A" w:rsidRDefault="002B7FB1" w:rsidP="0091464C">
      <w:pPr>
        <w:spacing w:line="276" w:lineRule="auto"/>
        <w:ind w:left="540" w:hanging="540"/>
        <w:rPr>
          <w:b/>
        </w:rPr>
      </w:pPr>
      <w:r w:rsidRPr="0016254A">
        <w:rPr>
          <w:b/>
        </w:rPr>
        <w:t>2.1</w:t>
      </w:r>
      <w:r w:rsidR="0016254A">
        <w:rPr>
          <w:b/>
        </w:rPr>
        <w:tab/>
      </w:r>
      <w:r w:rsidR="00DB4249" w:rsidRPr="0016254A">
        <w:rPr>
          <w:b/>
        </w:rPr>
        <w:t xml:space="preserve">The </w:t>
      </w:r>
      <w:r w:rsidR="00A442C7" w:rsidRPr="0016254A">
        <w:rPr>
          <w:b/>
        </w:rPr>
        <w:t>C</w:t>
      </w:r>
      <w:r w:rsidR="00DB4249" w:rsidRPr="0016254A">
        <w:rPr>
          <w:b/>
        </w:rPr>
        <w:t xml:space="preserve">urrent </w:t>
      </w:r>
      <w:r w:rsidR="00A442C7" w:rsidRPr="0016254A">
        <w:rPr>
          <w:b/>
        </w:rPr>
        <w:t>P</w:t>
      </w:r>
      <w:r w:rsidR="00DB4249" w:rsidRPr="0016254A">
        <w:rPr>
          <w:b/>
        </w:rPr>
        <w:t>aper</w:t>
      </w:r>
    </w:p>
    <w:p w14:paraId="0FC7A055" w14:textId="14182B9B" w:rsidR="00B50E0B" w:rsidRDefault="00682496" w:rsidP="0091464C">
      <w:pPr>
        <w:spacing w:line="276" w:lineRule="auto"/>
        <w:jc w:val="both"/>
        <w:rPr>
          <w:szCs w:val="24"/>
          <w:highlight w:val="yellow"/>
        </w:rPr>
      </w:pPr>
      <w:r w:rsidRPr="009144BF">
        <w:rPr>
          <w:szCs w:val="24"/>
        </w:rPr>
        <w:t>The current study is motivated by the need to better understand</w:t>
      </w:r>
      <w:r w:rsidR="008A5C0B">
        <w:rPr>
          <w:szCs w:val="24"/>
        </w:rPr>
        <w:t xml:space="preserve"> </w:t>
      </w:r>
      <w:r w:rsidRPr="009144BF">
        <w:rPr>
          <w:szCs w:val="24"/>
        </w:rPr>
        <w:t>AVD</w:t>
      </w:r>
      <w:r w:rsidR="008A5C0B">
        <w:rPr>
          <w:szCs w:val="24"/>
        </w:rPr>
        <w:t xml:space="preserve"> and</w:t>
      </w:r>
      <w:r w:rsidRPr="009144BF">
        <w:rPr>
          <w:szCs w:val="24"/>
        </w:rPr>
        <w:t xml:space="preserve"> DAD decisions. There are several salient aspects of the paper. </w:t>
      </w:r>
      <w:r w:rsidRPr="009144BF">
        <w:rPr>
          <w:szCs w:val="24"/>
          <w:u w:val="single"/>
        </w:rPr>
        <w:t>First</w:t>
      </w:r>
      <w:r w:rsidRPr="009144BF">
        <w:rPr>
          <w:szCs w:val="24"/>
        </w:rPr>
        <w:t xml:space="preserve">, we differentiate between private </w:t>
      </w:r>
      <w:r w:rsidR="00614BDD">
        <w:rPr>
          <w:szCs w:val="24"/>
        </w:rPr>
        <w:t xml:space="preserve">AV </w:t>
      </w:r>
      <w:r w:rsidRPr="009144BF">
        <w:rPr>
          <w:szCs w:val="24"/>
        </w:rPr>
        <w:t>ownership</w:t>
      </w:r>
      <w:r w:rsidR="00614BDD">
        <w:rPr>
          <w:szCs w:val="24"/>
        </w:rPr>
        <w:t xml:space="preserve"> </w:t>
      </w:r>
      <w:r w:rsidRPr="009144BF">
        <w:rPr>
          <w:szCs w:val="24"/>
        </w:rPr>
        <w:t>and SAV</w:t>
      </w:r>
      <w:r w:rsidR="00614BDD">
        <w:rPr>
          <w:szCs w:val="24"/>
        </w:rPr>
        <w:t xml:space="preserve"> use</w:t>
      </w:r>
      <w:r w:rsidRPr="009144BF">
        <w:rPr>
          <w:szCs w:val="24"/>
        </w:rPr>
        <w:t xml:space="preserve">. </w:t>
      </w:r>
      <w:r w:rsidR="00614BDD">
        <w:rPr>
          <w:szCs w:val="24"/>
        </w:rPr>
        <w:t>Related</w:t>
      </w:r>
      <w:r w:rsidRPr="009144BF">
        <w:rPr>
          <w:szCs w:val="24"/>
        </w:rPr>
        <w:t xml:space="preserve"> to this point is that we also present the question regarding AV adoption in the “tight” context of the next vehicle purchase occasion</w:t>
      </w:r>
      <w:r w:rsidR="00614BDD">
        <w:rPr>
          <w:szCs w:val="24"/>
        </w:rPr>
        <w:t>,</w:t>
      </w:r>
      <w:r w:rsidRPr="009144BF">
        <w:rPr>
          <w:szCs w:val="24"/>
        </w:rPr>
        <w:t xml:space="preserve"> with three possible response options: (a) purchase a regular vehicle, (b) purchase an AV, and (c) not purchase a vehicle and use SAV services. Tying the question to the next vehicle purchase occasion provides a level of</w:t>
      </w:r>
      <w:r w:rsidR="004907A6">
        <w:rPr>
          <w:szCs w:val="24"/>
        </w:rPr>
        <w:t xml:space="preserve"> choice </w:t>
      </w:r>
      <w:r w:rsidR="001100B4">
        <w:rPr>
          <w:szCs w:val="24"/>
        </w:rPr>
        <w:t xml:space="preserve">time-frame </w:t>
      </w:r>
      <w:r w:rsidRPr="009144BF">
        <w:rPr>
          <w:szCs w:val="24"/>
        </w:rPr>
        <w:t>specificity for</w:t>
      </w:r>
      <w:r w:rsidR="001100B4">
        <w:rPr>
          <w:szCs w:val="24"/>
        </w:rPr>
        <w:t xml:space="preserve"> respondents</w:t>
      </w:r>
      <w:r w:rsidR="00E946DA" w:rsidRPr="009144BF">
        <w:rPr>
          <w:szCs w:val="24"/>
        </w:rPr>
        <w:t xml:space="preserve">. It </w:t>
      </w:r>
      <w:r w:rsidRPr="009144BF">
        <w:rPr>
          <w:szCs w:val="24"/>
        </w:rPr>
        <w:t>also provides a better sense of vehicle turnover (as opposed to a generic question of whether an individual will purchase an AV or not)</w:t>
      </w:r>
      <w:r w:rsidR="002F4D4F">
        <w:rPr>
          <w:szCs w:val="24"/>
        </w:rPr>
        <w:t>, as well as allows us to examine the trade-offs between fixed costs (that impact RV and AV</w:t>
      </w:r>
      <w:r w:rsidRPr="009144BF">
        <w:rPr>
          <w:szCs w:val="24"/>
        </w:rPr>
        <w:t xml:space="preserve"> </w:t>
      </w:r>
      <w:r w:rsidR="002F4D4F">
        <w:rPr>
          <w:szCs w:val="24"/>
        </w:rPr>
        <w:t xml:space="preserve">purchase, but not SAV use) and variable costs (that influence all three of the AVD alternatives). </w:t>
      </w:r>
      <w:r w:rsidR="00BC3A93" w:rsidRPr="009144BF">
        <w:rPr>
          <w:szCs w:val="24"/>
          <w:u w:val="single"/>
        </w:rPr>
        <w:t>Second</w:t>
      </w:r>
      <w:r w:rsidR="00BC3A93" w:rsidRPr="009144BF">
        <w:rPr>
          <w:szCs w:val="24"/>
        </w:rPr>
        <w:t>, we also consider the DAD dimension, even if admittedly rather coarsely in the three nominal categories of (a)</w:t>
      </w:r>
      <w:r w:rsidR="00C877A0">
        <w:rPr>
          <w:szCs w:val="24"/>
        </w:rPr>
        <w:t xml:space="preserve"> </w:t>
      </w:r>
      <w:r w:rsidR="004320B2" w:rsidRPr="009144BF">
        <w:rPr>
          <w:szCs w:val="24"/>
        </w:rPr>
        <w:t>I will never buy an AV</w:t>
      </w:r>
      <w:r w:rsidR="004320B2">
        <w:rPr>
          <w:szCs w:val="24"/>
        </w:rPr>
        <w:t>,</w:t>
      </w:r>
      <w:r w:rsidR="004320B2" w:rsidRPr="009144BF">
        <w:rPr>
          <w:szCs w:val="24"/>
        </w:rPr>
        <w:t xml:space="preserve"> </w:t>
      </w:r>
      <w:r w:rsidR="004320B2">
        <w:rPr>
          <w:szCs w:val="24"/>
        </w:rPr>
        <w:t xml:space="preserve">(b) </w:t>
      </w:r>
      <w:r w:rsidR="00BC3A93" w:rsidRPr="009144BF">
        <w:rPr>
          <w:szCs w:val="24"/>
        </w:rPr>
        <w:t xml:space="preserve">I will be one of the first people to buy an AV, </w:t>
      </w:r>
      <w:r w:rsidR="004320B2">
        <w:rPr>
          <w:szCs w:val="24"/>
        </w:rPr>
        <w:t xml:space="preserve">and </w:t>
      </w:r>
      <w:r w:rsidR="00BC3A93" w:rsidRPr="009144BF">
        <w:rPr>
          <w:szCs w:val="24"/>
        </w:rPr>
        <w:t>(</w:t>
      </w:r>
      <w:r w:rsidR="004320B2">
        <w:rPr>
          <w:szCs w:val="24"/>
        </w:rPr>
        <w:t>c</w:t>
      </w:r>
      <w:r w:rsidR="00BC3A93" w:rsidRPr="009144BF">
        <w:rPr>
          <w:szCs w:val="24"/>
        </w:rPr>
        <w:t xml:space="preserve">) I will eventually buy an AV, but only after these vehicles are in common use. </w:t>
      </w:r>
      <w:r w:rsidR="00BC3A93" w:rsidRPr="009144BF">
        <w:rPr>
          <w:szCs w:val="24"/>
          <w:u w:val="single"/>
        </w:rPr>
        <w:t>Third</w:t>
      </w:r>
      <w:r w:rsidR="00BC3A93" w:rsidRPr="009144BF">
        <w:rPr>
          <w:szCs w:val="24"/>
        </w:rPr>
        <w:t>, we model the AVD and DAD dimensions jointly, to acknowledge the possibility that one or more attitudes/lifestyle traits may</w:t>
      </w:r>
      <w:r w:rsidR="004907A6">
        <w:rPr>
          <w:szCs w:val="24"/>
        </w:rPr>
        <w:t xml:space="preserve">, at once, </w:t>
      </w:r>
      <w:r w:rsidR="00BC3A93" w:rsidRPr="009144BF">
        <w:rPr>
          <w:szCs w:val="24"/>
        </w:rPr>
        <w:t xml:space="preserve">influence both these dimensions. These attitudes/lifestyle traits are not directly </w:t>
      </w:r>
      <w:r w:rsidR="00991263" w:rsidRPr="009144BF">
        <w:rPr>
          <w:szCs w:val="24"/>
        </w:rPr>
        <w:t>observed and</w:t>
      </w:r>
      <w:r w:rsidR="00BC3A93" w:rsidRPr="009144BF">
        <w:rPr>
          <w:szCs w:val="24"/>
        </w:rPr>
        <w:t xml:space="preserve"> include an unobserved component (that cannot be explained by individual observed attributes). That is, these traits are stochastic latent constructs</w:t>
      </w:r>
      <w:r w:rsidR="003771C9" w:rsidRPr="009144BF">
        <w:rPr>
          <w:szCs w:val="24"/>
        </w:rPr>
        <w:t xml:space="preserve">, and thus the impact of such a latent construct simultaneously on both AVD and DAD leads to jointness due to the stochasticity embedded in the </w:t>
      </w:r>
      <w:r w:rsidR="003771C9" w:rsidRPr="009144BF">
        <w:rPr>
          <w:szCs w:val="24"/>
        </w:rPr>
        <w:lastRenderedPageBreak/>
        <w:t>construct. For example, an individual who has an intrinsically elevated s</w:t>
      </w:r>
      <w:r w:rsidR="002F4D4F">
        <w:rPr>
          <w:szCs w:val="24"/>
        </w:rPr>
        <w:t>afety</w:t>
      </w:r>
      <w:r w:rsidR="003771C9" w:rsidRPr="009144BF">
        <w:rPr>
          <w:szCs w:val="24"/>
        </w:rPr>
        <w:t xml:space="preserve"> concern with AVs is </w:t>
      </w:r>
      <w:r w:rsidR="0076278B" w:rsidRPr="009144BF">
        <w:rPr>
          <w:szCs w:val="24"/>
        </w:rPr>
        <w:t>expected</w:t>
      </w:r>
      <w:r w:rsidR="003771C9" w:rsidRPr="009144BF">
        <w:rPr>
          <w:szCs w:val="24"/>
        </w:rPr>
        <w:t xml:space="preserve"> to be more likely to buy a regular vehicle at the next purchase occasion </w:t>
      </w:r>
      <w:r w:rsidR="000112F9" w:rsidRPr="009144BF">
        <w:rPr>
          <w:szCs w:val="24"/>
        </w:rPr>
        <w:t xml:space="preserve">(along the AVD dimension) </w:t>
      </w:r>
      <w:r w:rsidR="003771C9" w:rsidRPr="009144BF">
        <w:rPr>
          <w:szCs w:val="24"/>
        </w:rPr>
        <w:t xml:space="preserve">and </w:t>
      </w:r>
      <w:r w:rsidR="002F4D4F">
        <w:rPr>
          <w:szCs w:val="24"/>
        </w:rPr>
        <w:t xml:space="preserve">be very unlikely to be a first-buyer of AVs </w:t>
      </w:r>
      <w:r w:rsidR="002F4D4F" w:rsidRPr="009144BF">
        <w:rPr>
          <w:szCs w:val="24"/>
        </w:rPr>
        <w:t>(along the DAD dimension)</w:t>
      </w:r>
      <w:r w:rsidR="002F4D4F">
        <w:rPr>
          <w:szCs w:val="24"/>
        </w:rPr>
        <w:t xml:space="preserve"> even if purchasing AVs at some point. </w:t>
      </w:r>
      <w:r w:rsidR="003771C9" w:rsidRPr="009144BF">
        <w:rPr>
          <w:szCs w:val="24"/>
          <w:u w:val="single"/>
        </w:rPr>
        <w:t>Fourth</w:t>
      </w:r>
      <w:r w:rsidR="003771C9" w:rsidRPr="009144BF">
        <w:rPr>
          <w:szCs w:val="24"/>
        </w:rPr>
        <w:t xml:space="preserve">, </w:t>
      </w:r>
      <w:r w:rsidR="00E20414" w:rsidRPr="009144BF">
        <w:rPr>
          <w:szCs w:val="24"/>
        </w:rPr>
        <w:t>in addition to t</w:t>
      </w:r>
      <w:r w:rsidR="00E26EDA">
        <w:rPr>
          <w:szCs w:val="24"/>
        </w:rPr>
        <w:t>wo</w:t>
      </w:r>
      <w:r w:rsidR="00E20414" w:rsidRPr="009144BF">
        <w:rPr>
          <w:szCs w:val="24"/>
        </w:rPr>
        <w:t xml:space="preserve"> constructs that have been widely used in </w:t>
      </w:r>
      <w:r w:rsidR="004907A6">
        <w:rPr>
          <w:szCs w:val="24"/>
        </w:rPr>
        <w:t>the AVD</w:t>
      </w:r>
      <w:r w:rsidR="00E20414" w:rsidRPr="009144BF">
        <w:rPr>
          <w:szCs w:val="24"/>
        </w:rPr>
        <w:t xml:space="preserve"> </w:t>
      </w:r>
      <w:r w:rsidR="004907A6">
        <w:rPr>
          <w:szCs w:val="24"/>
        </w:rPr>
        <w:t>literature</w:t>
      </w:r>
      <w:r w:rsidR="00E20414" w:rsidRPr="009144BF">
        <w:rPr>
          <w:szCs w:val="24"/>
        </w:rPr>
        <w:t xml:space="preserve"> (associated with safety concerns</w:t>
      </w:r>
      <w:r w:rsidR="00E26EDA">
        <w:rPr>
          <w:szCs w:val="24"/>
        </w:rPr>
        <w:t xml:space="preserve"> </w:t>
      </w:r>
      <w:r w:rsidR="00E20414" w:rsidRPr="009144BF">
        <w:rPr>
          <w:szCs w:val="24"/>
        </w:rPr>
        <w:t xml:space="preserve">and tech-savviness), </w:t>
      </w:r>
      <w:r w:rsidR="000112F9" w:rsidRPr="009144BF">
        <w:rPr>
          <w:szCs w:val="24"/>
        </w:rPr>
        <w:t xml:space="preserve">we </w:t>
      </w:r>
      <w:r w:rsidR="00E20414" w:rsidRPr="009144BF">
        <w:rPr>
          <w:szCs w:val="24"/>
        </w:rPr>
        <w:t xml:space="preserve">also </w:t>
      </w:r>
      <w:r w:rsidR="000112F9" w:rsidRPr="009144BF">
        <w:rPr>
          <w:szCs w:val="24"/>
        </w:rPr>
        <w:t xml:space="preserve">consider two </w:t>
      </w:r>
      <w:r w:rsidR="00300B7A" w:rsidRPr="009144BF">
        <w:rPr>
          <w:szCs w:val="24"/>
        </w:rPr>
        <w:t>psychological</w:t>
      </w:r>
      <w:r w:rsidR="000112F9" w:rsidRPr="009144BF">
        <w:rPr>
          <w:szCs w:val="24"/>
        </w:rPr>
        <w:t xml:space="preserve"> constructs that </w:t>
      </w:r>
      <w:r w:rsidR="00300B7A" w:rsidRPr="009144BF">
        <w:rPr>
          <w:szCs w:val="24"/>
        </w:rPr>
        <w:t>ha</w:t>
      </w:r>
      <w:r w:rsidR="00E20414" w:rsidRPr="009144BF">
        <w:rPr>
          <w:szCs w:val="24"/>
        </w:rPr>
        <w:t>ve</w:t>
      </w:r>
      <w:r w:rsidR="00300B7A" w:rsidRPr="009144BF">
        <w:rPr>
          <w:szCs w:val="24"/>
        </w:rPr>
        <w:t xml:space="preserve"> received </w:t>
      </w:r>
      <w:r w:rsidR="00805363">
        <w:rPr>
          <w:szCs w:val="24"/>
        </w:rPr>
        <w:t>limited to no</w:t>
      </w:r>
      <w:r w:rsidR="00E20414" w:rsidRPr="009144BF">
        <w:rPr>
          <w:szCs w:val="24"/>
        </w:rPr>
        <w:t xml:space="preserve"> </w:t>
      </w:r>
      <w:r w:rsidR="00300B7A" w:rsidRPr="009144BF">
        <w:rPr>
          <w:szCs w:val="24"/>
        </w:rPr>
        <w:t>attention in the AV adoption literature</w:t>
      </w:r>
      <w:r w:rsidR="00E20414" w:rsidRPr="009144BF">
        <w:rPr>
          <w:szCs w:val="24"/>
        </w:rPr>
        <w:t xml:space="preserve">: </w:t>
      </w:r>
      <w:r w:rsidR="00300B7A" w:rsidRPr="009144BF">
        <w:rPr>
          <w:szCs w:val="24"/>
        </w:rPr>
        <w:t>driving control and mobility control</w:t>
      </w:r>
      <w:r w:rsidR="00805363">
        <w:rPr>
          <w:szCs w:val="24"/>
        </w:rPr>
        <w:t xml:space="preserve"> (see </w:t>
      </w:r>
      <w:r w:rsidR="00FE7B8F">
        <w:rPr>
          <w:szCs w:val="24"/>
        </w:rPr>
        <w:t xml:space="preserve">Gkartzonikas and Gkritza, 2019 and </w:t>
      </w:r>
      <w:r w:rsidR="00805363">
        <w:rPr>
          <w:szCs w:val="24"/>
        </w:rPr>
        <w:t xml:space="preserve">Voinescu </w:t>
      </w:r>
      <w:r w:rsidR="00805363" w:rsidRPr="004D7EA3">
        <w:rPr>
          <w:i/>
          <w:iCs/>
          <w:szCs w:val="24"/>
        </w:rPr>
        <w:t>et al</w:t>
      </w:r>
      <w:r w:rsidR="00805363" w:rsidRPr="00E32A2A">
        <w:rPr>
          <w:iCs/>
          <w:szCs w:val="24"/>
        </w:rPr>
        <w:t>.,</w:t>
      </w:r>
      <w:r w:rsidR="00805363" w:rsidRPr="00E32A2A">
        <w:rPr>
          <w:szCs w:val="24"/>
        </w:rPr>
        <w:t xml:space="preserve"> </w:t>
      </w:r>
      <w:r w:rsidR="00805363">
        <w:rPr>
          <w:szCs w:val="24"/>
        </w:rPr>
        <w:t>2020 for good</w:t>
      </w:r>
      <w:r w:rsidR="00FE7B8F">
        <w:rPr>
          <w:szCs w:val="24"/>
        </w:rPr>
        <w:t xml:space="preserve"> </w:t>
      </w:r>
      <w:r w:rsidR="00805363">
        <w:rPr>
          <w:szCs w:val="24"/>
        </w:rPr>
        <w:t>review</w:t>
      </w:r>
      <w:r w:rsidR="00FE7B8F">
        <w:rPr>
          <w:szCs w:val="24"/>
        </w:rPr>
        <w:t>s</w:t>
      </w:r>
      <w:r w:rsidR="00805363">
        <w:rPr>
          <w:szCs w:val="24"/>
        </w:rPr>
        <w:t xml:space="preserve"> of studies that consider personality traits, from which it is clear that driving control and mobility control have rarely been used to explain AVD and DAD decisions)</w:t>
      </w:r>
      <w:r w:rsidR="00300B7A" w:rsidRPr="009144BF">
        <w:rPr>
          <w:szCs w:val="24"/>
        </w:rPr>
        <w:t>.</w:t>
      </w:r>
      <w:r w:rsidR="0072389C" w:rsidRPr="009144BF">
        <w:rPr>
          <w:szCs w:val="24"/>
        </w:rPr>
        <w:t xml:space="preserve"> </w:t>
      </w:r>
      <w:r w:rsidR="00805363">
        <w:rPr>
          <w:szCs w:val="24"/>
        </w:rPr>
        <w:t>On the other hand, e</w:t>
      </w:r>
      <w:r w:rsidR="00E20414" w:rsidRPr="009144BF">
        <w:rPr>
          <w:szCs w:val="24"/>
        </w:rPr>
        <w:t xml:space="preserve">arlier information science </w:t>
      </w:r>
      <w:r w:rsidR="00B31660">
        <w:rPr>
          <w:szCs w:val="24"/>
        </w:rPr>
        <w:t xml:space="preserve">and identity-based consumer behavior </w:t>
      </w:r>
      <w:r w:rsidR="00E20414" w:rsidRPr="009144BF">
        <w:rPr>
          <w:szCs w:val="24"/>
        </w:rPr>
        <w:t xml:space="preserve">literature on technology adoption has identified the need for </w:t>
      </w:r>
      <w:r w:rsidR="00A1374E" w:rsidRPr="009144BF">
        <w:rPr>
          <w:szCs w:val="24"/>
        </w:rPr>
        <w:t xml:space="preserve">“control” over life events </w:t>
      </w:r>
      <w:r w:rsidR="00E20414" w:rsidRPr="009144BF">
        <w:rPr>
          <w:szCs w:val="24"/>
        </w:rPr>
        <w:t>as being negatively associated</w:t>
      </w:r>
      <w:r w:rsidR="00A1374E" w:rsidRPr="009144BF">
        <w:rPr>
          <w:szCs w:val="24"/>
        </w:rPr>
        <w:t xml:space="preserve"> </w:t>
      </w:r>
      <w:r w:rsidR="00E20414" w:rsidRPr="009144BF">
        <w:rPr>
          <w:szCs w:val="24"/>
        </w:rPr>
        <w:t>with the adoption of new</w:t>
      </w:r>
      <w:r w:rsidR="00A1374E" w:rsidRPr="009144BF">
        <w:rPr>
          <w:szCs w:val="24"/>
        </w:rPr>
        <w:t xml:space="preserve"> </w:t>
      </w:r>
      <w:r w:rsidR="0072389C" w:rsidRPr="00A76F89">
        <w:rPr>
          <w:rFonts w:cs="Times New Roman"/>
          <w:szCs w:val="24"/>
        </w:rPr>
        <w:t>assisting technologies</w:t>
      </w:r>
      <w:r w:rsidR="00260252" w:rsidRPr="00A76F89">
        <w:rPr>
          <w:rFonts w:cs="Times New Roman"/>
          <w:szCs w:val="24"/>
        </w:rPr>
        <w:t xml:space="preserve"> </w:t>
      </w:r>
      <w:r w:rsidR="00260252" w:rsidRPr="00905D0D">
        <w:rPr>
          <w:rFonts w:cs="Times New Roman"/>
          <w:szCs w:val="24"/>
        </w:rPr>
        <w:t>(</w:t>
      </w:r>
      <w:r w:rsidR="00E26EDA" w:rsidRPr="00312CEC">
        <w:rPr>
          <w:rFonts w:cs="Times New Roman"/>
          <w:bCs/>
          <w:szCs w:val="24"/>
        </w:rPr>
        <w:t xml:space="preserve">Leung </w:t>
      </w:r>
      <w:r w:rsidR="00E26EDA" w:rsidRPr="004D7EA3">
        <w:rPr>
          <w:rFonts w:cs="Times New Roman"/>
          <w:bCs/>
          <w:i/>
          <w:iCs/>
          <w:szCs w:val="24"/>
        </w:rPr>
        <w:t>et al</w:t>
      </w:r>
      <w:r w:rsidR="00E26EDA" w:rsidRPr="00E32A2A">
        <w:rPr>
          <w:rFonts w:cs="Times New Roman"/>
          <w:bCs/>
          <w:iCs/>
          <w:szCs w:val="24"/>
        </w:rPr>
        <w:t>.,</w:t>
      </w:r>
      <w:r w:rsidR="00E26EDA" w:rsidRPr="00312CEC">
        <w:rPr>
          <w:rFonts w:cs="Times New Roman"/>
          <w:bCs/>
          <w:szCs w:val="24"/>
        </w:rPr>
        <w:t xml:space="preserve"> 2018</w:t>
      </w:r>
      <w:r w:rsidR="0082498B">
        <w:rPr>
          <w:rFonts w:cs="Times New Roman"/>
          <w:bCs/>
          <w:szCs w:val="24"/>
        </w:rPr>
        <w:t xml:space="preserve">; </w:t>
      </w:r>
      <w:r w:rsidR="00260252" w:rsidRPr="00312CEC">
        <w:rPr>
          <w:rFonts w:cs="Times New Roman"/>
          <w:bCs/>
          <w:szCs w:val="24"/>
        </w:rPr>
        <w:t xml:space="preserve">Marikyan </w:t>
      </w:r>
      <w:r w:rsidR="00260252" w:rsidRPr="00312CEC">
        <w:rPr>
          <w:rFonts w:cs="Times New Roman"/>
          <w:bCs/>
          <w:i/>
          <w:iCs/>
          <w:szCs w:val="24"/>
        </w:rPr>
        <w:t>et al</w:t>
      </w:r>
      <w:r w:rsidR="00260252" w:rsidRPr="00E32A2A">
        <w:rPr>
          <w:rFonts w:cs="Times New Roman"/>
          <w:bCs/>
          <w:szCs w:val="24"/>
        </w:rPr>
        <w:t xml:space="preserve">., </w:t>
      </w:r>
      <w:r w:rsidR="00260252" w:rsidRPr="00312CEC">
        <w:rPr>
          <w:rFonts w:cs="Times New Roman"/>
          <w:bCs/>
          <w:szCs w:val="24"/>
        </w:rPr>
        <w:t>2019</w:t>
      </w:r>
      <w:r w:rsidR="00260252" w:rsidRPr="00905D0D">
        <w:rPr>
          <w:rFonts w:cs="Times New Roman"/>
          <w:szCs w:val="24"/>
        </w:rPr>
        <w:t>)</w:t>
      </w:r>
      <w:r w:rsidR="00E20414" w:rsidRPr="001100B4">
        <w:rPr>
          <w:rFonts w:cs="Times New Roman"/>
          <w:szCs w:val="24"/>
        </w:rPr>
        <w:t>.</w:t>
      </w:r>
      <w:r w:rsidR="00E20414" w:rsidRPr="002B7FB1">
        <w:rPr>
          <w:rFonts w:cs="Times New Roman"/>
          <w:szCs w:val="24"/>
        </w:rPr>
        <w:t xml:space="preserve"> This is</w:t>
      </w:r>
      <w:r w:rsidR="00A1374E" w:rsidRPr="002B7FB1">
        <w:rPr>
          <w:rFonts w:cs="Times New Roman"/>
          <w:szCs w:val="24"/>
        </w:rPr>
        <w:t xml:space="preserve"> because </w:t>
      </w:r>
      <w:r w:rsidR="00E20414" w:rsidRPr="002B7FB1">
        <w:rPr>
          <w:rFonts w:cs="Times New Roman"/>
          <w:szCs w:val="24"/>
        </w:rPr>
        <w:t>the need to be in control is positively associated with mental self-esteem and provide</w:t>
      </w:r>
      <w:r w:rsidR="002B7FB1" w:rsidRPr="002B7FB1">
        <w:rPr>
          <w:rFonts w:cs="Times New Roman"/>
          <w:szCs w:val="24"/>
        </w:rPr>
        <w:t xml:space="preserve">s </w:t>
      </w:r>
      <w:r w:rsidR="00E20414" w:rsidRPr="002B7FB1">
        <w:rPr>
          <w:rFonts w:cs="Times New Roman"/>
          <w:szCs w:val="24"/>
        </w:rPr>
        <w:t xml:space="preserve">a sense of self-identity, while “succumbing” to assistive technology is </w:t>
      </w:r>
      <w:r w:rsidR="006D728F">
        <w:rPr>
          <w:rFonts w:cs="Times New Roman"/>
          <w:szCs w:val="24"/>
        </w:rPr>
        <w:t xml:space="preserve">associated with a loss in </w:t>
      </w:r>
      <w:r w:rsidR="002B7FB1" w:rsidRPr="00A76F89">
        <w:rPr>
          <w:rFonts w:cs="Times New Roman"/>
          <w:szCs w:val="24"/>
        </w:rPr>
        <w:t>self-identity</w:t>
      </w:r>
      <w:r w:rsidR="00B31660">
        <w:rPr>
          <w:rFonts w:cs="Times New Roman"/>
          <w:szCs w:val="24"/>
        </w:rPr>
        <w:t xml:space="preserve">. In other words, </w:t>
      </w:r>
      <w:r w:rsidR="00AC2AD1">
        <w:rPr>
          <w:rFonts w:cs="Times New Roman"/>
          <w:szCs w:val="24"/>
        </w:rPr>
        <w:t xml:space="preserve">those who identify strongly with driving will resist technology that usurps that human skill away in what can be viewed as “cheating” </w:t>
      </w:r>
      <w:r w:rsidR="00805363">
        <w:rPr>
          <w:rFonts w:cs="Times New Roman"/>
          <w:szCs w:val="24"/>
        </w:rPr>
        <w:t xml:space="preserve">(other reasons for the effects of control variables on the AVD and DAD decisions are discussed in Section </w:t>
      </w:r>
      <w:r w:rsidR="001100B4">
        <w:rPr>
          <w:rFonts w:cs="Times New Roman"/>
          <w:szCs w:val="24"/>
        </w:rPr>
        <w:t>3.2.2</w:t>
      </w:r>
      <w:r w:rsidR="00805363">
        <w:rPr>
          <w:rFonts w:cs="Times New Roman"/>
          <w:szCs w:val="24"/>
        </w:rPr>
        <w:t>)</w:t>
      </w:r>
      <w:r w:rsidR="00096FCA">
        <w:rPr>
          <w:rFonts w:cs="Times New Roman"/>
          <w:szCs w:val="24"/>
        </w:rPr>
        <w:t>. Thus</w:t>
      </w:r>
      <w:r w:rsidR="00260252" w:rsidRPr="002B7FB1">
        <w:rPr>
          <w:rFonts w:cs="Times New Roman"/>
          <w:szCs w:val="24"/>
        </w:rPr>
        <w:t xml:space="preserve">, those who intrinsically feel a need for driving control are likely to buy a regular vehicle in their next purchase occasion, while those with a need for mobility control may prefer a privately owned vehicle (AV or regular) rather than eschew private ownership altogether in favor of SAV use. </w:t>
      </w:r>
      <w:r w:rsidR="00260252" w:rsidRPr="009144BF">
        <w:rPr>
          <w:rFonts w:cs="Times New Roman"/>
          <w:szCs w:val="24"/>
          <w:u w:val="single"/>
        </w:rPr>
        <w:t>Fifth</w:t>
      </w:r>
      <w:r w:rsidR="00260252" w:rsidRPr="00A76F89">
        <w:rPr>
          <w:rFonts w:cs="Times New Roman"/>
          <w:szCs w:val="24"/>
        </w:rPr>
        <w:t xml:space="preserve">, </w:t>
      </w:r>
      <w:r w:rsidR="00042F23" w:rsidRPr="009144BF">
        <w:rPr>
          <w:rFonts w:cs="Times New Roman"/>
          <w:noProof/>
          <w:szCs w:val="24"/>
        </w:rPr>
        <w:t xml:space="preserve">we consider the latent constructs themselves as being potentially endogenous to the main outcome variables </w:t>
      </w:r>
      <w:r w:rsidR="003F518F" w:rsidRPr="009144BF">
        <w:rPr>
          <w:rFonts w:cs="Times New Roman"/>
          <w:noProof/>
          <w:szCs w:val="24"/>
        </w:rPr>
        <w:t xml:space="preserve">of AVD and DAD </w:t>
      </w:r>
      <w:r w:rsidR="00042F23" w:rsidRPr="009144BF">
        <w:rPr>
          <w:rFonts w:cs="Times New Roman"/>
          <w:noProof/>
          <w:szCs w:val="24"/>
        </w:rPr>
        <w:t>by allowing correlation effects between the</w:t>
      </w:r>
      <w:r w:rsidR="003F518F" w:rsidRPr="009144BF">
        <w:rPr>
          <w:rFonts w:cs="Times New Roman"/>
          <w:noProof/>
          <w:szCs w:val="24"/>
        </w:rPr>
        <w:t xml:space="preserve"> stochastic terms embedded in the late</w:t>
      </w:r>
      <w:r w:rsidR="004907A6">
        <w:rPr>
          <w:rFonts w:cs="Times New Roman"/>
          <w:noProof/>
          <w:szCs w:val="24"/>
        </w:rPr>
        <w:t>n</w:t>
      </w:r>
      <w:r w:rsidR="003F518F" w:rsidRPr="009144BF">
        <w:rPr>
          <w:rFonts w:cs="Times New Roman"/>
          <w:noProof/>
          <w:szCs w:val="24"/>
        </w:rPr>
        <w:t xml:space="preserve">t constructs </w:t>
      </w:r>
      <w:r w:rsidR="00042F23" w:rsidRPr="009144BF">
        <w:rPr>
          <w:szCs w:val="24"/>
        </w:rPr>
        <w:t xml:space="preserve">and the error terms </w:t>
      </w:r>
      <w:r w:rsidR="004907A6">
        <w:rPr>
          <w:szCs w:val="24"/>
        </w:rPr>
        <w:t>of</w:t>
      </w:r>
      <w:r w:rsidR="00042F23" w:rsidRPr="009144BF">
        <w:rPr>
          <w:szCs w:val="24"/>
        </w:rPr>
        <w:t xml:space="preserve"> the main outcome equations. </w:t>
      </w:r>
      <w:r w:rsidR="003F518F" w:rsidRPr="009144BF">
        <w:rPr>
          <w:szCs w:val="24"/>
        </w:rPr>
        <w:t xml:space="preserve">Doing so is important because the AVD and DAD choices will generally be </w:t>
      </w:r>
      <w:r w:rsidR="00042F23" w:rsidRPr="009144BF">
        <w:rPr>
          <w:szCs w:val="24"/>
        </w:rPr>
        <w:t xml:space="preserve">influenced by multiple </w:t>
      </w:r>
      <w:r w:rsidR="003F518F" w:rsidRPr="009144BF">
        <w:rPr>
          <w:szCs w:val="24"/>
        </w:rPr>
        <w:t xml:space="preserve">unobserved </w:t>
      </w:r>
      <w:r w:rsidR="00042F23" w:rsidRPr="009144BF">
        <w:rPr>
          <w:szCs w:val="24"/>
        </w:rPr>
        <w:t xml:space="preserve">lifecycle and lifestyle factors </w:t>
      </w:r>
      <w:r w:rsidR="003F518F" w:rsidRPr="009144BF">
        <w:rPr>
          <w:szCs w:val="24"/>
        </w:rPr>
        <w:t xml:space="preserve">that may also </w:t>
      </w:r>
      <w:r w:rsidR="00042F23" w:rsidRPr="009144BF">
        <w:rPr>
          <w:szCs w:val="24"/>
        </w:rPr>
        <w:t>influence</w:t>
      </w:r>
      <w:r w:rsidR="003F518F" w:rsidRPr="009144BF">
        <w:rPr>
          <w:szCs w:val="24"/>
        </w:rPr>
        <w:t xml:space="preserve"> </w:t>
      </w:r>
      <w:r w:rsidR="001100B4">
        <w:rPr>
          <w:szCs w:val="24"/>
        </w:rPr>
        <w:t>the psycho-social variable</w:t>
      </w:r>
      <w:r w:rsidR="003F518F" w:rsidRPr="009144BF">
        <w:rPr>
          <w:szCs w:val="24"/>
        </w:rPr>
        <w:t xml:space="preserve">. For example, the presence of a special needs child in the household may lead to an elevated </w:t>
      </w:r>
      <w:r w:rsidR="00ED6527">
        <w:rPr>
          <w:szCs w:val="24"/>
        </w:rPr>
        <w:t>“safety” concern with AVs</w:t>
      </w:r>
      <w:r w:rsidR="003F518F" w:rsidRPr="009144BF">
        <w:rPr>
          <w:szCs w:val="24"/>
        </w:rPr>
        <w:t xml:space="preserve">, </w:t>
      </w:r>
      <w:r w:rsidR="00ED6527">
        <w:rPr>
          <w:szCs w:val="24"/>
        </w:rPr>
        <w:t>not really because of safety concerns with AV technology per se but more with the need to be available as a helping hand for the child</w:t>
      </w:r>
      <w:r w:rsidR="005218D5">
        <w:rPr>
          <w:szCs w:val="24"/>
        </w:rPr>
        <w:t xml:space="preserve"> (as we indicate later, in our analysis, whether </w:t>
      </w:r>
      <w:r w:rsidR="001100B4">
        <w:rPr>
          <w:szCs w:val="24"/>
        </w:rPr>
        <w:t xml:space="preserve">or not </w:t>
      </w:r>
      <w:r w:rsidR="005218D5">
        <w:rPr>
          <w:szCs w:val="24"/>
        </w:rPr>
        <w:t>an individual is comfortable with an AV transpo</w:t>
      </w:r>
      <w:r w:rsidR="001100B4">
        <w:rPr>
          <w:szCs w:val="24"/>
        </w:rPr>
        <w:t>r</w:t>
      </w:r>
      <w:r w:rsidR="005218D5">
        <w:rPr>
          <w:szCs w:val="24"/>
        </w:rPr>
        <w:t>ti</w:t>
      </w:r>
      <w:r w:rsidR="001100B4">
        <w:rPr>
          <w:szCs w:val="24"/>
        </w:rPr>
        <w:t>ng</w:t>
      </w:r>
      <w:r w:rsidR="005218D5">
        <w:rPr>
          <w:szCs w:val="24"/>
        </w:rPr>
        <w:t xml:space="preserve"> a child is used as an indicator to construct the AV safety concern latent construct)</w:t>
      </w:r>
      <w:r w:rsidR="00ED6527">
        <w:rPr>
          <w:szCs w:val="24"/>
        </w:rPr>
        <w:t xml:space="preserve">. </w:t>
      </w:r>
      <w:r w:rsidR="005218D5">
        <w:rPr>
          <w:szCs w:val="24"/>
        </w:rPr>
        <w:t xml:space="preserve">Thus, individuals in households with special </w:t>
      </w:r>
      <w:r w:rsidR="001100B4">
        <w:rPr>
          <w:szCs w:val="24"/>
        </w:rPr>
        <w:t>needs</w:t>
      </w:r>
      <w:r w:rsidR="005218D5">
        <w:rPr>
          <w:szCs w:val="24"/>
        </w:rPr>
        <w:t xml:space="preserve"> children may generically be pre-disposed to forego AVs. </w:t>
      </w:r>
      <w:r w:rsidR="00ED6527">
        <w:rPr>
          <w:szCs w:val="24"/>
        </w:rPr>
        <w:t xml:space="preserve">Of course, </w:t>
      </w:r>
      <w:r w:rsidR="001100B4">
        <w:rPr>
          <w:szCs w:val="24"/>
        </w:rPr>
        <w:t xml:space="preserve">AV </w:t>
      </w:r>
      <w:r w:rsidR="00ED6527">
        <w:rPr>
          <w:szCs w:val="24"/>
        </w:rPr>
        <w:t>safety concern is likely also to have a “true” impact on preferring a regular vehicle rather than an AV. But i</w:t>
      </w:r>
      <w:r w:rsidR="00042F23" w:rsidRPr="009144BF">
        <w:rPr>
          <w:szCs w:val="24"/>
        </w:rPr>
        <w:t>f th</w:t>
      </w:r>
      <w:r w:rsidR="00ED6527">
        <w:rPr>
          <w:szCs w:val="24"/>
        </w:rPr>
        <w:t>e</w:t>
      </w:r>
      <w:r w:rsidR="00042F23" w:rsidRPr="009144BF">
        <w:rPr>
          <w:szCs w:val="24"/>
        </w:rPr>
        <w:t xml:space="preserve"> </w:t>
      </w:r>
      <w:r w:rsidR="005218D5">
        <w:rPr>
          <w:szCs w:val="24"/>
        </w:rPr>
        <w:t xml:space="preserve">former </w:t>
      </w:r>
      <w:r w:rsidR="00042F23" w:rsidRPr="009144BF">
        <w:rPr>
          <w:szCs w:val="24"/>
        </w:rPr>
        <w:t xml:space="preserve">intrinsic </w:t>
      </w:r>
      <w:r w:rsidR="005218D5">
        <w:rPr>
          <w:szCs w:val="24"/>
        </w:rPr>
        <w:t>dis</w:t>
      </w:r>
      <w:r w:rsidR="003F518F" w:rsidRPr="009144BF">
        <w:rPr>
          <w:szCs w:val="24"/>
        </w:rPr>
        <w:t xml:space="preserve">inclination for </w:t>
      </w:r>
      <w:r w:rsidR="005218D5">
        <w:rPr>
          <w:szCs w:val="24"/>
        </w:rPr>
        <w:t xml:space="preserve">an AV (that is, inclination for </w:t>
      </w:r>
      <w:r w:rsidR="003F518F" w:rsidRPr="009144BF">
        <w:rPr>
          <w:szCs w:val="24"/>
        </w:rPr>
        <w:t xml:space="preserve">a </w:t>
      </w:r>
      <w:r w:rsidR="00ED6527">
        <w:rPr>
          <w:szCs w:val="24"/>
        </w:rPr>
        <w:t>regular vehicle</w:t>
      </w:r>
      <w:r w:rsidR="005218D5">
        <w:rPr>
          <w:szCs w:val="24"/>
        </w:rPr>
        <w:t xml:space="preserve"> to chauffeur children with special needs) is ignored, this can exaggerate the latter “true” negative (positive) effect of AV safety concern on AV purchase (RV purchase). This is not simply an esoteric econometric issue, but has relevance to tease out the “true” effects of the latent constructs for designing informed policies. </w:t>
      </w:r>
      <w:r w:rsidR="00B6151E">
        <w:rPr>
          <w:szCs w:val="24"/>
        </w:rPr>
        <w:t xml:space="preserve">In particular, </w:t>
      </w:r>
      <w:r w:rsidR="00B6151E">
        <w:rPr>
          <w:rFonts w:cs="Times New Roman"/>
          <w:szCs w:val="24"/>
        </w:rPr>
        <w:t>i</w:t>
      </w:r>
      <w:r w:rsidR="00B6151E" w:rsidRPr="003D54FB">
        <w:rPr>
          <w:rFonts w:cs="Times New Roman"/>
          <w:szCs w:val="24"/>
        </w:rPr>
        <w:t>gnoring such endogeneity can lead to the incorrect estimation of the latent construct</w:t>
      </w:r>
      <w:r w:rsidR="00B6151E">
        <w:rPr>
          <w:rFonts w:cs="Times New Roman"/>
          <w:szCs w:val="24"/>
        </w:rPr>
        <w:t xml:space="preserve"> effects</w:t>
      </w:r>
      <w:r w:rsidR="00B6151E" w:rsidRPr="003D54FB">
        <w:rPr>
          <w:rFonts w:cs="Times New Roman"/>
          <w:szCs w:val="24"/>
        </w:rPr>
        <w:t xml:space="preserve"> on the main outcome variables, which can then lead to the incorrect estimation of the effect of socio-demographic </w:t>
      </w:r>
      <w:r w:rsidR="00B6151E">
        <w:rPr>
          <w:rFonts w:cs="Times New Roman"/>
          <w:szCs w:val="24"/>
        </w:rPr>
        <w:t xml:space="preserve">variables </w:t>
      </w:r>
      <w:r w:rsidR="00B6151E" w:rsidRPr="003D54FB">
        <w:rPr>
          <w:rFonts w:cs="Times New Roman"/>
          <w:szCs w:val="24"/>
        </w:rPr>
        <w:t>mediated through the latent constructs</w:t>
      </w:r>
      <w:r w:rsidR="00B6151E">
        <w:rPr>
          <w:rFonts w:cs="Times New Roman"/>
          <w:szCs w:val="24"/>
        </w:rPr>
        <w:t xml:space="preserve"> (</w:t>
      </w:r>
      <w:r w:rsidR="00B6151E" w:rsidRPr="003D54FB">
        <w:rPr>
          <w:rFonts w:cs="Times New Roman"/>
          <w:szCs w:val="24"/>
        </w:rPr>
        <w:t xml:space="preserve">and to </w:t>
      </w:r>
      <w:r w:rsidR="00B6151E">
        <w:rPr>
          <w:rFonts w:cs="Times New Roman"/>
          <w:szCs w:val="24"/>
        </w:rPr>
        <w:t xml:space="preserve">mis-informed </w:t>
      </w:r>
      <w:r w:rsidR="00B6151E" w:rsidRPr="003D54FB">
        <w:rPr>
          <w:rFonts w:cs="Times New Roman"/>
          <w:szCs w:val="24"/>
        </w:rPr>
        <w:t>policy actions</w:t>
      </w:r>
      <w:r w:rsidR="00B6151E">
        <w:rPr>
          <w:rFonts w:cs="Times New Roman"/>
          <w:szCs w:val="24"/>
        </w:rPr>
        <w:t>)</w:t>
      </w:r>
      <w:r w:rsidR="00B6151E" w:rsidRPr="003D54FB">
        <w:rPr>
          <w:rFonts w:cs="Times New Roman"/>
          <w:szCs w:val="24"/>
        </w:rPr>
        <w:t>.</w:t>
      </w:r>
      <w:r w:rsidR="00B6151E">
        <w:rPr>
          <w:rFonts w:cs="Times New Roman"/>
          <w:szCs w:val="24"/>
        </w:rPr>
        <w:t xml:space="preserve"> </w:t>
      </w:r>
      <w:r w:rsidR="003F518F" w:rsidRPr="009144BF">
        <w:rPr>
          <w:szCs w:val="24"/>
          <w:u w:val="single"/>
        </w:rPr>
        <w:t>Sixth</w:t>
      </w:r>
      <w:r w:rsidR="003F518F" w:rsidRPr="009144BF">
        <w:rPr>
          <w:szCs w:val="24"/>
        </w:rPr>
        <w:t xml:space="preserve">, and related to the fifth point, we go beyond </w:t>
      </w:r>
      <w:r w:rsidR="003F518F" w:rsidRPr="009144BF">
        <w:rPr>
          <w:szCs w:val="24"/>
        </w:rPr>
        <w:lastRenderedPageBreak/>
        <w:t xml:space="preserve">simply considering the effects of psycho-social </w:t>
      </w:r>
      <w:r w:rsidR="004B6722" w:rsidRPr="009144BF">
        <w:rPr>
          <w:szCs w:val="24"/>
        </w:rPr>
        <w:t xml:space="preserve">factors in </w:t>
      </w:r>
      <w:r w:rsidR="00991263" w:rsidRPr="009144BF">
        <w:rPr>
          <w:szCs w:val="24"/>
        </w:rPr>
        <w:t>estimation and</w:t>
      </w:r>
      <w:r w:rsidR="004B6722" w:rsidRPr="009144BF">
        <w:rPr>
          <w:szCs w:val="24"/>
        </w:rPr>
        <w:t xml:space="preserve"> translate the model results in a way that provides important insights for policy making. We do so by partitioning the influence of a socio-demographic variable into a direct effect and also indirect mediating effects through the psycho-social constructs. This allows for the identification of the most effective targeting and positioning strategies, customized to each socio-demographic group of the population. </w:t>
      </w:r>
      <w:r w:rsidR="00E946DA" w:rsidRPr="009144BF">
        <w:rPr>
          <w:szCs w:val="24"/>
          <w:u w:val="single"/>
        </w:rPr>
        <w:t>Finally</w:t>
      </w:r>
      <w:r w:rsidR="00E946DA" w:rsidRPr="00264E6C">
        <w:rPr>
          <w:szCs w:val="24"/>
        </w:rPr>
        <w:t xml:space="preserve">, </w:t>
      </w:r>
      <w:r w:rsidR="00E946DA" w:rsidRPr="009144BF">
        <w:rPr>
          <w:szCs w:val="24"/>
        </w:rPr>
        <w:t>from a methodological standpoint, this study, to our knowledge, is the first instance of a joint mixed model that includes multiple continuous variables</w:t>
      </w:r>
      <w:r w:rsidR="001100B4">
        <w:rPr>
          <w:szCs w:val="24"/>
        </w:rPr>
        <w:t>,</w:t>
      </w:r>
      <w:r w:rsidR="00E946DA" w:rsidRPr="009144BF">
        <w:rPr>
          <w:szCs w:val="24"/>
        </w:rPr>
        <w:t xml:space="preserve"> as well as a nominal variable and a ranked variable (respondents were asked to rank the three AVD options, rather than only provide their first-choic</w:t>
      </w:r>
      <w:r w:rsidR="00984E7E">
        <w:rPr>
          <w:szCs w:val="24"/>
        </w:rPr>
        <w:t>e).</w:t>
      </w:r>
      <w:r w:rsidR="00E946DA" w:rsidRPr="009144BF">
        <w:rPr>
          <w:szCs w:val="24"/>
          <w:highlight w:val="yellow"/>
        </w:rPr>
        <w:t xml:space="preserve"> </w:t>
      </w:r>
    </w:p>
    <w:p w14:paraId="7EF90C85" w14:textId="77777777" w:rsidR="0016254A" w:rsidRPr="00096F16" w:rsidRDefault="0016254A" w:rsidP="0091464C">
      <w:pPr>
        <w:spacing w:line="276" w:lineRule="auto"/>
      </w:pPr>
    </w:p>
    <w:p w14:paraId="7832FB72" w14:textId="288A044F" w:rsidR="007A3049" w:rsidRPr="0016254A" w:rsidRDefault="00BE569F" w:rsidP="0091464C">
      <w:pPr>
        <w:spacing w:line="276" w:lineRule="auto"/>
        <w:ind w:left="540" w:hanging="540"/>
        <w:rPr>
          <w:b/>
          <w:szCs w:val="24"/>
        </w:rPr>
      </w:pPr>
      <w:r w:rsidRPr="0016254A">
        <w:rPr>
          <w:b/>
          <w:szCs w:val="24"/>
        </w:rPr>
        <w:t>3</w:t>
      </w:r>
      <w:r w:rsidR="00E25F92" w:rsidRPr="0016254A">
        <w:rPr>
          <w:b/>
          <w:szCs w:val="24"/>
        </w:rPr>
        <w:t>.</w:t>
      </w:r>
      <w:r w:rsidR="0016254A">
        <w:rPr>
          <w:b/>
          <w:szCs w:val="24"/>
        </w:rPr>
        <w:tab/>
      </w:r>
      <w:r w:rsidR="00E04EEA" w:rsidRPr="0016254A">
        <w:rPr>
          <w:b/>
          <w:szCs w:val="24"/>
        </w:rPr>
        <w:t>METHODOLOGY</w:t>
      </w:r>
    </w:p>
    <w:p w14:paraId="5A379FEE" w14:textId="57ED0B72" w:rsidR="00BE569F" w:rsidRPr="0016254A" w:rsidRDefault="00BE569F" w:rsidP="0091464C">
      <w:pPr>
        <w:spacing w:line="276" w:lineRule="auto"/>
        <w:ind w:left="540" w:hanging="540"/>
        <w:rPr>
          <w:b/>
          <w:szCs w:val="24"/>
        </w:rPr>
      </w:pPr>
      <w:r w:rsidRPr="0016254A">
        <w:rPr>
          <w:b/>
          <w:szCs w:val="24"/>
        </w:rPr>
        <w:t>3.1</w:t>
      </w:r>
      <w:r w:rsidR="00A442C7" w:rsidRPr="0016254A">
        <w:rPr>
          <w:b/>
          <w:szCs w:val="24"/>
        </w:rPr>
        <w:t xml:space="preserve"> </w:t>
      </w:r>
      <w:r w:rsidR="0016254A">
        <w:rPr>
          <w:b/>
          <w:szCs w:val="24"/>
        </w:rPr>
        <w:tab/>
      </w:r>
      <w:r w:rsidRPr="0016254A">
        <w:rPr>
          <w:b/>
          <w:szCs w:val="24"/>
        </w:rPr>
        <w:t>The Survey</w:t>
      </w:r>
    </w:p>
    <w:p w14:paraId="2DF7F39A" w14:textId="2962073C" w:rsidR="0094369D" w:rsidRDefault="00D5345A" w:rsidP="0091464C">
      <w:pPr>
        <w:spacing w:line="276" w:lineRule="auto"/>
        <w:jc w:val="both"/>
        <w:rPr>
          <w:rFonts w:cs="Times New Roman"/>
          <w:szCs w:val="24"/>
        </w:rPr>
      </w:pPr>
      <w:r w:rsidRPr="007C5716">
        <w:rPr>
          <w:rFonts w:cs="Times New Roman"/>
          <w:szCs w:val="24"/>
        </w:rPr>
        <w:t xml:space="preserve">The data </w:t>
      </w:r>
      <w:r w:rsidR="009848FE">
        <w:rPr>
          <w:rFonts w:cs="Times New Roman"/>
          <w:szCs w:val="24"/>
        </w:rPr>
        <w:t xml:space="preserve">used in the analysis in this paper was collected as part of a larger “emerging mobility” </w:t>
      </w:r>
      <w:r w:rsidR="00EB0CD0">
        <w:rPr>
          <w:rFonts w:cs="Times New Roman"/>
          <w:szCs w:val="24"/>
        </w:rPr>
        <w:t xml:space="preserve">on-line web </w:t>
      </w:r>
      <w:r w:rsidR="009848FE">
        <w:rPr>
          <w:rFonts w:cs="Times New Roman"/>
          <w:szCs w:val="24"/>
        </w:rPr>
        <w:t xml:space="preserve">survey conducted in the Austin metropolitan area in Texas </w:t>
      </w:r>
      <w:r w:rsidRPr="007C5716">
        <w:rPr>
          <w:rFonts w:cs="Times New Roman"/>
          <w:szCs w:val="24"/>
        </w:rPr>
        <w:t>in 2019. Th</w:t>
      </w:r>
      <w:r w:rsidR="004E07F5">
        <w:rPr>
          <w:rFonts w:cs="Times New Roman"/>
          <w:szCs w:val="24"/>
        </w:rPr>
        <w:t>e</w:t>
      </w:r>
      <w:r w:rsidRPr="007C5716">
        <w:rPr>
          <w:rFonts w:cs="Times New Roman"/>
          <w:szCs w:val="24"/>
        </w:rPr>
        <w:t xml:space="preserve"> </w:t>
      </w:r>
      <w:r w:rsidR="009848FE">
        <w:rPr>
          <w:rFonts w:cs="Times New Roman"/>
          <w:szCs w:val="24"/>
        </w:rPr>
        <w:t>survey</w:t>
      </w:r>
      <w:r w:rsidR="00EB0CD0">
        <w:rPr>
          <w:rFonts w:cs="Times New Roman"/>
          <w:szCs w:val="24"/>
        </w:rPr>
        <w:t xml:space="preserve"> distribution was undertaken using a purchased list of over 15,000 e-mails, as well as through social media advertisements and local area professional networks</w:t>
      </w:r>
      <w:r w:rsidR="008A5C0B">
        <w:rPr>
          <w:rFonts w:cs="Times New Roman"/>
          <w:szCs w:val="24"/>
        </w:rPr>
        <w:t xml:space="preserve"> (sample representativeness issues are discussed in Section 3.2.1)</w:t>
      </w:r>
      <w:r w:rsidR="00EB0CD0">
        <w:rPr>
          <w:rFonts w:cs="Times New Roman"/>
          <w:szCs w:val="24"/>
        </w:rPr>
        <w:t xml:space="preserve">. A financial incentive was provided in the form of </w:t>
      </w:r>
      <w:r w:rsidR="0094369D">
        <w:rPr>
          <w:rFonts w:cs="Times New Roman"/>
          <w:szCs w:val="24"/>
        </w:rPr>
        <w:t xml:space="preserve">$10 Amazon gift cards for the first 250 respondents, while the remaining respondents were entered into a drawing to win one of the remaining one hundred $10 Amazon gift cards. The distribution effort resulted in a convenience sample of 1,127 respondents. This sample was reduced to a final size of 1,021, after removing 106 respondents who </w:t>
      </w:r>
      <w:r w:rsidR="001100B4">
        <w:rPr>
          <w:rFonts w:cs="Times New Roman"/>
          <w:szCs w:val="24"/>
        </w:rPr>
        <w:t xml:space="preserve">did </w:t>
      </w:r>
      <w:r w:rsidR="0094369D">
        <w:rPr>
          <w:rFonts w:cs="Times New Roman"/>
          <w:szCs w:val="24"/>
        </w:rPr>
        <w:t>not respond to one or both of the</w:t>
      </w:r>
      <w:r w:rsidR="003A289F">
        <w:rPr>
          <w:rFonts w:cs="Times New Roman"/>
          <w:szCs w:val="24"/>
        </w:rPr>
        <w:t xml:space="preserve"> </w:t>
      </w:r>
      <w:r w:rsidR="003A289F">
        <w:rPr>
          <w:szCs w:val="24"/>
        </w:rPr>
        <w:t>AV adoption (</w:t>
      </w:r>
      <w:r w:rsidR="0094369D">
        <w:rPr>
          <w:rFonts w:cs="Times New Roman"/>
          <w:szCs w:val="24"/>
        </w:rPr>
        <w:t>AVD</w:t>
      </w:r>
      <w:r w:rsidR="003A289F">
        <w:rPr>
          <w:rFonts w:cs="Times New Roman"/>
          <w:szCs w:val="24"/>
        </w:rPr>
        <w:t>)</w:t>
      </w:r>
      <w:r w:rsidR="0094369D">
        <w:rPr>
          <w:rFonts w:cs="Times New Roman"/>
          <w:szCs w:val="24"/>
        </w:rPr>
        <w:t xml:space="preserve"> or </w:t>
      </w:r>
      <w:r w:rsidR="003A289F">
        <w:rPr>
          <w:rFonts w:cs="Times New Roman"/>
          <w:szCs w:val="24"/>
        </w:rPr>
        <w:t>duration to adoption (</w:t>
      </w:r>
      <w:r w:rsidR="0094369D">
        <w:rPr>
          <w:rFonts w:cs="Times New Roman"/>
          <w:szCs w:val="24"/>
        </w:rPr>
        <w:t>DAD</w:t>
      </w:r>
      <w:r w:rsidR="003A289F">
        <w:rPr>
          <w:rFonts w:cs="Times New Roman"/>
          <w:szCs w:val="24"/>
        </w:rPr>
        <w:t>)</w:t>
      </w:r>
      <w:r w:rsidR="0094369D">
        <w:rPr>
          <w:rFonts w:cs="Times New Roman"/>
          <w:szCs w:val="24"/>
        </w:rPr>
        <w:t xml:space="preserve"> questions. </w:t>
      </w:r>
    </w:p>
    <w:p w14:paraId="26D9C36D" w14:textId="61EA02AE" w:rsidR="001100B4" w:rsidRDefault="00C56F14" w:rsidP="0091464C">
      <w:pPr>
        <w:spacing w:line="276" w:lineRule="auto"/>
        <w:ind w:firstLine="720"/>
        <w:jc w:val="both"/>
        <w:rPr>
          <w:rFonts w:cs="Times New Roman"/>
        </w:rPr>
      </w:pPr>
      <w:r>
        <w:rPr>
          <w:rFonts w:cs="Times New Roman"/>
          <w:szCs w:val="24"/>
        </w:rPr>
        <w:t xml:space="preserve">The survey itself </w:t>
      </w:r>
      <w:r w:rsidR="009848FE">
        <w:rPr>
          <w:rFonts w:cs="Times New Roman"/>
          <w:szCs w:val="24"/>
        </w:rPr>
        <w:t xml:space="preserve">sought information on </w:t>
      </w:r>
      <w:r w:rsidR="00D5345A" w:rsidRPr="007C5716">
        <w:rPr>
          <w:rFonts w:cs="Times New Roman"/>
          <w:szCs w:val="24"/>
        </w:rPr>
        <w:t xml:space="preserve">individual </w:t>
      </w:r>
      <w:r>
        <w:rPr>
          <w:rFonts w:cs="Times New Roman"/>
          <w:szCs w:val="24"/>
        </w:rPr>
        <w:t xml:space="preserve">and household </w:t>
      </w:r>
      <w:r w:rsidR="00F24676">
        <w:rPr>
          <w:rFonts w:cs="Times New Roman"/>
          <w:szCs w:val="24"/>
        </w:rPr>
        <w:t>socio-</w:t>
      </w:r>
      <w:r w:rsidR="00D5345A" w:rsidRPr="007C5716">
        <w:rPr>
          <w:rFonts w:cs="Times New Roman"/>
          <w:szCs w:val="24"/>
        </w:rPr>
        <w:t>demographics</w:t>
      </w:r>
      <w:r w:rsidR="008C33B1">
        <w:rPr>
          <w:rFonts w:cs="Times New Roman"/>
          <w:szCs w:val="24"/>
        </w:rPr>
        <w:t>,</w:t>
      </w:r>
      <w:r>
        <w:rPr>
          <w:rFonts w:cs="Times New Roman"/>
          <w:szCs w:val="24"/>
        </w:rPr>
        <w:t xml:space="preserve"> </w:t>
      </w:r>
      <w:r w:rsidR="008C33B1">
        <w:rPr>
          <w:rFonts w:cs="Times New Roman"/>
          <w:szCs w:val="24"/>
        </w:rPr>
        <w:t xml:space="preserve">general attitudinal/life-style perspectives </w:t>
      </w:r>
      <w:r>
        <w:rPr>
          <w:rFonts w:cs="Times New Roman"/>
          <w:szCs w:val="24"/>
        </w:rPr>
        <w:t xml:space="preserve">as well as AV-specific </w:t>
      </w:r>
      <w:r w:rsidR="004E07F5">
        <w:rPr>
          <w:rFonts w:cs="Times New Roman"/>
          <w:szCs w:val="24"/>
        </w:rPr>
        <w:t>attitud</w:t>
      </w:r>
      <w:r>
        <w:rPr>
          <w:rFonts w:cs="Times New Roman"/>
          <w:szCs w:val="24"/>
        </w:rPr>
        <w:t>inal perspectives,</w:t>
      </w:r>
      <w:r w:rsidR="004E07F5">
        <w:rPr>
          <w:rFonts w:cs="Times New Roman"/>
          <w:szCs w:val="24"/>
        </w:rPr>
        <w:t xml:space="preserve"> and </w:t>
      </w:r>
      <w:r w:rsidR="009848FE">
        <w:rPr>
          <w:rFonts w:cs="Times New Roman"/>
          <w:szCs w:val="24"/>
        </w:rPr>
        <w:t xml:space="preserve">stated </w:t>
      </w:r>
      <w:r w:rsidR="006F5FC0">
        <w:rPr>
          <w:rFonts w:cs="Times New Roman"/>
          <w:szCs w:val="24"/>
        </w:rPr>
        <w:t>preferences</w:t>
      </w:r>
      <w:r w:rsidR="009848FE">
        <w:rPr>
          <w:rFonts w:cs="Times New Roman"/>
          <w:szCs w:val="24"/>
        </w:rPr>
        <w:t xml:space="preserve"> related to the adoption and use of a suite of emerging mobility options, including </w:t>
      </w:r>
      <w:r w:rsidR="004E07F5">
        <w:rPr>
          <w:rFonts w:cs="Times New Roman"/>
          <w:szCs w:val="24"/>
        </w:rPr>
        <w:t>AVs</w:t>
      </w:r>
      <w:r w:rsidR="00D5345A" w:rsidRPr="007C5716">
        <w:rPr>
          <w:rFonts w:cs="Times New Roman"/>
          <w:szCs w:val="24"/>
        </w:rPr>
        <w:t xml:space="preserve">. </w:t>
      </w:r>
      <w:r w:rsidR="008C33B1">
        <w:rPr>
          <w:rFonts w:cs="Times New Roman"/>
          <w:szCs w:val="24"/>
        </w:rPr>
        <w:t xml:space="preserve">Individual and household </w:t>
      </w:r>
      <w:r w:rsidR="00F24676">
        <w:rPr>
          <w:rFonts w:cs="Times New Roman"/>
          <w:szCs w:val="24"/>
        </w:rPr>
        <w:t>socio-</w:t>
      </w:r>
      <w:r w:rsidR="008C33B1">
        <w:rPr>
          <w:rFonts w:cs="Times New Roman"/>
          <w:szCs w:val="24"/>
        </w:rPr>
        <w:t xml:space="preserve">demographics included variables related to age, gender, employment status, education level, driver’s license holding, household annual income, household size, number of children in the household, and number of vehicles currently owned. The attitudinal perspectives were obtained by posing a series of </w:t>
      </w:r>
      <w:r w:rsidR="008C33B1">
        <w:rPr>
          <w:rFonts w:cs="Times New Roman"/>
        </w:rPr>
        <w:t xml:space="preserve">attitudinal statements, and eliciting responses by asking respondents to choose the category that most closely matches their feelings; the attitudinal responses themselves were captured using a five-point Likert-scale from “strongly disagree” to “strongly agree”. </w:t>
      </w:r>
    </w:p>
    <w:p w14:paraId="6F19798B" w14:textId="25668655" w:rsidR="0047547B" w:rsidRDefault="00321CFD" w:rsidP="00E40A28">
      <w:pPr>
        <w:spacing w:line="276" w:lineRule="auto"/>
        <w:ind w:firstLine="720"/>
        <w:jc w:val="both"/>
      </w:pPr>
      <w:r>
        <w:rPr>
          <w:rFonts w:cs="Times New Roman"/>
        </w:rPr>
        <w:t>As stated earlier, the</w:t>
      </w:r>
      <w:r w:rsidR="001100B4">
        <w:rPr>
          <w:rFonts w:cs="Times New Roman"/>
        </w:rPr>
        <w:t>r</w:t>
      </w:r>
      <w:r>
        <w:rPr>
          <w:rFonts w:cs="Times New Roman"/>
        </w:rPr>
        <w:t xml:space="preserve">e are two dimensions of interest in the current paper, with the AVD </w:t>
      </w:r>
      <w:r w:rsidR="006F5FC0">
        <w:rPr>
          <w:rFonts w:cs="Times New Roman"/>
        </w:rPr>
        <w:t xml:space="preserve">stated choice questions </w:t>
      </w:r>
      <w:r>
        <w:rPr>
          <w:rFonts w:cs="Times New Roman"/>
        </w:rPr>
        <w:t>having three possible alternatives:</w:t>
      </w:r>
      <w:r w:rsidRPr="009144BF">
        <w:rPr>
          <w:szCs w:val="24"/>
        </w:rPr>
        <w:t xml:space="preserve"> (a) purchase a regular </w:t>
      </w:r>
      <w:r>
        <w:rPr>
          <w:szCs w:val="24"/>
        </w:rPr>
        <w:t>vehicle</w:t>
      </w:r>
      <w:r w:rsidRPr="009144BF">
        <w:rPr>
          <w:szCs w:val="24"/>
        </w:rPr>
        <w:t xml:space="preserve">, (b) purchase an AV, and (c) not purchase a vehicle and use SAV services. </w:t>
      </w:r>
      <w:r>
        <w:rPr>
          <w:szCs w:val="24"/>
        </w:rPr>
        <w:t>For brevity, in the rest of this paper, we will refer to these three alternatives as RV, AV, and SAV. T</w:t>
      </w:r>
      <w:r w:rsidRPr="009144BF">
        <w:rPr>
          <w:szCs w:val="24"/>
        </w:rPr>
        <w:t xml:space="preserve">he DAD </w:t>
      </w:r>
      <w:r w:rsidR="006F5FC0">
        <w:rPr>
          <w:szCs w:val="24"/>
        </w:rPr>
        <w:t xml:space="preserve">stated intention question </w:t>
      </w:r>
      <w:r>
        <w:rPr>
          <w:szCs w:val="24"/>
        </w:rPr>
        <w:t xml:space="preserve">also has three alternatives: (a) </w:t>
      </w:r>
      <w:r w:rsidR="004320B2" w:rsidRPr="009144BF">
        <w:rPr>
          <w:szCs w:val="24"/>
        </w:rPr>
        <w:t>I will never buy an AV</w:t>
      </w:r>
      <w:r w:rsidR="004320B2">
        <w:rPr>
          <w:szCs w:val="24"/>
        </w:rPr>
        <w:t>, (b)</w:t>
      </w:r>
      <w:r w:rsidR="004320B2" w:rsidRPr="009144BF">
        <w:rPr>
          <w:szCs w:val="24"/>
        </w:rPr>
        <w:t xml:space="preserve"> </w:t>
      </w:r>
      <w:r w:rsidRPr="009144BF">
        <w:rPr>
          <w:szCs w:val="24"/>
        </w:rPr>
        <w:t xml:space="preserve">I will be one of the first people to buy an AV, </w:t>
      </w:r>
      <w:r w:rsidR="004320B2">
        <w:rPr>
          <w:szCs w:val="24"/>
        </w:rPr>
        <w:t xml:space="preserve">and </w:t>
      </w:r>
      <w:r w:rsidRPr="009144BF">
        <w:rPr>
          <w:szCs w:val="24"/>
        </w:rPr>
        <w:t>(</w:t>
      </w:r>
      <w:r w:rsidR="004320B2">
        <w:rPr>
          <w:szCs w:val="24"/>
        </w:rPr>
        <w:t>c</w:t>
      </w:r>
      <w:r w:rsidRPr="009144BF">
        <w:rPr>
          <w:szCs w:val="24"/>
        </w:rPr>
        <w:t xml:space="preserve">) I will eventually buy an AV. </w:t>
      </w:r>
      <w:r>
        <w:rPr>
          <w:rFonts w:cs="Times New Roman"/>
        </w:rPr>
        <w:t xml:space="preserve"> For ease in presentation, we will abbreviate these alternatives as </w:t>
      </w:r>
      <w:r w:rsidR="004320B2">
        <w:rPr>
          <w:rFonts w:cs="Times New Roman"/>
        </w:rPr>
        <w:t>never buy</w:t>
      </w:r>
      <w:r w:rsidR="00EF363C">
        <w:rPr>
          <w:rFonts w:cs="Times New Roman"/>
        </w:rPr>
        <w:t xml:space="preserve"> (NB)</w:t>
      </w:r>
      <w:r w:rsidR="004320B2">
        <w:rPr>
          <w:rFonts w:cs="Times New Roman"/>
        </w:rPr>
        <w:t xml:space="preserve">, </w:t>
      </w:r>
      <w:r>
        <w:rPr>
          <w:rFonts w:cs="Times New Roman"/>
        </w:rPr>
        <w:t>first-to-b</w:t>
      </w:r>
      <w:r w:rsidR="004320B2">
        <w:rPr>
          <w:rFonts w:cs="Times New Roman"/>
        </w:rPr>
        <w:t>u</w:t>
      </w:r>
      <w:r>
        <w:rPr>
          <w:rFonts w:cs="Times New Roman"/>
        </w:rPr>
        <w:t>y</w:t>
      </w:r>
      <w:r w:rsidR="00EF363C">
        <w:rPr>
          <w:rFonts w:cs="Times New Roman"/>
        </w:rPr>
        <w:t xml:space="preserve"> (FB)</w:t>
      </w:r>
      <w:r>
        <w:rPr>
          <w:rFonts w:cs="Times New Roman"/>
        </w:rPr>
        <w:t xml:space="preserve">, </w:t>
      </w:r>
      <w:r w:rsidR="004320B2">
        <w:rPr>
          <w:rFonts w:cs="Times New Roman"/>
        </w:rPr>
        <w:t xml:space="preserve">and </w:t>
      </w:r>
      <w:r>
        <w:rPr>
          <w:rFonts w:cs="Times New Roman"/>
        </w:rPr>
        <w:t>eventually buy</w:t>
      </w:r>
      <w:r w:rsidR="00EF363C">
        <w:rPr>
          <w:rFonts w:cs="Times New Roman"/>
        </w:rPr>
        <w:t xml:space="preserve"> (EB)</w:t>
      </w:r>
      <w:r>
        <w:rPr>
          <w:rFonts w:cs="Times New Roman"/>
        </w:rPr>
        <w:t xml:space="preserve">. </w:t>
      </w:r>
      <w:r w:rsidR="001100B4">
        <w:rPr>
          <w:rFonts w:cs="Times New Roman"/>
        </w:rPr>
        <w:t>In the survey, t</w:t>
      </w:r>
      <w:r w:rsidR="006F5FC0">
        <w:rPr>
          <w:rFonts w:cs="Times New Roman"/>
        </w:rPr>
        <w:t>he AVD decision was framed as two stated choice questions based on an experimental design</w:t>
      </w:r>
      <w:r w:rsidR="0047547B">
        <w:rPr>
          <w:rFonts w:cs="Times New Roman"/>
        </w:rPr>
        <w:t xml:space="preserve">, while </w:t>
      </w:r>
      <w:r w:rsidR="0047547B">
        <w:rPr>
          <w:rFonts w:cs="Times New Roman"/>
        </w:rPr>
        <w:lastRenderedPageBreak/>
        <w:t>the DAD decision was a simple question of “when do you expect to buy an AV”</w:t>
      </w:r>
      <w:r w:rsidR="004320B2">
        <w:rPr>
          <w:rFonts w:cs="Times New Roman"/>
        </w:rPr>
        <w:t>.</w:t>
      </w:r>
      <w:r w:rsidR="0047547B">
        <w:rPr>
          <w:rFonts w:cs="Times New Roman"/>
        </w:rPr>
        <w:t xml:space="preserve"> For the AVD experimental design, c</w:t>
      </w:r>
      <w:r w:rsidR="0047547B">
        <w:t>onsidering the uncertainties associated with the AV future,</w:t>
      </w:r>
      <w:r w:rsidR="006F5FC0">
        <w:rPr>
          <w:rFonts w:cs="Times New Roman"/>
        </w:rPr>
        <w:t xml:space="preserve"> </w:t>
      </w:r>
      <w:r w:rsidR="0047547B">
        <w:rPr>
          <w:rFonts w:cs="Times New Roman"/>
        </w:rPr>
        <w:t xml:space="preserve">we used simple scenarios characterized by three </w:t>
      </w:r>
      <w:r w:rsidR="001770A9">
        <w:rPr>
          <w:rFonts w:cs="Times New Roman"/>
        </w:rPr>
        <w:t xml:space="preserve">vehicle/service </w:t>
      </w:r>
      <w:r w:rsidR="0047547B">
        <w:rPr>
          <w:rFonts w:cs="Times New Roman"/>
        </w:rPr>
        <w:t xml:space="preserve">attributes. These </w:t>
      </w:r>
      <w:r w:rsidR="0047547B">
        <w:t>are</w:t>
      </w:r>
      <w:r w:rsidR="006F5FC0">
        <w:t xml:space="preserve">: (1) </w:t>
      </w:r>
      <w:r w:rsidR="008E0B37">
        <w:t xml:space="preserve">fixed </w:t>
      </w:r>
      <w:r w:rsidR="00F24676">
        <w:t xml:space="preserve">cost </w:t>
      </w:r>
      <w:r w:rsidR="008E0B37">
        <w:t>per month associated with RV and AV (with zero fixed cost for the SAV alternative)</w:t>
      </w:r>
      <w:r w:rsidR="006F5FC0">
        <w:t xml:space="preserve">, (2) </w:t>
      </w:r>
      <w:r w:rsidR="008E0B37">
        <w:t xml:space="preserve">variable </w:t>
      </w:r>
      <w:r w:rsidR="00F24676">
        <w:t xml:space="preserve">travel cost </w:t>
      </w:r>
      <w:r w:rsidR="008E0B37">
        <w:t xml:space="preserve">per mile, structured in a way that the SAV cost is always higher than that for the RV and AV alternatives, and </w:t>
      </w:r>
      <w:r w:rsidR="006F5FC0">
        <w:t xml:space="preserve">(3) </w:t>
      </w:r>
      <w:r w:rsidR="001770A9">
        <w:t xml:space="preserve">average </w:t>
      </w:r>
      <w:r w:rsidR="008E0B37">
        <w:t>wait time associated with the SAV service (with zero wait time for RV and AV alternatives). T</w:t>
      </w:r>
      <w:r w:rsidR="006F5FC0">
        <w:t>he attributes and their respective levels</w:t>
      </w:r>
      <w:r w:rsidR="001100B4">
        <w:t xml:space="preserve">, as well as a sample of the actual AVD ranking </w:t>
      </w:r>
      <w:r w:rsidR="00FA1AA1">
        <w:t>question,</w:t>
      </w:r>
      <w:r w:rsidR="001100B4">
        <w:t xml:space="preserve"> </w:t>
      </w:r>
      <w:r w:rsidR="006F5FC0">
        <w:t xml:space="preserve">are presented </w:t>
      </w:r>
      <w:r w:rsidR="00FA1AA1">
        <w:t xml:space="preserve">in an online supplement to this paper available at </w:t>
      </w:r>
      <w:hyperlink r:id="rId12" w:history="1">
        <w:r w:rsidR="00E40A28" w:rsidRPr="00CC57A0">
          <w:rPr>
            <w:rStyle w:val="Hyperlink"/>
          </w:rPr>
          <w:t>https://www.caee.utexas.edu/prof/bhat/ABSTRACTS/STRCSP/OnlineSupp.pdf</w:t>
        </w:r>
      </w:hyperlink>
      <w:r w:rsidR="00E40A28">
        <w:t xml:space="preserve">. </w:t>
      </w:r>
      <w:r w:rsidR="006F5FC0">
        <w:t>The attribute</w:t>
      </w:r>
      <w:r w:rsidR="00FA1AA1">
        <w:t xml:space="preserve"> levels</w:t>
      </w:r>
      <w:r w:rsidR="008E0B37">
        <w:t xml:space="preserve"> </w:t>
      </w:r>
      <w:r w:rsidR="006F5FC0">
        <w:t>were defined with the objective of keeping the scenarios realisti</w:t>
      </w:r>
      <w:r w:rsidR="00C4754D">
        <w:t>c</w:t>
      </w:r>
      <w:r w:rsidR="006F5FC0">
        <w:t>, while also providing an instrument to engender adequate variability in the attribute values across scenarios.</w:t>
      </w:r>
      <w:r w:rsidR="00C4754D">
        <w:rPr>
          <w:rStyle w:val="FootnoteReference"/>
        </w:rPr>
        <w:footnoteReference w:id="2"/>
      </w:r>
      <w:r w:rsidR="008E0B37">
        <w:t xml:space="preserve"> </w:t>
      </w:r>
      <w:r w:rsidR="006F5FC0">
        <w:t xml:space="preserve">In all, there were </w:t>
      </w:r>
      <w:r w:rsidR="00FA1AA1">
        <w:t xml:space="preserve">of the order of </w:t>
      </w:r>
      <w:r w:rsidR="00984E7E" w:rsidRPr="00312CEC">
        <w:t>1,944</w:t>
      </w:r>
      <w:r w:rsidR="006F5FC0">
        <w:t xml:space="preserve"> possible combinations </w:t>
      </w:r>
      <w:r w:rsidR="00FA1AA1">
        <w:t xml:space="preserve">of </w:t>
      </w:r>
      <w:r w:rsidR="006F5FC0">
        <w:t xml:space="preserve">the attribute levels. From these combinations, </w:t>
      </w:r>
      <w:r w:rsidR="00842FF4" w:rsidRPr="00312CEC">
        <w:rPr>
          <w:rFonts w:cs="Times New Roman"/>
        </w:rPr>
        <w:t xml:space="preserve">18 </w:t>
      </w:r>
      <w:r w:rsidR="006F5FC0">
        <w:rPr>
          <w:rFonts w:cs="Times New Roman"/>
        </w:rPr>
        <w:t xml:space="preserve">different scenarios were chosen </w:t>
      </w:r>
      <w:r w:rsidR="00737905">
        <w:rPr>
          <w:rFonts w:cs="Times New Roman"/>
        </w:rPr>
        <w:t xml:space="preserve">using an orthogonal fractional factorial design </w:t>
      </w:r>
      <w:r w:rsidR="006F5FC0">
        <w:rPr>
          <w:rFonts w:cs="Times New Roman"/>
        </w:rPr>
        <w:t xml:space="preserve">with the focus on isolating main effects and keeping orthogonality. Each individual was randomly assigned to respond to </w:t>
      </w:r>
      <w:r w:rsidR="008E0B37">
        <w:rPr>
          <w:rFonts w:cs="Times New Roman"/>
        </w:rPr>
        <w:t>two</w:t>
      </w:r>
      <w:r w:rsidR="006F5FC0">
        <w:rPr>
          <w:rFonts w:cs="Times New Roman"/>
        </w:rPr>
        <w:t xml:space="preserve"> scenarios</w:t>
      </w:r>
      <w:r w:rsidR="004065DE">
        <w:rPr>
          <w:rFonts w:cs="Times New Roman"/>
        </w:rPr>
        <w:t>, given the survey was already very lengthy and obtained information on not only AVs, but also micro-mobility and ride-hailing use patterns</w:t>
      </w:r>
      <w:r w:rsidR="006F5FC0">
        <w:rPr>
          <w:rFonts w:cs="Times New Roman"/>
        </w:rPr>
        <w:t>.</w:t>
      </w:r>
      <w:r w:rsidR="0047547B">
        <w:t xml:space="preserve"> </w:t>
      </w:r>
    </w:p>
    <w:p w14:paraId="2CB8B00A" w14:textId="29FDDB93" w:rsidR="00077EFC" w:rsidRDefault="00054862" w:rsidP="0091464C">
      <w:pPr>
        <w:spacing w:line="276" w:lineRule="auto"/>
        <w:ind w:firstLine="720"/>
        <w:jc w:val="both"/>
      </w:pPr>
      <w:r>
        <w:rPr>
          <w:rFonts w:cs="Times New Roman"/>
          <w:szCs w:val="24"/>
        </w:rPr>
        <w:t>An important departure from</w:t>
      </w:r>
      <w:r w:rsidR="0047547B">
        <w:rPr>
          <w:rFonts w:cs="Times New Roman"/>
          <w:szCs w:val="24"/>
        </w:rPr>
        <w:t xml:space="preserve"> traditional SP choice design </w:t>
      </w:r>
      <w:r>
        <w:rPr>
          <w:rFonts w:cs="Times New Roman"/>
          <w:szCs w:val="24"/>
        </w:rPr>
        <w:t>is that</w:t>
      </w:r>
      <w:r w:rsidR="0047547B">
        <w:rPr>
          <w:rFonts w:cs="Times New Roman"/>
          <w:szCs w:val="24"/>
        </w:rPr>
        <w:t xml:space="preserve"> </w:t>
      </w:r>
      <w:r>
        <w:rPr>
          <w:rFonts w:cs="Times New Roman"/>
          <w:szCs w:val="24"/>
        </w:rPr>
        <w:t>we</w:t>
      </w:r>
      <w:r w:rsidR="0047547B">
        <w:rPr>
          <w:rFonts w:cs="Times New Roman"/>
          <w:szCs w:val="24"/>
        </w:rPr>
        <w:t xml:space="preserve"> </w:t>
      </w:r>
      <w:r>
        <w:rPr>
          <w:rFonts w:cs="Times New Roman"/>
          <w:szCs w:val="24"/>
        </w:rPr>
        <w:t xml:space="preserve">use a ranking preference elicitation approach </w:t>
      </w:r>
      <w:r w:rsidR="0047547B">
        <w:rPr>
          <w:rFonts w:cs="Times New Roman"/>
          <w:szCs w:val="24"/>
        </w:rPr>
        <w:t xml:space="preserve">for the AVD decision, </w:t>
      </w:r>
      <w:r>
        <w:rPr>
          <w:rFonts w:cs="Times New Roman"/>
          <w:szCs w:val="24"/>
        </w:rPr>
        <w:t>rather than the typical</w:t>
      </w:r>
      <w:r w:rsidR="0047547B">
        <w:rPr>
          <w:rFonts w:cs="Times New Roman"/>
          <w:szCs w:val="24"/>
        </w:rPr>
        <w:t>ly used</w:t>
      </w:r>
      <w:r>
        <w:rPr>
          <w:rFonts w:cs="Times New Roman"/>
          <w:szCs w:val="24"/>
        </w:rPr>
        <w:t xml:space="preserve"> first-choice preference elicitation approach. This is because much more information can be obtained </w:t>
      </w:r>
      <w:r w:rsidR="009F782A">
        <w:rPr>
          <w:rFonts w:cs="Times New Roman"/>
          <w:szCs w:val="24"/>
        </w:rPr>
        <w:t xml:space="preserve">on </w:t>
      </w:r>
      <w:r w:rsidR="00AB0874">
        <w:rPr>
          <w:rFonts w:cs="Times New Roman"/>
          <w:szCs w:val="24"/>
        </w:rPr>
        <w:t xml:space="preserve">choice </w:t>
      </w:r>
      <w:r>
        <w:rPr>
          <w:rFonts w:cs="Times New Roman"/>
          <w:szCs w:val="24"/>
        </w:rPr>
        <w:t xml:space="preserve">alternative valuations from the ranking approach than the </w:t>
      </w:r>
      <w:r w:rsidR="0047547B">
        <w:rPr>
          <w:rFonts w:cs="Times New Roman"/>
          <w:szCs w:val="24"/>
        </w:rPr>
        <w:t>first-choice</w:t>
      </w:r>
      <w:r>
        <w:rPr>
          <w:rFonts w:cs="Times New Roman"/>
          <w:szCs w:val="24"/>
        </w:rPr>
        <w:t xml:space="preserve"> approach</w:t>
      </w:r>
      <w:r w:rsidR="00327A8B">
        <w:rPr>
          <w:rFonts w:cs="Times New Roman"/>
          <w:szCs w:val="24"/>
        </w:rPr>
        <w:t>, a</w:t>
      </w:r>
      <w:r>
        <w:rPr>
          <w:rFonts w:cs="Times New Roman"/>
          <w:szCs w:val="24"/>
        </w:rPr>
        <w:t xml:space="preserve">s recently demonstrated by </w:t>
      </w:r>
      <w:r w:rsidRPr="00DB6AE4">
        <w:rPr>
          <w:rFonts w:cs="Times New Roman"/>
          <w:szCs w:val="24"/>
        </w:rPr>
        <w:t xml:space="preserve">Nair </w:t>
      </w:r>
      <w:r w:rsidR="00DB6AE4" w:rsidRPr="004D7EA3">
        <w:rPr>
          <w:rFonts w:cs="Times New Roman"/>
          <w:i/>
          <w:iCs/>
          <w:szCs w:val="24"/>
        </w:rPr>
        <w:t>et al</w:t>
      </w:r>
      <w:r w:rsidR="00DB6AE4" w:rsidRPr="00264E6C">
        <w:rPr>
          <w:rFonts w:cs="Times New Roman"/>
          <w:iCs/>
          <w:szCs w:val="24"/>
        </w:rPr>
        <w:t>.</w:t>
      </w:r>
      <w:r w:rsidRPr="00DB6AE4">
        <w:rPr>
          <w:rFonts w:cs="Times New Roman"/>
          <w:szCs w:val="24"/>
        </w:rPr>
        <w:t xml:space="preserve"> (2018) and</w:t>
      </w:r>
      <w:r>
        <w:rPr>
          <w:rFonts w:cs="Times New Roman"/>
          <w:szCs w:val="24"/>
        </w:rPr>
        <w:t xml:space="preserve"> Nair </w:t>
      </w:r>
      <w:r w:rsidRPr="004D7EA3">
        <w:rPr>
          <w:rFonts w:cs="Times New Roman"/>
          <w:i/>
          <w:iCs/>
          <w:szCs w:val="24"/>
        </w:rPr>
        <w:t>et al</w:t>
      </w:r>
      <w:r w:rsidRPr="00264E6C">
        <w:rPr>
          <w:rFonts w:cs="Times New Roman"/>
          <w:szCs w:val="24"/>
        </w:rPr>
        <w:t xml:space="preserve">. </w:t>
      </w:r>
      <w:r>
        <w:rPr>
          <w:rFonts w:cs="Times New Roman"/>
          <w:szCs w:val="24"/>
        </w:rPr>
        <w:t>(2019)</w:t>
      </w:r>
      <w:r w:rsidR="00327A8B">
        <w:rPr>
          <w:rFonts w:cs="Times New Roman"/>
          <w:szCs w:val="24"/>
        </w:rPr>
        <w:t xml:space="preserve">. Further, these two studies also show through simulation exercises that the prevailing view </w:t>
      </w:r>
      <w:r w:rsidR="003B1DAB">
        <w:rPr>
          <w:rFonts w:cs="Times New Roman"/>
          <w:szCs w:val="24"/>
        </w:rPr>
        <w:t xml:space="preserve">of the </w:t>
      </w:r>
      <w:r w:rsidR="00327A8B">
        <w:rPr>
          <w:rFonts w:cs="Times New Roman"/>
          <w:szCs w:val="24"/>
        </w:rPr>
        <w:t xml:space="preserve">ranking elicitation mechanism </w:t>
      </w:r>
      <w:r w:rsidR="003B1DAB">
        <w:rPr>
          <w:rFonts w:cs="Times New Roman"/>
          <w:szCs w:val="24"/>
        </w:rPr>
        <w:t>in the econometrics literature as being</w:t>
      </w:r>
      <w:r w:rsidR="00327A8B">
        <w:rPr>
          <w:rFonts w:cs="Times New Roman"/>
          <w:szCs w:val="24"/>
        </w:rPr>
        <w:t xml:space="preserve"> unreliable </w:t>
      </w:r>
      <w:r w:rsidR="00AB0874">
        <w:rPr>
          <w:rFonts w:cs="Times New Roman"/>
          <w:szCs w:val="24"/>
        </w:rPr>
        <w:t>(</w:t>
      </w:r>
      <w:r w:rsidR="00096FCA">
        <w:rPr>
          <w:rFonts w:cs="Times New Roman"/>
          <w:szCs w:val="24"/>
        </w:rPr>
        <w:t xml:space="preserve">ostensibly </w:t>
      </w:r>
      <w:r w:rsidR="00AB0874">
        <w:rPr>
          <w:rFonts w:cs="Times New Roman"/>
          <w:szCs w:val="24"/>
        </w:rPr>
        <w:t xml:space="preserve">because of </w:t>
      </w:r>
      <w:r w:rsidR="00AB0874">
        <w:t xml:space="preserve">progressively higher cognitive demands placed on individuals when ranking less preferred alternatives) is completely misplaced. </w:t>
      </w:r>
      <w:r w:rsidR="00AB0874">
        <w:rPr>
          <w:rFonts w:cs="Times New Roman"/>
          <w:szCs w:val="24"/>
        </w:rPr>
        <w:t xml:space="preserve">This unfortunate view can actually be traced to the typical use of a rank-ordered logit </w:t>
      </w:r>
      <w:r w:rsidR="003B1DAB">
        <w:rPr>
          <w:rFonts w:cs="Times New Roman"/>
          <w:szCs w:val="24"/>
        </w:rPr>
        <w:t xml:space="preserve">(ROL) </w:t>
      </w:r>
      <w:r w:rsidR="00AB0874">
        <w:rPr>
          <w:rFonts w:cs="Times New Roman"/>
          <w:szCs w:val="24"/>
        </w:rPr>
        <w:t xml:space="preserve">specification, which has specific properties that inevitably lead to such an inappropriate conclusion about the veracity of the ranking preference elicitation mechanism. </w:t>
      </w:r>
      <w:r w:rsidR="003B1DAB">
        <w:rPr>
          <w:rFonts w:cs="Times New Roman"/>
          <w:szCs w:val="24"/>
        </w:rPr>
        <w:t>On the other hand, the rank-ordered probit (ROP) constitutes a more appropriate and flexible behavioral structure to deal with rank-ordered data</w:t>
      </w:r>
      <w:r w:rsidR="009F782A">
        <w:rPr>
          <w:rFonts w:cs="Times New Roman"/>
          <w:szCs w:val="24"/>
        </w:rPr>
        <w:t xml:space="preserve"> (this difference is not the same as the difference between a multinomial probit model and a multinomial logit model in the context of first-choice data analysis, but much more dramatic; conceptually speaking, the ROL model is an “impossible” structure for ranking data analysis, based on Luce and Suppes’s (1965) impossibility theorem</w:t>
      </w:r>
      <w:r w:rsidR="003E6A76">
        <w:rPr>
          <w:rFonts w:cs="Times New Roman"/>
          <w:szCs w:val="24"/>
        </w:rPr>
        <w:t>)</w:t>
      </w:r>
      <w:r w:rsidR="009F782A">
        <w:rPr>
          <w:rFonts w:cs="Times New Roman"/>
          <w:szCs w:val="24"/>
        </w:rPr>
        <w:t xml:space="preserve">. At the same time, </w:t>
      </w:r>
      <w:r w:rsidR="003B1DAB" w:rsidRPr="00247ED4">
        <w:t xml:space="preserve">recent advancements in analytical </w:t>
      </w:r>
      <w:r w:rsidR="009F782A">
        <w:t xml:space="preserve">methods </w:t>
      </w:r>
      <w:r w:rsidR="00DB6AE4">
        <w:t xml:space="preserve">to </w:t>
      </w:r>
      <w:r w:rsidR="009F782A">
        <w:t xml:space="preserve">accurately and quickly evaluate the </w:t>
      </w:r>
      <w:r w:rsidR="003B1DAB">
        <w:t xml:space="preserve">cumulative </w:t>
      </w:r>
      <w:r w:rsidR="003B1DAB" w:rsidRPr="00247ED4">
        <w:t>multivariate normal distribution</w:t>
      </w:r>
      <w:r w:rsidR="003B1DAB">
        <w:t xml:space="preserve"> functions</w:t>
      </w:r>
      <w:r w:rsidR="009F782A">
        <w:t xml:space="preserve"> make the</w:t>
      </w:r>
      <w:r w:rsidR="003B1DAB" w:rsidRPr="00247ED4">
        <w:t xml:space="preserve"> estimation of a</w:t>
      </w:r>
      <w:r w:rsidR="009F782A">
        <w:t>n</w:t>
      </w:r>
      <w:r w:rsidR="003B1DAB" w:rsidRPr="00247ED4">
        <w:t xml:space="preserve"> </w:t>
      </w:r>
      <w:r w:rsidR="003B1DAB">
        <w:t>ROP</w:t>
      </w:r>
      <w:r w:rsidR="003B1DAB" w:rsidRPr="00247ED4">
        <w:t xml:space="preserve"> model </w:t>
      </w:r>
      <w:r w:rsidR="009F782A">
        <w:t xml:space="preserve">very </w:t>
      </w:r>
      <w:r w:rsidR="003B1DAB" w:rsidRPr="00247ED4">
        <w:t>tractable</w:t>
      </w:r>
      <w:r w:rsidR="009F782A">
        <w:t xml:space="preserve"> for practice</w:t>
      </w:r>
      <w:r w:rsidR="003B1DAB" w:rsidRPr="00247ED4">
        <w:t>.</w:t>
      </w:r>
      <w:r w:rsidR="009F782A">
        <w:t xml:space="preserve"> Also, rank-ordered data </w:t>
      </w:r>
      <w:r w:rsidR="0076278B">
        <w:t>is</w:t>
      </w:r>
      <w:r w:rsidR="009F782A">
        <w:t xml:space="preserve"> as easy to collect as the most preferred alternative, and also ha</w:t>
      </w:r>
      <w:r w:rsidR="006D57D5">
        <w:t>s</w:t>
      </w:r>
      <w:r w:rsidR="009F782A">
        <w:t xml:space="preserve"> the distinct advantage of being more cost-effective for a specified precision level of parameters than purely choice (or first preference) data surveys.</w:t>
      </w:r>
      <w:r w:rsidR="00327A8B">
        <w:t xml:space="preserve"> </w:t>
      </w:r>
    </w:p>
    <w:p w14:paraId="4A8DAA2C" w14:textId="3B8D32A0" w:rsidR="00BE569F" w:rsidRPr="0091464C" w:rsidRDefault="007350FB" w:rsidP="00FA69D9">
      <w:pPr>
        <w:spacing w:line="259" w:lineRule="auto"/>
        <w:ind w:left="540" w:hanging="540"/>
        <w:rPr>
          <w:b/>
        </w:rPr>
      </w:pPr>
      <w:r>
        <w:rPr>
          <w:b/>
        </w:rPr>
        <w:br w:type="page"/>
      </w:r>
      <w:r w:rsidR="00BE569F" w:rsidRPr="0091464C">
        <w:rPr>
          <w:b/>
        </w:rPr>
        <w:lastRenderedPageBreak/>
        <w:t>3.2</w:t>
      </w:r>
      <w:r w:rsidR="00A442C7" w:rsidRPr="0091464C">
        <w:rPr>
          <w:b/>
        </w:rPr>
        <w:t xml:space="preserve"> </w:t>
      </w:r>
      <w:r w:rsidR="0091464C">
        <w:rPr>
          <w:b/>
        </w:rPr>
        <w:tab/>
      </w:r>
      <w:r w:rsidR="00BE569F" w:rsidRPr="0091464C">
        <w:rPr>
          <w:b/>
        </w:rPr>
        <w:t>Analytic Framework and Data Description</w:t>
      </w:r>
    </w:p>
    <w:p w14:paraId="7DDE88C6" w14:textId="1DB647F9" w:rsidR="00C100E9" w:rsidRDefault="00B471F5" w:rsidP="0091464C">
      <w:pPr>
        <w:autoSpaceDE w:val="0"/>
        <w:autoSpaceDN w:val="0"/>
        <w:adjustRightInd w:val="0"/>
        <w:spacing w:line="276" w:lineRule="auto"/>
        <w:jc w:val="both"/>
        <w:rPr>
          <w:rFonts w:cs="Times New Roman"/>
          <w:szCs w:val="24"/>
        </w:rPr>
      </w:pPr>
      <w:r w:rsidRPr="00BB01B3">
        <w:rPr>
          <w:rFonts w:cs="Times New Roman"/>
          <w:szCs w:val="24"/>
        </w:rPr>
        <w:t xml:space="preserve">The analytic framework </w:t>
      </w:r>
      <w:r w:rsidR="00112CDB">
        <w:rPr>
          <w:rFonts w:cs="Times New Roman"/>
          <w:szCs w:val="24"/>
        </w:rPr>
        <w:t xml:space="preserve">focuses on understanding </w:t>
      </w:r>
      <w:r w:rsidR="00430DE6" w:rsidRPr="00BB01B3">
        <w:rPr>
          <w:rFonts w:cs="Times New Roman"/>
          <w:szCs w:val="24"/>
        </w:rPr>
        <w:t xml:space="preserve">the </w:t>
      </w:r>
      <w:r w:rsidR="00112CDB">
        <w:rPr>
          <w:rFonts w:cs="Times New Roman"/>
          <w:szCs w:val="24"/>
        </w:rPr>
        <w:t>inter-relationship</w:t>
      </w:r>
      <w:r w:rsidR="00430DE6" w:rsidRPr="00BB01B3">
        <w:rPr>
          <w:rFonts w:cs="Times New Roman"/>
          <w:szCs w:val="24"/>
        </w:rPr>
        <w:t xml:space="preserve"> between </w:t>
      </w:r>
      <w:r w:rsidR="00112CDB">
        <w:rPr>
          <w:rFonts w:cs="Times New Roman"/>
          <w:szCs w:val="24"/>
        </w:rPr>
        <w:t xml:space="preserve">the </w:t>
      </w:r>
      <w:r w:rsidR="00077EFC">
        <w:rPr>
          <w:rFonts w:cs="Times New Roman"/>
          <w:szCs w:val="24"/>
        </w:rPr>
        <w:t>AVD and DAD choice decisions</w:t>
      </w:r>
      <w:r w:rsidR="00430DE6" w:rsidRPr="00BB01B3">
        <w:rPr>
          <w:rFonts w:cs="Times New Roman"/>
          <w:szCs w:val="24"/>
        </w:rPr>
        <w:t>, while considering individual-level variables (individual demographics and household characteristics) as well as</w:t>
      </w:r>
      <w:r w:rsidR="00112CDB">
        <w:rPr>
          <w:rFonts w:cs="Times New Roman"/>
          <w:szCs w:val="24"/>
        </w:rPr>
        <w:t xml:space="preserve"> </w:t>
      </w:r>
      <w:r w:rsidR="00077EFC" w:rsidRPr="009144BF">
        <w:rPr>
          <w:szCs w:val="24"/>
        </w:rPr>
        <w:t xml:space="preserve">attitudes/lifestyle </w:t>
      </w:r>
      <w:r w:rsidR="00077EFC">
        <w:rPr>
          <w:szCs w:val="24"/>
        </w:rPr>
        <w:t>factors (also referred to as psycho-social factors). These psycho-social factors are not directly observed, and so are viewed as latent stochastic constructs manifested through a suite of observed indicators. In the current study, f</w:t>
      </w:r>
      <w:r w:rsidR="00096FCA">
        <w:rPr>
          <w:szCs w:val="24"/>
        </w:rPr>
        <w:t>our</w:t>
      </w:r>
      <w:r w:rsidR="00077EFC">
        <w:rPr>
          <w:szCs w:val="24"/>
        </w:rPr>
        <w:t xml:space="preserve"> such latent constructs are used</w:t>
      </w:r>
      <w:r w:rsidR="00C100E9">
        <w:rPr>
          <w:szCs w:val="24"/>
        </w:rPr>
        <w:t xml:space="preserve"> (the reasoning for the use of these f</w:t>
      </w:r>
      <w:r w:rsidR="00096FCA">
        <w:rPr>
          <w:szCs w:val="24"/>
        </w:rPr>
        <w:t>our</w:t>
      </w:r>
      <w:r w:rsidR="00C100E9">
        <w:rPr>
          <w:szCs w:val="24"/>
        </w:rPr>
        <w:t xml:space="preserve"> specific psycho-social factors </w:t>
      </w:r>
      <w:r w:rsidR="003A289F">
        <w:rPr>
          <w:szCs w:val="24"/>
        </w:rPr>
        <w:t>is</w:t>
      </w:r>
      <w:r w:rsidR="00C100E9">
        <w:rPr>
          <w:szCs w:val="24"/>
        </w:rPr>
        <w:t xml:space="preserve"> discussed later)</w:t>
      </w:r>
      <w:r w:rsidR="00077EFC">
        <w:rPr>
          <w:szCs w:val="24"/>
        </w:rPr>
        <w:t xml:space="preserve">: </w:t>
      </w:r>
      <w:r w:rsidR="00077EFC">
        <w:rPr>
          <w:rFonts w:cs="Times New Roman"/>
          <w:szCs w:val="24"/>
        </w:rPr>
        <w:t xml:space="preserve">(1) (need for) </w:t>
      </w:r>
      <w:r w:rsidR="00430DE6" w:rsidRPr="00BB01B3">
        <w:rPr>
          <w:rFonts w:cs="Times New Roman"/>
          <w:szCs w:val="24"/>
        </w:rPr>
        <w:t xml:space="preserve">driving </w:t>
      </w:r>
      <w:r w:rsidR="00077EFC">
        <w:rPr>
          <w:rFonts w:cs="Times New Roman"/>
          <w:szCs w:val="24"/>
        </w:rPr>
        <w:t xml:space="preserve">control, (2) (need for) </w:t>
      </w:r>
      <w:r w:rsidR="00430DE6" w:rsidRPr="00BB01B3">
        <w:rPr>
          <w:rFonts w:cs="Times New Roman"/>
          <w:szCs w:val="24"/>
        </w:rPr>
        <w:t xml:space="preserve">mobility control, </w:t>
      </w:r>
      <w:r w:rsidR="00077EFC">
        <w:rPr>
          <w:rFonts w:cs="Times New Roman"/>
          <w:szCs w:val="24"/>
        </w:rPr>
        <w:t xml:space="preserve">(3) </w:t>
      </w:r>
      <w:r w:rsidR="00430DE6" w:rsidRPr="00BB01B3">
        <w:rPr>
          <w:rFonts w:cs="Times New Roman"/>
          <w:szCs w:val="24"/>
        </w:rPr>
        <w:t>concerns with AV safety</w:t>
      </w:r>
      <w:r w:rsidR="00077EFC">
        <w:rPr>
          <w:rFonts w:cs="Times New Roman"/>
          <w:szCs w:val="24"/>
        </w:rPr>
        <w:t xml:space="preserve"> (safety concern), </w:t>
      </w:r>
      <w:r w:rsidR="00430DE6" w:rsidRPr="00BB01B3">
        <w:rPr>
          <w:rFonts w:cs="Times New Roman"/>
          <w:szCs w:val="24"/>
        </w:rPr>
        <w:t>and</w:t>
      </w:r>
      <w:r w:rsidR="0070450F" w:rsidRPr="00BB01B3">
        <w:rPr>
          <w:rFonts w:cs="Times New Roman"/>
          <w:szCs w:val="24"/>
        </w:rPr>
        <w:t xml:space="preserve"> </w:t>
      </w:r>
      <w:r w:rsidR="00077EFC">
        <w:rPr>
          <w:rFonts w:cs="Times New Roman"/>
          <w:szCs w:val="24"/>
        </w:rPr>
        <w:t>(</w:t>
      </w:r>
      <w:r w:rsidR="00842FF4">
        <w:rPr>
          <w:rFonts w:cs="Times New Roman"/>
          <w:szCs w:val="24"/>
        </w:rPr>
        <w:t>4</w:t>
      </w:r>
      <w:r w:rsidR="00077EFC">
        <w:rPr>
          <w:rFonts w:cs="Times New Roman"/>
          <w:szCs w:val="24"/>
        </w:rPr>
        <w:t xml:space="preserve">) an </w:t>
      </w:r>
      <w:r w:rsidR="0070450F" w:rsidRPr="00BB01B3">
        <w:rPr>
          <w:rFonts w:cs="Times New Roman"/>
          <w:szCs w:val="24"/>
        </w:rPr>
        <w:t>individual’s</w:t>
      </w:r>
      <w:r w:rsidR="00430DE6" w:rsidRPr="00BB01B3">
        <w:rPr>
          <w:rFonts w:cs="Times New Roman"/>
          <w:szCs w:val="24"/>
        </w:rPr>
        <w:t xml:space="preserve"> technology-savviness (tech-savviness). </w:t>
      </w:r>
    </w:p>
    <w:p w14:paraId="0BA73676" w14:textId="404BCF40" w:rsidR="0041520C" w:rsidRDefault="004B0CBE" w:rsidP="0091464C">
      <w:pPr>
        <w:autoSpaceDE w:val="0"/>
        <w:autoSpaceDN w:val="0"/>
        <w:adjustRightInd w:val="0"/>
        <w:spacing w:line="276" w:lineRule="auto"/>
        <w:ind w:firstLine="720"/>
        <w:jc w:val="both"/>
        <w:rPr>
          <w:rFonts w:cs="Times New Roman"/>
          <w:szCs w:val="24"/>
        </w:rPr>
      </w:pPr>
      <w:r w:rsidRPr="00BB01B3">
        <w:rPr>
          <w:rFonts w:cs="Times New Roman"/>
          <w:szCs w:val="24"/>
        </w:rPr>
        <w:t>Figure</w:t>
      </w:r>
      <w:r w:rsidR="00A826B9">
        <w:rPr>
          <w:rFonts w:cs="Times New Roman"/>
          <w:szCs w:val="24"/>
        </w:rPr>
        <w:t xml:space="preserve"> </w:t>
      </w:r>
      <w:r w:rsidR="00FA1AA1">
        <w:rPr>
          <w:rFonts w:cs="Times New Roman"/>
          <w:szCs w:val="24"/>
        </w:rPr>
        <w:t>1</w:t>
      </w:r>
      <w:r w:rsidRPr="00BB01B3">
        <w:rPr>
          <w:rFonts w:cs="Times New Roman"/>
          <w:szCs w:val="24"/>
        </w:rPr>
        <w:t xml:space="preserve"> provides a</w:t>
      </w:r>
      <w:r w:rsidR="00475417">
        <w:rPr>
          <w:rFonts w:cs="Times New Roman"/>
          <w:szCs w:val="24"/>
        </w:rPr>
        <w:t xml:space="preserve"> diagrammatic representation</w:t>
      </w:r>
      <w:r w:rsidRPr="00BB01B3">
        <w:rPr>
          <w:rFonts w:cs="Times New Roman"/>
          <w:szCs w:val="24"/>
        </w:rPr>
        <w:t xml:space="preserve"> of the </w:t>
      </w:r>
      <w:r w:rsidR="00A826B9">
        <w:rPr>
          <w:rFonts w:cs="Times New Roman"/>
          <w:szCs w:val="24"/>
        </w:rPr>
        <w:t>analytic</w:t>
      </w:r>
      <w:r w:rsidR="00475417">
        <w:rPr>
          <w:rFonts w:cs="Times New Roman"/>
          <w:szCs w:val="24"/>
        </w:rPr>
        <w:t xml:space="preserve"> </w:t>
      </w:r>
      <w:r w:rsidRPr="00BB01B3">
        <w:rPr>
          <w:rFonts w:cs="Times New Roman"/>
          <w:szCs w:val="24"/>
        </w:rPr>
        <w:t xml:space="preserve">framework, </w:t>
      </w:r>
      <w:r w:rsidR="00475417">
        <w:rPr>
          <w:rFonts w:cs="Times New Roman"/>
          <w:szCs w:val="24"/>
        </w:rPr>
        <w:t xml:space="preserve">where we suppress the indicators of each latent construct to avoid clutter. </w:t>
      </w:r>
      <w:r w:rsidR="006C6535">
        <w:rPr>
          <w:rFonts w:cs="Times New Roman"/>
          <w:szCs w:val="24"/>
        </w:rPr>
        <w:t xml:space="preserve">The vehicle/service attributes in the choice experiment influence the AVD main outcome. </w:t>
      </w:r>
      <w:r w:rsidR="001770A9">
        <w:rPr>
          <w:rFonts w:cs="Times New Roman"/>
          <w:szCs w:val="24"/>
        </w:rPr>
        <w:t>Individual-level characteristics influence the latent constructs</w:t>
      </w:r>
      <w:r w:rsidR="00F24676">
        <w:rPr>
          <w:rFonts w:cs="Times New Roman"/>
          <w:szCs w:val="24"/>
        </w:rPr>
        <w:t>, and both the individual-level characteristics and the latent constructs affect</w:t>
      </w:r>
      <w:r w:rsidR="001770A9">
        <w:rPr>
          <w:rFonts w:cs="Times New Roman"/>
          <w:szCs w:val="24"/>
        </w:rPr>
        <w:t xml:space="preserve"> </w:t>
      </w:r>
      <w:r w:rsidR="006C6535">
        <w:rPr>
          <w:rFonts w:cs="Times New Roman"/>
          <w:szCs w:val="24"/>
        </w:rPr>
        <w:t xml:space="preserve">the AVD and DAD main outcomes. </w:t>
      </w:r>
      <w:r w:rsidR="0041520C">
        <w:rPr>
          <w:rFonts w:cs="Times New Roman"/>
          <w:szCs w:val="24"/>
        </w:rPr>
        <w:t>Thus, the individual-level characteristics have both a direct effect on the main outcomes as well as an indirect effect (through the mediating role of the latent constructs</w:t>
      </w:r>
      <w:r w:rsidR="0076278B">
        <w:rPr>
          <w:rFonts w:cs="Times New Roman"/>
          <w:szCs w:val="24"/>
        </w:rPr>
        <w:t>)</w:t>
      </w:r>
      <w:r w:rsidR="0041520C">
        <w:rPr>
          <w:rFonts w:cs="Times New Roman"/>
          <w:szCs w:val="24"/>
        </w:rPr>
        <w:t xml:space="preserve">. </w:t>
      </w:r>
      <w:r w:rsidR="00A826B9">
        <w:t>Unlike many earlier studies using latent constructs, we allow the latent constructs themselves to be co-endogenous with the AVD and DAD main outcomes</w:t>
      </w:r>
      <w:r w:rsidR="00A826B9" w:rsidRPr="00155511">
        <w:t xml:space="preserve">, for reasons discussed </w:t>
      </w:r>
      <w:r w:rsidR="003D54FB">
        <w:t xml:space="preserve">earlier </w:t>
      </w:r>
      <w:r w:rsidR="00A826B9">
        <w:t xml:space="preserve">in Section </w:t>
      </w:r>
      <w:r w:rsidR="00FA1AA1">
        <w:t>2.1</w:t>
      </w:r>
      <w:r w:rsidR="00A826B9">
        <w:t xml:space="preserve"> (that is, we allow correlations between the latent constructs and the two main outcomes of interest)</w:t>
      </w:r>
      <w:r w:rsidR="00A826B9" w:rsidRPr="00155511">
        <w:t>.</w:t>
      </w:r>
      <w:r w:rsidR="00A826B9" w:rsidRPr="001E69F7">
        <w:t xml:space="preserve"> </w:t>
      </w:r>
      <w:r w:rsidR="00A826B9">
        <w:rPr>
          <w:rFonts w:cs="Times New Roman"/>
          <w:szCs w:val="24"/>
        </w:rPr>
        <w:t>This is</w:t>
      </w:r>
      <w:r w:rsidR="004320B2">
        <w:rPr>
          <w:rFonts w:cs="Times New Roman"/>
          <w:szCs w:val="24"/>
        </w:rPr>
        <w:t xml:space="preserve"> illustrated </w:t>
      </w:r>
      <w:r w:rsidR="00A826B9">
        <w:rPr>
          <w:rFonts w:cs="Times New Roman"/>
          <w:szCs w:val="24"/>
        </w:rPr>
        <w:t xml:space="preserve">in Figure </w:t>
      </w:r>
      <w:r w:rsidR="00FA1AA1">
        <w:rPr>
          <w:rFonts w:cs="Times New Roman"/>
          <w:szCs w:val="24"/>
        </w:rPr>
        <w:t>1</w:t>
      </w:r>
      <w:r w:rsidR="00A826B9">
        <w:rPr>
          <w:rFonts w:cs="Times New Roman"/>
          <w:szCs w:val="24"/>
        </w:rPr>
        <w:t xml:space="preserve"> </w:t>
      </w:r>
      <w:r w:rsidR="004320B2">
        <w:rPr>
          <w:rFonts w:cs="Times New Roman"/>
          <w:szCs w:val="24"/>
        </w:rPr>
        <w:t>by the double-headed arrow between the latent construct</w:t>
      </w:r>
      <w:r w:rsidR="00FA1AA1">
        <w:rPr>
          <w:rFonts w:cs="Times New Roman"/>
          <w:szCs w:val="24"/>
        </w:rPr>
        <w:t xml:space="preserve"> </w:t>
      </w:r>
      <w:r w:rsidR="004320B2">
        <w:rPr>
          <w:rFonts w:cs="Times New Roman"/>
          <w:szCs w:val="24"/>
        </w:rPr>
        <w:t>box and the main outcome box.</w:t>
      </w:r>
      <w:r w:rsidR="00A826B9">
        <w:rPr>
          <w:rFonts w:cs="Times New Roman"/>
          <w:szCs w:val="24"/>
        </w:rPr>
        <w:t xml:space="preserve"> </w:t>
      </w:r>
      <w:r w:rsidR="0041520C">
        <w:rPr>
          <w:rFonts w:cs="Times New Roman"/>
          <w:szCs w:val="24"/>
        </w:rPr>
        <w:t>Further</w:t>
      </w:r>
      <w:r w:rsidR="00EF363C">
        <w:rPr>
          <w:rFonts w:cs="Times New Roman"/>
          <w:szCs w:val="24"/>
        </w:rPr>
        <w:t>, if a stochastic latent construct impacts more than one alternative within each of t</w:t>
      </w:r>
      <w:r w:rsidR="0041520C">
        <w:rPr>
          <w:rFonts w:cs="Times New Roman"/>
          <w:szCs w:val="24"/>
        </w:rPr>
        <w:t>he main outcomes, a covariance is engendered across the impacted alternatives for the outcome (because of the error term embedded within the latent construct). Similarly, if a latent construct impacts an alternative in the AVD main outcome as well as an alternative in the</w:t>
      </w:r>
      <w:r w:rsidR="00FE7B8F">
        <w:rPr>
          <w:rFonts w:cs="Times New Roman"/>
          <w:szCs w:val="24"/>
        </w:rPr>
        <w:t xml:space="preserve"> </w:t>
      </w:r>
      <w:r w:rsidR="0041520C">
        <w:rPr>
          <w:rFonts w:cs="Times New Roman"/>
          <w:szCs w:val="24"/>
        </w:rPr>
        <w:t xml:space="preserve">DAD main outcome, this immediately generates a covariance across the AVD and DAD outcomes. </w:t>
      </w:r>
    </w:p>
    <w:p w14:paraId="1B5A91A1" w14:textId="3DD7DDEB" w:rsidR="008F72EC" w:rsidRDefault="00F24676" w:rsidP="0091464C">
      <w:pPr>
        <w:autoSpaceDE w:val="0"/>
        <w:autoSpaceDN w:val="0"/>
        <w:adjustRightInd w:val="0"/>
        <w:spacing w:line="276" w:lineRule="auto"/>
        <w:ind w:firstLine="720"/>
        <w:jc w:val="both"/>
        <w:rPr>
          <w:rFonts w:cs="Times New Roman"/>
          <w:szCs w:val="24"/>
        </w:rPr>
      </w:pPr>
      <w:r>
        <w:rPr>
          <w:rFonts w:cs="Times New Roman"/>
          <w:szCs w:val="24"/>
        </w:rPr>
        <w:t xml:space="preserve">The vehicle/service attributes for the SP choice experiment have already been discussed earlier. </w:t>
      </w:r>
      <w:r w:rsidR="00475417">
        <w:rPr>
          <w:rFonts w:cs="Times New Roman"/>
          <w:szCs w:val="24"/>
        </w:rPr>
        <w:t xml:space="preserve">Each of the </w:t>
      </w:r>
      <w:r>
        <w:rPr>
          <w:rFonts w:cs="Times New Roman"/>
          <w:szCs w:val="24"/>
        </w:rPr>
        <w:t xml:space="preserve">rest of the </w:t>
      </w:r>
      <w:r w:rsidR="00475417">
        <w:rPr>
          <w:rFonts w:cs="Times New Roman"/>
          <w:szCs w:val="24"/>
        </w:rPr>
        <w:t xml:space="preserve">elements of </w:t>
      </w:r>
      <w:r>
        <w:rPr>
          <w:rFonts w:cs="Times New Roman"/>
          <w:szCs w:val="24"/>
        </w:rPr>
        <w:t xml:space="preserve">Figure </w:t>
      </w:r>
      <w:r w:rsidR="00FA1AA1">
        <w:rPr>
          <w:rFonts w:cs="Times New Roman"/>
          <w:szCs w:val="24"/>
        </w:rPr>
        <w:t>1</w:t>
      </w:r>
      <w:r>
        <w:rPr>
          <w:rFonts w:cs="Times New Roman"/>
          <w:szCs w:val="24"/>
        </w:rPr>
        <w:t xml:space="preserve"> </w:t>
      </w:r>
      <w:r w:rsidR="00A826B9">
        <w:rPr>
          <w:rFonts w:cs="Times New Roman"/>
          <w:szCs w:val="24"/>
        </w:rPr>
        <w:t>is</w:t>
      </w:r>
      <w:r w:rsidR="00475417">
        <w:rPr>
          <w:rFonts w:cs="Times New Roman"/>
          <w:szCs w:val="24"/>
        </w:rPr>
        <w:t xml:space="preserve"> discussed in turn in the </w:t>
      </w:r>
      <w:r w:rsidR="00A826B9">
        <w:rPr>
          <w:rFonts w:cs="Times New Roman"/>
          <w:szCs w:val="24"/>
        </w:rPr>
        <w:t xml:space="preserve">next </w:t>
      </w:r>
      <w:r w:rsidR="00475417">
        <w:rPr>
          <w:rFonts w:cs="Times New Roman"/>
          <w:szCs w:val="24"/>
        </w:rPr>
        <w:t xml:space="preserve">three sections. </w:t>
      </w:r>
    </w:p>
    <w:p w14:paraId="1D695438" w14:textId="77777777" w:rsidR="0016254A" w:rsidRPr="00D47D34" w:rsidRDefault="0016254A" w:rsidP="0091464C">
      <w:pPr>
        <w:autoSpaceDE w:val="0"/>
        <w:autoSpaceDN w:val="0"/>
        <w:adjustRightInd w:val="0"/>
        <w:spacing w:line="276" w:lineRule="auto"/>
        <w:jc w:val="both"/>
        <w:rPr>
          <w:rFonts w:cs="Times New Roman"/>
          <w:szCs w:val="24"/>
        </w:rPr>
      </w:pPr>
    </w:p>
    <w:p w14:paraId="13AECDF0" w14:textId="3B3F4ABC" w:rsidR="003749A3" w:rsidRPr="00BB01B3" w:rsidRDefault="003749A3" w:rsidP="0091464C">
      <w:pPr>
        <w:pStyle w:val="Style3"/>
        <w:spacing w:line="276" w:lineRule="auto"/>
        <w:rPr>
          <w:szCs w:val="24"/>
        </w:rPr>
      </w:pPr>
      <w:r w:rsidRPr="00BB01B3">
        <w:rPr>
          <w:szCs w:val="24"/>
        </w:rPr>
        <w:t>3.2.</w:t>
      </w:r>
      <w:r>
        <w:rPr>
          <w:szCs w:val="24"/>
        </w:rPr>
        <w:t>1</w:t>
      </w:r>
      <w:r w:rsidRPr="00BB01B3">
        <w:rPr>
          <w:szCs w:val="24"/>
        </w:rPr>
        <w:t xml:space="preserve"> </w:t>
      </w:r>
      <w:r w:rsidR="00EE2C9C">
        <w:rPr>
          <w:szCs w:val="24"/>
        </w:rPr>
        <w:t>Individual-level</w:t>
      </w:r>
      <w:r w:rsidRPr="00BB01B3">
        <w:rPr>
          <w:szCs w:val="24"/>
        </w:rPr>
        <w:t xml:space="preserve"> </w:t>
      </w:r>
      <w:r w:rsidR="00BE62C4">
        <w:rPr>
          <w:szCs w:val="24"/>
        </w:rPr>
        <w:t>C</w:t>
      </w:r>
      <w:r w:rsidR="00EE2C9C">
        <w:rPr>
          <w:szCs w:val="24"/>
        </w:rPr>
        <w:t>haracteristics</w:t>
      </w:r>
    </w:p>
    <w:p w14:paraId="4C78C710" w14:textId="59150AE3" w:rsidR="00C51CD1" w:rsidRDefault="00E66249" w:rsidP="006B3123">
      <w:pPr>
        <w:spacing w:line="276" w:lineRule="auto"/>
        <w:jc w:val="both"/>
        <w:rPr>
          <w:szCs w:val="24"/>
        </w:rPr>
      </w:pPr>
      <w:r>
        <w:rPr>
          <w:szCs w:val="24"/>
        </w:rPr>
        <w:t xml:space="preserve">The convenience </w:t>
      </w:r>
      <w:r w:rsidR="003749A3" w:rsidRPr="00BB01B3">
        <w:rPr>
          <w:szCs w:val="24"/>
        </w:rPr>
        <w:t xml:space="preserve">sample </w:t>
      </w:r>
      <w:r>
        <w:rPr>
          <w:szCs w:val="24"/>
        </w:rPr>
        <w:t xml:space="preserve">collected in our survey </w:t>
      </w:r>
      <w:r w:rsidR="00C51CD1">
        <w:rPr>
          <w:szCs w:val="24"/>
        </w:rPr>
        <w:t>shows an over-representation of young individuals, women,</w:t>
      </w:r>
      <w:r w:rsidR="00FA1AA1">
        <w:rPr>
          <w:szCs w:val="24"/>
        </w:rPr>
        <w:t xml:space="preserve"> and </w:t>
      </w:r>
      <w:r w:rsidR="00C51CD1">
        <w:rPr>
          <w:szCs w:val="24"/>
        </w:rPr>
        <w:t xml:space="preserve">more highly educated </w:t>
      </w:r>
      <w:r w:rsidR="00FA1AA1">
        <w:rPr>
          <w:szCs w:val="24"/>
        </w:rPr>
        <w:t xml:space="preserve">and low-income </w:t>
      </w:r>
      <w:r w:rsidR="00C51CD1">
        <w:rPr>
          <w:szCs w:val="24"/>
        </w:rPr>
        <w:t>individuals</w:t>
      </w:r>
      <w:r>
        <w:rPr>
          <w:szCs w:val="24"/>
        </w:rPr>
        <w:t xml:space="preserve"> (please see the online supplement for a detailed discussion and presentation of the sample demographic characteristics and comparison with the census population statistics of the Austin-Round Rock, TX Metro </w:t>
      </w:r>
      <w:r w:rsidR="006735E1">
        <w:rPr>
          <w:szCs w:val="24"/>
        </w:rPr>
        <w:t>Area, as estimated by the U.S. Census Bureau, 2018)</w:t>
      </w:r>
      <w:r w:rsidR="00C51CD1">
        <w:rPr>
          <w:szCs w:val="24"/>
        </w:rPr>
        <w:t xml:space="preserve">. While the over-representation of women in our sample is interesting, the skew </w:t>
      </w:r>
      <w:r w:rsidR="00FA1AA1">
        <w:rPr>
          <w:szCs w:val="24"/>
        </w:rPr>
        <w:t xml:space="preserve">in the other variables </w:t>
      </w:r>
      <w:r w:rsidR="00C51CD1">
        <w:rPr>
          <w:szCs w:val="24"/>
        </w:rPr>
        <w:t>is to be expected.</w:t>
      </w:r>
      <w:r w:rsidR="003749A3" w:rsidRPr="00BB01B3">
        <w:rPr>
          <w:szCs w:val="24"/>
        </w:rPr>
        <w:t xml:space="preserve"> The Austin region is home to many colleges and universities</w:t>
      </w:r>
      <w:r w:rsidR="003749A3">
        <w:rPr>
          <w:szCs w:val="24"/>
        </w:rPr>
        <w:t>;</w:t>
      </w:r>
      <w:r w:rsidR="00C51CD1">
        <w:rPr>
          <w:szCs w:val="24"/>
        </w:rPr>
        <w:t xml:space="preserve"> </w:t>
      </w:r>
      <w:r w:rsidR="003749A3" w:rsidRPr="00BB01B3">
        <w:rPr>
          <w:szCs w:val="24"/>
        </w:rPr>
        <w:t xml:space="preserve">students who </w:t>
      </w:r>
      <w:r w:rsidR="00C51CD1">
        <w:rPr>
          <w:szCs w:val="24"/>
        </w:rPr>
        <w:t xml:space="preserve">study at these higher education institutions may </w:t>
      </w:r>
      <w:r w:rsidR="003749A3" w:rsidRPr="00BB01B3">
        <w:rPr>
          <w:szCs w:val="24"/>
        </w:rPr>
        <w:t xml:space="preserve">not consider the area their main place of residence. If only renting property or living in Austin to attend school for nine months out of the year, students may not report themselves as Austin residents in the </w:t>
      </w:r>
      <w:r w:rsidR="003749A3">
        <w:rPr>
          <w:szCs w:val="24"/>
        </w:rPr>
        <w:t>C</w:t>
      </w:r>
      <w:r w:rsidR="003749A3" w:rsidRPr="00BB01B3">
        <w:rPr>
          <w:szCs w:val="24"/>
        </w:rPr>
        <w:t xml:space="preserve">ensus. </w:t>
      </w:r>
      <w:r w:rsidR="00C51CD1">
        <w:rPr>
          <w:szCs w:val="24"/>
        </w:rPr>
        <w:t>On the other hand</w:t>
      </w:r>
      <w:r w:rsidR="003749A3" w:rsidRPr="00BB01B3">
        <w:rPr>
          <w:szCs w:val="24"/>
        </w:rPr>
        <w:t xml:space="preserve">, a high number of students </w:t>
      </w:r>
      <w:r w:rsidR="00C51CD1">
        <w:rPr>
          <w:szCs w:val="24"/>
        </w:rPr>
        <w:t xml:space="preserve">responded to our </w:t>
      </w:r>
      <w:r w:rsidR="003749A3" w:rsidRPr="00BB01B3">
        <w:rPr>
          <w:szCs w:val="24"/>
        </w:rPr>
        <w:t>survey (</w:t>
      </w:r>
      <w:r w:rsidR="00C51CD1">
        <w:rPr>
          <w:szCs w:val="24"/>
        </w:rPr>
        <w:t xml:space="preserve">about </w:t>
      </w:r>
      <w:r w:rsidR="003749A3" w:rsidRPr="00BB01B3">
        <w:rPr>
          <w:szCs w:val="24"/>
        </w:rPr>
        <w:t>5</w:t>
      </w:r>
      <w:r w:rsidR="00C51CD1">
        <w:rPr>
          <w:szCs w:val="24"/>
        </w:rPr>
        <w:t>2</w:t>
      </w:r>
      <w:r w:rsidR="003749A3" w:rsidRPr="00BB01B3">
        <w:rPr>
          <w:szCs w:val="24"/>
        </w:rPr>
        <w:t xml:space="preserve">% of the total respondent pool). </w:t>
      </w:r>
    </w:p>
    <w:p w14:paraId="13FBD306" w14:textId="7C8CFEA9" w:rsidR="00482DE4" w:rsidRDefault="00C51CD1" w:rsidP="0091464C">
      <w:pPr>
        <w:spacing w:line="276" w:lineRule="auto"/>
        <w:ind w:firstLine="720"/>
        <w:jc w:val="both"/>
      </w:pPr>
      <w:r>
        <w:rPr>
          <w:rFonts w:cs="Times New Roman"/>
          <w:szCs w:val="24"/>
        </w:rPr>
        <w:lastRenderedPageBreak/>
        <w:t>T</w:t>
      </w:r>
      <w:r w:rsidRPr="006046DC">
        <w:rPr>
          <w:rFonts w:cs="Times New Roman"/>
          <w:szCs w:val="24"/>
        </w:rPr>
        <w:t xml:space="preserve">he sample </w:t>
      </w:r>
      <w:r>
        <w:rPr>
          <w:rFonts w:cs="Times New Roman"/>
          <w:szCs w:val="24"/>
        </w:rPr>
        <w:t>skew</w:t>
      </w:r>
      <w:r w:rsidR="00FA1AA1">
        <w:rPr>
          <w:rFonts w:cs="Times New Roman"/>
          <w:szCs w:val="24"/>
        </w:rPr>
        <w:t xml:space="preserve"> </w:t>
      </w:r>
      <w:r>
        <w:rPr>
          <w:rFonts w:cs="Times New Roman"/>
          <w:szCs w:val="24"/>
        </w:rPr>
        <w:t xml:space="preserve">obviously </w:t>
      </w:r>
      <w:r w:rsidRPr="006046DC">
        <w:rPr>
          <w:rFonts w:cs="Times New Roman"/>
          <w:szCs w:val="24"/>
        </w:rPr>
        <w:t>imp</w:t>
      </w:r>
      <w:r w:rsidR="009C786E">
        <w:rPr>
          <w:rFonts w:cs="Times New Roman"/>
          <w:szCs w:val="24"/>
        </w:rPr>
        <w:t>lies</w:t>
      </w:r>
      <w:r w:rsidRPr="006046DC">
        <w:rPr>
          <w:rFonts w:cs="Times New Roman"/>
          <w:szCs w:val="24"/>
        </w:rPr>
        <w:t xml:space="preserve"> that descriptive statistics for the endogenous variables of interest in this paper cannot be generalized to the </w:t>
      </w:r>
      <w:r>
        <w:rPr>
          <w:rFonts w:cs="Times New Roman"/>
          <w:szCs w:val="24"/>
        </w:rPr>
        <w:t xml:space="preserve">Austin area </w:t>
      </w:r>
      <w:r w:rsidRPr="006046DC">
        <w:rPr>
          <w:rFonts w:cs="Times New Roman"/>
          <w:szCs w:val="24"/>
        </w:rPr>
        <w:t>adult population</w:t>
      </w:r>
      <w:r>
        <w:rPr>
          <w:rFonts w:cs="Times New Roman"/>
          <w:szCs w:val="24"/>
        </w:rPr>
        <w:t xml:space="preserve">. However, </w:t>
      </w:r>
      <w:r w:rsidRPr="006046DC">
        <w:rPr>
          <w:rFonts w:cs="Times New Roman"/>
          <w:szCs w:val="24"/>
        </w:rPr>
        <w:t xml:space="preserve">the focus of the current paper is on estimating causal effects (how changes in exogenous demographics and </w:t>
      </w:r>
      <w:r w:rsidR="00B90F81">
        <w:rPr>
          <w:rFonts w:cs="Times New Roman"/>
          <w:szCs w:val="24"/>
        </w:rPr>
        <w:t xml:space="preserve">psycho-social factors </w:t>
      </w:r>
      <w:r w:rsidRPr="006046DC">
        <w:rPr>
          <w:rFonts w:cs="Times New Roman"/>
          <w:szCs w:val="24"/>
        </w:rPr>
        <w:t xml:space="preserve">impact the endogenous variables of interest). In such causal analyses, the issue to weight or not to weight is primarily determined by whether the sampling is dependent or independent of the dependent variables conditional on the explanatory variables. In particular, weighting is needed for consistent estimation of the causal relationship if the sampling strategy is endogenous to the modeled </w:t>
      </w:r>
      <w:r w:rsidR="00DD3CDB" w:rsidRPr="006046DC">
        <w:rPr>
          <w:rFonts w:cs="Times New Roman"/>
          <w:szCs w:val="24"/>
        </w:rPr>
        <w:t>outcomes but</w:t>
      </w:r>
      <w:r w:rsidRPr="006046DC">
        <w:rPr>
          <w:rFonts w:cs="Times New Roman"/>
          <w:szCs w:val="24"/>
        </w:rPr>
        <w:t xml:space="preserve"> is not needed if the variation in the sampling rate is based on exogenous variables. In our case, the sampling strategy was not based on the endogenous variables, and so our sample corresponds to the case of exogenous sampling. In this situation, the unweighted approach is the preferred one because it is more efficient (provides more precise parameter estimates). Thus, in our model estimations, we use the unweighted approach. The reader is referred to </w:t>
      </w:r>
      <w:r w:rsidRPr="006046DC">
        <w:rPr>
          <w:rFonts w:cs="Times New Roman"/>
          <w:noProof/>
          <w:szCs w:val="24"/>
        </w:rPr>
        <w:t>Wooldridge (1995)</w:t>
      </w:r>
      <w:r w:rsidRPr="006046DC">
        <w:rPr>
          <w:rFonts w:cs="Times New Roman"/>
          <w:szCs w:val="24"/>
        </w:rPr>
        <w:t xml:space="preserve"> and </w:t>
      </w:r>
      <w:r w:rsidRPr="006046DC">
        <w:rPr>
          <w:rFonts w:cs="Times New Roman"/>
          <w:noProof/>
          <w:szCs w:val="24"/>
        </w:rPr>
        <w:t xml:space="preserve">Solon </w:t>
      </w:r>
      <w:r w:rsidRPr="00194EF3">
        <w:rPr>
          <w:rFonts w:cs="Times New Roman"/>
          <w:i/>
          <w:iCs/>
          <w:noProof/>
          <w:szCs w:val="24"/>
        </w:rPr>
        <w:t>et al</w:t>
      </w:r>
      <w:r w:rsidRPr="00264E6C">
        <w:rPr>
          <w:rFonts w:cs="Times New Roman"/>
          <w:iCs/>
          <w:noProof/>
          <w:szCs w:val="24"/>
        </w:rPr>
        <w:t>.</w:t>
      </w:r>
      <w:r w:rsidRPr="00264E6C">
        <w:rPr>
          <w:rFonts w:cs="Times New Roman"/>
          <w:noProof/>
          <w:szCs w:val="24"/>
        </w:rPr>
        <w:t xml:space="preserve"> </w:t>
      </w:r>
      <w:r w:rsidRPr="006046DC">
        <w:rPr>
          <w:rFonts w:cs="Times New Roman"/>
          <w:noProof/>
          <w:szCs w:val="24"/>
        </w:rPr>
        <w:t>(2015)</w:t>
      </w:r>
      <w:r w:rsidRPr="006046DC">
        <w:rPr>
          <w:rFonts w:cs="Times New Roman"/>
          <w:szCs w:val="24"/>
        </w:rPr>
        <w:t xml:space="preserve"> for an extensive discussion of this point.</w:t>
      </w:r>
      <w:r w:rsidR="00B90F81">
        <w:rPr>
          <w:rFonts w:cs="Times New Roman"/>
          <w:szCs w:val="24"/>
        </w:rPr>
        <w:t xml:space="preserve"> In addition, our sample displays adequate variation across the range of values of each socio-demographic variable, allowing us to test a variety of functional forms for the effects of these variables. </w:t>
      </w:r>
      <w:r w:rsidR="00654EE9">
        <w:rPr>
          <w:rFonts w:cs="Times New Roman"/>
          <w:szCs w:val="24"/>
        </w:rPr>
        <w:t xml:space="preserve">Overall, the combination of our exogenous sampling approach, as well as the adequate variation in the sample to test demographic effects at a fine level of resolution, implies that there is no reason </w:t>
      </w:r>
      <w:r w:rsidR="00654EE9" w:rsidRPr="00EF20AE">
        <w:t xml:space="preserve">to believe that the individual level relationships estimated from disaggregate models developed in this paper are not applicable to the larger population. </w:t>
      </w:r>
    </w:p>
    <w:p w14:paraId="638E8377" w14:textId="77777777" w:rsidR="0016254A" w:rsidRPr="0034307F" w:rsidRDefault="0016254A" w:rsidP="0091464C">
      <w:pPr>
        <w:spacing w:line="276" w:lineRule="auto"/>
        <w:jc w:val="both"/>
        <w:rPr>
          <w:szCs w:val="24"/>
        </w:rPr>
      </w:pPr>
    </w:p>
    <w:p w14:paraId="17A4C3EC" w14:textId="5BBEA0FD" w:rsidR="00FE704C" w:rsidRPr="00BB01B3" w:rsidRDefault="00FE704C" w:rsidP="0091464C">
      <w:pPr>
        <w:pStyle w:val="Style3"/>
        <w:spacing w:line="276" w:lineRule="auto"/>
        <w:rPr>
          <w:szCs w:val="24"/>
        </w:rPr>
      </w:pPr>
      <w:r w:rsidRPr="00BB01B3">
        <w:rPr>
          <w:szCs w:val="24"/>
        </w:rPr>
        <w:t>3.2.</w:t>
      </w:r>
      <w:r w:rsidR="00654EE9">
        <w:rPr>
          <w:szCs w:val="24"/>
        </w:rPr>
        <w:t>2</w:t>
      </w:r>
      <w:r w:rsidRPr="00BB01B3">
        <w:rPr>
          <w:szCs w:val="24"/>
        </w:rPr>
        <w:tab/>
        <w:t>Stochastic Latent Constructs</w:t>
      </w:r>
    </w:p>
    <w:p w14:paraId="43C15314" w14:textId="1935C3E5" w:rsidR="005875A6" w:rsidRDefault="00BD7446" w:rsidP="0091464C">
      <w:pPr>
        <w:spacing w:line="276" w:lineRule="auto"/>
        <w:jc w:val="both"/>
        <w:rPr>
          <w:szCs w:val="24"/>
        </w:rPr>
      </w:pPr>
      <w:r>
        <w:rPr>
          <w:szCs w:val="24"/>
        </w:rPr>
        <w:t xml:space="preserve">In the structural equations model component of the </w:t>
      </w:r>
      <w:r w:rsidR="00F55BD4">
        <w:rPr>
          <w:szCs w:val="24"/>
        </w:rPr>
        <w:t xml:space="preserve">analytic </w:t>
      </w:r>
      <w:r>
        <w:rPr>
          <w:szCs w:val="24"/>
        </w:rPr>
        <w:t>framework,</w:t>
      </w:r>
      <w:r w:rsidR="00B715FD">
        <w:rPr>
          <w:szCs w:val="24"/>
        </w:rPr>
        <w:t xml:space="preserve"> </w:t>
      </w:r>
      <w:r>
        <w:rPr>
          <w:szCs w:val="24"/>
        </w:rPr>
        <w:t>i</w:t>
      </w:r>
      <w:r w:rsidR="008F11F8" w:rsidRPr="00BB01B3">
        <w:rPr>
          <w:szCs w:val="24"/>
        </w:rPr>
        <w:t xml:space="preserve">ndividual-level characteristics (left side of Figure 1) </w:t>
      </w:r>
      <w:r>
        <w:rPr>
          <w:szCs w:val="24"/>
        </w:rPr>
        <w:t xml:space="preserve">are used </w:t>
      </w:r>
      <w:r w:rsidR="00486169">
        <w:rPr>
          <w:szCs w:val="24"/>
        </w:rPr>
        <w:t>to</w:t>
      </w:r>
      <w:r>
        <w:rPr>
          <w:szCs w:val="24"/>
        </w:rPr>
        <w:t xml:space="preserve"> </w:t>
      </w:r>
      <w:r w:rsidR="00B715FD">
        <w:rPr>
          <w:szCs w:val="24"/>
        </w:rPr>
        <w:t xml:space="preserve">explain </w:t>
      </w:r>
      <w:r w:rsidR="008F11F8" w:rsidRPr="00BB01B3">
        <w:rPr>
          <w:szCs w:val="24"/>
        </w:rPr>
        <w:t>the f</w:t>
      </w:r>
      <w:r w:rsidR="00976F51">
        <w:rPr>
          <w:szCs w:val="24"/>
        </w:rPr>
        <w:t>our</w:t>
      </w:r>
      <w:r w:rsidR="008F11F8" w:rsidRPr="00BB01B3">
        <w:rPr>
          <w:szCs w:val="24"/>
        </w:rPr>
        <w:t xml:space="preserve"> latent constructs representing driving control, mobility control, safety concern, and tech-savviness</w:t>
      </w:r>
      <w:r w:rsidR="008F11F8" w:rsidRPr="00096FCA">
        <w:rPr>
          <w:szCs w:val="24"/>
        </w:rPr>
        <w:t>.</w:t>
      </w:r>
      <w:r w:rsidR="00486169" w:rsidRPr="00096FCA">
        <w:rPr>
          <w:szCs w:val="24"/>
        </w:rPr>
        <w:t xml:space="preserve"> </w:t>
      </w:r>
      <w:bookmarkStart w:id="5" w:name="_Hlk52792151"/>
      <w:r w:rsidR="00486169" w:rsidRPr="00194EF3">
        <w:rPr>
          <w:szCs w:val="24"/>
        </w:rPr>
        <w:t>Other latent constructs for</w:t>
      </w:r>
      <w:r w:rsidR="00976F51" w:rsidRPr="00194EF3">
        <w:rPr>
          <w:szCs w:val="24"/>
        </w:rPr>
        <w:t xml:space="preserve"> security concern, green lifestyle, </w:t>
      </w:r>
      <w:r w:rsidR="00486169" w:rsidRPr="00194EF3">
        <w:rPr>
          <w:szCs w:val="24"/>
        </w:rPr>
        <w:t>time sensitivity</w:t>
      </w:r>
      <w:r w:rsidR="002C4BC5">
        <w:rPr>
          <w:szCs w:val="24"/>
        </w:rPr>
        <w:t>,</w:t>
      </w:r>
      <w:r w:rsidR="002C4BC5" w:rsidRPr="002C4BC5">
        <w:rPr>
          <w:szCs w:val="24"/>
        </w:rPr>
        <w:t xml:space="preserve"> </w:t>
      </w:r>
      <w:r w:rsidR="002C4BC5">
        <w:rPr>
          <w:szCs w:val="24"/>
        </w:rPr>
        <w:t xml:space="preserve">privacy sensitivity, </w:t>
      </w:r>
      <w:r w:rsidR="00486169" w:rsidRPr="00194EF3">
        <w:rPr>
          <w:szCs w:val="24"/>
        </w:rPr>
        <w:t xml:space="preserve">and variety-seeking were also constructed and tested, but did not turn out to </w:t>
      </w:r>
      <w:r w:rsidR="00976F51" w:rsidRPr="00194EF3">
        <w:rPr>
          <w:szCs w:val="24"/>
        </w:rPr>
        <w:t xml:space="preserve">provide any substantial gains </w:t>
      </w:r>
      <w:r w:rsidR="00486169" w:rsidRPr="00194EF3">
        <w:rPr>
          <w:szCs w:val="24"/>
        </w:rPr>
        <w:t xml:space="preserve">in explaining the main outcomes. </w:t>
      </w:r>
      <w:bookmarkStart w:id="6" w:name="_Hlk52792251"/>
      <w:bookmarkEnd w:id="5"/>
      <w:r w:rsidR="00486169" w:rsidRPr="00194EF3">
        <w:rPr>
          <w:szCs w:val="24"/>
        </w:rPr>
        <w:t xml:space="preserve">In part, this </w:t>
      </w:r>
      <w:r w:rsidR="00DC7DF9" w:rsidRPr="00194EF3">
        <w:rPr>
          <w:szCs w:val="24"/>
        </w:rPr>
        <w:t>i</w:t>
      </w:r>
      <w:r w:rsidR="00486169" w:rsidRPr="00194EF3">
        <w:rPr>
          <w:szCs w:val="24"/>
        </w:rPr>
        <w:t xml:space="preserve">s because of correlation </w:t>
      </w:r>
      <w:r w:rsidR="00DC7DF9" w:rsidRPr="00194EF3">
        <w:rPr>
          <w:szCs w:val="24"/>
        </w:rPr>
        <w:t>between these constructs and the constructs considered in this pape</w:t>
      </w:r>
      <w:r w:rsidR="005D45A0">
        <w:rPr>
          <w:szCs w:val="24"/>
        </w:rPr>
        <w:t>r</w:t>
      </w:r>
      <w:r w:rsidR="00DC7DF9" w:rsidRPr="00194EF3">
        <w:rPr>
          <w:szCs w:val="24"/>
        </w:rPr>
        <w:t>.</w:t>
      </w:r>
      <w:r w:rsidR="00DC7DF9" w:rsidRPr="00096FCA">
        <w:rPr>
          <w:szCs w:val="24"/>
        </w:rPr>
        <w:t xml:space="preserve"> </w:t>
      </w:r>
      <w:bookmarkEnd w:id="6"/>
      <w:r w:rsidR="00216EEB">
        <w:rPr>
          <w:szCs w:val="24"/>
        </w:rPr>
        <w:t>For example, a key indicator for safety concerns came out to be the worry about technology failure considerations. This worry directly correlates with what turned out to be a key indicator for security concerns in the form of the worry about potential security breaches through which important personal information becomes public.</w:t>
      </w:r>
      <w:r w:rsidR="00216EEB">
        <w:rPr>
          <w:rStyle w:val="FootnoteReference"/>
          <w:szCs w:val="24"/>
        </w:rPr>
        <w:footnoteReference w:id="3"/>
      </w:r>
      <w:r w:rsidR="00216EEB">
        <w:rPr>
          <w:szCs w:val="24"/>
        </w:rPr>
        <w:t xml:space="preserve"> </w:t>
      </w:r>
      <w:r w:rsidR="00976F51">
        <w:rPr>
          <w:szCs w:val="24"/>
        </w:rPr>
        <w:t xml:space="preserve">But, to a </w:t>
      </w:r>
      <w:r w:rsidR="005875A6">
        <w:rPr>
          <w:szCs w:val="24"/>
        </w:rPr>
        <w:t xml:space="preserve">much larger </w:t>
      </w:r>
      <w:r w:rsidR="00976F51">
        <w:rPr>
          <w:szCs w:val="24"/>
        </w:rPr>
        <w:t xml:space="preserve">extent, </w:t>
      </w:r>
      <w:r w:rsidR="005875A6">
        <w:rPr>
          <w:szCs w:val="24"/>
        </w:rPr>
        <w:t>many other psycho-social constructs faded</w:t>
      </w:r>
      <w:r w:rsidR="00976F51">
        <w:rPr>
          <w:szCs w:val="24"/>
        </w:rPr>
        <w:t xml:space="preserve"> </w:t>
      </w:r>
      <w:r w:rsidR="005875A6">
        <w:rPr>
          <w:szCs w:val="24"/>
        </w:rPr>
        <w:t xml:space="preserve">away </w:t>
      </w:r>
      <w:r w:rsidR="00976F51">
        <w:rPr>
          <w:szCs w:val="24"/>
        </w:rPr>
        <w:t xml:space="preserve">because the need for driving control and mobility control appear to be the dominant psycho-social factors impacting AV adoption and duration-to-adoption considerations. </w:t>
      </w:r>
      <w:r w:rsidR="00E26EDA">
        <w:rPr>
          <w:szCs w:val="24"/>
        </w:rPr>
        <w:t>On the other hand, most earlier studies of AV adoption (and even the broader technology adoption literature</w:t>
      </w:r>
      <w:r w:rsidR="00212203">
        <w:rPr>
          <w:szCs w:val="24"/>
        </w:rPr>
        <w:t>)</w:t>
      </w:r>
      <w:r w:rsidR="00E26EDA">
        <w:rPr>
          <w:szCs w:val="24"/>
        </w:rPr>
        <w:t xml:space="preserve"> do not consider </w:t>
      </w:r>
      <w:r w:rsidR="00212203">
        <w:rPr>
          <w:szCs w:val="24"/>
        </w:rPr>
        <w:t>such affective emotions</w:t>
      </w:r>
      <w:r w:rsidR="00805363">
        <w:rPr>
          <w:szCs w:val="24"/>
        </w:rPr>
        <w:t xml:space="preserve"> (see Voinescu </w:t>
      </w:r>
      <w:r w:rsidR="00805363" w:rsidRPr="00194EF3">
        <w:rPr>
          <w:i/>
          <w:iCs/>
          <w:szCs w:val="24"/>
        </w:rPr>
        <w:t xml:space="preserve">et </w:t>
      </w:r>
      <w:r w:rsidR="00805363" w:rsidRPr="00194EF3">
        <w:rPr>
          <w:i/>
          <w:iCs/>
          <w:szCs w:val="24"/>
        </w:rPr>
        <w:lastRenderedPageBreak/>
        <w:t>al</w:t>
      </w:r>
      <w:r w:rsidR="00805363" w:rsidRPr="00264E6C">
        <w:rPr>
          <w:iCs/>
          <w:szCs w:val="24"/>
        </w:rPr>
        <w:t>.,</w:t>
      </w:r>
      <w:r w:rsidR="00805363">
        <w:rPr>
          <w:szCs w:val="24"/>
        </w:rPr>
        <w:t xml:space="preserve"> 2020 and Gkartzonikas and Gkritza, 2019)</w:t>
      </w:r>
      <w:r w:rsidR="00976F51">
        <w:rPr>
          <w:szCs w:val="24"/>
        </w:rPr>
        <w:t xml:space="preserve">. </w:t>
      </w:r>
      <w:r w:rsidR="00A12F82">
        <w:rPr>
          <w:szCs w:val="24"/>
        </w:rPr>
        <w:t>Considering t</w:t>
      </w:r>
      <w:r w:rsidR="00FF0911">
        <w:rPr>
          <w:szCs w:val="24"/>
        </w:rPr>
        <w:t>he</w:t>
      </w:r>
      <w:r w:rsidR="002F034A">
        <w:rPr>
          <w:szCs w:val="24"/>
        </w:rPr>
        <w:t>se</w:t>
      </w:r>
      <w:r w:rsidR="00FF0911">
        <w:rPr>
          <w:szCs w:val="24"/>
        </w:rPr>
        <w:t xml:space="preserve"> </w:t>
      </w:r>
      <w:r w:rsidR="002F034A">
        <w:rPr>
          <w:szCs w:val="24"/>
        </w:rPr>
        <w:t xml:space="preserve">control-related </w:t>
      </w:r>
      <w:r w:rsidR="00FF0911">
        <w:rPr>
          <w:szCs w:val="24"/>
        </w:rPr>
        <w:t>psychological factor</w:t>
      </w:r>
      <w:r w:rsidR="002F034A">
        <w:rPr>
          <w:szCs w:val="24"/>
        </w:rPr>
        <w:t xml:space="preserve">s </w:t>
      </w:r>
      <w:r w:rsidR="00A12F82">
        <w:rPr>
          <w:szCs w:val="24"/>
        </w:rPr>
        <w:t xml:space="preserve">within a rigorous AV adoption and timing modeling framework </w:t>
      </w:r>
      <w:r w:rsidR="00FF0911">
        <w:rPr>
          <w:szCs w:val="24"/>
        </w:rPr>
        <w:t>is a unique c</w:t>
      </w:r>
      <w:r w:rsidR="00A12F82">
        <w:rPr>
          <w:szCs w:val="24"/>
        </w:rPr>
        <w:t xml:space="preserve">ontribution of our study (Nordhoff </w:t>
      </w:r>
      <w:r w:rsidR="00A12F82" w:rsidRPr="004D7EA3">
        <w:rPr>
          <w:i/>
          <w:iCs/>
          <w:szCs w:val="24"/>
        </w:rPr>
        <w:t>et al</w:t>
      </w:r>
      <w:r w:rsidR="00A12F82" w:rsidRPr="00264E6C">
        <w:rPr>
          <w:iCs/>
          <w:szCs w:val="24"/>
        </w:rPr>
        <w:t>.,</w:t>
      </w:r>
      <w:r w:rsidR="00A12F82">
        <w:rPr>
          <w:szCs w:val="24"/>
        </w:rPr>
        <w:t xml:space="preserve"> </w:t>
      </w:r>
      <w:r w:rsidR="00A12F82" w:rsidRPr="0063569C">
        <w:rPr>
          <w:szCs w:val="24"/>
        </w:rPr>
        <w:t xml:space="preserve">2016, </w:t>
      </w:r>
      <w:r w:rsidR="00096FCA" w:rsidRPr="0063569C">
        <w:rPr>
          <w:szCs w:val="24"/>
        </w:rPr>
        <w:t>Ch</w:t>
      </w:r>
      <w:r w:rsidR="00A12F82" w:rsidRPr="0063569C">
        <w:rPr>
          <w:szCs w:val="24"/>
        </w:rPr>
        <w:t xml:space="preserve">arness </w:t>
      </w:r>
      <w:r w:rsidR="00A12F82" w:rsidRPr="0063569C">
        <w:rPr>
          <w:i/>
          <w:iCs/>
          <w:szCs w:val="24"/>
        </w:rPr>
        <w:t>et al</w:t>
      </w:r>
      <w:r w:rsidR="00A12F82" w:rsidRPr="00264E6C">
        <w:rPr>
          <w:iCs/>
          <w:szCs w:val="24"/>
        </w:rPr>
        <w:t>.,</w:t>
      </w:r>
      <w:r w:rsidR="00A12F82" w:rsidRPr="0063569C">
        <w:rPr>
          <w:szCs w:val="24"/>
        </w:rPr>
        <w:t xml:space="preserve"> 2018, and</w:t>
      </w:r>
      <w:r w:rsidR="00A12F82">
        <w:rPr>
          <w:szCs w:val="24"/>
        </w:rPr>
        <w:t xml:space="preserve"> Musselwhite, 2019 also consider driving control in the context of “sensation-seeking and “willingness to relinquish driving control”, but these are rather descriptive studies and they do not consider mobility control).</w:t>
      </w:r>
      <w:r w:rsidR="002F034A" w:rsidRPr="005E01F9">
        <w:rPr>
          <w:rStyle w:val="FootnoteReference"/>
          <w:rFonts w:cs="Times New Roman"/>
          <w:color w:val="222222"/>
          <w:shd w:val="clear" w:color="auto" w:fill="FFFFFF"/>
        </w:rPr>
        <w:footnoteReference w:id="4"/>
      </w:r>
      <w:r w:rsidR="00A12F82">
        <w:rPr>
          <w:szCs w:val="24"/>
        </w:rPr>
        <w:t xml:space="preserve"> </w:t>
      </w:r>
    </w:p>
    <w:p w14:paraId="19F47666" w14:textId="2A5EDF90" w:rsidR="008F11F8" w:rsidRDefault="008F11F8" w:rsidP="00BA4553">
      <w:pPr>
        <w:spacing w:line="276" w:lineRule="auto"/>
        <w:ind w:firstLine="720"/>
        <w:jc w:val="both"/>
        <w:rPr>
          <w:rFonts w:cs="Times New Roman"/>
          <w:szCs w:val="24"/>
        </w:rPr>
      </w:pPr>
      <w:r w:rsidRPr="00BB01B3">
        <w:rPr>
          <w:szCs w:val="24"/>
        </w:rPr>
        <w:t>The first latent construct, driving control, describes an individual’s urge</w:t>
      </w:r>
      <w:r w:rsidR="005875A6">
        <w:rPr>
          <w:szCs w:val="24"/>
        </w:rPr>
        <w:t>/need</w:t>
      </w:r>
      <w:r w:rsidRPr="00BB01B3">
        <w:rPr>
          <w:szCs w:val="24"/>
        </w:rPr>
        <w:t xml:space="preserve"> to remain in </w:t>
      </w:r>
      <w:r w:rsidR="005875A6">
        <w:rPr>
          <w:szCs w:val="24"/>
        </w:rPr>
        <w:t xml:space="preserve">control </w:t>
      </w:r>
      <w:r w:rsidRPr="00BB01B3">
        <w:rPr>
          <w:szCs w:val="24"/>
        </w:rPr>
        <w:t xml:space="preserve">of driving themselves around. </w:t>
      </w:r>
      <w:r w:rsidR="005875A6">
        <w:rPr>
          <w:szCs w:val="24"/>
        </w:rPr>
        <w:t xml:space="preserve">The social-psychological literature shows a clear relationship </w:t>
      </w:r>
      <w:r w:rsidR="005875A6" w:rsidRPr="00212203">
        <w:rPr>
          <w:rFonts w:cs="Times New Roman"/>
          <w:szCs w:val="24"/>
        </w:rPr>
        <w:t xml:space="preserve">between the need to be in control </w:t>
      </w:r>
      <w:r w:rsidR="005875A6" w:rsidRPr="00483CE1">
        <w:rPr>
          <w:rFonts w:cs="Times New Roman"/>
          <w:szCs w:val="24"/>
        </w:rPr>
        <w:t xml:space="preserve">in general </w:t>
      </w:r>
      <w:r w:rsidR="005875A6" w:rsidRPr="00984E7E">
        <w:rPr>
          <w:rFonts w:cs="Times New Roman"/>
          <w:szCs w:val="24"/>
        </w:rPr>
        <w:t>and compulsive/habituated</w:t>
      </w:r>
      <w:r w:rsidR="005875A6" w:rsidRPr="00842FF4">
        <w:rPr>
          <w:rFonts w:cs="Times New Roman"/>
          <w:szCs w:val="24"/>
        </w:rPr>
        <w:t xml:space="preserve"> behavior</w:t>
      </w:r>
      <w:r w:rsidR="00A201E8" w:rsidRPr="00842FF4">
        <w:rPr>
          <w:rFonts w:cs="Times New Roman"/>
          <w:szCs w:val="24"/>
        </w:rPr>
        <w:t xml:space="preserve">. In fact, those with </w:t>
      </w:r>
      <w:r w:rsidR="00A201E8" w:rsidRPr="00905D0D">
        <w:rPr>
          <w:rFonts w:cs="Times New Roman"/>
          <w:szCs w:val="24"/>
        </w:rPr>
        <w:t>a</w:t>
      </w:r>
      <w:r w:rsidR="00B6151E">
        <w:rPr>
          <w:rFonts w:cs="Times New Roman"/>
          <w:szCs w:val="24"/>
        </w:rPr>
        <w:t>n</w:t>
      </w:r>
      <w:r w:rsidR="00A201E8" w:rsidRPr="00905D0D">
        <w:rPr>
          <w:rFonts w:cs="Times New Roman"/>
          <w:szCs w:val="24"/>
        </w:rPr>
        <w:t xml:space="preserve"> </w:t>
      </w:r>
      <w:r w:rsidR="00A201E8" w:rsidRPr="00C57042">
        <w:rPr>
          <w:rFonts w:cs="Times New Roman"/>
          <w:bCs/>
          <w:color w:val="222222"/>
          <w:shd w:val="clear" w:color="auto" w:fill="FFFFFF"/>
        </w:rPr>
        <w:t>obsessive</w:t>
      </w:r>
      <w:r w:rsidR="00A201E8" w:rsidRPr="00C57042">
        <w:rPr>
          <w:rFonts w:cs="Times New Roman"/>
          <w:color w:val="222222"/>
          <w:shd w:val="clear" w:color="auto" w:fill="FFFFFF"/>
        </w:rPr>
        <w:t>-</w:t>
      </w:r>
      <w:r w:rsidR="00A201E8" w:rsidRPr="00C57042">
        <w:rPr>
          <w:rFonts w:cs="Times New Roman"/>
          <w:bCs/>
          <w:color w:val="222222"/>
          <w:shd w:val="clear" w:color="auto" w:fill="FFFFFF"/>
        </w:rPr>
        <w:t>compulsive</w:t>
      </w:r>
      <w:r w:rsidR="00A201E8" w:rsidRPr="00C57042">
        <w:rPr>
          <w:rFonts w:cs="Times New Roman"/>
          <w:color w:val="222222"/>
          <w:shd w:val="clear" w:color="auto" w:fill="FFFFFF"/>
        </w:rPr>
        <w:t xml:space="preserve"> personality are, among other things, </w:t>
      </w:r>
      <w:r w:rsidR="0039018C" w:rsidRPr="00C57042">
        <w:rPr>
          <w:rFonts w:cs="Times New Roman"/>
          <w:color w:val="222222"/>
          <w:shd w:val="clear" w:color="auto" w:fill="FFFFFF"/>
        </w:rPr>
        <w:t xml:space="preserve">exemplified </w:t>
      </w:r>
      <w:r w:rsidR="00A201E8" w:rsidRPr="00C57042">
        <w:rPr>
          <w:rFonts w:cs="Times New Roman"/>
          <w:color w:val="222222"/>
          <w:shd w:val="clear" w:color="auto" w:fill="FFFFFF"/>
        </w:rPr>
        <w:t xml:space="preserve">by a preoccupation </w:t>
      </w:r>
      <w:r w:rsidR="0039018C" w:rsidRPr="00C57042">
        <w:rPr>
          <w:rFonts w:cs="Times New Roman"/>
          <w:color w:val="222222"/>
          <w:shd w:val="clear" w:color="auto" w:fill="FFFFFF"/>
        </w:rPr>
        <w:t xml:space="preserve">over </w:t>
      </w:r>
      <w:r w:rsidR="00A201E8" w:rsidRPr="00C57042">
        <w:rPr>
          <w:rFonts w:cs="Times New Roman"/>
          <w:bCs/>
          <w:color w:val="222222"/>
          <w:shd w:val="clear" w:color="auto" w:fill="FFFFFF"/>
        </w:rPr>
        <w:t>control</w:t>
      </w:r>
      <w:r w:rsidR="00A201E8" w:rsidRPr="00C57042">
        <w:rPr>
          <w:rFonts w:cs="Times New Roman"/>
          <w:color w:val="222222"/>
          <w:shd w:val="clear" w:color="auto" w:fill="FFFFFF"/>
        </w:rPr>
        <w:t xml:space="preserve"> of </w:t>
      </w:r>
      <w:r w:rsidR="0039018C" w:rsidRPr="00C57042">
        <w:rPr>
          <w:rFonts w:cs="Times New Roman"/>
          <w:color w:val="222222"/>
          <w:shd w:val="clear" w:color="auto" w:fill="FFFFFF"/>
        </w:rPr>
        <w:t>their environment</w:t>
      </w:r>
      <w:r w:rsidR="00065125">
        <w:rPr>
          <w:rFonts w:cs="Times New Roman"/>
          <w:color w:val="222222"/>
          <w:shd w:val="clear" w:color="auto" w:fill="FFFFFF"/>
        </w:rPr>
        <w:t xml:space="preserve"> (Borg, 2018</w:t>
      </w:r>
      <w:r w:rsidR="00FF0911" w:rsidRPr="00C57042">
        <w:rPr>
          <w:rFonts w:cs="Times New Roman"/>
          <w:color w:val="222222"/>
          <w:shd w:val="clear" w:color="auto" w:fill="FFFFFF"/>
        </w:rPr>
        <w:t>).</w:t>
      </w:r>
      <w:r w:rsidR="00A201E8" w:rsidRPr="00C57042">
        <w:rPr>
          <w:rFonts w:cs="Times New Roman"/>
          <w:color w:val="222222"/>
          <w:shd w:val="clear" w:color="auto" w:fill="FFFFFF"/>
        </w:rPr>
        <w:t xml:space="preserve"> </w:t>
      </w:r>
      <w:r w:rsidR="0039018C" w:rsidRPr="00C57042">
        <w:rPr>
          <w:rFonts w:cs="Times New Roman"/>
          <w:color w:val="222222"/>
          <w:shd w:val="clear" w:color="auto" w:fill="FFFFFF"/>
        </w:rPr>
        <w:t xml:space="preserve">This is because a change in their habituated environment brings anxiety. Anxiety bypasses any considerations of the need to gather more information, and gets immediately translated into vehement opposition to the change. Fundamentally, </w:t>
      </w:r>
      <w:r w:rsidR="0009790B">
        <w:rPr>
          <w:rFonts w:cs="Times New Roman"/>
          <w:color w:val="222222"/>
          <w:shd w:val="clear" w:color="auto" w:fill="FFFFFF"/>
        </w:rPr>
        <w:t>for such individuals</w:t>
      </w:r>
      <w:r w:rsidR="0039018C" w:rsidRPr="00C57042">
        <w:rPr>
          <w:rFonts w:cs="Times New Roman"/>
          <w:color w:val="222222"/>
          <w:shd w:val="clear" w:color="auto" w:fill="FFFFFF"/>
        </w:rPr>
        <w:t>, trying to control the environment</w:t>
      </w:r>
      <w:r w:rsidR="0009790B">
        <w:rPr>
          <w:rFonts w:cs="Times New Roman"/>
          <w:color w:val="222222"/>
          <w:shd w:val="clear" w:color="auto" w:fill="FFFFFF"/>
        </w:rPr>
        <w:t xml:space="preserve"> serves as </w:t>
      </w:r>
      <w:r w:rsidR="0081463C" w:rsidRPr="00C57042">
        <w:rPr>
          <w:rFonts w:cs="Times New Roman"/>
          <w:color w:val="222222"/>
          <w:shd w:val="clear" w:color="auto" w:fill="FFFFFF"/>
        </w:rPr>
        <w:t>a coping mechanism to retain sanity in what may seem an out of-control external world</w:t>
      </w:r>
      <w:r w:rsidR="00212203">
        <w:rPr>
          <w:rFonts w:cs="Times New Roman"/>
          <w:color w:val="222222"/>
          <w:shd w:val="clear" w:color="auto" w:fill="FFFFFF"/>
        </w:rPr>
        <w:t>.</w:t>
      </w:r>
      <w:r w:rsidR="00212203" w:rsidRPr="005E01F9">
        <w:rPr>
          <w:rFonts w:cs="Times New Roman"/>
          <w:color w:val="222222"/>
          <w:shd w:val="clear" w:color="auto" w:fill="FFFFFF"/>
        </w:rPr>
        <w:t xml:space="preserve"> </w:t>
      </w:r>
      <w:r w:rsidR="00212203">
        <w:rPr>
          <w:rFonts w:cs="Times New Roman"/>
          <w:szCs w:val="24"/>
        </w:rPr>
        <w:t>As indicated earlier, and related to th</w:t>
      </w:r>
      <w:r w:rsidR="002F034A">
        <w:rPr>
          <w:rFonts w:cs="Times New Roman"/>
          <w:szCs w:val="24"/>
        </w:rPr>
        <w:t>is</w:t>
      </w:r>
      <w:r w:rsidR="00212203">
        <w:rPr>
          <w:rFonts w:cs="Times New Roman"/>
          <w:szCs w:val="24"/>
        </w:rPr>
        <w:t xml:space="preserve"> issue of a coping mechanism, driving control can also serve as an important self-identity retention tool. </w:t>
      </w:r>
      <w:r w:rsidR="0009790B">
        <w:rPr>
          <w:rFonts w:cs="Times New Roman"/>
          <w:szCs w:val="24"/>
        </w:rPr>
        <w:t>The strong need for d</w:t>
      </w:r>
      <w:r w:rsidRPr="00483CE1">
        <w:rPr>
          <w:rFonts w:cs="Times New Roman"/>
          <w:szCs w:val="24"/>
        </w:rPr>
        <w:t>riving control</w:t>
      </w:r>
      <w:r w:rsidR="0009790B">
        <w:rPr>
          <w:rFonts w:cs="Times New Roman"/>
          <w:szCs w:val="24"/>
        </w:rPr>
        <w:t xml:space="preserve">, therefore, can be viewed as being associated with a reluctance to give up self-driving. </w:t>
      </w:r>
      <w:r w:rsidR="008B5BCA">
        <w:rPr>
          <w:rFonts w:cs="Times New Roman"/>
          <w:szCs w:val="24"/>
        </w:rPr>
        <w:t>D</w:t>
      </w:r>
      <w:r w:rsidR="0070450F" w:rsidRPr="00483CE1">
        <w:rPr>
          <w:rFonts w:cs="Times New Roman"/>
          <w:szCs w:val="24"/>
        </w:rPr>
        <w:t>riving control</w:t>
      </w:r>
      <w:r w:rsidR="008B5BCA">
        <w:rPr>
          <w:rFonts w:cs="Times New Roman"/>
          <w:szCs w:val="24"/>
        </w:rPr>
        <w:t>-</w:t>
      </w:r>
      <w:r w:rsidR="0070450F" w:rsidRPr="00483CE1">
        <w:rPr>
          <w:rFonts w:cs="Times New Roman"/>
          <w:szCs w:val="24"/>
        </w:rPr>
        <w:t xml:space="preserve">inclined </w:t>
      </w:r>
      <w:r w:rsidR="006B584B" w:rsidRPr="00984E7E">
        <w:rPr>
          <w:rFonts w:cs="Times New Roman"/>
          <w:szCs w:val="24"/>
        </w:rPr>
        <w:t>respondent</w:t>
      </w:r>
      <w:r w:rsidR="0070450F" w:rsidRPr="00842FF4">
        <w:rPr>
          <w:rFonts w:cs="Times New Roman"/>
          <w:szCs w:val="24"/>
        </w:rPr>
        <w:t xml:space="preserve">s </w:t>
      </w:r>
      <w:r w:rsidR="008B5BCA">
        <w:rPr>
          <w:rFonts w:cs="Times New Roman"/>
          <w:szCs w:val="24"/>
        </w:rPr>
        <w:t xml:space="preserve">may also want to retain that familiar exhilaration </w:t>
      </w:r>
      <w:r w:rsidR="00CA2E8F">
        <w:rPr>
          <w:rFonts w:cs="Times New Roman"/>
          <w:szCs w:val="24"/>
        </w:rPr>
        <w:t xml:space="preserve">feeling (sensation-seeking effect) </w:t>
      </w:r>
      <w:r w:rsidR="008B5BCA">
        <w:rPr>
          <w:rFonts w:cs="Times New Roman"/>
          <w:szCs w:val="24"/>
        </w:rPr>
        <w:t xml:space="preserve">they get when behind the wheel </w:t>
      </w:r>
      <w:r w:rsidR="006B584B" w:rsidRPr="007C3233">
        <w:rPr>
          <w:rFonts w:cs="Times New Roman"/>
          <w:szCs w:val="24"/>
        </w:rPr>
        <w:t>(</w:t>
      </w:r>
      <w:r w:rsidR="008E2EB5">
        <w:rPr>
          <w:rFonts w:cs="Times New Roman"/>
          <w:szCs w:val="24"/>
        </w:rPr>
        <w:t xml:space="preserve">see </w:t>
      </w:r>
      <w:r w:rsidR="00CA2E8F">
        <w:rPr>
          <w:rFonts w:cs="Times New Roman"/>
          <w:szCs w:val="24"/>
        </w:rPr>
        <w:t xml:space="preserve">Nordhoff </w:t>
      </w:r>
      <w:r w:rsidR="00CA2E8F" w:rsidRPr="004D7EA3">
        <w:rPr>
          <w:rFonts w:cs="Times New Roman"/>
          <w:i/>
          <w:iCs/>
          <w:szCs w:val="24"/>
        </w:rPr>
        <w:t>et al</w:t>
      </w:r>
      <w:r w:rsidR="00CA2E8F" w:rsidRPr="00264E6C">
        <w:rPr>
          <w:rFonts w:cs="Times New Roman"/>
          <w:iCs/>
          <w:szCs w:val="24"/>
        </w:rPr>
        <w:t>.,</w:t>
      </w:r>
      <w:r w:rsidR="00CA2E8F" w:rsidRPr="00264E6C">
        <w:rPr>
          <w:rFonts w:cs="Times New Roman"/>
          <w:szCs w:val="24"/>
        </w:rPr>
        <w:t xml:space="preserve"> </w:t>
      </w:r>
      <w:r w:rsidR="00CA2E8F">
        <w:rPr>
          <w:rFonts w:cs="Times New Roman"/>
          <w:szCs w:val="24"/>
        </w:rPr>
        <w:t>2016</w:t>
      </w:r>
      <w:r w:rsidR="0082498B">
        <w:rPr>
          <w:rFonts w:cs="Times New Roman"/>
          <w:szCs w:val="24"/>
        </w:rPr>
        <w:t xml:space="preserve">; </w:t>
      </w:r>
      <w:r w:rsidR="006B584B" w:rsidRPr="00483CE1">
        <w:rPr>
          <w:rFonts w:cs="Times New Roman"/>
          <w:szCs w:val="24"/>
        </w:rPr>
        <w:t xml:space="preserve">Ryder, 2019) </w:t>
      </w:r>
      <w:r w:rsidR="008B5BCA">
        <w:rPr>
          <w:rFonts w:cs="Times New Roman"/>
          <w:szCs w:val="24"/>
        </w:rPr>
        <w:t xml:space="preserve">and may even be more prone to </w:t>
      </w:r>
      <w:r w:rsidR="006B584B" w:rsidRPr="00842FF4">
        <w:rPr>
          <w:rFonts w:cs="Times New Roman"/>
          <w:szCs w:val="24"/>
        </w:rPr>
        <w:t>car</w:t>
      </w:r>
      <w:r w:rsidR="00212203">
        <w:rPr>
          <w:rFonts w:cs="Times New Roman"/>
          <w:szCs w:val="24"/>
        </w:rPr>
        <w:t>-</w:t>
      </w:r>
      <w:r w:rsidR="006B584B" w:rsidRPr="00483CE1">
        <w:rPr>
          <w:rFonts w:cs="Times New Roman"/>
          <w:szCs w:val="24"/>
        </w:rPr>
        <w:t>sick</w:t>
      </w:r>
      <w:r w:rsidR="008B5BCA">
        <w:rPr>
          <w:rFonts w:cs="Times New Roman"/>
          <w:szCs w:val="24"/>
        </w:rPr>
        <w:t>ness</w:t>
      </w:r>
      <w:r w:rsidR="006B584B" w:rsidRPr="00212203">
        <w:rPr>
          <w:rFonts w:cs="Times New Roman"/>
          <w:szCs w:val="24"/>
        </w:rPr>
        <w:t xml:space="preserve"> as a passenger</w:t>
      </w:r>
      <w:r w:rsidR="008B5BCA">
        <w:rPr>
          <w:rFonts w:cs="Times New Roman"/>
          <w:szCs w:val="24"/>
        </w:rPr>
        <w:t xml:space="preserve">, additional reasons for fearing that </w:t>
      </w:r>
      <w:r w:rsidR="006B584B" w:rsidRPr="00212203">
        <w:rPr>
          <w:rFonts w:cs="Times New Roman"/>
          <w:szCs w:val="24"/>
        </w:rPr>
        <w:t xml:space="preserve">AV technology threatens </w:t>
      </w:r>
      <w:r w:rsidR="008B5BCA">
        <w:rPr>
          <w:rFonts w:cs="Times New Roman"/>
          <w:szCs w:val="24"/>
        </w:rPr>
        <w:t>their very quality of life.</w:t>
      </w:r>
      <w:r w:rsidR="00762F7F">
        <w:rPr>
          <w:rFonts w:cs="Times New Roman"/>
          <w:szCs w:val="24"/>
        </w:rPr>
        <w:t xml:space="preserve"> The expectation is that driving control would negatively affect AV</w:t>
      </w:r>
      <w:r w:rsidR="002F034A">
        <w:rPr>
          <w:rFonts w:cs="Times New Roman"/>
          <w:szCs w:val="24"/>
        </w:rPr>
        <w:t xml:space="preserve"> adoption</w:t>
      </w:r>
      <w:r w:rsidR="00762F7F">
        <w:rPr>
          <w:rFonts w:cs="Times New Roman"/>
          <w:szCs w:val="24"/>
        </w:rPr>
        <w:t xml:space="preserve"> in </w:t>
      </w:r>
      <w:r w:rsidR="002F034A">
        <w:rPr>
          <w:rFonts w:cs="Times New Roman"/>
          <w:szCs w:val="24"/>
        </w:rPr>
        <w:t xml:space="preserve">both the </w:t>
      </w:r>
      <w:r w:rsidR="00762F7F">
        <w:rPr>
          <w:rFonts w:cs="Times New Roman"/>
          <w:szCs w:val="24"/>
        </w:rPr>
        <w:t>private</w:t>
      </w:r>
      <w:r w:rsidR="002F034A">
        <w:rPr>
          <w:rFonts w:cs="Times New Roman"/>
          <w:szCs w:val="24"/>
        </w:rPr>
        <w:t xml:space="preserve"> and shared forms,</w:t>
      </w:r>
      <w:r w:rsidR="00762F7F">
        <w:rPr>
          <w:rFonts w:cs="Times New Roman"/>
          <w:szCs w:val="24"/>
        </w:rPr>
        <w:t xml:space="preserve"> and would lead </w:t>
      </w:r>
      <w:r w:rsidR="008C62C6">
        <w:rPr>
          <w:rFonts w:cs="Times New Roman"/>
          <w:szCs w:val="24"/>
        </w:rPr>
        <w:t xml:space="preserve">to </w:t>
      </w:r>
      <w:r w:rsidR="00762F7F">
        <w:rPr>
          <w:rFonts w:cs="Times New Roman"/>
          <w:szCs w:val="24"/>
        </w:rPr>
        <w:t xml:space="preserve">individuals </w:t>
      </w:r>
      <w:r w:rsidR="008C62C6">
        <w:rPr>
          <w:rFonts w:cs="Times New Roman"/>
          <w:szCs w:val="24"/>
        </w:rPr>
        <w:t>being</w:t>
      </w:r>
      <w:r w:rsidR="00762F7F">
        <w:rPr>
          <w:rFonts w:cs="Times New Roman"/>
          <w:szCs w:val="24"/>
        </w:rPr>
        <w:t xml:space="preserve"> unlikely to ever buy an AV. </w:t>
      </w:r>
    </w:p>
    <w:p w14:paraId="5DCB5E8A" w14:textId="65F9A4F0" w:rsidR="006B584B" w:rsidRDefault="006B584B" w:rsidP="0091464C">
      <w:pPr>
        <w:spacing w:line="276" w:lineRule="auto"/>
        <w:ind w:firstLine="720"/>
        <w:jc w:val="both"/>
        <w:rPr>
          <w:szCs w:val="24"/>
        </w:rPr>
      </w:pPr>
      <w:r w:rsidRPr="00BB01B3">
        <w:rPr>
          <w:szCs w:val="24"/>
        </w:rPr>
        <w:t xml:space="preserve">A second latent construct, </w:t>
      </w:r>
      <w:r w:rsidR="00635276" w:rsidRPr="00BB01B3">
        <w:rPr>
          <w:szCs w:val="24"/>
        </w:rPr>
        <w:t>mobility control, captur</w:t>
      </w:r>
      <w:r w:rsidR="00F205B6">
        <w:rPr>
          <w:szCs w:val="24"/>
        </w:rPr>
        <w:t>es</w:t>
      </w:r>
      <w:r w:rsidR="00635276" w:rsidRPr="00BB01B3">
        <w:rPr>
          <w:szCs w:val="24"/>
        </w:rPr>
        <w:t xml:space="preserve"> </w:t>
      </w:r>
      <w:r w:rsidR="00F205B6">
        <w:rPr>
          <w:szCs w:val="24"/>
        </w:rPr>
        <w:t xml:space="preserve">emotive feelings related to a desire to be </w:t>
      </w:r>
      <w:r w:rsidR="00635276" w:rsidRPr="00BB01B3">
        <w:rPr>
          <w:szCs w:val="24"/>
        </w:rPr>
        <w:t>in c</w:t>
      </w:r>
      <w:r w:rsidR="00F205B6">
        <w:rPr>
          <w:szCs w:val="24"/>
        </w:rPr>
        <w:t xml:space="preserve">ontrol </w:t>
      </w:r>
      <w:r w:rsidR="00635276" w:rsidRPr="00BB01B3">
        <w:rPr>
          <w:szCs w:val="24"/>
        </w:rPr>
        <w:t xml:space="preserve">of mobility. This may involve </w:t>
      </w:r>
      <w:r w:rsidR="00F205B6">
        <w:rPr>
          <w:szCs w:val="24"/>
        </w:rPr>
        <w:t xml:space="preserve">the </w:t>
      </w:r>
      <w:r w:rsidR="00065125">
        <w:rPr>
          <w:szCs w:val="24"/>
        </w:rPr>
        <w:t xml:space="preserve">need for </w:t>
      </w:r>
      <w:r w:rsidR="00EC4D06">
        <w:rPr>
          <w:szCs w:val="24"/>
        </w:rPr>
        <w:t xml:space="preserve">substantial </w:t>
      </w:r>
      <w:r w:rsidR="00065125">
        <w:rPr>
          <w:szCs w:val="24"/>
        </w:rPr>
        <w:t xml:space="preserve">freedom to choose the </w:t>
      </w:r>
      <w:r w:rsidR="00F205B6">
        <w:rPr>
          <w:szCs w:val="24"/>
        </w:rPr>
        <w:t>“</w:t>
      </w:r>
      <w:r w:rsidR="00635276" w:rsidRPr="00BB01B3">
        <w:rPr>
          <w:szCs w:val="24"/>
        </w:rPr>
        <w:t>when, where</w:t>
      </w:r>
      <w:r w:rsidR="00F205B6">
        <w:rPr>
          <w:szCs w:val="24"/>
        </w:rPr>
        <w:t>,</w:t>
      </w:r>
      <w:r w:rsidR="00635276" w:rsidRPr="00BB01B3">
        <w:rPr>
          <w:szCs w:val="24"/>
        </w:rPr>
        <w:t xml:space="preserve"> and </w:t>
      </w:r>
      <w:r w:rsidR="00F205B6">
        <w:rPr>
          <w:szCs w:val="24"/>
        </w:rPr>
        <w:t xml:space="preserve">the </w:t>
      </w:r>
      <w:r w:rsidR="00635276" w:rsidRPr="00BB01B3">
        <w:rPr>
          <w:szCs w:val="24"/>
        </w:rPr>
        <w:t>with who</w:t>
      </w:r>
      <w:r w:rsidR="00F205B6">
        <w:rPr>
          <w:szCs w:val="24"/>
        </w:rPr>
        <w:t>m” of travel. The ability to have access t</w:t>
      </w:r>
      <w:r w:rsidR="00EC4D06">
        <w:rPr>
          <w:szCs w:val="24"/>
        </w:rPr>
        <w:t xml:space="preserve">o </w:t>
      </w:r>
      <w:r w:rsidR="00F205B6">
        <w:rPr>
          <w:szCs w:val="24"/>
        </w:rPr>
        <w:t xml:space="preserve">transportation </w:t>
      </w:r>
      <w:r w:rsidR="00EC4D06">
        <w:rPr>
          <w:szCs w:val="24"/>
        </w:rPr>
        <w:t xml:space="preserve">immediately </w:t>
      </w:r>
      <w:r w:rsidR="00F205B6">
        <w:rPr>
          <w:szCs w:val="24"/>
        </w:rPr>
        <w:t>is paramount</w:t>
      </w:r>
      <w:r w:rsidR="002577E1">
        <w:rPr>
          <w:szCs w:val="24"/>
        </w:rPr>
        <w:t>, with</w:t>
      </w:r>
      <w:r w:rsidR="00F205B6">
        <w:rPr>
          <w:szCs w:val="24"/>
        </w:rPr>
        <w:t xml:space="preserve"> </w:t>
      </w:r>
      <w:r w:rsidR="002F034A">
        <w:rPr>
          <w:szCs w:val="24"/>
        </w:rPr>
        <w:t xml:space="preserve">an emphasis on the </w:t>
      </w:r>
      <w:r w:rsidR="00EC4D06">
        <w:rPr>
          <w:szCs w:val="24"/>
        </w:rPr>
        <w:t xml:space="preserve">ability to make spur-of-the-moment plans </w:t>
      </w:r>
      <w:r w:rsidR="002577E1">
        <w:rPr>
          <w:szCs w:val="24"/>
        </w:rPr>
        <w:t>and</w:t>
      </w:r>
      <w:r w:rsidR="00EC4D06">
        <w:rPr>
          <w:szCs w:val="24"/>
        </w:rPr>
        <w:t xml:space="preserve"> </w:t>
      </w:r>
      <w:r w:rsidR="002F034A">
        <w:rPr>
          <w:szCs w:val="24"/>
        </w:rPr>
        <w:t xml:space="preserve">to </w:t>
      </w:r>
      <w:r w:rsidR="00EC4D06">
        <w:rPr>
          <w:szCs w:val="24"/>
        </w:rPr>
        <w:t>change</w:t>
      </w:r>
      <w:r w:rsidR="002F034A">
        <w:rPr>
          <w:szCs w:val="24"/>
        </w:rPr>
        <w:t xml:space="preserve"> </w:t>
      </w:r>
      <w:r w:rsidR="00EC4D06">
        <w:rPr>
          <w:szCs w:val="24"/>
        </w:rPr>
        <w:t xml:space="preserve">existing plans. The flexibility in mobility implies little patience accommodating other individuals’ schedules or desires, and a need for </w:t>
      </w:r>
      <w:r w:rsidR="002F034A">
        <w:rPr>
          <w:szCs w:val="24"/>
        </w:rPr>
        <w:t>substantial</w:t>
      </w:r>
      <w:r w:rsidR="00EC4D06">
        <w:rPr>
          <w:szCs w:val="24"/>
        </w:rPr>
        <w:t xml:space="preserve"> independence in mobility decisions. </w:t>
      </w:r>
      <w:r w:rsidR="00D424E7" w:rsidRPr="00BB01B3">
        <w:rPr>
          <w:szCs w:val="24"/>
        </w:rPr>
        <w:t>Additionally, those who desire mobility control</w:t>
      </w:r>
      <w:r w:rsidR="00635276" w:rsidRPr="00BB01B3">
        <w:rPr>
          <w:szCs w:val="24"/>
        </w:rPr>
        <w:t xml:space="preserve"> may be </w:t>
      </w:r>
      <w:r w:rsidR="0070450F" w:rsidRPr="00BB01B3">
        <w:rPr>
          <w:szCs w:val="24"/>
        </w:rPr>
        <w:t>prone</w:t>
      </w:r>
      <w:r w:rsidR="00635276" w:rsidRPr="00BB01B3">
        <w:rPr>
          <w:szCs w:val="24"/>
        </w:rPr>
        <w:t xml:space="preserve"> to link</w:t>
      </w:r>
      <w:r w:rsidR="0070450F" w:rsidRPr="00BB01B3">
        <w:rPr>
          <w:szCs w:val="24"/>
        </w:rPr>
        <w:t>ing</w:t>
      </w:r>
      <w:r w:rsidR="00635276" w:rsidRPr="00BB01B3">
        <w:rPr>
          <w:szCs w:val="24"/>
        </w:rPr>
        <w:t xml:space="preserve"> more than one activity on a single </w:t>
      </w:r>
      <w:r w:rsidR="00EC4D06">
        <w:rPr>
          <w:szCs w:val="24"/>
        </w:rPr>
        <w:t xml:space="preserve">sojourn. Thus, the expectation is that individuals </w:t>
      </w:r>
      <w:r w:rsidR="002F034A">
        <w:rPr>
          <w:szCs w:val="24"/>
        </w:rPr>
        <w:t xml:space="preserve">with a </w:t>
      </w:r>
      <w:r w:rsidR="00EC4D06">
        <w:rPr>
          <w:szCs w:val="24"/>
        </w:rPr>
        <w:t xml:space="preserve">high mobility control </w:t>
      </w:r>
      <w:r w:rsidR="002F034A">
        <w:rPr>
          <w:szCs w:val="24"/>
        </w:rPr>
        <w:t xml:space="preserve">need </w:t>
      </w:r>
      <w:r w:rsidR="00EC4D06">
        <w:rPr>
          <w:szCs w:val="24"/>
        </w:rPr>
        <w:t xml:space="preserve">will be more likely to own </w:t>
      </w:r>
      <w:r w:rsidR="00762F7F">
        <w:rPr>
          <w:szCs w:val="24"/>
        </w:rPr>
        <w:t xml:space="preserve">a </w:t>
      </w:r>
      <w:r w:rsidR="00EC4D06">
        <w:rPr>
          <w:szCs w:val="24"/>
        </w:rPr>
        <w:t>private vehicle, whether a</w:t>
      </w:r>
      <w:r w:rsidR="007C64E7">
        <w:rPr>
          <w:szCs w:val="24"/>
        </w:rPr>
        <w:t xml:space="preserve"> regular vehicle (</w:t>
      </w:r>
      <w:r w:rsidR="00EC4D06">
        <w:rPr>
          <w:szCs w:val="24"/>
        </w:rPr>
        <w:t>RV</w:t>
      </w:r>
      <w:r w:rsidR="007C64E7">
        <w:rPr>
          <w:szCs w:val="24"/>
        </w:rPr>
        <w:t>)</w:t>
      </w:r>
      <w:r w:rsidR="00EC4D06">
        <w:rPr>
          <w:szCs w:val="24"/>
        </w:rPr>
        <w:t xml:space="preserve"> or an </w:t>
      </w:r>
      <w:r w:rsidR="007C64E7">
        <w:rPr>
          <w:szCs w:val="24"/>
        </w:rPr>
        <w:t>autonomous vehicle (</w:t>
      </w:r>
      <w:r w:rsidR="00EC4D06">
        <w:rPr>
          <w:szCs w:val="24"/>
        </w:rPr>
        <w:t>AV</w:t>
      </w:r>
      <w:r w:rsidR="007C64E7">
        <w:rPr>
          <w:szCs w:val="24"/>
        </w:rPr>
        <w:t>)</w:t>
      </w:r>
      <w:r w:rsidR="00EC4D06">
        <w:rPr>
          <w:szCs w:val="24"/>
        </w:rPr>
        <w:t xml:space="preserve">. </w:t>
      </w:r>
      <w:r w:rsidR="00F506B5" w:rsidRPr="007C298C">
        <w:rPr>
          <w:szCs w:val="24"/>
        </w:rPr>
        <w:t xml:space="preserve">It </w:t>
      </w:r>
      <w:r w:rsidR="00F506B5" w:rsidRPr="007C298C">
        <w:rPr>
          <w:szCs w:val="24"/>
        </w:rPr>
        <w:lastRenderedPageBreak/>
        <w:t>is even possible that such individuals may place a slightly higher premium on an AV</w:t>
      </w:r>
      <w:r w:rsidR="002577E1">
        <w:rPr>
          <w:szCs w:val="24"/>
        </w:rPr>
        <w:t xml:space="preserve"> (relative to an RV)</w:t>
      </w:r>
      <w:r w:rsidR="00F506B5" w:rsidRPr="007C298C">
        <w:rPr>
          <w:szCs w:val="24"/>
        </w:rPr>
        <w:t xml:space="preserve">, because they are even less tied down to chauffeuring children and older individuals </w:t>
      </w:r>
      <w:r w:rsidR="007E5E86" w:rsidRPr="007C298C">
        <w:rPr>
          <w:szCs w:val="24"/>
        </w:rPr>
        <w:t>to activities (</w:t>
      </w:r>
      <w:r w:rsidR="007C298C" w:rsidRPr="007C298C">
        <w:rPr>
          <w:szCs w:val="24"/>
        </w:rPr>
        <w:t>Panagiotopoulos</w:t>
      </w:r>
      <w:r w:rsidR="007C298C" w:rsidRPr="00336205">
        <w:rPr>
          <w:szCs w:val="24"/>
        </w:rPr>
        <w:t xml:space="preserve"> </w:t>
      </w:r>
      <w:r w:rsidR="00202449" w:rsidRPr="00264E6C">
        <w:rPr>
          <w:rFonts w:cs="Times New Roman"/>
          <w:szCs w:val="24"/>
          <w:shd w:val="clear" w:color="auto" w:fill="FFFFFF"/>
        </w:rPr>
        <w:t>and Dimitrakopoulos</w:t>
      </w:r>
      <w:r w:rsidR="007C298C" w:rsidRPr="00336205">
        <w:rPr>
          <w:szCs w:val="24"/>
        </w:rPr>
        <w:t>, 2018</w:t>
      </w:r>
      <w:r w:rsidR="007E5E86" w:rsidRPr="007C298C">
        <w:rPr>
          <w:szCs w:val="24"/>
        </w:rPr>
        <w:t xml:space="preserve">). </w:t>
      </w:r>
      <w:r w:rsidR="007E5E86">
        <w:rPr>
          <w:szCs w:val="24"/>
        </w:rPr>
        <w:t>Of course, s</w:t>
      </w:r>
      <w:r w:rsidR="00EC4D06">
        <w:rPr>
          <w:szCs w:val="24"/>
        </w:rPr>
        <w:t xml:space="preserve">uch individuals are likely to shun SAVs. </w:t>
      </w:r>
      <w:r w:rsidR="007E5E86">
        <w:rPr>
          <w:szCs w:val="24"/>
        </w:rPr>
        <w:t>The need for mobility control may make them rely more on regular vehicles in the early AV stages</w:t>
      </w:r>
      <w:r w:rsidR="002F034A">
        <w:rPr>
          <w:szCs w:val="24"/>
        </w:rPr>
        <w:t xml:space="preserve"> (because of the uncertainty of the resulting environment on their mobility needs at the initial stages)</w:t>
      </w:r>
      <w:r w:rsidR="007E5E86">
        <w:rPr>
          <w:szCs w:val="24"/>
        </w:rPr>
        <w:t xml:space="preserve">, though they may eventually want to buy an AV after things settle down some. </w:t>
      </w:r>
    </w:p>
    <w:p w14:paraId="055D1B92" w14:textId="35745ED5" w:rsidR="008F11F8" w:rsidRDefault="00EC4D06" w:rsidP="0091464C">
      <w:pPr>
        <w:spacing w:line="276" w:lineRule="auto"/>
        <w:ind w:firstLine="720"/>
        <w:jc w:val="both"/>
        <w:rPr>
          <w:szCs w:val="24"/>
        </w:rPr>
      </w:pPr>
      <w:r>
        <w:rPr>
          <w:szCs w:val="24"/>
        </w:rPr>
        <w:t>The third</w:t>
      </w:r>
      <w:r w:rsidR="00586738">
        <w:rPr>
          <w:szCs w:val="24"/>
        </w:rPr>
        <w:t xml:space="preserve"> </w:t>
      </w:r>
      <w:r>
        <w:rPr>
          <w:szCs w:val="24"/>
        </w:rPr>
        <w:t xml:space="preserve">latent construct, </w:t>
      </w:r>
      <w:r w:rsidR="00586738">
        <w:rPr>
          <w:szCs w:val="24"/>
        </w:rPr>
        <w:t xml:space="preserve">AV </w:t>
      </w:r>
      <w:r>
        <w:rPr>
          <w:szCs w:val="24"/>
        </w:rPr>
        <w:t>safety concern</w:t>
      </w:r>
      <w:r w:rsidR="002F034A">
        <w:rPr>
          <w:szCs w:val="24"/>
        </w:rPr>
        <w:t xml:space="preserve"> (or simply safety concern in the rest of this paper)</w:t>
      </w:r>
      <w:r w:rsidR="00586738">
        <w:rPr>
          <w:szCs w:val="24"/>
        </w:rPr>
        <w:t xml:space="preserve">, </w:t>
      </w:r>
      <w:r>
        <w:rPr>
          <w:szCs w:val="24"/>
        </w:rPr>
        <w:t xml:space="preserve">has been </w:t>
      </w:r>
      <w:r w:rsidR="00586738">
        <w:rPr>
          <w:szCs w:val="24"/>
        </w:rPr>
        <w:t xml:space="preserve">shown in </w:t>
      </w:r>
      <w:r>
        <w:rPr>
          <w:szCs w:val="24"/>
        </w:rPr>
        <w:t xml:space="preserve">earlier studies to </w:t>
      </w:r>
      <w:r w:rsidR="00586738">
        <w:rPr>
          <w:szCs w:val="24"/>
        </w:rPr>
        <w:t xml:space="preserve">influence </w:t>
      </w:r>
      <w:r>
        <w:rPr>
          <w:szCs w:val="24"/>
        </w:rPr>
        <w:t xml:space="preserve">AV interest/adoption. </w:t>
      </w:r>
      <w:r w:rsidR="00586738">
        <w:rPr>
          <w:szCs w:val="24"/>
        </w:rPr>
        <w:t>While m</w:t>
      </w:r>
      <w:r w:rsidR="00D424E7" w:rsidRPr="00BB01B3">
        <w:rPr>
          <w:szCs w:val="24"/>
        </w:rPr>
        <w:t xml:space="preserve">any </w:t>
      </w:r>
      <w:r w:rsidR="00586738">
        <w:rPr>
          <w:szCs w:val="24"/>
        </w:rPr>
        <w:t xml:space="preserve">experts </w:t>
      </w:r>
      <w:r w:rsidR="00762085" w:rsidRPr="00BB01B3">
        <w:rPr>
          <w:szCs w:val="24"/>
        </w:rPr>
        <w:t>expect</w:t>
      </w:r>
      <w:r w:rsidR="00D424E7" w:rsidRPr="00BB01B3">
        <w:rPr>
          <w:szCs w:val="24"/>
        </w:rPr>
        <w:t xml:space="preserve"> </w:t>
      </w:r>
      <w:r w:rsidR="00586738">
        <w:rPr>
          <w:szCs w:val="24"/>
        </w:rPr>
        <w:t xml:space="preserve">that </w:t>
      </w:r>
      <w:r w:rsidR="002F034A">
        <w:rPr>
          <w:szCs w:val="24"/>
        </w:rPr>
        <w:t xml:space="preserve">AVs </w:t>
      </w:r>
      <w:r w:rsidR="0070450F" w:rsidRPr="00BB01B3">
        <w:rPr>
          <w:szCs w:val="24"/>
        </w:rPr>
        <w:t xml:space="preserve">will </w:t>
      </w:r>
      <w:r w:rsidR="00D424E7" w:rsidRPr="00BB01B3">
        <w:rPr>
          <w:szCs w:val="24"/>
        </w:rPr>
        <w:t xml:space="preserve">eliminate the majority </w:t>
      </w:r>
      <w:r w:rsidR="00586738">
        <w:rPr>
          <w:szCs w:val="24"/>
        </w:rPr>
        <w:t xml:space="preserve">of </w:t>
      </w:r>
      <w:r w:rsidR="00D424E7" w:rsidRPr="00BB01B3">
        <w:rPr>
          <w:szCs w:val="24"/>
        </w:rPr>
        <w:t xml:space="preserve">human </w:t>
      </w:r>
      <w:r w:rsidR="00586738">
        <w:rPr>
          <w:szCs w:val="24"/>
        </w:rPr>
        <w:t xml:space="preserve">driving </w:t>
      </w:r>
      <w:r w:rsidR="00D424E7" w:rsidRPr="00BB01B3">
        <w:rPr>
          <w:szCs w:val="24"/>
        </w:rPr>
        <w:t xml:space="preserve">error, making roadways safer for pedestrians, </w:t>
      </w:r>
      <w:r w:rsidR="00762085" w:rsidRPr="00BB01B3">
        <w:rPr>
          <w:szCs w:val="24"/>
        </w:rPr>
        <w:t>bikers,</w:t>
      </w:r>
      <w:r w:rsidR="00D424E7" w:rsidRPr="00BB01B3">
        <w:rPr>
          <w:szCs w:val="24"/>
        </w:rPr>
        <w:t xml:space="preserve"> and vehicle inhabitants (</w:t>
      </w:r>
      <w:r w:rsidR="00586738">
        <w:rPr>
          <w:szCs w:val="24"/>
        </w:rPr>
        <w:t xml:space="preserve">see, for example, </w:t>
      </w:r>
      <w:r w:rsidR="00D424E7" w:rsidRPr="00BB01B3">
        <w:rPr>
          <w:szCs w:val="24"/>
        </w:rPr>
        <w:t xml:space="preserve">Mueller </w:t>
      </w:r>
      <w:r w:rsidR="00D424E7" w:rsidRPr="00BB01B3">
        <w:rPr>
          <w:i/>
          <w:iCs/>
          <w:szCs w:val="24"/>
        </w:rPr>
        <w:t>et al</w:t>
      </w:r>
      <w:r w:rsidR="00D424E7" w:rsidRPr="00264E6C">
        <w:rPr>
          <w:iCs/>
          <w:szCs w:val="24"/>
        </w:rPr>
        <w:t>.,</w:t>
      </w:r>
      <w:r w:rsidR="00D424E7" w:rsidRPr="00BB01B3">
        <w:rPr>
          <w:szCs w:val="24"/>
        </w:rPr>
        <w:t xml:space="preserve"> 2020)</w:t>
      </w:r>
      <w:r w:rsidR="00586738">
        <w:rPr>
          <w:szCs w:val="24"/>
        </w:rPr>
        <w:t>, the public remains relatively wary</w:t>
      </w:r>
      <w:r w:rsidR="00AA57F4">
        <w:rPr>
          <w:szCs w:val="24"/>
        </w:rPr>
        <w:t xml:space="preserve"> </w:t>
      </w:r>
      <w:r w:rsidR="00FF0911">
        <w:rPr>
          <w:szCs w:val="24"/>
        </w:rPr>
        <w:t>regarding these claims</w:t>
      </w:r>
      <w:r w:rsidR="00AA57F4">
        <w:rPr>
          <w:szCs w:val="24"/>
        </w:rPr>
        <w:t xml:space="preserve">. Evidence suggests that many individuals believe AVs will degrade traffic safety levels, because machines simply cannot be trusted to undertake the information processing that a human brain is capable of, especially in complicated traffic situations or </w:t>
      </w:r>
      <w:r w:rsidR="00AA57F4" w:rsidRPr="00EC5DBB">
        <w:rPr>
          <w:rFonts w:cs="Times New Roman"/>
          <w:szCs w:val="24"/>
        </w:rPr>
        <w:t>edge cases</w:t>
      </w:r>
      <w:r w:rsidR="00AA57F4">
        <w:rPr>
          <w:rFonts w:cs="Times New Roman"/>
          <w:szCs w:val="24"/>
        </w:rPr>
        <w:t xml:space="preserve"> (that is</w:t>
      </w:r>
      <w:r w:rsidR="00AA57F4" w:rsidRPr="00EC5DBB">
        <w:rPr>
          <w:rFonts w:cs="Times New Roman"/>
          <w:szCs w:val="24"/>
        </w:rPr>
        <w:t>, situations that are challenging and highly improbable but not impossible</w:t>
      </w:r>
      <w:r w:rsidR="00AA57F4">
        <w:rPr>
          <w:rFonts w:cs="Times New Roman"/>
          <w:szCs w:val="24"/>
        </w:rPr>
        <w:t xml:space="preserve">). Individuals concerned with AV safety </w:t>
      </w:r>
      <w:r w:rsidR="00A2256D">
        <w:rPr>
          <w:rFonts w:cs="Times New Roman"/>
          <w:szCs w:val="24"/>
        </w:rPr>
        <w:t xml:space="preserve">are particularly </w:t>
      </w:r>
      <w:r w:rsidR="00A2256D">
        <w:rPr>
          <w:szCs w:val="24"/>
        </w:rPr>
        <w:t xml:space="preserve">less accepting of </w:t>
      </w:r>
      <w:r w:rsidR="00AA57F4" w:rsidRPr="00EC5DBB">
        <w:rPr>
          <w:rFonts w:cs="Times New Roman"/>
          <w:szCs w:val="24"/>
        </w:rPr>
        <w:t>AV</w:t>
      </w:r>
      <w:r w:rsidR="00A2256D">
        <w:rPr>
          <w:rFonts w:cs="Times New Roman"/>
          <w:szCs w:val="24"/>
        </w:rPr>
        <w:t xml:space="preserve"> use for </w:t>
      </w:r>
      <w:r w:rsidR="00AA57F4" w:rsidRPr="00EC5DBB">
        <w:rPr>
          <w:rFonts w:cs="Times New Roman"/>
          <w:szCs w:val="24"/>
        </w:rPr>
        <w:t>picking up</w:t>
      </w:r>
      <w:r w:rsidR="002F034A">
        <w:rPr>
          <w:rFonts w:cs="Times New Roman"/>
          <w:szCs w:val="24"/>
        </w:rPr>
        <w:t>/</w:t>
      </w:r>
      <w:r w:rsidR="00AA57F4" w:rsidRPr="00EC5DBB">
        <w:rPr>
          <w:rFonts w:cs="Times New Roman"/>
          <w:szCs w:val="24"/>
        </w:rPr>
        <w:t>dropping off children and travel in areas with substantial pedestrian traffic</w:t>
      </w:r>
      <w:r w:rsidR="00A2256D">
        <w:rPr>
          <w:rFonts w:cs="Times New Roman"/>
          <w:szCs w:val="24"/>
        </w:rPr>
        <w:t xml:space="preserve"> (see </w:t>
      </w:r>
      <w:r w:rsidR="007C298C">
        <w:rPr>
          <w:rFonts w:cs="Times New Roman"/>
          <w:szCs w:val="24"/>
        </w:rPr>
        <w:t xml:space="preserve">de </w:t>
      </w:r>
      <w:r w:rsidR="00AA57F4" w:rsidRPr="00EC5DBB">
        <w:rPr>
          <w:rFonts w:cs="Times New Roman"/>
          <w:noProof/>
          <w:szCs w:val="24"/>
        </w:rPr>
        <w:t xml:space="preserve">Miguel </w:t>
      </w:r>
      <w:r w:rsidR="00AA57F4" w:rsidRPr="004D7EA3">
        <w:rPr>
          <w:rFonts w:cs="Times New Roman"/>
          <w:i/>
          <w:iCs/>
          <w:noProof/>
          <w:szCs w:val="24"/>
        </w:rPr>
        <w:t>et al</w:t>
      </w:r>
      <w:r w:rsidR="00AA57F4" w:rsidRPr="00264E6C">
        <w:rPr>
          <w:rFonts w:cs="Times New Roman"/>
          <w:iCs/>
          <w:noProof/>
          <w:szCs w:val="24"/>
        </w:rPr>
        <w:t>.</w:t>
      </w:r>
      <w:r w:rsidR="00A2256D" w:rsidRPr="00264E6C">
        <w:rPr>
          <w:rFonts w:cs="Times New Roman"/>
          <w:iCs/>
          <w:noProof/>
          <w:szCs w:val="24"/>
        </w:rPr>
        <w:t>,</w:t>
      </w:r>
      <w:r w:rsidR="00A2256D">
        <w:rPr>
          <w:rFonts w:cs="Times New Roman"/>
          <w:noProof/>
          <w:szCs w:val="24"/>
        </w:rPr>
        <w:t xml:space="preserve"> </w:t>
      </w:r>
      <w:r w:rsidR="00AA57F4" w:rsidRPr="00EC5DBB">
        <w:rPr>
          <w:rFonts w:cs="Times New Roman"/>
          <w:noProof/>
          <w:szCs w:val="24"/>
        </w:rPr>
        <w:t>2019</w:t>
      </w:r>
      <w:r w:rsidR="0082498B">
        <w:rPr>
          <w:rFonts w:cs="Times New Roman"/>
          <w:noProof/>
          <w:szCs w:val="24"/>
        </w:rPr>
        <w:t>;</w:t>
      </w:r>
      <w:r w:rsidR="00A2256D">
        <w:rPr>
          <w:rFonts w:cs="Times New Roman"/>
          <w:noProof/>
          <w:szCs w:val="24"/>
        </w:rPr>
        <w:t xml:space="preserve"> Moody </w:t>
      </w:r>
      <w:r w:rsidR="00A2256D" w:rsidRPr="004D7EA3">
        <w:rPr>
          <w:rFonts w:cs="Times New Roman"/>
          <w:i/>
          <w:iCs/>
          <w:noProof/>
          <w:szCs w:val="24"/>
        </w:rPr>
        <w:t>et al</w:t>
      </w:r>
      <w:r w:rsidR="00A2256D" w:rsidRPr="00264E6C">
        <w:rPr>
          <w:rFonts w:cs="Times New Roman"/>
          <w:iCs/>
          <w:noProof/>
          <w:szCs w:val="24"/>
        </w:rPr>
        <w:t>.,</w:t>
      </w:r>
      <w:r w:rsidR="00A2256D">
        <w:rPr>
          <w:rFonts w:cs="Times New Roman"/>
          <w:noProof/>
          <w:szCs w:val="24"/>
        </w:rPr>
        <w:t xml:space="preserve"> </w:t>
      </w:r>
      <w:r w:rsidR="00237D11">
        <w:rPr>
          <w:rFonts w:cs="Times New Roman"/>
          <w:noProof/>
          <w:szCs w:val="24"/>
        </w:rPr>
        <w:t>2020</w:t>
      </w:r>
      <w:r w:rsidR="0082498B">
        <w:rPr>
          <w:rFonts w:cs="Times New Roman"/>
          <w:noProof/>
          <w:szCs w:val="24"/>
        </w:rPr>
        <w:t>;</w:t>
      </w:r>
      <w:r w:rsidR="00A2256D">
        <w:rPr>
          <w:rFonts w:cs="Times New Roman"/>
          <w:noProof/>
          <w:szCs w:val="24"/>
        </w:rPr>
        <w:t xml:space="preserve"> Nair and Bhat, 2020). </w:t>
      </w:r>
      <w:r w:rsidR="00762F7F">
        <w:rPr>
          <w:rFonts w:cs="Times New Roman"/>
          <w:noProof/>
          <w:szCs w:val="24"/>
        </w:rPr>
        <w:t xml:space="preserve">The expectation is that a heightened safety concern would lead to </w:t>
      </w:r>
      <w:r w:rsidR="008C62C6">
        <w:rPr>
          <w:rFonts w:cs="Times New Roman"/>
          <w:noProof/>
          <w:szCs w:val="24"/>
        </w:rPr>
        <w:t>individuals continuing to purchase an RV (rather than an AV or use SAV). Such individuals are very unlikely to ever buy an AV, particularly as “first-buyers”</w:t>
      </w:r>
      <w:r w:rsidR="00685FE9">
        <w:rPr>
          <w:rFonts w:cs="Times New Roman"/>
          <w:noProof/>
          <w:szCs w:val="24"/>
        </w:rPr>
        <w:t xml:space="preserve">. </w:t>
      </w:r>
      <w:r w:rsidR="00762085" w:rsidRPr="00BB01B3">
        <w:rPr>
          <w:szCs w:val="24"/>
        </w:rPr>
        <w:t xml:space="preserve"> </w:t>
      </w:r>
    </w:p>
    <w:p w14:paraId="1B552F29" w14:textId="43C389F6" w:rsidR="003162FA" w:rsidRDefault="003162FA" w:rsidP="0091464C">
      <w:pPr>
        <w:spacing w:line="276" w:lineRule="auto"/>
        <w:ind w:firstLine="720"/>
        <w:jc w:val="both"/>
        <w:rPr>
          <w:szCs w:val="24"/>
        </w:rPr>
      </w:pPr>
      <w:r w:rsidRPr="00BB01B3">
        <w:rPr>
          <w:szCs w:val="24"/>
        </w:rPr>
        <w:t>The final latent construct, tech-savviness, represents an individual’s familiarity</w:t>
      </w:r>
      <w:r w:rsidR="00730503">
        <w:rPr>
          <w:szCs w:val="24"/>
        </w:rPr>
        <w:t xml:space="preserve"> of</w:t>
      </w:r>
      <w:r w:rsidRPr="00BB01B3">
        <w:rPr>
          <w:szCs w:val="24"/>
        </w:rPr>
        <w:t xml:space="preserve"> and affinity </w:t>
      </w:r>
      <w:r w:rsidR="00730503">
        <w:rPr>
          <w:szCs w:val="24"/>
        </w:rPr>
        <w:t xml:space="preserve">towards </w:t>
      </w:r>
      <w:r w:rsidRPr="00BB01B3">
        <w:rPr>
          <w:szCs w:val="24"/>
        </w:rPr>
        <w:t xml:space="preserve">technology. Tech-savviness </w:t>
      </w:r>
      <w:r w:rsidR="00B90EB2" w:rsidRPr="00BB01B3">
        <w:rPr>
          <w:szCs w:val="24"/>
        </w:rPr>
        <w:t>ca</w:t>
      </w:r>
      <w:r w:rsidR="00A2256D">
        <w:rPr>
          <w:szCs w:val="24"/>
        </w:rPr>
        <w:t xml:space="preserve">n influence AVD and DAD in two different pathways. </w:t>
      </w:r>
      <w:r w:rsidR="006904A0" w:rsidRPr="00BB01B3">
        <w:rPr>
          <w:szCs w:val="24"/>
        </w:rPr>
        <w:t xml:space="preserve">The first is </w:t>
      </w:r>
      <w:r w:rsidR="00B90EB2" w:rsidRPr="00BB01B3">
        <w:rPr>
          <w:szCs w:val="24"/>
        </w:rPr>
        <w:t>due to</w:t>
      </w:r>
      <w:r w:rsidR="006904A0" w:rsidRPr="00BB01B3">
        <w:rPr>
          <w:szCs w:val="24"/>
        </w:rPr>
        <w:t xml:space="preserve"> the ability to efficiently </w:t>
      </w:r>
      <w:r w:rsidR="00A2256D">
        <w:rPr>
          <w:szCs w:val="24"/>
        </w:rPr>
        <w:t xml:space="preserve">and productively </w:t>
      </w:r>
      <w:r w:rsidR="006904A0" w:rsidRPr="00BB01B3">
        <w:rPr>
          <w:szCs w:val="24"/>
        </w:rPr>
        <w:t xml:space="preserve">use </w:t>
      </w:r>
      <w:r w:rsidR="00A2256D">
        <w:rPr>
          <w:szCs w:val="24"/>
        </w:rPr>
        <w:t xml:space="preserve">the travel </w:t>
      </w:r>
      <w:r w:rsidR="006904A0" w:rsidRPr="00BB01B3">
        <w:rPr>
          <w:szCs w:val="24"/>
        </w:rPr>
        <w:t xml:space="preserve">time </w:t>
      </w:r>
      <w:r w:rsidR="009C34EF">
        <w:rPr>
          <w:szCs w:val="24"/>
        </w:rPr>
        <w:t>gained</w:t>
      </w:r>
      <w:r w:rsidR="006904A0" w:rsidRPr="00BB01B3">
        <w:rPr>
          <w:szCs w:val="24"/>
        </w:rPr>
        <w:t xml:space="preserve"> by not having to driv</w:t>
      </w:r>
      <w:r w:rsidR="00A2256D">
        <w:rPr>
          <w:szCs w:val="24"/>
        </w:rPr>
        <w:t xml:space="preserve">e </w:t>
      </w:r>
      <w:r w:rsidR="006904A0" w:rsidRPr="00BB01B3">
        <w:rPr>
          <w:szCs w:val="24"/>
        </w:rPr>
        <w:t xml:space="preserve">(Moore </w:t>
      </w:r>
      <w:r w:rsidR="006904A0" w:rsidRPr="00BB01B3">
        <w:rPr>
          <w:i/>
          <w:iCs/>
          <w:szCs w:val="24"/>
        </w:rPr>
        <w:t>et al</w:t>
      </w:r>
      <w:r w:rsidR="006904A0" w:rsidRPr="00264E6C">
        <w:rPr>
          <w:iCs/>
          <w:szCs w:val="24"/>
        </w:rPr>
        <w:t>.,</w:t>
      </w:r>
      <w:r w:rsidR="006904A0" w:rsidRPr="00BB01B3">
        <w:rPr>
          <w:szCs w:val="24"/>
        </w:rPr>
        <w:t xml:space="preserve"> 2020)</w:t>
      </w:r>
      <w:r w:rsidR="009C34EF">
        <w:rPr>
          <w:szCs w:val="24"/>
        </w:rPr>
        <w:t>.</w:t>
      </w:r>
      <w:r w:rsidR="006904A0" w:rsidRPr="00BB01B3">
        <w:rPr>
          <w:szCs w:val="24"/>
        </w:rPr>
        <w:t xml:space="preserve"> </w:t>
      </w:r>
      <w:r w:rsidR="00A2256D" w:rsidRPr="00BB01B3">
        <w:rPr>
          <w:szCs w:val="24"/>
        </w:rPr>
        <w:t xml:space="preserve">Tech-savvy individuals are more inclined to use a smartphone </w:t>
      </w:r>
      <w:r w:rsidR="00A2256D">
        <w:rPr>
          <w:szCs w:val="24"/>
        </w:rPr>
        <w:t xml:space="preserve">(and information and communication technology or ICT devices more generally) and multi-task </w:t>
      </w:r>
      <w:r w:rsidR="00A2256D" w:rsidRPr="00BB01B3">
        <w:rPr>
          <w:szCs w:val="24"/>
        </w:rPr>
        <w:t xml:space="preserve">(Astroza </w:t>
      </w:r>
      <w:r w:rsidR="00A2256D" w:rsidRPr="00BB01B3">
        <w:rPr>
          <w:i/>
          <w:iCs/>
          <w:szCs w:val="24"/>
        </w:rPr>
        <w:t>et al</w:t>
      </w:r>
      <w:r w:rsidR="00A2256D" w:rsidRPr="00264E6C">
        <w:rPr>
          <w:iCs/>
          <w:szCs w:val="24"/>
        </w:rPr>
        <w:t>.,</w:t>
      </w:r>
      <w:r w:rsidR="00A2256D" w:rsidRPr="00BB01B3">
        <w:rPr>
          <w:szCs w:val="24"/>
        </w:rPr>
        <w:t xml:space="preserve"> 2017). </w:t>
      </w:r>
      <w:r w:rsidR="006904A0" w:rsidRPr="00BB01B3">
        <w:rPr>
          <w:szCs w:val="24"/>
        </w:rPr>
        <w:t>Th</w:t>
      </w:r>
      <w:r w:rsidR="009C34EF">
        <w:rPr>
          <w:szCs w:val="24"/>
        </w:rPr>
        <w:t>e</w:t>
      </w:r>
      <w:r w:rsidR="00622259" w:rsidRPr="00BB01B3">
        <w:rPr>
          <w:szCs w:val="24"/>
        </w:rPr>
        <w:t xml:space="preserve"> </w:t>
      </w:r>
      <w:r w:rsidR="009C34EF">
        <w:rPr>
          <w:szCs w:val="24"/>
        </w:rPr>
        <w:t>second</w:t>
      </w:r>
      <w:r w:rsidR="00730503">
        <w:rPr>
          <w:szCs w:val="24"/>
        </w:rPr>
        <w:t xml:space="preserve"> </w:t>
      </w:r>
      <w:r w:rsidR="00A2256D">
        <w:rPr>
          <w:szCs w:val="24"/>
        </w:rPr>
        <w:t xml:space="preserve">pathway corresponds to a simple and straightforward </w:t>
      </w:r>
      <w:r w:rsidR="006904A0" w:rsidRPr="00BB01B3">
        <w:rPr>
          <w:szCs w:val="24"/>
        </w:rPr>
        <w:t>fascina</w:t>
      </w:r>
      <w:r w:rsidR="00A2256D">
        <w:rPr>
          <w:szCs w:val="24"/>
        </w:rPr>
        <w:t xml:space="preserve">tion to </w:t>
      </w:r>
      <w:r w:rsidR="006904A0" w:rsidRPr="00BB01B3">
        <w:rPr>
          <w:szCs w:val="24"/>
        </w:rPr>
        <w:t>explor</w:t>
      </w:r>
      <w:r w:rsidR="00A2256D">
        <w:rPr>
          <w:szCs w:val="24"/>
        </w:rPr>
        <w:t xml:space="preserve">e </w:t>
      </w:r>
      <w:r w:rsidR="006904A0" w:rsidRPr="00BB01B3">
        <w:rPr>
          <w:szCs w:val="24"/>
        </w:rPr>
        <w:t>and be up</w:t>
      </w:r>
      <w:r w:rsidR="00A2256D">
        <w:rPr>
          <w:szCs w:val="24"/>
        </w:rPr>
        <w:t>-</w:t>
      </w:r>
      <w:r w:rsidR="006904A0" w:rsidRPr="00BB01B3">
        <w:rPr>
          <w:szCs w:val="24"/>
        </w:rPr>
        <w:t>to</w:t>
      </w:r>
      <w:r w:rsidR="00A2256D">
        <w:rPr>
          <w:szCs w:val="24"/>
        </w:rPr>
        <w:t>-</w:t>
      </w:r>
      <w:r w:rsidR="006904A0" w:rsidRPr="00BB01B3">
        <w:rPr>
          <w:szCs w:val="24"/>
        </w:rPr>
        <w:t>date on the world’s latest technology</w:t>
      </w:r>
      <w:r w:rsidR="00CF34DE">
        <w:rPr>
          <w:szCs w:val="24"/>
        </w:rPr>
        <w:t xml:space="preserve"> (</w:t>
      </w:r>
      <w:r w:rsidR="00CF34DE" w:rsidRPr="00336205">
        <w:rPr>
          <w:szCs w:val="24"/>
        </w:rPr>
        <w:t xml:space="preserve">Kesharwani, 2020). </w:t>
      </w:r>
      <w:r w:rsidR="006904A0" w:rsidRPr="00BB01B3">
        <w:rPr>
          <w:szCs w:val="24"/>
        </w:rPr>
        <w:t>Individuals who are tech</w:t>
      </w:r>
      <w:r w:rsidR="00730503">
        <w:rPr>
          <w:szCs w:val="24"/>
        </w:rPr>
        <w:t>-</w:t>
      </w:r>
      <w:r w:rsidR="006904A0" w:rsidRPr="00BB01B3">
        <w:rPr>
          <w:szCs w:val="24"/>
        </w:rPr>
        <w:t xml:space="preserve">savvy </w:t>
      </w:r>
      <w:r w:rsidR="00762F7F">
        <w:rPr>
          <w:szCs w:val="24"/>
        </w:rPr>
        <w:t xml:space="preserve">can be expected to </w:t>
      </w:r>
      <w:r w:rsidR="00C42DB4">
        <w:rPr>
          <w:szCs w:val="24"/>
        </w:rPr>
        <w:t>be more likely to purchase</w:t>
      </w:r>
      <w:r w:rsidR="00A2256D">
        <w:rPr>
          <w:szCs w:val="24"/>
        </w:rPr>
        <w:t xml:space="preserve"> AVs</w:t>
      </w:r>
      <w:r w:rsidR="00E54AA4">
        <w:rPr>
          <w:szCs w:val="24"/>
        </w:rPr>
        <w:t xml:space="preserve">. These individuals, knowing that initial technology “kinks” will be straightened out in due course, may decide to wait just a little longer before </w:t>
      </w:r>
      <w:r w:rsidR="007C64E7">
        <w:rPr>
          <w:szCs w:val="24"/>
        </w:rPr>
        <w:t xml:space="preserve">an AV </w:t>
      </w:r>
      <w:r w:rsidR="00E54AA4">
        <w:rPr>
          <w:szCs w:val="24"/>
        </w:rPr>
        <w:t>purchas</w:t>
      </w:r>
      <w:r w:rsidR="007C64E7">
        <w:rPr>
          <w:szCs w:val="24"/>
        </w:rPr>
        <w:t>e</w:t>
      </w:r>
      <w:r w:rsidR="00C42DB4">
        <w:rPr>
          <w:szCs w:val="24"/>
        </w:rPr>
        <w:t>, rather than be the first-adopters.</w:t>
      </w:r>
    </w:p>
    <w:p w14:paraId="26EFA79A" w14:textId="274B7D0C" w:rsidR="00D1155E" w:rsidRDefault="006904A0" w:rsidP="0091464C">
      <w:pPr>
        <w:spacing w:line="276" w:lineRule="auto"/>
        <w:ind w:firstLine="720"/>
        <w:jc w:val="both"/>
        <w:rPr>
          <w:szCs w:val="24"/>
        </w:rPr>
      </w:pPr>
      <w:r w:rsidRPr="00BB01B3">
        <w:rPr>
          <w:szCs w:val="24"/>
        </w:rPr>
        <w:t>Each of the</w:t>
      </w:r>
      <w:r w:rsidR="002F034A">
        <w:rPr>
          <w:szCs w:val="24"/>
        </w:rPr>
        <w:t xml:space="preserve"> above four</w:t>
      </w:r>
      <w:r w:rsidRPr="00BB01B3">
        <w:rPr>
          <w:szCs w:val="24"/>
        </w:rPr>
        <w:t xml:space="preserve"> latent </w:t>
      </w:r>
      <w:r w:rsidR="002F034A">
        <w:rPr>
          <w:szCs w:val="24"/>
        </w:rPr>
        <w:t xml:space="preserve">constructs </w:t>
      </w:r>
      <w:r w:rsidR="00762F7F">
        <w:rPr>
          <w:szCs w:val="24"/>
        </w:rPr>
        <w:t xml:space="preserve">are not directly observed. </w:t>
      </w:r>
      <w:r w:rsidR="0022096B">
        <w:rPr>
          <w:szCs w:val="24"/>
        </w:rPr>
        <w:t>However</w:t>
      </w:r>
      <w:r w:rsidR="00622259" w:rsidRPr="00BB01B3">
        <w:rPr>
          <w:szCs w:val="24"/>
        </w:rPr>
        <w:t>, the survey</w:t>
      </w:r>
      <w:r w:rsidR="00DD7D13">
        <w:t xml:space="preserve"> collected</w:t>
      </w:r>
      <w:r w:rsidR="00DD7D13" w:rsidRPr="00EF20AE">
        <w:t xml:space="preserve"> indicators of these variable</w:t>
      </w:r>
      <w:r w:rsidR="00DD7D13">
        <w:t>s</w:t>
      </w:r>
      <w:r w:rsidR="007E1DFC">
        <w:t>, responses to each of which</w:t>
      </w:r>
      <w:r w:rsidR="00622259" w:rsidRPr="00BB01B3">
        <w:rPr>
          <w:szCs w:val="24"/>
        </w:rPr>
        <w:t xml:space="preserve"> was </w:t>
      </w:r>
      <w:r w:rsidR="007E1DFC">
        <w:rPr>
          <w:szCs w:val="24"/>
        </w:rPr>
        <w:t>elicited</w:t>
      </w:r>
      <w:r w:rsidR="00622259" w:rsidRPr="00BB01B3">
        <w:rPr>
          <w:szCs w:val="24"/>
        </w:rPr>
        <w:t xml:space="preserve"> on the same five-point Likert scale of (1) Strongly disagree, (2) Somewhat disagree, (3) Neutral, </w:t>
      </w:r>
      <w:r w:rsidR="006C39E8" w:rsidRPr="00BB01B3">
        <w:rPr>
          <w:szCs w:val="24"/>
        </w:rPr>
        <w:t xml:space="preserve">(4) Somewhat agree, </w:t>
      </w:r>
      <w:r w:rsidR="005D76A9">
        <w:rPr>
          <w:szCs w:val="24"/>
        </w:rPr>
        <w:t xml:space="preserve">and </w:t>
      </w:r>
      <w:r w:rsidR="006C39E8" w:rsidRPr="00BB01B3">
        <w:rPr>
          <w:szCs w:val="24"/>
        </w:rPr>
        <w:t xml:space="preserve">(5) Strongly agree. </w:t>
      </w:r>
      <w:r w:rsidR="0074579A">
        <w:rPr>
          <w:szCs w:val="24"/>
        </w:rPr>
        <w:t xml:space="preserve">A traditional confirmatory factor analysis of the indicators identified the most appropriate indicators for each latent construct. </w:t>
      </w:r>
      <w:r w:rsidR="00D913B4">
        <w:rPr>
          <w:szCs w:val="24"/>
        </w:rPr>
        <w:t>The complete d</w:t>
      </w:r>
      <w:r w:rsidR="006C39E8" w:rsidRPr="00BB01B3">
        <w:rPr>
          <w:szCs w:val="24"/>
        </w:rPr>
        <w:t xml:space="preserve">escriptive statistics for each variable’s indicators are provided in </w:t>
      </w:r>
      <w:r w:rsidR="00D913B4">
        <w:rPr>
          <w:szCs w:val="24"/>
        </w:rPr>
        <w:t>the online supplement to this paper</w:t>
      </w:r>
      <w:r w:rsidR="006C39E8" w:rsidRPr="00BB01B3">
        <w:rPr>
          <w:szCs w:val="24"/>
        </w:rPr>
        <w:t>.</w:t>
      </w:r>
      <w:r w:rsidR="00D913B4">
        <w:rPr>
          <w:szCs w:val="24"/>
        </w:rPr>
        <w:t xml:space="preserve"> </w:t>
      </w:r>
    </w:p>
    <w:p w14:paraId="036446E6" w14:textId="30BC4544" w:rsidR="0016254A" w:rsidRPr="00874B05" w:rsidRDefault="000066AD" w:rsidP="00D8229C">
      <w:pPr>
        <w:spacing w:line="276" w:lineRule="auto"/>
        <w:ind w:firstLine="720"/>
        <w:jc w:val="both"/>
        <w:rPr>
          <w:szCs w:val="24"/>
        </w:rPr>
      </w:pPr>
      <w:r>
        <w:rPr>
          <w:rFonts w:cs="Times New Roman"/>
          <w:szCs w:val="24"/>
        </w:rPr>
        <w:t xml:space="preserve">The four latent constructs </w:t>
      </w:r>
      <w:r w:rsidR="00B21D49">
        <w:rPr>
          <w:rFonts w:cs="Times New Roman"/>
          <w:szCs w:val="24"/>
        </w:rPr>
        <w:t>correspond to a total of 13 indicators</w:t>
      </w:r>
      <w:r w:rsidR="00B6151E">
        <w:rPr>
          <w:rFonts w:cs="Times New Roman"/>
          <w:szCs w:val="24"/>
        </w:rPr>
        <w:t xml:space="preserve"> (four for driving control, three for mobility control, four for safety concerns, and two for tech-savviness)</w:t>
      </w:r>
      <w:r w:rsidR="00304BA2">
        <w:rPr>
          <w:rFonts w:cs="Times New Roman"/>
          <w:szCs w:val="24"/>
        </w:rPr>
        <w:t>. The indicators for</w:t>
      </w:r>
      <w:r w:rsidR="00B21D49">
        <w:rPr>
          <w:rFonts w:cs="Times New Roman"/>
          <w:szCs w:val="24"/>
        </w:rPr>
        <w:t xml:space="preserve"> </w:t>
      </w:r>
      <w:r w:rsidR="00304BA2">
        <w:rPr>
          <w:rFonts w:cs="Times New Roman"/>
          <w:szCs w:val="24"/>
        </w:rPr>
        <w:t xml:space="preserve">each latent construct are reduced to </w:t>
      </w:r>
      <w:r w:rsidR="007628B1" w:rsidRPr="00BB01B3">
        <w:rPr>
          <w:rFonts w:cs="Times New Roman"/>
          <w:szCs w:val="24"/>
        </w:rPr>
        <w:t>a single continuous “factor”</w:t>
      </w:r>
      <w:r w:rsidR="007628B1">
        <w:rPr>
          <w:rFonts w:cs="Times New Roman"/>
          <w:szCs w:val="24"/>
        </w:rPr>
        <w:t xml:space="preserve"> us</w:t>
      </w:r>
      <w:r w:rsidR="00304BA2">
        <w:rPr>
          <w:rFonts w:cs="Times New Roman"/>
          <w:szCs w:val="24"/>
        </w:rPr>
        <w:t xml:space="preserve">ing a </w:t>
      </w:r>
      <w:r w:rsidR="007628B1">
        <w:rPr>
          <w:rFonts w:cs="Times New Roman"/>
          <w:szCs w:val="24"/>
        </w:rPr>
        <w:t>traditional confirmatory analysis (</w:t>
      </w:r>
      <w:r w:rsidR="00AF2C79">
        <w:rPr>
          <w:rFonts w:cs="Times New Roman"/>
          <w:szCs w:val="24"/>
        </w:rPr>
        <w:t>see</w:t>
      </w:r>
      <w:r w:rsidR="007628B1">
        <w:rPr>
          <w:rFonts w:cs="Times New Roman"/>
          <w:szCs w:val="24"/>
        </w:rPr>
        <w:t xml:space="preserve"> </w:t>
      </w:r>
      <w:r w:rsidR="007628B1" w:rsidRPr="00BB01B3">
        <w:rPr>
          <w:rFonts w:cs="Times New Roman"/>
          <w:szCs w:val="24"/>
        </w:rPr>
        <w:t xml:space="preserve">Moore </w:t>
      </w:r>
      <w:r w:rsidR="007628B1" w:rsidRPr="00BB01B3">
        <w:rPr>
          <w:rFonts w:cs="Times New Roman"/>
          <w:i/>
          <w:iCs/>
          <w:szCs w:val="24"/>
        </w:rPr>
        <w:t>et al</w:t>
      </w:r>
      <w:r w:rsidR="007628B1" w:rsidRPr="00BA4553">
        <w:rPr>
          <w:rFonts w:cs="Times New Roman"/>
          <w:iCs/>
          <w:szCs w:val="24"/>
        </w:rPr>
        <w:t>.,</w:t>
      </w:r>
      <w:r w:rsidR="007628B1">
        <w:rPr>
          <w:rFonts w:cs="Times New Roman"/>
          <w:i/>
          <w:iCs/>
          <w:szCs w:val="24"/>
        </w:rPr>
        <w:t xml:space="preserve"> </w:t>
      </w:r>
      <w:r w:rsidR="007628B1" w:rsidRPr="00BB01B3">
        <w:rPr>
          <w:rFonts w:cs="Times New Roman"/>
          <w:szCs w:val="24"/>
        </w:rPr>
        <w:t>2020</w:t>
      </w:r>
      <w:r w:rsidR="00AF2C79">
        <w:rPr>
          <w:rFonts w:cs="Times New Roman"/>
          <w:szCs w:val="24"/>
        </w:rPr>
        <w:t xml:space="preserve"> for a similar procedure</w:t>
      </w:r>
      <w:r w:rsidR="007628B1" w:rsidRPr="00BB01B3">
        <w:rPr>
          <w:rFonts w:cs="Times New Roman"/>
          <w:szCs w:val="24"/>
        </w:rPr>
        <w:t>)</w:t>
      </w:r>
      <w:r w:rsidR="007628B1">
        <w:rPr>
          <w:rFonts w:cs="Times New Roman"/>
          <w:szCs w:val="24"/>
        </w:rPr>
        <w:t>.</w:t>
      </w:r>
      <w:r w:rsidR="007628B1" w:rsidRPr="00BB01B3">
        <w:rPr>
          <w:rFonts w:cs="Times New Roman"/>
          <w:szCs w:val="24"/>
        </w:rPr>
        <w:t xml:space="preserve"> </w:t>
      </w:r>
      <w:r w:rsidR="00304BA2">
        <w:rPr>
          <w:rFonts w:cs="Times New Roman"/>
          <w:szCs w:val="24"/>
        </w:rPr>
        <w:t xml:space="preserve">These continuous factors are then used </w:t>
      </w:r>
      <w:r w:rsidR="00304BA2">
        <w:rPr>
          <w:rFonts w:cs="Times New Roman"/>
          <w:szCs w:val="24"/>
        </w:rPr>
        <w:lastRenderedPageBreak/>
        <w:t xml:space="preserve">as sample continuous dependent values </w:t>
      </w:r>
      <w:bookmarkStart w:id="7" w:name="_Hlk52803697"/>
      <w:r w:rsidR="00262D24">
        <w:rPr>
          <w:rFonts w:cs="Times New Roman"/>
          <w:szCs w:val="24"/>
        </w:rPr>
        <w:t xml:space="preserve">that are manifestations of the latent constructs (see discussion in the online supplement). </w:t>
      </w:r>
    </w:p>
    <w:bookmarkEnd w:id="7"/>
    <w:p w14:paraId="759D3877" w14:textId="4A60ECAB" w:rsidR="0095458B" w:rsidRPr="00874B05" w:rsidRDefault="000931C2" w:rsidP="00874B05">
      <w:pPr>
        <w:spacing w:line="276" w:lineRule="auto"/>
        <w:ind w:firstLine="720"/>
        <w:jc w:val="both"/>
        <w:rPr>
          <w:szCs w:val="24"/>
        </w:rPr>
      </w:pPr>
      <w:r w:rsidRPr="00874B05">
        <w:rPr>
          <w:szCs w:val="24"/>
        </w:rPr>
        <w:t xml:space="preserve"> </w:t>
      </w:r>
    </w:p>
    <w:p w14:paraId="5151A01B" w14:textId="2B8C24AB" w:rsidR="002C42AB" w:rsidRPr="00874B05" w:rsidRDefault="00681966" w:rsidP="00493DDD">
      <w:pPr>
        <w:spacing w:line="276" w:lineRule="auto"/>
        <w:jc w:val="both"/>
        <w:rPr>
          <w:i/>
          <w:iCs/>
          <w:szCs w:val="24"/>
        </w:rPr>
      </w:pPr>
      <w:r w:rsidRPr="00874B05">
        <w:rPr>
          <w:i/>
          <w:iCs/>
          <w:szCs w:val="24"/>
        </w:rPr>
        <w:t>3.2.3 Main Outcome Variables</w:t>
      </w:r>
    </w:p>
    <w:p w14:paraId="1BB23207" w14:textId="390092D0" w:rsidR="00681966" w:rsidRPr="00874B05" w:rsidRDefault="00681966" w:rsidP="00493DDD">
      <w:pPr>
        <w:spacing w:line="276" w:lineRule="auto"/>
        <w:jc w:val="both"/>
        <w:rPr>
          <w:szCs w:val="24"/>
        </w:rPr>
      </w:pPr>
      <w:r w:rsidRPr="00874B05">
        <w:rPr>
          <w:szCs w:val="24"/>
        </w:rPr>
        <w:t xml:space="preserve">As </w:t>
      </w:r>
      <w:r w:rsidR="00B325F5" w:rsidRPr="00874B05">
        <w:rPr>
          <w:szCs w:val="24"/>
        </w:rPr>
        <w:t xml:space="preserve">previously </w:t>
      </w:r>
      <w:r w:rsidR="00482DE4" w:rsidRPr="00874B05">
        <w:rPr>
          <w:szCs w:val="24"/>
        </w:rPr>
        <w:t>mentioned</w:t>
      </w:r>
      <w:r w:rsidR="00B325F5" w:rsidRPr="00874B05">
        <w:rPr>
          <w:szCs w:val="24"/>
        </w:rPr>
        <w:t>, there are two main outcomes</w:t>
      </w:r>
      <w:r w:rsidR="00096AE3" w:rsidRPr="00874B05">
        <w:rPr>
          <w:szCs w:val="24"/>
        </w:rPr>
        <w:t>,</w:t>
      </w:r>
      <w:r w:rsidR="00255D9E" w:rsidRPr="00874B05">
        <w:rPr>
          <w:szCs w:val="24"/>
        </w:rPr>
        <w:t xml:space="preserve"> a rank-ordered nominal outcome related to the AVD </w:t>
      </w:r>
      <w:r w:rsidR="00365368" w:rsidRPr="00874B05">
        <w:rPr>
          <w:szCs w:val="24"/>
        </w:rPr>
        <w:t>choice</w:t>
      </w:r>
      <w:r w:rsidR="00255D9E" w:rsidRPr="00874B05">
        <w:rPr>
          <w:szCs w:val="24"/>
        </w:rPr>
        <w:t>, and</w:t>
      </w:r>
      <w:r w:rsidR="00B325F5" w:rsidRPr="00874B05">
        <w:rPr>
          <w:szCs w:val="24"/>
        </w:rPr>
        <w:t xml:space="preserve"> </w:t>
      </w:r>
      <w:r w:rsidR="00D61051" w:rsidRPr="00874B05">
        <w:rPr>
          <w:szCs w:val="24"/>
        </w:rPr>
        <w:t xml:space="preserve">an unordered nominal outcome </w:t>
      </w:r>
      <w:r w:rsidR="00611055" w:rsidRPr="00874B05">
        <w:rPr>
          <w:szCs w:val="24"/>
        </w:rPr>
        <w:t xml:space="preserve">associated with </w:t>
      </w:r>
      <w:r w:rsidR="00D61051" w:rsidRPr="00874B05">
        <w:rPr>
          <w:szCs w:val="24"/>
        </w:rPr>
        <w:t xml:space="preserve">the DAD </w:t>
      </w:r>
      <w:r w:rsidR="00365368" w:rsidRPr="00874B05">
        <w:rPr>
          <w:szCs w:val="24"/>
        </w:rPr>
        <w:t>choice</w:t>
      </w:r>
      <w:r w:rsidR="00D61051" w:rsidRPr="00874B05">
        <w:rPr>
          <w:szCs w:val="24"/>
        </w:rPr>
        <w:t xml:space="preserve">. </w:t>
      </w:r>
      <w:r w:rsidR="00365368" w:rsidRPr="00874B05">
        <w:rPr>
          <w:szCs w:val="24"/>
        </w:rPr>
        <w:t>The AVD ranked choice was obtained through two stated choice questions, while the DAD choice was a simple stated intention question.</w:t>
      </w:r>
    </w:p>
    <w:p w14:paraId="31BDBBDE" w14:textId="6A1668A9" w:rsidR="00FC3F14" w:rsidRPr="00874B05" w:rsidRDefault="00FC3F14" w:rsidP="00874B05">
      <w:pPr>
        <w:spacing w:line="276" w:lineRule="auto"/>
        <w:ind w:firstLine="720"/>
        <w:jc w:val="both"/>
        <w:rPr>
          <w:szCs w:val="24"/>
        </w:rPr>
      </w:pPr>
      <w:r w:rsidRPr="00874B05">
        <w:rPr>
          <w:szCs w:val="24"/>
        </w:rPr>
        <w:t xml:space="preserve">Table </w:t>
      </w:r>
      <w:r w:rsidR="006B3123">
        <w:rPr>
          <w:szCs w:val="24"/>
        </w:rPr>
        <w:t>1</w:t>
      </w:r>
      <w:r w:rsidRPr="00874B05">
        <w:rPr>
          <w:szCs w:val="24"/>
        </w:rPr>
        <w:t xml:space="preserve"> presents t</w:t>
      </w:r>
      <w:r w:rsidR="000E148E" w:rsidRPr="00874B05">
        <w:rPr>
          <w:szCs w:val="24"/>
        </w:rPr>
        <w:t xml:space="preserve">he </w:t>
      </w:r>
      <w:r w:rsidRPr="00874B05">
        <w:rPr>
          <w:szCs w:val="24"/>
        </w:rPr>
        <w:t>state</w:t>
      </w:r>
      <w:r w:rsidR="000E148E" w:rsidRPr="00874B05">
        <w:rPr>
          <w:szCs w:val="24"/>
        </w:rPr>
        <w:t>d</w:t>
      </w:r>
      <w:r w:rsidRPr="00874B05">
        <w:rPr>
          <w:szCs w:val="24"/>
        </w:rPr>
        <w:t xml:space="preserve"> </w:t>
      </w:r>
      <w:r w:rsidR="00365368" w:rsidRPr="00874B05">
        <w:rPr>
          <w:szCs w:val="24"/>
        </w:rPr>
        <w:t xml:space="preserve">ranked </w:t>
      </w:r>
      <w:r w:rsidRPr="00874B05">
        <w:rPr>
          <w:szCs w:val="24"/>
        </w:rPr>
        <w:t xml:space="preserve">choice distribution </w:t>
      </w:r>
      <w:r w:rsidR="00365368" w:rsidRPr="00874B05">
        <w:rPr>
          <w:szCs w:val="24"/>
        </w:rPr>
        <w:t>for the AVD decision. The table cumulates the ranked choice responses across both the stated choice questions, leading to a total sample size of 2</w:t>
      </w:r>
      <w:r w:rsidR="0076278B" w:rsidRPr="00874B05">
        <w:rPr>
          <w:szCs w:val="24"/>
        </w:rPr>
        <w:t>,</w:t>
      </w:r>
      <w:r w:rsidR="00365368" w:rsidRPr="00874B05">
        <w:rPr>
          <w:szCs w:val="24"/>
        </w:rPr>
        <w:t>042 responses (1</w:t>
      </w:r>
      <w:r w:rsidR="0076278B" w:rsidRPr="00874B05">
        <w:rPr>
          <w:szCs w:val="24"/>
        </w:rPr>
        <w:t>,</w:t>
      </w:r>
      <w:r w:rsidR="00365368" w:rsidRPr="00874B05">
        <w:rPr>
          <w:szCs w:val="24"/>
        </w:rPr>
        <w:t xml:space="preserve">021 respondents </w:t>
      </w:r>
      <w:r w:rsidR="00E94819">
        <w:rPr>
          <w:rFonts w:cs="Times New Roman"/>
          <w:szCs w:val="24"/>
        </w:rPr>
        <w:t>×</w:t>
      </w:r>
      <w:r w:rsidR="00365368" w:rsidRPr="00874B05">
        <w:rPr>
          <w:szCs w:val="24"/>
        </w:rPr>
        <w:t xml:space="preserve"> 2). Of course, our methodology (discussed in the next section) recognizes that the 2</w:t>
      </w:r>
      <w:r w:rsidR="0076278B" w:rsidRPr="00874B05">
        <w:rPr>
          <w:szCs w:val="24"/>
        </w:rPr>
        <w:t>,</w:t>
      </w:r>
      <w:r w:rsidR="00365368" w:rsidRPr="00874B05">
        <w:rPr>
          <w:szCs w:val="24"/>
        </w:rPr>
        <w:t xml:space="preserve">042 responses are not independent, and that there is likely correlation across the two responses from each individual. </w:t>
      </w:r>
      <w:r w:rsidR="00624E4B" w:rsidRPr="00874B05">
        <w:rPr>
          <w:szCs w:val="24"/>
        </w:rPr>
        <w:t xml:space="preserve">The second column of Table </w:t>
      </w:r>
      <w:r w:rsidR="006B3123">
        <w:rPr>
          <w:szCs w:val="24"/>
        </w:rPr>
        <w:t>1</w:t>
      </w:r>
      <w:r w:rsidR="00624E4B" w:rsidRPr="00874B05">
        <w:rPr>
          <w:szCs w:val="24"/>
        </w:rPr>
        <w:t xml:space="preserve"> indicates that a regular vehicle (RV) is the most likely pick (45.9%) as the first</w:t>
      </w:r>
      <w:r w:rsidR="00B6151E" w:rsidRPr="00874B05">
        <w:rPr>
          <w:szCs w:val="24"/>
        </w:rPr>
        <w:t>-</w:t>
      </w:r>
      <w:r w:rsidR="00624E4B" w:rsidRPr="00874B05">
        <w:rPr>
          <w:szCs w:val="24"/>
        </w:rPr>
        <w:t>rank choice across the 2</w:t>
      </w:r>
      <w:r w:rsidR="0076278B" w:rsidRPr="00874B05">
        <w:rPr>
          <w:szCs w:val="24"/>
        </w:rPr>
        <w:t>,</w:t>
      </w:r>
      <w:r w:rsidR="00624E4B" w:rsidRPr="00874B05">
        <w:rPr>
          <w:szCs w:val="24"/>
        </w:rPr>
        <w:t>042 choice occasions, with AVs also being picked as the first</w:t>
      </w:r>
      <w:r w:rsidR="00B6151E" w:rsidRPr="00874B05">
        <w:rPr>
          <w:szCs w:val="24"/>
        </w:rPr>
        <w:t>-</w:t>
      </w:r>
      <w:r w:rsidR="00624E4B" w:rsidRPr="00874B05">
        <w:rPr>
          <w:szCs w:val="24"/>
        </w:rPr>
        <w:t>rank in a sizeable</w:t>
      </w:r>
      <w:r w:rsidR="00B6151E" w:rsidRPr="00874B05">
        <w:rPr>
          <w:szCs w:val="24"/>
        </w:rPr>
        <w:t xml:space="preserve"> percentage</w:t>
      </w:r>
      <w:r w:rsidR="00624E4B" w:rsidRPr="00874B05">
        <w:rPr>
          <w:szCs w:val="24"/>
        </w:rPr>
        <w:t xml:space="preserve"> (40.9%) of the responses. Not surprisingly, and consistent with the high degree of agreement with the indicator “I definitely like the idea of owning my own car”, a relatively small (though not insignificant) percentage of responses correspond to SAVs being the first ranked choice. </w:t>
      </w:r>
      <w:r w:rsidR="00CC6340" w:rsidRPr="00874B05">
        <w:rPr>
          <w:szCs w:val="24"/>
        </w:rPr>
        <w:t>With regard to the second ranked choice, it is interesting to note that, among those who pick RVs as the first</w:t>
      </w:r>
      <w:r w:rsidR="00E533B8" w:rsidRPr="00874B05">
        <w:rPr>
          <w:szCs w:val="24"/>
        </w:rPr>
        <w:t>-</w:t>
      </w:r>
      <w:r w:rsidR="00CC6340" w:rsidRPr="00874B05">
        <w:rPr>
          <w:szCs w:val="24"/>
        </w:rPr>
        <w:t>rank choice, there is a slightly higher proportion willing to consider SAVs relative to AVs in th</w:t>
      </w:r>
      <w:r w:rsidR="00E533B8" w:rsidRPr="00874B05">
        <w:rPr>
          <w:szCs w:val="24"/>
        </w:rPr>
        <w:t>is</w:t>
      </w:r>
      <w:r w:rsidR="00CC6340" w:rsidRPr="00874B05">
        <w:rPr>
          <w:szCs w:val="24"/>
        </w:rPr>
        <w:t xml:space="preserve"> second</w:t>
      </w:r>
      <w:r w:rsidR="00E533B8" w:rsidRPr="00874B05">
        <w:rPr>
          <w:szCs w:val="24"/>
        </w:rPr>
        <w:t>-</w:t>
      </w:r>
      <w:r w:rsidR="00CC6340" w:rsidRPr="00874B05">
        <w:rPr>
          <w:szCs w:val="24"/>
        </w:rPr>
        <w:t>rank compared to in the first rank (the percentage for SAVs in the second rank is 30.9%</w:t>
      </w:r>
      <w:r w:rsidR="00571773" w:rsidRPr="00874B05">
        <w:rPr>
          <w:szCs w:val="24"/>
        </w:rPr>
        <w:t xml:space="preserve"> for those who pick RVs as the first ranked choice</w:t>
      </w:r>
      <w:r w:rsidR="00CC6340" w:rsidRPr="00874B05">
        <w:rPr>
          <w:szCs w:val="24"/>
        </w:rPr>
        <w:t xml:space="preserve">, while the corresponding figure </w:t>
      </w:r>
      <w:r w:rsidR="00571773" w:rsidRPr="00874B05">
        <w:rPr>
          <w:szCs w:val="24"/>
        </w:rPr>
        <w:t xml:space="preserve">for SAVs </w:t>
      </w:r>
      <w:r w:rsidR="00CC6340" w:rsidRPr="00874B05">
        <w:rPr>
          <w:szCs w:val="24"/>
        </w:rPr>
        <w:t xml:space="preserve">is 13.2/(13.2+40.9)=24.4% in the first rank). That is, </w:t>
      </w:r>
      <w:r w:rsidR="00571773" w:rsidRPr="00874B05">
        <w:rPr>
          <w:szCs w:val="24"/>
        </w:rPr>
        <w:t xml:space="preserve">conditional on </w:t>
      </w:r>
      <w:r w:rsidR="00CC6340" w:rsidRPr="00874B05">
        <w:rPr>
          <w:szCs w:val="24"/>
        </w:rPr>
        <w:t>keep</w:t>
      </w:r>
      <w:r w:rsidR="00571773" w:rsidRPr="00874B05">
        <w:rPr>
          <w:szCs w:val="24"/>
        </w:rPr>
        <w:t>ing</w:t>
      </w:r>
      <w:r w:rsidR="00CC6340" w:rsidRPr="00874B05">
        <w:rPr>
          <w:szCs w:val="24"/>
        </w:rPr>
        <w:t xml:space="preserve"> a regular vehicle, </w:t>
      </w:r>
      <w:r w:rsidR="00571773" w:rsidRPr="00874B05">
        <w:rPr>
          <w:szCs w:val="24"/>
        </w:rPr>
        <w:t xml:space="preserve">there is a higher likelihood of depending on SAVs than in an unconditional situation. However, the situation gets reversed if an AV is picked as the first ranked choice. In this case, the percentage choosing SAVs (rather than RVs) is 19% in the second rank, compared to 13.2/(13.2+45.9)=22% choosing SAVs in the </w:t>
      </w:r>
      <w:r w:rsidR="00E533B8" w:rsidRPr="00874B05">
        <w:rPr>
          <w:szCs w:val="24"/>
        </w:rPr>
        <w:t>first rank from among non-AV choosers</w:t>
      </w:r>
      <w:r w:rsidR="00571773" w:rsidRPr="00874B05">
        <w:rPr>
          <w:szCs w:val="24"/>
        </w:rPr>
        <w:t xml:space="preserve">. </w:t>
      </w:r>
      <w:r w:rsidR="00F050B3" w:rsidRPr="00874B05">
        <w:rPr>
          <w:szCs w:val="24"/>
        </w:rPr>
        <w:t xml:space="preserve">That is, conditional on purchasing an AV, it appears that individuals are even less likely to use an SAV than in an unconditional situation. Particularly interesting is also that, if </w:t>
      </w:r>
      <w:r w:rsidR="00935C04" w:rsidRPr="00874B05">
        <w:rPr>
          <w:szCs w:val="24"/>
        </w:rPr>
        <w:t xml:space="preserve">an </w:t>
      </w:r>
      <w:r w:rsidR="00F050B3" w:rsidRPr="00874B05">
        <w:rPr>
          <w:szCs w:val="24"/>
        </w:rPr>
        <w:t xml:space="preserve">SAV is chosen in the first rank, it is much more likely that an AV is chosen in the second rank than in the </w:t>
      </w:r>
      <w:r w:rsidR="00935C04" w:rsidRPr="00874B05">
        <w:rPr>
          <w:szCs w:val="24"/>
        </w:rPr>
        <w:t xml:space="preserve">unconditional </w:t>
      </w:r>
      <w:r w:rsidR="00F050B3" w:rsidRPr="00874B05">
        <w:rPr>
          <w:szCs w:val="24"/>
        </w:rPr>
        <w:t>first rank</w:t>
      </w:r>
      <w:r w:rsidR="00935C04" w:rsidRPr="00874B05">
        <w:rPr>
          <w:szCs w:val="24"/>
        </w:rPr>
        <w:t xml:space="preserve"> choice proportion of AV choosers</w:t>
      </w:r>
      <w:r w:rsidR="00E533B8" w:rsidRPr="00874B05">
        <w:rPr>
          <w:szCs w:val="24"/>
        </w:rPr>
        <w:t xml:space="preserve"> from among non-SAV choosers</w:t>
      </w:r>
      <w:r w:rsidR="00935C04" w:rsidRPr="00874B05">
        <w:rPr>
          <w:szCs w:val="24"/>
        </w:rPr>
        <w:t xml:space="preserve">. That is, if an SAV is decided on as the primary form of transportation, it is more likely to be supplemented by an AV than an RV. </w:t>
      </w:r>
      <w:r w:rsidR="00F050B3" w:rsidRPr="00874B05">
        <w:rPr>
          <w:szCs w:val="24"/>
        </w:rPr>
        <w:t>The last column of the table provides the percentages of the first and second ranked choice combinations, which also reflect the above discussion. Overall, the RV-AV and AV-RV combinations are most likely. In terms of SAV use, it is most likely to be used as a supplement to an RV</w:t>
      </w:r>
      <w:r w:rsidR="00935C04" w:rsidRPr="00874B05">
        <w:rPr>
          <w:szCs w:val="24"/>
        </w:rPr>
        <w:t>.</w:t>
      </w:r>
      <w:r w:rsidR="00F050B3" w:rsidRPr="00874B05">
        <w:rPr>
          <w:szCs w:val="24"/>
        </w:rPr>
        <w:t xml:space="preserve"> </w:t>
      </w:r>
    </w:p>
    <w:p w14:paraId="02544C8E" w14:textId="582FB03C" w:rsidR="00B325F5" w:rsidRPr="00874B05" w:rsidRDefault="003E1026" w:rsidP="00874B05">
      <w:pPr>
        <w:spacing w:line="276" w:lineRule="auto"/>
        <w:ind w:firstLine="720"/>
        <w:jc w:val="both"/>
        <w:rPr>
          <w:szCs w:val="24"/>
        </w:rPr>
      </w:pPr>
      <w:r w:rsidRPr="00874B05">
        <w:rPr>
          <w:szCs w:val="24"/>
        </w:rPr>
        <w:t>Next, t</w:t>
      </w:r>
      <w:r w:rsidR="0075548E" w:rsidRPr="00874B05">
        <w:rPr>
          <w:szCs w:val="24"/>
        </w:rPr>
        <w:t xml:space="preserve">he cross tabulation of the two sets of main outcomes are presented in Table </w:t>
      </w:r>
      <w:r w:rsidR="006B3123">
        <w:rPr>
          <w:szCs w:val="24"/>
        </w:rPr>
        <w:t>2</w:t>
      </w:r>
      <w:r w:rsidR="007446FF" w:rsidRPr="00874B05">
        <w:rPr>
          <w:szCs w:val="24"/>
        </w:rPr>
        <w:t xml:space="preserve"> with regard to the first</w:t>
      </w:r>
      <w:r w:rsidR="00E533B8" w:rsidRPr="00874B05">
        <w:rPr>
          <w:szCs w:val="24"/>
        </w:rPr>
        <w:t>-</w:t>
      </w:r>
      <w:r w:rsidR="007446FF" w:rsidRPr="00874B05">
        <w:rPr>
          <w:szCs w:val="24"/>
        </w:rPr>
        <w:t>rank choice in the AVD dimension</w:t>
      </w:r>
      <w:r w:rsidR="0075548E" w:rsidRPr="00874B05">
        <w:rPr>
          <w:szCs w:val="24"/>
        </w:rPr>
        <w:t xml:space="preserve">. </w:t>
      </w:r>
      <w:r w:rsidR="00A91D79" w:rsidRPr="00874B05">
        <w:rPr>
          <w:szCs w:val="24"/>
        </w:rPr>
        <w:t>Note that the response for the DAD question is at the individual-level (1</w:t>
      </w:r>
      <w:r w:rsidR="00B66FD2">
        <w:rPr>
          <w:szCs w:val="24"/>
        </w:rPr>
        <w:t>,</w:t>
      </w:r>
      <w:r w:rsidR="00A91D79" w:rsidRPr="00874B05">
        <w:rPr>
          <w:szCs w:val="24"/>
        </w:rPr>
        <w:t>021 individuals), while the response for the AVD question from the stated choice experiment is at the choice occasion level (1</w:t>
      </w:r>
      <w:r w:rsidR="00B66FD2">
        <w:rPr>
          <w:szCs w:val="24"/>
        </w:rPr>
        <w:t>,</w:t>
      </w:r>
      <w:r w:rsidR="00A91D79" w:rsidRPr="00874B05">
        <w:rPr>
          <w:szCs w:val="24"/>
        </w:rPr>
        <w:t>021</w:t>
      </w:r>
      <w:r w:rsidR="00FA69D9">
        <w:rPr>
          <w:rFonts w:cs="Times New Roman"/>
          <w:szCs w:val="24"/>
        </w:rPr>
        <w:t>×</w:t>
      </w:r>
      <w:r w:rsidR="00A91D79" w:rsidRPr="00874B05">
        <w:rPr>
          <w:szCs w:val="24"/>
        </w:rPr>
        <w:t>2=2</w:t>
      </w:r>
      <w:r w:rsidR="00B66FD2">
        <w:rPr>
          <w:szCs w:val="24"/>
        </w:rPr>
        <w:t>,</w:t>
      </w:r>
      <w:r w:rsidR="00A91D79" w:rsidRPr="00874B05">
        <w:rPr>
          <w:szCs w:val="24"/>
        </w:rPr>
        <w:t>042) level. For compatibility, we have simply duplicated the DAD response to match up to the 2</w:t>
      </w:r>
      <w:r w:rsidR="0095458B" w:rsidRPr="00874B05">
        <w:rPr>
          <w:szCs w:val="24"/>
        </w:rPr>
        <w:t>,</w:t>
      </w:r>
      <w:r w:rsidR="00A91D79" w:rsidRPr="00874B05">
        <w:rPr>
          <w:szCs w:val="24"/>
        </w:rPr>
        <w:t xml:space="preserve">042 choice occasions of the </w:t>
      </w:r>
      <w:r w:rsidR="00A91D79" w:rsidRPr="00874B05">
        <w:rPr>
          <w:szCs w:val="24"/>
        </w:rPr>
        <w:lastRenderedPageBreak/>
        <w:t xml:space="preserve">AVD responses. </w:t>
      </w:r>
      <w:r w:rsidR="00F71F5E" w:rsidRPr="00874B05">
        <w:rPr>
          <w:szCs w:val="24"/>
        </w:rPr>
        <w:t xml:space="preserve">The </w:t>
      </w:r>
      <w:r w:rsidR="00A91D79" w:rsidRPr="00874B05">
        <w:rPr>
          <w:szCs w:val="24"/>
        </w:rPr>
        <w:t xml:space="preserve">final row of the table provides the univariate descriptive statistics for the DAD decision. As can be observed, a majority (68.4%) of the respondents </w:t>
      </w:r>
      <w:r w:rsidR="007446FF" w:rsidRPr="00874B05">
        <w:rPr>
          <w:szCs w:val="24"/>
        </w:rPr>
        <w:t xml:space="preserve">indicate that they will eventually buy an AV (EB), with a very low percentage (4.8%) indicating that they will the first-to-buy (FB). More than a quarter of the respondents indicate that they will never buy an AV (NB). The cell values in the table provide both the actual number of responses in each cell as well as the column-wise percentage in parenthesis. The table clearly shows the linkage between the AVD and DAD choice decisions. For example, the NB respondents are </w:t>
      </w:r>
      <w:r w:rsidR="00B07D50" w:rsidRPr="00874B05">
        <w:rPr>
          <w:szCs w:val="24"/>
        </w:rPr>
        <w:t xml:space="preserve">substantially more </w:t>
      </w:r>
      <w:r w:rsidR="007446FF" w:rsidRPr="00874B05">
        <w:rPr>
          <w:szCs w:val="24"/>
        </w:rPr>
        <w:t>likely to be those who cho</w:t>
      </w:r>
      <w:r w:rsidR="00E533B8" w:rsidRPr="00874B05">
        <w:rPr>
          <w:szCs w:val="24"/>
        </w:rPr>
        <w:t>os</w:t>
      </w:r>
      <w:r w:rsidR="007446FF" w:rsidRPr="00874B05">
        <w:rPr>
          <w:szCs w:val="24"/>
        </w:rPr>
        <w:t xml:space="preserve">e </w:t>
      </w:r>
      <w:r w:rsidR="00B07D50" w:rsidRPr="00874B05">
        <w:rPr>
          <w:szCs w:val="24"/>
        </w:rPr>
        <w:t xml:space="preserve">an </w:t>
      </w:r>
      <w:r w:rsidR="007446FF" w:rsidRPr="00874B05">
        <w:rPr>
          <w:szCs w:val="24"/>
        </w:rPr>
        <w:t xml:space="preserve">RV as their first ranked </w:t>
      </w:r>
      <w:r w:rsidR="00B07D50" w:rsidRPr="00874B05">
        <w:rPr>
          <w:szCs w:val="24"/>
        </w:rPr>
        <w:t xml:space="preserve">choice along </w:t>
      </w:r>
      <w:r w:rsidR="007446FF" w:rsidRPr="00874B05">
        <w:rPr>
          <w:szCs w:val="24"/>
        </w:rPr>
        <w:t>the AVD dimension</w:t>
      </w:r>
      <w:r w:rsidR="00B07D50" w:rsidRPr="00874B05">
        <w:rPr>
          <w:szCs w:val="24"/>
        </w:rPr>
        <w:t xml:space="preserve"> of </w:t>
      </w:r>
      <w:r w:rsidR="007446FF" w:rsidRPr="00874B05">
        <w:rPr>
          <w:szCs w:val="24"/>
        </w:rPr>
        <w:t>choice</w:t>
      </w:r>
      <w:r w:rsidR="00B07D50" w:rsidRPr="00874B05">
        <w:rPr>
          <w:szCs w:val="24"/>
        </w:rPr>
        <w:t>. Similarly, the FB respondents (and to a lesser extent the EB respondents) are substantially more likely to be those who cho</w:t>
      </w:r>
      <w:r w:rsidR="00E533B8" w:rsidRPr="00874B05">
        <w:rPr>
          <w:szCs w:val="24"/>
        </w:rPr>
        <w:t>o</w:t>
      </w:r>
      <w:r w:rsidR="00B07D50" w:rsidRPr="00874B05">
        <w:rPr>
          <w:szCs w:val="24"/>
        </w:rPr>
        <w:t xml:space="preserve">se an AV as their first ranked choice. </w:t>
      </w:r>
      <w:r w:rsidR="007446FF" w:rsidRPr="00874B05">
        <w:rPr>
          <w:szCs w:val="24"/>
        </w:rPr>
        <w:t xml:space="preserve"> </w:t>
      </w:r>
    </w:p>
    <w:p w14:paraId="2C212272" w14:textId="1AFADD04" w:rsidR="0016254A" w:rsidRDefault="00B07D50" w:rsidP="00874B05">
      <w:pPr>
        <w:spacing w:line="276" w:lineRule="auto"/>
        <w:ind w:firstLine="720"/>
        <w:jc w:val="both"/>
        <w:rPr>
          <w:szCs w:val="24"/>
        </w:rPr>
      </w:pPr>
      <w:r w:rsidRPr="00874B05">
        <w:rPr>
          <w:szCs w:val="24"/>
        </w:rPr>
        <w:t xml:space="preserve">A key issue to note here is that, in addition to the benefits of using a ranked choice preference mechanism for any unidimensional choice situation, as discussed earlier in Section </w:t>
      </w:r>
      <w:r w:rsidR="00E533B8" w:rsidRPr="00874B05">
        <w:rPr>
          <w:szCs w:val="24"/>
        </w:rPr>
        <w:t>3.1</w:t>
      </w:r>
      <w:r w:rsidRPr="00874B05">
        <w:rPr>
          <w:szCs w:val="24"/>
        </w:rPr>
        <w:t xml:space="preserve">, the use of a ranked elicitation mechanism also helps in </w:t>
      </w:r>
      <w:r w:rsidR="00074CD6" w:rsidRPr="00874B05">
        <w:rPr>
          <w:szCs w:val="24"/>
        </w:rPr>
        <w:t xml:space="preserve">multidimensional choice </w:t>
      </w:r>
      <w:r w:rsidRPr="00874B05">
        <w:rPr>
          <w:szCs w:val="24"/>
        </w:rPr>
        <w:t xml:space="preserve">modeling. For instance, Table </w:t>
      </w:r>
      <w:r w:rsidR="006B3123">
        <w:rPr>
          <w:szCs w:val="24"/>
        </w:rPr>
        <w:t>2</w:t>
      </w:r>
      <w:r w:rsidRPr="00874B05">
        <w:rPr>
          <w:szCs w:val="24"/>
        </w:rPr>
        <w:t xml:space="preserve"> shows only 11 responses associated with the SAV-FB combination, which can be inadequate when estimating a joint AVD-DAD model </w:t>
      </w:r>
      <w:r w:rsidR="00E533B8" w:rsidRPr="00874B05">
        <w:rPr>
          <w:szCs w:val="24"/>
        </w:rPr>
        <w:t>with</w:t>
      </w:r>
      <w:r w:rsidRPr="00874B05">
        <w:rPr>
          <w:szCs w:val="24"/>
        </w:rPr>
        <w:t xml:space="preserve"> this SAV-FB combination. However, </w:t>
      </w:r>
      <w:r w:rsidR="00074CD6" w:rsidRPr="00874B05">
        <w:rPr>
          <w:szCs w:val="24"/>
        </w:rPr>
        <w:t xml:space="preserve">Table </w:t>
      </w:r>
      <w:r w:rsidR="006B3123">
        <w:rPr>
          <w:szCs w:val="24"/>
        </w:rPr>
        <w:t>2</w:t>
      </w:r>
      <w:r w:rsidR="00074CD6" w:rsidRPr="00874B05">
        <w:rPr>
          <w:szCs w:val="24"/>
        </w:rPr>
        <w:t xml:space="preserve"> shows only the crosstabulation of DAD with the first-ranked </w:t>
      </w:r>
      <w:r w:rsidR="00E533B8" w:rsidRPr="00874B05">
        <w:rPr>
          <w:szCs w:val="24"/>
        </w:rPr>
        <w:t xml:space="preserve">AVD </w:t>
      </w:r>
      <w:r w:rsidR="00074CD6" w:rsidRPr="00874B05">
        <w:rPr>
          <w:szCs w:val="24"/>
        </w:rPr>
        <w:t>alternative.</w:t>
      </w:r>
      <w:r w:rsidR="00B66FD2">
        <w:rPr>
          <w:szCs w:val="24"/>
        </w:rPr>
        <w:t xml:space="preserve"> </w:t>
      </w:r>
      <w:r w:rsidR="00E533B8" w:rsidRPr="00874B05">
        <w:rPr>
          <w:szCs w:val="24"/>
        </w:rPr>
        <w:t>I</w:t>
      </w:r>
      <w:r w:rsidR="00074CD6" w:rsidRPr="00874B05">
        <w:rPr>
          <w:szCs w:val="24"/>
        </w:rPr>
        <w:t xml:space="preserve">n addition to the 268 first-ranked </w:t>
      </w:r>
      <w:r w:rsidR="00E533B8" w:rsidRPr="00874B05">
        <w:rPr>
          <w:szCs w:val="24"/>
        </w:rPr>
        <w:t xml:space="preserve">SAV </w:t>
      </w:r>
      <w:r w:rsidR="00074CD6" w:rsidRPr="00874B05">
        <w:rPr>
          <w:szCs w:val="24"/>
        </w:rPr>
        <w:t xml:space="preserve">responses, we also have the 414 second-ranked </w:t>
      </w:r>
      <w:r w:rsidR="00E533B8" w:rsidRPr="00874B05">
        <w:rPr>
          <w:szCs w:val="24"/>
        </w:rPr>
        <w:t xml:space="preserve">SAV </w:t>
      </w:r>
      <w:r w:rsidR="00074CD6" w:rsidRPr="00874B05">
        <w:rPr>
          <w:szCs w:val="24"/>
        </w:rPr>
        <w:t>responses</w:t>
      </w:r>
      <w:r w:rsidR="00931602" w:rsidRPr="00874B05">
        <w:rPr>
          <w:szCs w:val="24"/>
        </w:rPr>
        <w:t xml:space="preserve">. </w:t>
      </w:r>
      <w:r w:rsidR="00F9117B" w:rsidRPr="00874B05">
        <w:rPr>
          <w:szCs w:val="24"/>
        </w:rPr>
        <w:t>These second-ranked responses, contribut</w:t>
      </w:r>
      <w:r w:rsidR="00E533B8" w:rsidRPr="00874B05">
        <w:rPr>
          <w:szCs w:val="24"/>
        </w:rPr>
        <w:t>e</w:t>
      </w:r>
      <w:r w:rsidR="00F9117B" w:rsidRPr="00874B05">
        <w:rPr>
          <w:szCs w:val="24"/>
        </w:rPr>
        <w:t xml:space="preserve"> to </w:t>
      </w:r>
      <w:r w:rsidR="00E533B8" w:rsidRPr="00874B05">
        <w:rPr>
          <w:szCs w:val="24"/>
        </w:rPr>
        <w:t xml:space="preserve">the </w:t>
      </w:r>
      <w:r w:rsidR="00F9117B" w:rsidRPr="00874B05">
        <w:rPr>
          <w:szCs w:val="24"/>
        </w:rPr>
        <w:t xml:space="preserve">enhanced ability to model the </w:t>
      </w:r>
      <w:r w:rsidR="00E533B8" w:rsidRPr="00874B05">
        <w:rPr>
          <w:szCs w:val="24"/>
        </w:rPr>
        <w:t xml:space="preserve">AVD and DAD </w:t>
      </w:r>
      <w:r w:rsidR="00F9117B" w:rsidRPr="00874B05">
        <w:rPr>
          <w:szCs w:val="24"/>
        </w:rPr>
        <w:t xml:space="preserve">dimensions jointly. For example, instead of only 11 observations in the SAV-FB combination if only the first-ranked </w:t>
      </w:r>
      <w:r w:rsidR="00E533B8" w:rsidRPr="00874B05">
        <w:rPr>
          <w:szCs w:val="24"/>
        </w:rPr>
        <w:t xml:space="preserve">SAV </w:t>
      </w:r>
      <w:r w:rsidR="00F9117B" w:rsidRPr="00874B05">
        <w:rPr>
          <w:szCs w:val="24"/>
        </w:rPr>
        <w:t xml:space="preserve">choice were used, we now have a total of </w:t>
      </w:r>
      <w:r w:rsidR="0094369D" w:rsidRPr="00874B05">
        <w:rPr>
          <w:szCs w:val="24"/>
        </w:rPr>
        <w:t>45</w:t>
      </w:r>
      <w:r w:rsidR="00F9117B" w:rsidRPr="00874B05">
        <w:rPr>
          <w:szCs w:val="24"/>
        </w:rPr>
        <w:t xml:space="preserve"> observations in this combination if both the first-ranked and second-ranked SAV choices are considered.</w:t>
      </w:r>
    </w:p>
    <w:p w14:paraId="7562DD1F" w14:textId="77777777" w:rsidR="00493DDD" w:rsidRPr="00874B05" w:rsidRDefault="00493DDD" w:rsidP="00874B05">
      <w:pPr>
        <w:spacing w:line="276" w:lineRule="auto"/>
        <w:ind w:firstLine="720"/>
        <w:jc w:val="both"/>
        <w:rPr>
          <w:szCs w:val="24"/>
        </w:rPr>
      </w:pPr>
    </w:p>
    <w:p w14:paraId="7958CD15" w14:textId="5A653422" w:rsidR="00EA1A56" w:rsidRPr="00874B05" w:rsidRDefault="00080AEC" w:rsidP="00493DDD">
      <w:pPr>
        <w:spacing w:line="276" w:lineRule="auto"/>
        <w:jc w:val="both"/>
        <w:rPr>
          <w:i/>
          <w:iCs/>
          <w:szCs w:val="24"/>
        </w:rPr>
      </w:pPr>
      <w:r w:rsidRPr="00874B05">
        <w:rPr>
          <w:i/>
          <w:iCs/>
          <w:szCs w:val="24"/>
        </w:rPr>
        <w:t>3.2.4 Framework for Jointly Modeling Continuous</w:t>
      </w:r>
      <w:r w:rsidR="002C42AB" w:rsidRPr="00874B05">
        <w:rPr>
          <w:i/>
          <w:iCs/>
          <w:szCs w:val="24"/>
        </w:rPr>
        <w:t>, Nominal, and Ranked</w:t>
      </w:r>
      <w:r w:rsidRPr="00874B05">
        <w:rPr>
          <w:i/>
          <w:iCs/>
          <w:szCs w:val="24"/>
        </w:rPr>
        <w:t xml:space="preserve"> Outcomes</w:t>
      </w:r>
    </w:p>
    <w:p w14:paraId="5F5A821F" w14:textId="77777777" w:rsidR="0016254A" w:rsidRPr="00874B05" w:rsidRDefault="00080AEC" w:rsidP="00493DDD">
      <w:pPr>
        <w:spacing w:line="276" w:lineRule="auto"/>
        <w:jc w:val="both"/>
        <w:rPr>
          <w:szCs w:val="24"/>
        </w:rPr>
      </w:pPr>
      <w:r w:rsidRPr="00874B05">
        <w:rPr>
          <w:szCs w:val="24"/>
        </w:rPr>
        <w:t>In this study, we jointly model</w:t>
      </w:r>
      <w:r w:rsidR="00FA21B0" w:rsidRPr="00874B05">
        <w:rPr>
          <w:szCs w:val="24"/>
        </w:rPr>
        <w:t xml:space="preserve"> </w:t>
      </w:r>
      <w:r w:rsidR="009419C9" w:rsidRPr="00874B05">
        <w:rPr>
          <w:szCs w:val="24"/>
        </w:rPr>
        <w:t xml:space="preserve">the </w:t>
      </w:r>
      <w:r w:rsidR="00FA21B0" w:rsidRPr="00874B05">
        <w:rPr>
          <w:szCs w:val="24"/>
        </w:rPr>
        <w:t>f</w:t>
      </w:r>
      <w:r w:rsidR="00C57042" w:rsidRPr="00874B05">
        <w:rPr>
          <w:szCs w:val="24"/>
        </w:rPr>
        <w:t>our</w:t>
      </w:r>
      <w:r w:rsidR="00FA21B0" w:rsidRPr="00874B05">
        <w:rPr>
          <w:szCs w:val="24"/>
        </w:rPr>
        <w:t xml:space="preserve"> continuous outcomes (representing the f</w:t>
      </w:r>
      <w:r w:rsidR="00C57042" w:rsidRPr="00874B05">
        <w:rPr>
          <w:szCs w:val="24"/>
        </w:rPr>
        <w:t>our</w:t>
      </w:r>
      <w:r w:rsidR="00FA21B0" w:rsidRPr="00874B05">
        <w:rPr>
          <w:szCs w:val="24"/>
        </w:rPr>
        <w:t xml:space="preserve"> latent stochastic </w:t>
      </w:r>
      <w:r w:rsidR="00701729" w:rsidRPr="00874B05">
        <w:rPr>
          <w:szCs w:val="24"/>
        </w:rPr>
        <w:t>constructs</w:t>
      </w:r>
      <w:r w:rsidR="00FA21B0" w:rsidRPr="00874B05">
        <w:rPr>
          <w:szCs w:val="24"/>
        </w:rPr>
        <w:t xml:space="preserve"> of interest) and </w:t>
      </w:r>
      <w:r w:rsidR="00C5420E" w:rsidRPr="00874B05">
        <w:rPr>
          <w:szCs w:val="24"/>
        </w:rPr>
        <w:t xml:space="preserve">the </w:t>
      </w:r>
      <w:r w:rsidR="00335EE4" w:rsidRPr="00874B05">
        <w:rPr>
          <w:szCs w:val="24"/>
        </w:rPr>
        <w:t xml:space="preserve">two nominal </w:t>
      </w:r>
      <w:r w:rsidR="00FA21B0" w:rsidRPr="00874B05">
        <w:rPr>
          <w:szCs w:val="24"/>
        </w:rPr>
        <w:t>outcomes</w:t>
      </w:r>
      <w:r w:rsidR="00C10442" w:rsidRPr="00874B05">
        <w:rPr>
          <w:szCs w:val="24"/>
        </w:rPr>
        <w:t xml:space="preserve"> (</w:t>
      </w:r>
      <w:r w:rsidR="00C5420E" w:rsidRPr="00874B05">
        <w:rPr>
          <w:szCs w:val="24"/>
        </w:rPr>
        <w:t>the AVD and DAD outcomes</w:t>
      </w:r>
      <w:r w:rsidR="00C10442" w:rsidRPr="00874B05">
        <w:rPr>
          <w:szCs w:val="24"/>
        </w:rPr>
        <w:t>)</w:t>
      </w:r>
      <w:r w:rsidR="00FA21B0" w:rsidRPr="00874B05">
        <w:rPr>
          <w:szCs w:val="24"/>
        </w:rPr>
        <w:t>.</w:t>
      </w:r>
      <w:r w:rsidR="00B311C5" w:rsidRPr="00874B05">
        <w:rPr>
          <w:szCs w:val="24"/>
        </w:rPr>
        <w:t xml:space="preserve"> T</w:t>
      </w:r>
      <w:r w:rsidR="00C5420E" w:rsidRPr="00874B05">
        <w:rPr>
          <w:szCs w:val="24"/>
        </w:rPr>
        <w:t xml:space="preserve">wo instances of AVD choice are available from each respondent, corresponding to the </w:t>
      </w:r>
      <w:r w:rsidR="00335EE4" w:rsidRPr="00874B05">
        <w:rPr>
          <w:szCs w:val="24"/>
        </w:rPr>
        <w:t xml:space="preserve">two SP choice scenarios </w:t>
      </w:r>
      <w:r w:rsidR="00C5420E" w:rsidRPr="00874B05">
        <w:rPr>
          <w:szCs w:val="24"/>
        </w:rPr>
        <w:t xml:space="preserve">presented to each respondent. To accommodate the individual-level correlation among these two AVD choice instances, </w:t>
      </w:r>
      <w:r w:rsidR="002A5219" w:rsidRPr="00874B05">
        <w:rPr>
          <w:szCs w:val="24"/>
        </w:rPr>
        <w:t xml:space="preserve">we </w:t>
      </w:r>
      <w:r w:rsidR="00C5420E" w:rsidRPr="00874B05">
        <w:rPr>
          <w:szCs w:val="24"/>
        </w:rPr>
        <w:t xml:space="preserve">model these </w:t>
      </w:r>
      <w:r w:rsidR="009419C9" w:rsidRPr="00874B05">
        <w:rPr>
          <w:szCs w:val="24"/>
        </w:rPr>
        <w:t xml:space="preserve">two instances </w:t>
      </w:r>
      <w:r w:rsidR="00C5420E" w:rsidRPr="00874B05">
        <w:rPr>
          <w:szCs w:val="24"/>
        </w:rPr>
        <w:t xml:space="preserve">as two separate outcomes in our individual-level multivariate model. </w:t>
      </w:r>
      <w:r w:rsidR="00B311C5" w:rsidRPr="00874B05">
        <w:rPr>
          <w:szCs w:val="24"/>
        </w:rPr>
        <w:t xml:space="preserve">By doing so, we explicitly recognize the ‘panel-like’ correlation effects in the two AVD responses from each individual, as engendered by the effects of common individual-level stochastic latent constructs impacting alternative utilities at both choice occasions of the same individual. </w:t>
      </w:r>
      <w:r w:rsidR="00C5420E" w:rsidRPr="00874B05">
        <w:rPr>
          <w:szCs w:val="24"/>
        </w:rPr>
        <w:t>Thus, w</w:t>
      </w:r>
      <w:r w:rsidR="009419C9" w:rsidRPr="00874B05">
        <w:rPr>
          <w:szCs w:val="24"/>
        </w:rPr>
        <w:t xml:space="preserve">e </w:t>
      </w:r>
      <w:r w:rsidR="002A5219" w:rsidRPr="00874B05">
        <w:rPr>
          <w:szCs w:val="24"/>
        </w:rPr>
        <w:t>jointly model three main outcomes (</w:t>
      </w:r>
      <w:r w:rsidR="009E487C" w:rsidRPr="00874B05">
        <w:rPr>
          <w:szCs w:val="24"/>
        </w:rPr>
        <w:t>the two AVD ranked choice instances and the DAD</w:t>
      </w:r>
      <w:r w:rsidR="00222B39" w:rsidRPr="00874B05">
        <w:rPr>
          <w:szCs w:val="24"/>
        </w:rPr>
        <w:t xml:space="preserve"> </w:t>
      </w:r>
      <w:r w:rsidR="001100B4" w:rsidRPr="00874B05">
        <w:rPr>
          <w:szCs w:val="24"/>
        </w:rPr>
        <w:t>first-choice</w:t>
      </w:r>
      <w:r w:rsidR="002A5219" w:rsidRPr="00874B05">
        <w:rPr>
          <w:szCs w:val="24"/>
        </w:rPr>
        <w:t>), along with the f</w:t>
      </w:r>
      <w:r w:rsidR="00C57042" w:rsidRPr="00874B05">
        <w:rPr>
          <w:szCs w:val="24"/>
        </w:rPr>
        <w:t>our</w:t>
      </w:r>
      <w:r w:rsidR="002A5219" w:rsidRPr="00874B05">
        <w:rPr>
          <w:szCs w:val="24"/>
        </w:rPr>
        <w:t xml:space="preserve"> latent constructs, and allow error correlations</w:t>
      </w:r>
      <w:r w:rsidR="009419C9" w:rsidRPr="00874B05">
        <w:rPr>
          <w:szCs w:val="24"/>
        </w:rPr>
        <w:t xml:space="preserve"> among </w:t>
      </w:r>
      <w:r w:rsidR="002A5219" w:rsidRPr="00874B05">
        <w:rPr>
          <w:szCs w:val="24"/>
        </w:rPr>
        <w:t>the</w:t>
      </w:r>
      <w:r w:rsidR="009419C9" w:rsidRPr="00874B05">
        <w:rPr>
          <w:szCs w:val="24"/>
        </w:rPr>
        <w:t>se</w:t>
      </w:r>
      <w:r w:rsidR="002A5219" w:rsidRPr="00874B05">
        <w:rPr>
          <w:szCs w:val="24"/>
        </w:rPr>
        <w:t xml:space="preserve"> </w:t>
      </w:r>
      <w:r w:rsidR="00C57042" w:rsidRPr="00874B05">
        <w:rPr>
          <w:szCs w:val="24"/>
        </w:rPr>
        <w:t>seven</w:t>
      </w:r>
      <w:r w:rsidR="009419C9" w:rsidRPr="00874B05">
        <w:rPr>
          <w:szCs w:val="24"/>
        </w:rPr>
        <w:t xml:space="preserve"> endogenous variables</w:t>
      </w:r>
      <w:r w:rsidR="002A5219" w:rsidRPr="00874B05">
        <w:rPr>
          <w:szCs w:val="24"/>
        </w:rPr>
        <w:t xml:space="preserve">. However, </w:t>
      </w:r>
      <w:r w:rsidR="009419C9" w:rsidRPr="00874B05">
        <w:rPr>
          <w:szCs w:val="24"/>
        </w:rPr>
        <w:t>the two AVD choice instances reflect the same decision-making process, and a single set of parameter effects and correlations (with t</w:t>
      </w:r>
      <w:r w:rsidR="00B311C5" w:rsidRPr="00874B05">
        <w:rPr>
          <w:szCs w:val="24"/>
        </w:rPr>
        <w:t xml:space="preserve">he </w:t>
      </w:r>
      <w:r w:rsidR="009419C9" w:rsidRPr="00874B05">
        <w:rPr>
          <w:szCs w:val="24"/>
        </w:rPr>
        <w:t>latent constructs) are estimated across the two AVD ranked choice instances.</w:t>
      </w:r>
    </w:p>
    <w:p w14:paraId="3A15EC2D" w14:textId="6CC9F3DB" w:rsidR="0016254A" w:rsidRPr="00874B05" w:rsidRDefault="009419C9" w:rsidP="00874B05">
      <w:pPr>
        <w:spacing w:line="276" w:lineRule="auto"/>
        <w:ind w:firstLine="720"/>
        <w:jc w:val="both"/>
        <w:rPr>
          <w:rFonts w:cs="Times New Roman"/>
          <w:noProof/>
          <w:szCs w:val="24"/>
        </w:rPr>
      </w:pPr>
      <w:r w:rsidRPr="00874B05">
        <w:rPr>
          <w:szCs w:val="24"/>
        </w:rPr>
        <w:t xml:space="preserve"> </w:t>
      </w:r>
      <w:r w:rsidR="00B311C5" w:rsidRPr="00874B05">
        <w:rPr>
          <w:rFonts w:cs="Times New Roman"/>
          <w:noProof/>
          <w:szCs w:val="24"/>
        </w:rPr>
        <w:t xml:space="preserve">An important methodological contribution of this paper is that we model a mix of continuous variables as well as a nominal variable (DAD) and a ranked variable (AVD). However, the mathematics of the model set-up, the identification conisderations, and the estimation procedure entail a good bit of notation and matrix manipulations. To conserve on space, as well as </w:t>
      </w:r>
      <w:r w:rsidR="00B311C5" w:rsidRPr="00874B05">
        <w:rPr>
          <w:rFonts w:cs="Times New Roman"/>
          <w:noProof/>
          <w:szCs w:val="24"/>
        </w:rPr>
        <w:lastRenderedPageBreak/>
        <w:t>to focus on the empirical insights, we relegate the model set-up and the estimation procedure to the online supplement of this paper.</w:t>
      </w:r>
    </w:p>
    <w:p w14:paraId="6858381B" w14:textId="2E3ECB9C" w:rsidR="00D20D09" w:rsidRPr="00874B05" w:rsidRDefault="00B311C5" w:rsidP="00874B05">
      <w:pPr>
        <w:spacing w:line="276" w:lineRule="auto"/>
        <w:ind w:firstLine="720"/>
        <w:jc w:val="both"/>
        <w:rPr>
          <w:szCs w:val="24"/>
        </w:rPr>
      </w:pPr>
      <w:r w:rsidRPr="00874B05">
        <w:rPr>
          <w:rFonts w:cs="Times New Roman"/>
          <w:noProof/>
          <w:szCs w:val="24"/>
        </w:rPr>
        <w:t xml:space="preserve"> </w:t>
      </w:r>
    </w:p>
    <w:p w14:paraId="3076CD45" w14:textId="239C33A3" w:rsidR="00487A62" w:rsidRPr="00874B05" w:rsidRDefault="00E04EEA" w:rsidP="00493DDD">
      <w:pPr>
        <w:pStyle w:val="Style1"/>
        <w:tabs>
          <w:tab w:val="left" w:pos="540"/>
        </w:tabs>
        <w:spacing w:before="0" w:line="276" w:lineRule="auto"/>
        <w:ind w:left="540" w:hanging="540"/>
        <w:jc w:val="both"/>
        <w:rPr>
          <w:sz w:val="24"/>
          <w:szCs w:val="24"/>
        </w:rPr>
      </w:pPr>
      <w:r w:rsidRPr="00874B05">
        <w:rPr>
          <w:sz w:val="24"/>
          <w:szCs w:val="24"/>
        </w:rPr>
        <w:t>4</w:t>
      </w:r>
      <w:r w:rsidR="00E25F92" w:rsidRPr="00874B05">
        <w:rPr>
          <w:sz w:val="24"/>
          <w:szCs w:val="24"/>
        </w:rPr>
        <w:t>.</w:t>
      </w:r>
      <w:r w:rsidR="00E25F92" w:rsidRPr="00874B05">
        <w:rPr>
          <w:sz w:val="24"/>
          <w:szCs w:val="24"/>
        </w:rPr>
        <w:tab/>
      </w:r>
      <w:r w:rsidRPr="00874B05">
        <w:rPr>
          <w:sz w:val="24"/>
          <w:szCs w:val="24"/>
        </w:rPr>
        <w:t>MODEL RESULTS</w:t>
      </w:r>
    </w:p>
    <w:p w14:paraId="35128B31" w14:textId="77777777" w:rsidR="0016254A" w:rsidRPr="00874B05" w:rsidRDefault="00080AEC" w:rsidP="00493DDD">
      <w:pPr>
        <w:spacing w:line="276" w:lineRule="auto"/>
        <w:jc w:val="both"/>
        <w:rPr>
          <w:szCs w:val="24"/>
        </w:rPr>
      </w:pPr>
      <w:r w:rsidRPr="00874B05">
        <w:rPr>
          <w:szCs w:val="24"/>
        </w:rPr>
        <w:t xml:space="preserve">The </w:t>
      </w:r>
      <w:r w:rsidR="00222B39" w:rsidRPr="00874B05">
        <w:rPr>
          <w:szCs w:val="24"/>
        </w:rPr>
        <w:t>final</w:t>
      </w:r>
      <w:r w:rsidRPr="00874B05">
        <w:rPr>
          <w:szCs w:val="24"/>
        </w:rPr>
        <w:t xml:space="preserve"> model specification was developed through a systematic</w:t>
      </w:r>
      <w:r w:rsidR="00222B39" w:rsidRPr="00874B05">
        <w:rPr>
          <w:szCs w:val="24"/>
        </w:rPr>
        <w:t xml:space="preserve"> process</w:t>
      </w:r>
      <w:r w:rsidRPr="00874B05">
        <w:rPr>
          <w:szCs w:val="24"/>
        </w:rPr>
        <w:t xml:space="preserve"> of analyzing alternate combinations of explanatory variables</w:t>
      </w:r>
      <w:r w:rsidR="00222B39" w:rsidRPr="00874B05">
        <w:rPr>
          <w:szCs w:val="24"/>
        </w:rPr>
        <w:t>,</w:t>
      </w:r>
      <w:r w:rsidRPr="00874B05">
        <w:rPr>
          <w:szCs w:val="24"/>
        </w:rPr>
        <w:t xml:space="preserve"> </w:t>
      </w:r>
      <w:r w:rsidR="00E23C9F" w:rsidRPr="00874B05">
        <w:rPr>
          <w:szCs w:val="24"/>
        </w:rPr>
        <w:t xml:space="preserve">while </w:t>
      </w:r>
      <w:r w:rsidRPr="00874B05">
        <w:rPr>
          <w:szCs w:val="24"/>
        </w:rPr>
        <w:t xml:space="preserve">removing statistically insignificant ones. </w:t>
      </w:r>
      <w:r w:rsidR="00E23C9F" w:rsidRPr="00874B05">
        <w:rPr>
          <w:szCs w:val="24"/>
        </w:rPr>
        <w:t>Individual demographic and household characteristics</w:t>
      </w:r>
      <w:r w:rsidR="003E1026" w:rsidRPr="00874B05">
        <w:rPr>
          <w:szCs w:val="24"/>
        </w:rPr>
        <w:t>,</w:t>
      </w:r>
      <w:r w:rsidR="00E23C9F" w:rsidRPr="00874B05">
        <w:rPr>
          <w:szCs w:val="24"/>
        </w:rPr>
        <w:t xml:space="preserve"> such as age, household size and </w:t>
      </w:r>
      <w:r w:rsidR="00B311C5" w:rsidRPr="00874B05">
        <w:rPr>
          <w:szCs w:val="24"/>
        </w:rPr>
        <w:t>household</w:t>
      </w:r>
      <w:r w:rsidR="00E23C9F" w:rsidRPr="00874B05">
        <w:rPr>
          <w:szCs w:val="24"/>
        </w:rPr>
        <w:t xml:space="preserve"> vehicle fleet size</w:t>
      </w:r>
      <w:r w:rsidR="003E1026" w:rsidRPr="00874B05">
        <w:rPr>
          <w:szCs w:val="24"/>
        </w:rPr>
        <w:t>,</w:t>
      </w:r>
      <w:r w:rsidR="00E23C9F" w:rsidRPr="00874B05">
        <w:rPr>
          <w:szCs w:val="24"/>
        </w:rPr>
        <w:t xml:space="preserve"> were tested </w:t>
      </w:r>
      <w:r w:rsidR="00222B39" w:rsidRPr="00874B05">
        <w:rPr>
          <w:szCs w:val="24"/>
        </w:rPr>
        <w:t xml:space="preserve">as </w:t>
      </w:r>
      <w:r w:rsidR="00E23C9F" w:rsidRPr="00874B05">
        <w:rPr>
          <w:szCs w:val="24"/>
        </w:rPr>
        <w:t>dummy variables</w:t>
      </w:r>
      <w:r w:rsidR="00222B39" w:rsidRPr="00874B05">
        <w:rPr>
          <w:szCs w:val="24"/>
        </w:rPr>
        <w:t xml:space="preserve"> in the most disaggregate form possible</w:t>
      </w:r>
      <w:r w:rsidR="00E23C9F" w:rsidRPr="00874B05">
        <w:rPr>
          <w:szCs w:val="24"/>
        </w:rPr>
        <w:t xml:space="preserve">, </w:t>
      </w:r>
      <w:r w:rsidR="00222B39" w:rsidRPr="00874B05">
        <w:rPr>
          <w:szCs w:val="24"/>
        </w:rPr>
        <w:t xml:space="preserve">and progressively combined based on statistical tests to yield parsimonious specifications. </w:t>
      </w:r>
      <w:r w:rsidR="003762A4" w:rsidRPr="00874B05">
        <w:rPr>
          <w:szCs w:val="24"/>
        </w:rPr>
        <w:t xml:space="preserve">Different functional forms were tested for the time and cost variables in the AVD model specification, including a linear form, a nonlinear form based on piece-wise linearity, and dummy variables for specific groupings of time and cost. The sensitivity to cost was also interacted with individual-level variables such as household income (to reflect the decreasing sensitivity to cost with income). </w:t>
      </w:r>
      <w:r w:rsidR="00E14239" w:rsidRPr="00874B05">
        <w:rPr>
          <w:szCs w:val="24"/>
        </w:rPr>
        <w:t>However, the final specification turned out to be rather simple, including a simple linear form for both the fixed cost and variable cost of the different AVD alternative.</w:t>
      </w:r>
    </w:p>
    <w:p w14:paraId="01B5D7D7" w14:textId="5A8A94E5" w:rsidR="0016254A" w:rsidRPr="00874B05" w:rsidRDefault="00E14239" w:rsidP="00874B05">
      <w:pPr>
        <w:spacing w:line="276" w:lineRule="auto"/>
        <w:ind w:firstLine="720"/>
        <w:jc w:val="both"/>
        <w:rPr>
          <w:szCs w:val="24"/>
        </w:rPr>
      </w:pPr>
      <w:r w:rsidRPr="00874B05">
        <w:rPr>
          <w:szCs w:val="24"/>
        </w:rPr>
        <w:t>Interestingly, in our specification tests, the effect of waiting time for the SAV mode consistently came out to be statistically insignificant. This suggests that respondents may have actually grasped the concept of SAVs quite well. The introduction to the AV questions was quite descriptive of what an AV means and what an SAV means, with reference to SAVs being Uber and Lyft type services available today except without a driver. Because Uber and Lyft services can be scheduled</w:t>
      </w:r>
      <w:r w:rsidR="00905D0D" w:rsidRPr="00874B05">
        <w:rPr>
          <w:szCs w:val="24"/>
        </w:rPr>
        <w:t xml:space="preserve"> in advance</w:t>
      </w:r>
      <w:r w:rsidRPr="00874B05">
        <w:rPr>
          <w:szCs w:val="24"/>
        </w:rPr>
        <w:t xml:space="preserve"> based on timing need, the concept of wait time is not likely to be that important as for traditional fixed-schedule transit services, which may be reflected in our results</w:t>
      </w:r>
      <w:r w:rsidR="00905D0D" w:rsidRPr="00874B05">
        <w:rPr>
          <w:szCs w:val="24"/>
        </w:rPr>
        <w:t xml:space="preserve"> as the statistically insignificant effect of SAV wait time</w:t>
      </w:r>
      <w:r w:rsidRPr="00874B05">
        <w:rPr>
          <w:szCs w:val="24"/>
        </w:rPr>
        <w:t>.</w:t>
      </w:r>
      <w:r w:rsidR="006934E8">
        <w:rPr>
          <w:szCs w:val="24"/>
        </w:rPr>
        <w:t xml:space="preserve"> Of course, an alternative explanation for our finding of the lack of effect of waiting time for the SAV mode is that SAV waiting time simply does not feature in a decision as important as medium-term mobility adoption decisions. </w:t>
      </w:r>
    </w:p>
    <w:p w14:paraId="26A08AC1" w14:textId="117EFF11" w:rsidR="0016254A" w:rsidRPr="00874B05" w:rsidRDefault="002577E1" w:rsidP="00874B05">
      <w:pPr>
        <w:spacing w:line="276" w:lineRule="auto"/>
        <w:ind w:firstLine="720"/>
        <w:jc w:val="both"/>
        <w:rPr>
          <w:szCs w:val="24"/>
        </w:rPr>
      </w:pPr>
      <w:r w:rsidRPr="00874B05">
        <w:rPr>
          <w:szCs w:val="24"/>
        </w:rPr>
        <w:t xml:space="preserve">In the </w:t>
      </w:r>
      <w:r w:rsidR="00E14239" w:rsidRPr="00874B05">
        <w:rPr>
          <w:szCs w:val="24"/>
        </w:rPr>
        <w:t>specification</w:t>
      </w:r>
      <w:r w:rsidRPr="00874B05">
        <w:rPr>
          <w:szCs w:val="24"/>
        </w:rPr>
        <w:t xml:space="preserve"> testing phase</w:t>
      </w:r>
      <w:r w:rsidR="00E14239" w:rsidRPr="00874B05">
        <w:rPr>
          <w:szCs w:val="24"/>
        </w:rPr>
        <w:t xml:space="preserve">, </w:t>
      </w:r>
      <w:r w:rsidR="003762A4" w:rsidRPr="00874B05">
        <w:rPr>
          <w:szCs w:val="24"/>
        </w:rPr>
        <w:t>the latent constructs themselves were introduced directly as well as interactions with individual-level variables a</w:t>
      </w:r>
      <w:r w:rsidR="006121FF" w:rsidRPr="00874B05">
        <w:rPr>
          <w:szCs w:val="24"/>
        </w:rPr>
        <w:t xml:space="preserve">nd the </w:t>
      </w:r>
      <w:r w:rsidR="003762A4" w:rsidRPr="00874B05">
        <w:rPr>
          <w:szCs w:val="24"/>
        </w:rPr>
        <w:t>time</w:t>
      </w:r>
      <w:r w:rsidR="006121FF" w:rsidRPr="00874B05">
        <w:rPr>
          <w:szCs w:val="24"/>
        </w:rPr>
        <w:t>/</w:t>
      </w:r>
      <w:r w:rsidR="003762A4" w:rsidRPr="00874B05">
        <w:rPr>
          <w:szCs w:val="24"/>
        </w:rPr>
        <w:t xml:space="preserve">cost </w:t>
      </w:r>
      <w:r w:rsidR="006121FF" w:rsidRPr="00874B05">
        <w:rPr>
          <w:szCs w:val="24"/>
        </w:rPr>
        <w:t xml:space="preserve">variables </w:t>
      </w:r>
      <w:r w:rsidR="003762A4" w:rsidRPr="00874B05">
        <w:rPr>
          <w:szCs w:val="24"/>
        </w:rPr>
        <w:t xml:space="preserve">(to capture variations </w:t>
      </w:r>
      <w:r w:rsidR="00E14239" w:rsidRPr="00874B05">
        <w:rPr>
          <w:szCs w:val="24"/>
        </w:rPr>
        <w:t>in demographic effects as well as sensitivity to times</w:t>
      </w:r>
      <w:r w:rsidR="006121FF" w:rsidRPr="00874B05">
        <w:rPr>
          <w:szCs w:val="24"/>
        </w:rPr>
        <w:t>/</w:t>
      </w:r>
      <w:r w:rsidR="00E14239" w:rsidRPr="00874B05">
        <w:rPr>
          <w:szCs w:val="24"/>
        </w:rPr>
        <w:t xml:space="preserve">costs based on latent construct levels). Some of the interaction effects </w:t>
      </w:r>
      <w:r w:rsidR="006121FF" w:rsidRPr="00874B05">
        <w:rPr>
          <w:szCs w:val="24"/>
        </w:rPr>
        <w:t xml:space="preserve">with demographics </w:t>
      </w:r>
      <w:r w:rsidR="00E14239" w:rsidRPr="00874B05">
        <w:rPr>
          <w:szCs w:val="24"/>
        </w:rPr>
        <w:t>tu</w:t>
      </w:r>
      <w:r w:rsidR="006121FF" w:rsidRPr="00874B05">
        <w:rPr>
          <w:szCs w:val="24"/>
        </w:rPr>
        <w:t>rn</w:t>
      </w:r>
      <w:r w:rsidR="00E14239" w:rsidRPr="00874B05">
        <w:rPr>
          <w:szCs w:val="24"/>
        </w:rPr>
        <w:t xml:space="preserve">ed out to be important, </w:t>
      </w:r>
      <w:r w:rsidR="006121FF" w:rsidRPr="00874B05">
        <w:rPr>
          <w:szCs w:val="24"/>
        </w:rPr>
        <w:t xml:space="preserve">but </w:t>
      </w:r>
      <w:r w:rsidR="00E14239" w:rsidRPr="00874B05">
        <w:rPr>
          <w:szCs w:val="24"/>
        </w:rPr>
        <w:t xml:space="preserve">the interaction effects with time and cost </w:t>
      </w:r>
      <w:r w:rsidR="006121FF" w:rsidRPr="00874B05">
        <w:rPr>
          <w:szCs w:val="24"/>
        </w:rPr>
        <w:t>were again consistently statistically insignificant.</w:t>
      </w:r>
    </w:p>
    <w:p w14:paraId="772F2AFF" w14:textId="500BFBE7" w:rsidR="0016254A" w:rsidRPr="00874B05" w:rsidRDefault="0074579A" w:rsidP="00493DDD">
      <w:pPr>
        <w:spacing w:line="276" w:lineRule="auto"/>
        <w:ind w:firstLine="720"/>
        <w:jc w:val="both"/>
        <w:rPr>
          <w:rFonts w:cs="Times New Roman"/>
          <w:szCs w:val="24"/>
        </w:rPr>
      </w:pPr>
      <w:r w:rsidRPr="00874B05">
        <w:rPr>
          <w:rFonts w:cs="Times New Roman"/>
          <w:szCs w:val="24"/>
        </w:rPr>
        <w:t xml:space="preserve">As discussed earlier, our estimation proceeds by first identifying the most appropriate indicators for each of four latent constructs based on a confirmatory factor analysis, and then using the loadings of each latent constructs on the indicators to construct continuous values of the latent constructs for use in the model estimation. </w:t>
      </w:r>
      <w:r w:rsidR="00905D0D" w:rsidRPr="00874B05">
        <w:rPr>
          <w:rFonts w:cs="Times New Roman"/>
          <w:szCs w:val="24"/>
        </w:rPr>
        <w:t>T</w:t>
      </w:r>
      <w:r w:rsidR="006121FF" w:rsidRPr="00874B05">
        <w:rPr>
          <w:rFonts w:cs="Times New Roman"/>
          <w:szCs w:val="24"/>
        </w:rPr>
        <w:t xml:space="preserve">he loadings of the latent constructs on the construct indicators are not of primary interest in this </w:t>
      </w:r>
      <w:r w:rsidR="0095458B" w:rsidRPr="00874B05">
        <w:rPr>
          <w:rFonts w:cs="Times New Roman"/>
          <w:szCs w:val="24"/>
        </w:rPr>
        <w:t>paper and</w:t>
      </w:r>
      <w:r w:rsidR="00905D0D" w:rsidRPr="00874B05">
        <w:rPr>
          <w:rFonts w:cs="Times New Roman"/>
          <w:szCs w:val="24"/>
        </w:rPr>
        <w:t xml:space="preserve"> are available in </w:t>
      </w:r>
      <w:r w:rsidR="006121FF" w:rsidRPr="00874B05">
        <w:rPr>
          <w:rFonts w:cs="Times New Roman"/>
          <w:szCs w:val="24"/>
        </w:rPr>
        <w:t>the online supplement</w:t>
      </w:r>
      <w:r w:rsidR="0095458B" w:rsidRPr="00874B05">
        <w:rPr>
          <w:rFonts w:cs="Times New Roman"/>
          <w:szCs w:val="24"/>
        </w:rPr>
        <w:t xml:space="preserve">. </w:t>
      </w:r>
      <w:r w:rsidR="006121FF" w:rsidRPr="00874B05">
        <w:rPr>
          <w:rFonts w:cs="Times New Roman"/>
          <w:szCs w:val="24"/>
        </w:rPr>
        <w:t>Suffice it to say that the loadings were significant and had the expected sign.</w:t>
      </w:r>
      <w:r w:rsidR="00AA4551" w:rsidRPr="00874B05">
        <w:rPr>
          <w:rFonts w:cs="Times New Roman"/>
          <w:szCs w:val="24"/>
        </w:rPr>
        <w:t xml:space="preserve"> The other results are discussed next, starting first with the SEM results relating the individual-level variables to the latent constructs, and then proceeding to the results for the main outcomes. </w:t>
      </w:r>
      <w:r w:rsidR="007D7032" w:rsidRPr="00874B05">
        <w:rPr>
          <w:rFonts w:cs="Times New Roman"/>
          <w:szCs w:val="24"/>
        </w:rPr>
        <w:t>However, all the</w:t>
      </w:r>
      <w:r w:rsidR="00E66133" w:rsidRPr="00874B05">
        <w:rPr>
          <w:rFonts w:cs="Times New Roman"/>
          <w:szCs w:val="24"/>
        </w:rPr>
        <w:t>se</w:t>
      </w:r>
      <w:r w:rsidR="007D7032" w:rsidRPr="00874B05">
        <w:rPr>
          <w:rFonts w:cs="Times New Roman"/>
          <w:szCs w:val="24"/>
        </w:rPr>
        <w:t xml:space="preserve"> parameters are estimated </w:t>
      </w:r>
      <w:r w:rsidR="00E66133" w:rsidRPr="00874B05">
        <w:rPr>
          <w:rFonts w:cs="Times New Roman"/>
          <w:szCs w:val="24"/>
        </w:rPr>
        <w:t>at once in a joint estimation, and are being presented in sequence simply for presentation ease.</w:t>
      </w:r>
    </w:p>
    <w:p w14:paraId="5428D297" w14:textId="76CBA6C1" w:rsidR="0016254A" w:rsidRDefault="006D014B" w:rsidP="00493DDD">
      <w:pPr>
        <w:spacing w:line="276" w:lineRule="auto"/>
        <w:ind w:firstLine="720"/>
        <w:jc w:val="both"/>
        <w:rPr>
          <w:rFonts w:cs="Times New Roman"/>
          <w:szCs w:val="24"/>
        </w:rPr>
      </w:pPr>
      <w:bookmarkStart w:id="8" w:name="_Hlk52795899"/>
      <w:r w:rsidRPr="00C57042">
        <w:rPr>
          <w:bCs/>
          <w:szCs w:val="24"/>
        </w:rPr>
        <w:lastRenderedPageBreak/>
        <w:t>One final note before proceeding to the discussion of results. In some cases, we have retained variables that were marginally statistically significant, because of</w:t>
      </w:r>
      <w:r w:rsidRPr="00483CE1">
        <w:rPr>
          <w:rFonts w:cs="Times New Roman"/>
          <w:szCs w:val="24"/>
        </w:rPr>
        <w:t xml:space="preserve"> their intuitive interpretations and important empirical implications. In this regard, the methodology used involves the estimation of a large number of parameters, so the statistical insignificance </w:t>
      </w:r>
      <w:r w:rsidR="00C956F5">
        <w:rPr>
          <w:rFonts w:cs="Times New Roman"/>
          <w:szCs w:val="24"/>
        </w:rPr>
        <w:t xml:space="preserve">(at the 95% confidence level) </w:t>
      </w:r>
      <w:r w:rsidRPr="00483CE1">
        <w:rPr>
          <w:rFonts w:cs="Times New Roman"/>
          <w:szCs w:val="24"/>
        </w:rPr>
        <w:t>of some coefficients may simply be a result of having only 1,</w:t>
      </w:r>
      <w:r w:rsidRPr="006D014B">
        <w:rPr>
          <w:rFonts w:cs="Times New Roman"/>
          <w:szCs w:val="24"/>
        </w:rPr>
        <w:t>021 respondents. Also, the effects from this analysis, even if not highly statistically significant, can inform specifications in future investigations with larger sample sizes.</w:t>
      </w:r>
    </w:p>
    <w:bookmarkEnd w:id="8"/>
    <w:p w14:paraId="479974F2" w14:textId="679181AE" w:rsidR="006D014B" w:rsidRPr="006D014B" w:rsidRDefault="006D014B" w:rsidP="00493DDD">
      <w:pPr>
        <w:spacing w:line="276" w:lineRule="auto"/>
        <w:ind w:firstLine="720"/>
        <w:jc w:val="both"/>
        <w:rPr>
          <w:rFonts w:cs="Times New Roman"/>
          <w:szCs w:val="24"/>
        </w:rPr>
      </w:pPr>
      <w:r w:rsidRPr="006D014B">
        <w:rPr>
          <w:rFonts w:cs="Times New Roman"/>
          <w:szCs w:val="24"/>
        </w:rPr>
        <w:t xml:space="preserve"> </w:t>
      </w:r>
    </w:p>
    <w:p w14:paraId="4B3CF72A" w14:textId="75AB854D" w:rsidR="00AA4551" w:rsidRPr="00493DDD" w:rsidRDefault="00905D0D" w:rsidP="00493DDD">
      <w:pPr>
        <w:spacing w:line="276" w:lineRule="auto"/>
        <w:ind w:left="540" w:hanging="540"/>
        <w:jc w:val="both"/>
        <w:rPr>
          <w:rFonts w:cs="Times New Roman"/>
          <w:b/>
          <w:bCs/>
          <w:szCs w:val="24"/>
        </w:rPr>
      </w:pPr>
      <w:r w:rsidRPr="00493DDD">
        <w:rPr>
          <w:rFonts w:cs="Times New Roman"/>
          <w:b/>
          <w:bCs/>
          <w:szCs w:val="24"/>
        </w:rPr>
        <w:t>4.1</w:t>
      </w:r>
      <w:r w:rsidR="00A442C7" w:rsidRPr="00493DDD">
        <w:rPr>
          <w:rFonts w:cs="Times New Roman"/>
          <w:b/>
          <w:bCs/>
          <w:szCs w:val="24"/>
        </w:rPr>
        <w:t xml:space="preserve"> </w:t>
      </w:r>
      <w:r w:rsidR="00493DDD">
        <w:rPr>
          <w:rFonts w:cs="Times New Roman"/>
          <w:b/>
          <w:bCs/>
          <w:szCs w:val="24"/>
        </w:rPr>
        <w:tab/>
      </w:r>
      <w:r w:rsidR="00AA4551" w:rsidRPr="00493DDD">
        <w:rPr>
          <w:rFonts w:cs="Times New Roman"/>
          <w:b/>
          <w:bCs/>
          <w:szCs w:val="24"/>
        </w:rPr>
        <w:t>Latent Constructs</w:t>
      </w:r>
    </w:p>
    <w:p w14:paraId="2314F19E" w14:textId="69171455" w:rsidR="0016254A" w:rsidRPr="00493DDD" w:rsidRDefault="00455A0B" w:rsidP="00493DDD">
      <w:pPr>
        <w:spacing w:line="276" w:lineRule="auto"/>
        <w:jc w:val="both"/>
        <w:rPr>
          <w:rFonts w:cs="Times New Roman"/>
          <w:szCs w:val="24"/>
        </w:rPr>
      </w:pPr>
      <w:r w:rsidRPr="00493DDD">
        <w:rPr>
          <w:rFonts w:cs="Times New Roman"/>
          <w:szCs w:val="24"/>
        </w:rPr>
        <w:t>The effects of socio-economic and household characteristics on the f</w:t>
      </w:r>
      <w:r w:rsidR="00AA4551" w:rsidRPr="00493DDD">
        <w:rPr>
          <w:rFonts w:cs="Times New Roman"/>
          <w:szCs w:val="24"/>
        </w:rPr>
        <w:t>our</w:t>
      </w:r>
      <w:r w:rsidRPr="00493DDD">
        <w:rPr>
          <w:rFonts w:cs="Times New Roman"/>
          <w:szCs w:val="24"/>
        </w:rPr>
        <w:t xml:space="preserve"> latent constructs are presented in Table </w:t>
      </w:r>
      <w:r w:rsidR="006B3123">
        <w:rPr>
          <w:rFonts w:cs="Times New Roman"/>
          <w:szCs w:val="24"/>
        </w:rPr>
        <w:t>3</w:t>
      </w:r>
      <w:r w:rsidR="00905D0D" w:rsidRPr="00493DDD">
        <w:rPr>
          <w:rFonts w:cs="Times New Roman"/>
          <w:szCs w:val="24"/>
        </w:rPr>
        <w:t>.</w:t>
      </w:r>
      <w:r w:rsidR="00B30DC8" w:rsidRPr="00493DDD">
        <w:rPr>
          <w:rFonts w:cs="Times New Roman"/>
          <w:szCs w:val="24"/>
        </w:rPr>
        <w:t xml:space="preserve"> </w:t>
      </w:r>
      <w:r w:rsidR="00754F6D" w:rsidRPr="00493DDD">
        <w:rPr>
          <w:rFonts w:cs="Times New Roman"/>
          <w:szCs w:val="24"/>
        </w:rPr>
        <w:t xml:space="preserve">Women </w:t>
      </w:r>
      <w:r w:rsidR="00DD72B0" w:rsidRPr="00493DDD">
        <w:rPr>
          <w:rFonts w:cs="Times New Roman"/>
          <w:szCs w:val="24"/>
        </w:rPr>
        <w:t xml:space="preserve">appear to be </w:t>
      </w:r>
      <w:r w:rsidR="00FB29E0" w:rsidRPr="00493DDD">
        <w:rPr>
          <w:rFonts w:cs="Times New Roman"/>
          <w:szCs w:val="24"/>
        </w:rPr>
        <w:t xml:space="preserve">more likely than </w:t>
      </w:r>
      <w:r w:rsidR="00DD72B0" w:rsidRPr="00493DDD">
        <w:rPr>
          <w:rFonts w:cs="Times New Roman"/>
          <w:szCs w:val="24"/>
        </w:rPr>
        <w:t xml:space="preserve">men </w:t>
      </w:r>
      <w:r w:rsidR="00FB29E0" w:rsidRPr="00493DDD">
        <w:rPr>
          <w:rFonts w:cs="Times New Roman"/>
          <w:szCs w:val="24"/>
        </w:rPr>
        <w:t>to want to be in control of their driving, a</w:t>
      </w:r>
      <w:r w:rsidR="00905D0D" w:rsidRPr="00493DDD">
        <w:rPr>
          <w:rFonts w:cs="Times New Roman"/>
          <w:szCs w:val="24"/>
        </w:rPr>
        <w:t xml:space="preserve">re </w:t>
      </w:r>
      <w:r w:rsidR="00A84848" w:rsidRPr="00493DDD">
        <w:rPr>
          <w:rFonts w:cs="Times New Roman"/>
          <w:szCs w:val="24"/>
        </w:rPr>
        <w:t xml:space="preserve">more </w:t>
      </w:r>
      <w:r w:rsidR="00FB29E0" w:rsidRPr="00493DDD">
        <w:rPr>
          <w:rFonts w:cs="Times New Roman"/>
          <w:szCs w:val="24"/>
        </w:rPr>
        <w:t>concerned with safety</w:t>
      </w:r>
      <w:r w:rsidR="00905D0D" w:rsidRPr="00493DDD">
        <w:rPr>
          <w:rFonts w:cs="Times New Roman"/>
          <w:szCs w:val="24"/>
        </w:rPr>
        <w:t>, and are less tech-savvy</w:t>
      </w:r>
      <w:r w:rsidR="00FB29E0" w:rsidRPr="00493DDD">
        <w:rPr>
          <w:rFonts w:cs="Times New Roman"/>
          <w:szCs w:val="24"/>
        </w:rPr>
        <w:t xml:space="preserve">. </w:t>
      </w:r>
      <w:r w:rsidR="00F45154" w:rsidRPr="00493DDD">
        <w:rPr>
          <w:rFonts w:cs="Times New Roman"/>
          <w:szCs w:val="24"/>
        </w:rPr>
        <w:t>The first result, while may not be considered consistent with the usual stereotypical characterizations of societal expectations, has</w:t>
      </w:r>
      <w:r w:rsidR="00E60098" w:rsidRPr="00493DDD">
        <w:rPr>
          <w:rFonts w:cs="Times New Roman"/>
          <w:szCs w:val="24"/>
        </w:rPr>
        <w:t xml:space="preserve"> </w:t>
      </w:r>
      <w:r w:rsidR="00F45154" w:rsidRPr="00493DDD">
        <w:rPr>
          <w:rFonts w:cs="Times New Roman"/>
          <w:szCs w:val="24"/>
        </w:rPr>
        <w:t xml:space="preserve">backing in the psychology </w:t>
      </w:r>
      <w:r w:rsidR="00E60098" w:rsidRPr="00493DDD">
        <w:rPr>
          <w:rFonts w:cs="Times New Roman"/>
          <w:szCs w:val="24"/>
        </w:rPr>
        <w:t xml:space="preserve">and ethnography </w:t>
      </w:r>
      <w:r w:rsidR="00F45154" w:rsidRPr="00493DDD">
        <w:rPr>
          <w:rFonts w:cs="Times New Roman"/>
          <w:szCs w:val="24"/>
        </w:rPr>
        <w:t>literature</w:t>
      </w:r>
      <w:r w:rsidR="00E60098" w:rsidRPr="00493DDD">
        <w:rPr>
          <w:rFonts w:cs="Times New Roman"/>
          <w:szCs w:val="24"/>
        </w:rPr>
        <w:t>s</w:t>
      </w:r>
      <w:r w:rsidR="00F45154" w:rsidRPr="00493DDD">
        <w:rPr>
          <w:rFonts w:cs="Times New Roman"/>
          <w:szCs w:val="24"/>
        </w:rPr>
        <w:t>. In fact, a</w:t>
      </w:r>
      <w:r w:rsidR="003D432B" w:rsidRPr="00493DDD">
        <w:rPr>
          <w:rFonts w:cs="Times New Roman"/>
          <w:szCs w:val="24"/>
        </w:rPr>
        <w:t xml:space="preserve"> </w:t>
      </w:r>
      <w:r w:rsidR="00FB29E0" w:rsidRPr="00493DDD">
        <w:rPr>
          <w:rFonts w:cs="Times New Roman"/>
          <w:szCs w:val="24"/>
        </w:rPr>
        <w:t xml:space="preserve">study by Charness </w:t>
      </w:r>
      <w:r w:rsidR="00F45154" w:rsidRPr="00493DDD">
        <w:rPr>
          <w:rFonts w:cs="Times New Roman"/>
          <w:i/>
          <w:iCs/>
          <w:szCs w:val="24"/>
        </w:rPr>
        <w:t>et al</w:t>
      </w:r>
      <w:r w:rsidR="00F45154" w:rsidRPr="00E94819">
        <w:rPr>
          <w:rFonts w:cs="Times New Roman"/>
          <w:iCs/>
          <w:szCs w:val="24"/>
        </w:rPr>
        <w:t>.</w:t>
      </w:r>
      <w:r w:rsidR="00F45154" w:rsidRPr="00E94819">
        <w:rPr>
          <w:rFonts w:cs="Times New Roman"/>
          <w:szCs w:val="24"/>
        </w:rPr>
        <w:t xml:space="preserve"> </w:t>
      </w:r>
      <w:r w:rsidR="00BB7538" w:rsidRPr="00493DDD">
        <w:rPr>
          <w:rFonts w:cs="Times New Roman"/>
          <w:szCs w:val="24"/>
        </w:rPr>
        <w:t>(2018)</w:t>
      </w:r>
      <w:r w:rsidR="00F45154" w:rsidRPr="00493DDD">
        <w:rPr>
          <w:rFonts w:cs="Times New Roman"/>
          <w:szCs w:val="24"/>
        </w:rPr>
        <w:t xml:space="preserve"> also obtained a similar result with women less likely to relinquish driving control</w:t>
      </w:r>
      <w:r w:rsidR="00E60098" w:rsidRPr="00493DDD">
        <w:rPr>
          <w:rFonts w:cs="Times New Roman"/>
          <w:szCs w:val="24"/>
        </w:rPr>
        <w:t xml:space="preserve"> to AVs</w:t>
      </w:r>
      <w:r w:rsidR="00F45154" w:rsidRPr="00493DDD">
        <w:rPr>
          <w:rFonts w:cs="Times New Roman"/>
          <w:szCs w:val="24"/>
        </w:rPr>
        <w:t xml:space="preserve">. The results here and in Charness </w:t>
      </w:r>
      <w:r w:rsidR="00F45154" w:rsidRPr="00493DDD">
        <w:rPr>
          <w:rFonts w:cs="Times New Roman"/>
          <w:i/>
          <w:iCs/>
          <w:szCs w:val="24"/>
        </w:rPr>
        <w:t>et al</w:t>
      </w:r>
      <w:r w:rsidR="00F45154" w:rsidRPr="00E94819">
        <w:rPr>
          <w:rFonts w:cs="Times New Roman"/>
          <w:iCs/>
          <w:szCs w:val="24"/>
        </w:rPr>
        <w:t>.</w:t>
      </w:r>
      <w:r w:rsidR="00F45154" w:rsidRPr="00E94819">
        <w:rPr>
          <w:rFonts w:cs="Times New Roman"/>
          <w:szCs w:val="24"/>
        </w:rPr>
        <w:t xml:space="preserve"> </w:t>
      </w:r>
      <w:r w:rsidR="00F45154" w:rsidRPr="00493DDD">
        <w:rPr>
          <w:rFonts w:cs="Times New Roman"/>
          <w:szCs w:val="24"/>
        </w:rPr>
        <w:t>(2018) may be explained by the fact that general control in life should be distinguished from specific aspects of life control</w:t>
      </w:r>
      <w:r w:rsidR="006135A5" w:rsidRPr="00493DDD">
        <w:rPr>
          <w:rFonts w:cs="Times New Roman"/>
          <w:szCs w:val="24"/>
        </w:rPr>
        <w:t>,</w:t>
      </w:r>
      <w:r w:rsidR="00F45154" w:rsidRPr="00493DDD">
        <w:rPr>
          <w:rFonts w:cs="Times New Roman"/>
          <w:szCs w:val="24"/>
        </w:rPr>
        <w:t xml:space="preserve"> such as driving control. </w:t>
      </w:r>
      <w:r w:rsidR="00650C21" w:rsidRPr="00493DDD">
        <w:rPr>
          <w:rFonts w:cs="Times New Roman"/>
          <w:szCs w:val="24"/>
        </w:rPr>
        <w:t xml:space="preserve">Indeed, the </w:t>
      </w:r>
      <w:r w:rsidR="00E60098" w:rsidRPr="00493DDD">
        <w:rPr>
          <w:rFonts w:cs="Times New Roman"/>
          <w:szCs w:val="24"/>
        </w:rPr>
        <w:t xml:space="preserve">usual asymmetric power balance in overall life patterns </w:t>
      </w:r>
      <w:r w:rsidR="006135A5" w:rsidRPr="00493DDD">
        <w:rPr>
          <w:rFonts w:cs="Times New Roman"/>
          <w:szCs w:val="24"/>
        </w:rPr>
        <w:t xml:space="preserve">can </w:t>
      </w:r>
      <w:r w:rsidR="00E60098" w:rsidRPr="00493DDD">
        <w:rPr>
          <w:rFonts w:cs="Times New Roman"/>
          <w:szCs w:val="24"/>
        </w:rPr>
        <w:t>result</w:t>
      </w:r>
      <w:r w:rsidR="006135A5" w:rsidRPr="00493DDD">
        <w:rPr>
          <w:rFonts w:cs="Times New Roman"/>
          <w:szCs w:val="24"/>
        </w:rPr>
        <w:t xml:space="preserve"> </w:t>
      </w:r>
      <w:r w:rsidR="00E60098" w:rsidRPr="00493DDD">
        <w:rPr>
          <w:rFonts w:cs="Times New Roman"/>
          <w:szCs w:val="24"/>
        </w:rPr>
        <w:t>in women feeling a lower sense of general life control. Thus, w</w:t>
      </w:r>
      <w:r w:rsidR="00F45154" w:rsidRPr="00493DDD">
        <w:rPr>
          <w:rFonts w:cs="Times New Roman"/>
          <w:szCs w:val="24"/>
        </w:rPr>
        <w:t xml:space="preserve">omen have an increased desire for a sense of empowerment </w:t>
      </w:r>
      <w:r w:rsidR="00E60098" w:rsidRPr="00493DDD">
        <w:rPr>
          <w:rFonts w:cs="Times New Roman"/>
          <w:szCs w:val="24"/>
        </w:rPr>
        <w:t xml:space="preserve">relative to </w:t>
      </w:r>
      <w:r w:rsidR="00F45154" w:rsidRPr="00493DDD">
        <w:rPr>
          <w:rFonts w:cs="Times New Roman"/>
          <w:szCs w:val="24"/>
        </w:rPr>
        <w:t>men</w:t>
      </w:r>
      <w:r w:rsidR="00E60098" w:rsidRPr="00493DDD">
        <w:rPr>
          <w:rFonts w:cs="Times New Roman"/>
          <w:szCs w:val="24"/>
        </w:rPr>
        <w:t>, or at least are more reluctant to relinquish any sense of power that they already feel they have</w:t>
      </w:r>
      <w:r w:rsidR="00F45154" w:rsidRPr="00493DDD">
        <w:rPr>
          <w:rFonts w:cs="Times New Roman"/>
          <w:szCs w:val="24"/>
        </w:rPr>
        <w:t xml:space="preserve"> (Bulte</w:t>
      </w:r>
      <w:r w:rsidR="007D3670" w:rsidRPr="00493DDD">
        <w:rPr>
          <w:rFonts w:cs="Times New Roman"/>
          <w:szCs w:val="24"/>
        </w:rPr>
        <w:t xml:space="preserve"> and Lensi</w:t>
      </w:r>
      <w:r w:rsidR="00C7753E">
        <w:rPr>
          <w:rFonts w:cs="Times New Roman"/>
          <w:szCs w:val="24"/>
        </w:rPr>
        <w:t>n</w:t>
      </w:r>
      <w:r w:rsidR="007D3670" w:rsidRPr="00493DDD">
        <w:rPr>
          <w:rFonts w:cs="Times New Roman"/>
          <w:szCs w:val="24"/>
        </w:rPr>
        <w:t>k</w:t>
      </w:r>
      <w:r w:rsidR="00F45154" w:rsidRPr="00493DDD">
        <w:rPr>
          <w:rFonts w:cs="Times New Roman"/>
          <w:szCs w:val="24"/>
        </w:rPr>
        <w:t>, 2019)</w:t>
      </w:r>
      <w:r w:rsidR="006135A5" w:rsidRPr="00493DDD">
        <w:rPr>
          <w:rFonts w:cs="Times New Roman"/>
          <w:szCs w:val="24"/>
        </w:rPr>
        <w:t xml:space="preserve">, which leads to a higher need to retain driving control. </w:t>
      </w:r>
      <w:r w:rsidR="00E60098" w:rsidRPr="00493DDD">
        <w:rPr>
          <w:rFonts w:cs="Times New Roman"/>
          <w:szCs w:val="24"/>
        </w:rPr>
        <w:t xml:space="preserve">This is also supported by identity-based consumer behavior, based on which women associate driving with an expression of free-spiritedness, independence, and empowerment, thus alleviating feelings of vulnerability </w:t>
      </w:r>
      <w:r w:rsidR="006135A5" w:rsidRPr="00493DDD">
        <w:rPr>
          <w:rFonts w:cs="Times New Roman"/>
          <w:szCs w:val="24"/>
        </w:rPr>
        <w:t xml:space="preserve">in an otherwise asymmetric power balance in life </w:t>
      </w:r>
      <w:r w:rsidR="00E60098" w:rsidRPr="00493DDD">
        <w:rPr>
          <w:rFonts w:cs="Times New Roman"/>
          <w:szCs w:val="24"/>
        </w:rPr>
        <w:t>(Skuladottir</w:t>
      </w:r>
      <w:r w:rsidR="00E012D7" w:rsidRPr="00493DDD">
        <w:rPr>
          <w:rFonts w:cs="Times New Roman"/>
          <w:szCs w:val="24"/>
        </w:rPr>
        <w:t xml:space="preserve"> </w:t>
      </w:r>
      <w:r w:rsidR="00C7753E" w:rsidRPr="00C7753E">
        <w:rPr>
          <w:rFonts w:cs="Times New Roman"/>
          <w:iCs/>
          <w:szCs w:val="24"/>
        </w:rPr>
        <w:t xml:space="preserve">and </w:t>
      </w:r>
      <w:r w:rsidR="00C7753E" w:rsidRPr="00264E6C">
        <w:rPr>
          <w:rFonts w:cs="Times New Roman"/>
          <w:color w:val="222222"/>
          <w:szCs w:val="24"/>
          <w:shd w:val="clear" w:color="auto" w:fill="FFFFFF"/>
        </w:rPr>
        <w:t>Halldorsdottir</w:t>
      </w:r>
      <w:r w:rsidR="00E60098" w:rsidRPr="00E94819">
        <w:rPr>
          <w:rFonts w:cs="Times New Roman"/>
          <w:iCs/>
          <w:szCs w:val="24"/>
        </w:rPr>
        <w:t>,</w:t>
      </w:r>
      <w:r w:rsidR="00E60098" w:rsidRPr="00493DDD">
        <w:rPr>
          <w:rFonts w:cs="Times New Roman"/>
          <w:szCs w:val="24"/>
        </w:rPr>
        <w:t xml:space="preserve"> 2008</w:t>
      </w:r>
      <w:r w:rsidR="00C7753E">
        <w:rPr>
          <w:rFonts w:cs="Times New Roman"/>
          <w:szCs w:val="24"/>
        </w:rPr>
        <w:t xml:space="preserve">; </w:t>
      </w:r>
      <w:r w:rsidR="006135A5" w:rsidRPr="00493DDD">
        <w:rPr>
          <w:rFonts w:cs="Times New Roman"/>
          <w:szCs w:val="24"/>
        </w:rPr>
        <w:t xml:space="preserve">Leung </w:t>
      </w:r>
      <w:r w:rsidR="006135A5" w:rsidRPr="00493DDD">
        <w:rPr>
          <w:rFonts w:cs="Times New Roman"/>
          <w:i/>
          <w:iCs/>
          <w:szCs w:val="24"/>
        </w:rPr>
        <w:t>et al</w:t>
      </w:r>
      <w:r w:rsidR="006135A5" w:rsidRPr="00E94819">
        <w:rPr>
          <w:rFonts w:cs="Times New Roman"/>
          <w:iCs/>
          <w:szCs w:val="24"/>
        </w:rPr>
        <w:t>.,</w:t>
      </w:r>
      <w:r w:rsidR="006135A5" w:rsidRPr="00493DDD">
        <w:rPr>
          <w:rFonts w:cs="Times New Roman"/>
          <w:i/>
          <w:iCs/>
          <w:szCs w:val="24"/>
        </w:rPr>
        <w:t xml:space="preserve"> </w:t>
      </w:r>
      <w:r w:rsidR="006135A5" w:rsidRPr="00493DDD">
        <w:rPr>
          <w:rFonts w:cs="Times New Roman"/>
          <w:szCs w:val="24"/>
        </w:rPr>
        <w:t xml:space="preserve">2018). Thus, both the asymmetric power dynamics in general life as well as self-identity considerations can explain the higher driver control among women relative to men. The </w:t>
      </w:r>
      <w:r w:rsidR="00B76222" w:rsidRPr="00493DDD">
        <w:rPr>
          <w:rFonts w:cs="Times New Roman"/>
          <w:szCs w:val="24"/>
        </w:rPr>
        <w:t>second</w:t>
      </w:r>
      <w:r w:rsidR="006135A5" w:rsidRPr="00493DDD">
        <w:rPr>
          <w:rFonts w:cs="Times New Roman"/>
          <w:szCs w:val="24"/>
        </w:rPr>
        <w:t xml:space="preserve"> result in Table </w:t>
      </w:r>
      <w:r w:rsidR="006B3123">
        <w:rPr>
          <w:rFonts w:cs="Times New Roman"/>
          <w:szCs w:val="24"/>
        </w:rPr>
        <w:t>3</w:t>
      </w:r>
      <w:r w:rsidR="006135A5" w:rsidRPr="00493DDD">
        <w:rPr>
          <w:rFonts w:cs="Times New Roman"/>
          <w:szCs w:val="24"/>
        </w:rPr>
        <w:t xml:space="preserve"> associated with gender (related to women having heightened safety concerns) is well established in the literature</w:t>
      </w:r>
      <w:r w:rsidR="00BA540E" w:rsidRPr="00493DDD">
        <w:rPr>
          <w:rFonts w:cs="Times New Roman"/>
          <w:szCs w:val="24"/>
        </w:rPr>
        <w:t xml:space="preserve"> (see, for example, Ac</w:t>
      </w:r>
      <w:r w:rsidR="00C7753E">
        <w:rPr>
          <w:rFonts w:cs="Times New Roman"/>
          <w:szCs w:val="24"/>
        </w:rPr>
        <w:t>h</w:t>
      </w:r>
      <w:r w:rsidR="00BA540E" w:rsidRPr="00493DDD">
        <w:rPr>
          <w:rFonts w:cs="Times New Roman"/>
          <w:szCs w:val="24"/>
        </w:rPr>
        <w:t>eampong and Cugurullo, 2019)</w:t>
      </w:r>
      <w:r w:rsidR="006135A5" w:rsidRPr="00493DDD">
        <w:rPr>
          <w:rFonts w:cs="Times New Roman"/>
          <w:szCs w:val="24"/>
        </w:rPr>
        <w:t xml:space="preserve">. There are </w:t>
      </w:r>
      <w:r w:rsidR="00DF3CC3" w:rsidRPr="00493DDD">
        <w:rPr>
          <w:rFonts w:cs="Times New Roman"/>
          <w:szCs w:val="24"/>
        </w:rPr>
        <w:t xml:space="preserve">at least two possible </w:t>
      </w:r>
      <w:r w:rsidR="006135A5" w:rsidRPr="00493DDD">
        <w:rPr>
          <w:rFonts w:cs="Times New Roman"/>
          <w:szCs w:val="24"/>
        </w:rPr>
        <w:t xml:space="preserve">explanations for this result. </w:t>
      </w:r>
      <w:r w:rsidR="0004580E" w:rsidRPr="00493DDD">
        <w:rPr>
          <w:rFonts w:cs="Times New Roman"/>
          <w:szCs w:val="24"/>
        </w:rPr>
        <w:t>The first explanation is that women tend to be more risk-averse than men, because women experience feelings of nervousness and fear more so than men in anticipation of potentially negative outcomes (Meier-Pesti and Penz, 2008</w:t>
      </w:r>
      <w:r w:rsidR="0082498B">
        <w:rPr>
          <w:rFonts w:cs="Times New Roman"/>
          <w:szCs w:val="24"/>
        </w:rPr>
        <w:t xml:space="preserve">; </w:t>
      </w:r>
      <w:r w:rsidR="0004580E" w:rsidRPr="00493DDD">
        <w:rPr>
          <w:rFonts w:cs="Times New Roman"/>
          <w:noProof/>
          <w:szCs w:val="24"/>
        </w:rPr>
        <w:t xml:space="preserve">Borghans </w:t>
      </w:r>
      <w:r w:rsidR="0004580E" w:rsidRPr="00493DDD">
        <w:rPr>
          <w:rFonts w:cs="Times New Roman"/>
          <w:i/>
          <w:iCs/>
          <w:noProof/>
          <w:szCs w:val="24"/>
        </w:rPr>
        <w:t>et al</w:t>
      </w:r>
      <w:r w:rsidR="0004580E" w:rsidRPr="00E94819">
        <w:rPr>
          <w:rFonts w:cs="Times New Roman"/>
          <w:iCs/>
          <w:noProof/>
          <w:szCs w:val="24"/>
        </w:rPr>
        <w:t>.,</w:t>
      </w:r>
      <w:r w:rsidR="0004580E" w:rsidRPr="00493DDD">
        <w:rPr>
          <w:rFonts w:cs="Times New Roman"/>
          <w:noProof/>
          <w:szCs w:val="24"/>
        </w:rPr>
        <w:t xml:space="preserve"> 2009). </w:t>
      </w:r>
      <w:r w:rsidR="0004580E" w:rsidRPr="00493DDD">
        <w:rPr>
          <w:rFonts w:cs="Times New Roman"/>
          <w:szCs w:val="24"/>
        </w:rPr>
        <w:t xml:space="preserve">This result is also consistent with the Theory of Basic Human Values </w:t>
      </w:r>
      <w:r w:rsidR="0004580E" w:rsidRPr="00493DDD">
        <w:rPr>
          <w:rFonts w:cs="Times New Roman"/>
          <w:noProof/>
          <w:szCs w:val="24"/>
        </w:rPr>
        <w:t>(Schwartz, 1992)</w:t>
      </w:r>
      <w:r w:rsidR="0004580E" w:rsidRPr="00493DDD">
        <w:rPr>
          <w:rFonts w:cs="Times New Roman"/>
          <w:szCs w:val="24"/>
        </w:rPr>
        <w:t xml:space="preserve">, which identifies that men generally attribute more value to new experiences, stimulation, self-direction and hedonism </w:t>
      </w:r>
      <w:r w:rsidR="0004580E" w:rsidRPr="00493DDD">
        <w:rPr>
          <w:rFonts w:cs="Times New Roman"/>
          <w:noProof/>
          <w:szCs w:val="24"/>
        </w:rPr>
        <w:t>(Schwartz and Rubel, 2005</w:t>
      </w:r>
      <w:r w:rsidR="0082498B">
        <w:rPr>
          <w:rFonts w:cs="Times New Roman"/>
          <w:noProof/>
          <w:szCs w:val="24"/>
        </w:rPr>
        <w:t xml:space="preserve">; </w:t>
      </w:r>
      <w:r w:rsidR="0004580E" w:rsidRPr="00493DDD">
        <w:rPr>
          <w:rFonts w:cs="Times New Roman"/>
          <w:noProof/>
          <w:szCs w:val="24"/>
        </w:rPr>
        <w:t xml:space="preserve">Vianello </w:t>
      </w:r>
      <w:r w:rsidR="0004580E" w:rsidRPr="00493DDD">
        <w:rPr>
          <w:rFonts w:cs="Times New Roman"/>
          <w:i/>
          <w:iCs/>
          <w:noProof/>
          <w:szCs w:val="24"/>
        </w:rPr>
        <w:t>et al</w:t>
      </w:r>
      <w:r w:rsidR="0004580E" w:rsidRPr="00E94819">
        <w:rPr>
          <w:rFonts w:cs="Times New Roman"/>
          <w:iCs/>
          <w:noProof/>
          <w:szCs w:val="24"/>
        </w:rPr>
        <w:t>.,</w:t>
      </w:r>
      <w:r w:rsidR="0004580E" w:rsidRPr="00E94819">
        <w:rPr>
          <w:rFonts w:cs="Times New Roman"/>
          <w:noProof/>
          <w:szCs w:val="24"/>
        </w:rPr>
        <w:t xml:space="preserve"> </w:t>
      </w:r>
      <w:r w:rsidR="0004580E" w:rsidRPr="00493DDD">
        <w:rPr>
          <w:rFonts w:cs="Times New Roman"/>
          <w:noProof/>
          <w:szCs w:val="24"/>
        </w:rPr>
        <w:t>2013)</w:t>
      </w:r>
      <w:r w:rsidR="0004580E" w:rsidRPr="00493DDD">
        <w:rPr>
          <w:rFonts w:cs="Times New Roman"/>
          <w:szCs w:val="24"/>
        </w:rPr>
        <w:t>,</w:t>
      </w:r>
      <w:r w:rsidR="00E94819">
        <w:rPr>
          <w:rFonts w:cs="Times New Roman"/>
          <w:szCs w:val="24"/>
        </w:rPr>
        <w:t xml:space="preserve"> </w:t>
      </w:r>
      <w:r w:rsidR="0004580E" w:rsidRPr="00493DDD">
        <w:rPr>
          <w:rFonts w:cs="Times New Roman"/>
          <w:szCs w:val="24"/>
        </w:rPr>
        <w:t>making them more overconfident in uncertain situations. A</w:t>
      </w:r>
      <w:r w:rsidR="006135A5" w:rsidRPr="00493DDD">
        <w:rPr>
          <w:rFonts w:cs="Times New Roman"/>
          <w:szCs w:val="24"/>
        </w:rPr>
        <w:t xml:space="preserve"> </w:t>
      </w:r>
      <w:r w:rsidR="0004580E" w:rsidRPr="00493DDD">
        <w:rPr>
          <w:rFonts w:cs="Times New Roman"/>
          <w:szCs w:val="24"/>
        </w:rPr>
        <w:t>second explanation</w:t>
      </w:r>
      <w:r w:rsidR="006135A5" w:rsidRPr="00493DDD">
        <w:rPr>
          <w:rFonts w:cs="Times New Roman"/>
          <w:szCs w:val="24"/>
        </w:rPr>
        <w:t xml:space="preserve"> is that women tend to be more responsible for </w:t>
      </w:r>
      <w:r w:rsidR="00D35D95" w:rsidRPr="00493DDD">
        <w:rPr>
          <w:rFonts w:cs="Times New Roman"/>
          <w:szCs w:val="24"/>
        </w:rPr>
        <w:t>managing household routines, including transporting children to extra-curricular activities (as aptly coined by the term “soccer-moms”). As a result</w:t>
      </w:r>
      <w:r w:rsidR="009C786E" w:rsidRPr="00493DDD">
        <w:rPr>
          <w:rFonts w:cs="Times New Roman"/>
          <w:szCs w:val="24"/>
        </w:rPr>
        <w:t>,</w:t>
      </w:r>
      <w:r w:rsidR="00D35D95" w:rsidRPr="00493DDD">
        <w:rPr>
          <w:rFonts w:cs="Times New Roman"/>
          <w:szCs w:val="24"/>
        </w:rPr>
        <w:t xml:space="preserve"> they are most comfortable driving by themselves when traveling with children rather than yielding that control to anyone else, le</w:t>
      </w:r>
      <w:r w:rsidR="009C3E15" w:rsidRPr="00493DDD">
        <w:rPr>
          <w:rFonts w:cs="Times New Roman"/>
          <w:szCs w:val="24"/>
        </w:rPr>
        <w:t>t</w:t>
      </w:r>
      <w:r w:rsidR="00D35D95" w:rsidRPr="00493DDD">
        <w:rPr>
          <w:rFonts w:cs="Times New Roman"/>
          <w:szCs w:val="24"/>
        </w:rPr>
        <w:t xml:space="preserve"> alone a machine (</w:t>
      </w:r>
      <w:r w:rsidR="00982C45" w:rsidRPr="00493DDD">
        <w:rPr>
          <w:rFonts w:cs="Times New Roman"/>
          <w:szCs w:val="24"/>
        </w:rPr>
        <w:t>see Ciciolla and Luth</w:t>
      </w:r>
      <w:r w:rsidR="00C7753E">
        <w:rPr>
          <w:rFonts w:cs="Times New Roman"/>
          <w:szCs w:val="24"/>
        </w:rPr>
        <w:t>a</w:t>
      </w:r>
      <w:r w:rsidR="00982C45" w:rsidRPr="00493DDD">
        <w:rPr>
          <w:rFonts w:cs="Times New Roman"/>
          <w:szCs w:val="24"/>
        </w:rPr>
        <w:t xml:space="preserve">r, 2019; </w:t>
      </w:r>
      <w:r w:rsidR="00D35D95" w:rsidRPr="00493DDD">
        <w:rPr>
          <w:rFonts w:cs="Times New Roman"/>
          <w:szCs w:val="24"/>
        </w:rPr>
        <w:t xml:space="preserve">this </w:t>
      </w:r>
      <w:r w:rsidR="00982C45" w:rsidRPr="00493DDD">
        <w:rPr>
          <w:rFonts w:cs="Times New Roman"/>
          <w:szCs w:val="24"/>
        </w:rPr>
        <w:t xml:space="preserve">reason </w:t>
      </w:r>
      <w:r w:rsidR="00D35D95" w:rsidRPr="00493DDD">
        <w:rPr>
          <w:rFonts w:cs="Times New Roman"/>
          <w:szCs w:val="24"/>
        </w:rPr>
        <w:t xml:space="preserve">is particularly likely to </w:t>
      </w:r>
      <w:r w:rsidR="00905D0D" w:rsidRPr="00493DDD">
        <w:rPr>
          <w:rFonts w:cs="Times New Roman"/>
          <w:szCs w:val="24"/>
        </w:rPr>
        <w:t xml:space="preserve">be </w:t>
      </w:r>
      <w:r w:rsidR="00D35D95" w:rsidRPr="00493DDD">
        <w:rPr>
          <w:rFonts w:cs="Times New Roman"/>
          <w:szCs w:val="24"/>
        </w:rPr>
        <w:t xml:space="preserve">an important </w:t>
      </w:r>
      <w:r w:rsidR="00982C45" w:rsidRPr="00493DDD">
        <w:rPr>
          <w:rFonts w:cs="Times New Roman"/>
          <w:szCs w:val="24"/>
        </w:rPr>
        <w:t>one</w:t>
      </w:r>
      <w:r w:rsidR="00D35D95" w:rsidRPr="00493DDD">
        <w:rPr>
          <w:rFonts w:cs="Times New Roman"/>
          <w:szCs w:val="24"/>
        </w:rPr>
        <w:t>, given one of the indicators for safety concern explicitly relate</w:t>
      </w:r>
      <w:r w:rsidR="00905D0D" w:rsidRPr="00493DDD">
        <w:rPr>
          <w:rFonts w:cs="Times New Roman"/>
          <w:szCs w:val="24"/>
        </w:rPr>
        <w:t>s</w:t>
      </w:r>
      <w:r w:rsidR="00D35D95" w:rsidRPr="00493DDD">
        <w:rPr>
          <w:rFonts w:cs="Times New Roman"/>
          <w:szCs w:val="24"/>
        </w:rPr>
        <w:t xml:space="preserve"> to picking </w:t>
      </w:r>
      <w:r w:rsidR="00D35D95" w:rsidRPr="00493DDD">
        <w:rPr>
          <w:rFonts w:cs="Times New Roman"/>
          <w:szCs w:val="24"/>
        </w:rPr>
        <w:lastRenderedPageBreak/>
        <w:t>up/dropping off children without adult supervision).</w:t>
      </w:r>
      <w:r w:rsidR="0004580E" w:rsidRPr="00493DDD">
        <w:rPr>
          <w:rFonts w:cs="Times New Roman"/>
          <w:szCs w:val="24"/>
        </w:rPr>
        <w:t xml:space="preserve"> The enhanced safety concern among women in the presence of children in the household, as represented by the interaction term “female*presence of children in the household</w:t>
      </w:r>
      <w:r w:rsidR="00C57042" w:rsidRPr="00493DDD">
        <w:rPr>
          <w:rFonts w:cs="Times New Roman"/>
          <w:szCs w:val="24"/>
        </w:rPr>
        <w:t>”</w:t>
      </w:r>
      <w:r w:rsidR="0004580E" w:rsidRPr="00493DDD">
        <w:rPr>
          <w:rFonts w:cs="Times New Roman"/>
          <w:szCs w:val="24"/>
        </w:rPr>
        <w:t xml:space="preserve"> reinforces this second explanation. </w:t>
      </w:r>
      <w:r w:rsidR="00483CE1" w:rsidRPr="00493DDD">
        <w:rPr>
          <w:rFonts w:cs="Times New Roman"/>
          <w:szCs w:val="24"/>
        </w:rPr>
        <w:t xml:space="preserve">Finally, in terms of gender effects on the latent constructs, women tend to be less tech-savvy than men. This is different from the recent studies of </w:t>
      </w:r>
      <w:r w:rsidR="00483CE1" w:rsidRPr="00493DDD">
        <w:rPr>
          <w:rFonts w:cs="Times New Roman"/>
          <w:noProof/>
          <w:szCs w:val="24"/>
        </w:rPr>
        <w:t>Lavieri and Bhat (2019</w:t>
      </w:r>
      <w:r w:rsidR="00E766C5" w:rsidRPr="00493DDD">
        <w:rPr>
          <w:rFonts w:cs="Times New Roman"/>
          <w:noProof/>
          <w:szCs w:val="24"/>
        </w:rPr>
        <w:t>a</w:t>
      </w:r>
      <w:r w:rsidR="00483CE1" w:rsidRPr="00493DDD">
        <w:rPr>
          <w:rFonts w:cs="Times New Roman"/>
          <w:noProof/>
          <w:szCs w:val="24"/>
        </w:rPr>
        <w:t>) and Nair and Bhat (2020)</w:t>
      </w:r>
      <w:r w:rsidR="00483CE1" w:rsidRPr="00493DDD">
        <w:rPr>
          <w:rFonts w:cs="Times New Roman"/>
          <w:szCs w:val="24"/>
        </w:rPr>
        <w:t xml:space="preserve"> that found no statistically significant difference between men and women in the level of tech-savviness, but is consistent with the gap between genders in access to technology in the digital age (Mushtaq and Riyaz, 2020). As discussed by Mustaq and Riyaz, women are typically the multi-taskers of the family, as they tend to household chores and are the household’s primary caregivers, leaving minimal free time for women to learn, adapt and use new technologies.</w:t>
      </w:r>
    </w:p>
    <w:p w14:paraId="733FBD07" w14:textId="7D66A21F" w:rsidR="00B31D5C" w:rsidRPr="00493DDD" w:rsidRDefault="00E71A07" w:rsidP="00493DDD">
      <w:pPr>
        <w:spacing w:line="276" w:lineRule="auto"/>
        <w:ind w:firstLine="720"/>
        <w:jc w:val="both"/>
        <w:rPr>
          <w:rFonts w:cs="Times New Roman"/>
          <w:szCs w:val="24"/>
        </w:rPr>
      </w:pPr>
      <w:r w:rsidRPr="00493DDD">
        <w:rPr>
          <w:rFonts w:cs="Times New Roman"/>
          <w:szCs w:val="24"/>
        </w:rPr>
        <w:t>Age</w:t>
      </w:r>
      <w:r w:rsidR="004B5FB3" w:rsidRPr="00493DDD">
        <w:rPr>
          <w:rFonts w:cs="Times New Roman"/>
          <w:szCs w:val="24"/>
        </w:rPr>
        <w:t xml:space="preserve"> impacts all the latent constructs</w:t>
      </w:r>
      <w:r w:rsidR="00AB2BC6" w:rsidRPr="00493DDD">
        <w:rPr>
          <w:rFonts w:cs="Times New Roman"/>
          <w:szCs w:val="24"/>
        </w:rPr>
        <w:t xml:space="preserve">. Those in the elderly group (64 years or older) ascribe a high premium to driving and mobility control, and are much more safety concerned and less tech-savvy than their younger peers. </w:t>
      </w:r>
      <w:r w:rsidR="0004530C" w:rsidRPr="00493DDD">
        <w:rPr>
          <w:rFonts w:cs="Times New Roman"/>
          <w:szCs w:val="24"/>
        </w:rPr>
        <w:t xml:space="preserve">The need for driving control among the elderly may be traced back to a need to </w:t>
      </w:r>
      <w:r w:rsidR="00AB2BC6" w:rsidRPr="00493DDD">
        <w:rPr>
          <w:rFonts w:cs="Times New Roman"/>
          <w:szCs w:val="24"/>
        </w:rPr>
        <w:t>maintain a self-perception of being in control</w:t>
      </w:r>
      <w:r w:rsidR="0004530C" w:rsidRPr="00493DDD">
        <w:rPr>
          <w:rFonts w:cs="Times New Roman"/>
          <w:szCs w:val="24"/>
        </w:rPr>
        <w:t xml:space="preserve"> in general and raising </w:t>
      </w:r>
      <w:r w:rsidR="00AB2BC6" w:rsidRPr="00493DDD">
        <w:rPr>
          <w:rFonts w:cs="Times New Roman"/>
          <w:szCs w:val="24"/>
        </w:rPr>
        <w:t>mental self-esteem at a stage of life when their physical self-esteem may not be as high as during their yester years</w:t>
      </w:r>
      <w:r w:rsidR="0004530C" w:rsidRPr="00493DDD">
        <w:rPr>
          <w:rFonts w:cs="Times New Roman"/>
          <w:szCs w:val="24"/>
        </w:rPr>
        <w:t xml:space="preserve">. Also, the advent of AVs could engender a disruptive change in the way of life for older individuals, especially because older individuals are typically less open to change and new experiences </w:t>
      </w:r>
      <w:r w:rsidR="0004530C" w:rsidRPr="00493DDD">
        <w:rPr>
          <w:rFonts w:cs="Times New Roman"/>
          <w:noProof/>
          <w:szCs w:val="24"/>
        </w:rPr>
        <w:t>(Kessler, 2009</w:t>
      </w:r>
      <w:r w:rsidR="0082498B">
        <w:rPr>
          <w:rFonts w:cs="Times New Roman"/>
          <w:noProof/>
          <w:szCs w:val="24"/>
        </w:rPr>
        <w:t xml:space="preserve">; </w:t>
      </w:r>
      <w:r w:rsidR="002577E1" w:rsidRPr="00493DDD">
        <w:rPr>
          <w:rFonts w:cs="Times New Roman"/>
          <w:noProof/>
          <w:szCs w:val="24"/>
        </w:rPr>
        <w:t>González Gutiérrez</w:t>
      </w:r>
      <w:r w:rsidR="002577E1" w:rsidRPr="00493DDD" w:rsidDel="002577E1">
        <w:rPr>
          <w:rFonts w:cs="Times New Roman"/>
          <w:noProof/>
          <w:szCs w:val="24"/>
        </w:rPr>
        <w:t xml:space="preserve"> </w:t>
      </w:r>
      <w:r w:rsidR="0004530C" w:rsidRPr="00493DDD">
        <w:rPr>
          <w:rFonts w:cs="Times New Roman"/>
          <w:noProof/>
          <w:szCs w:val="24"/>
        </w:rPr>
        <w:t xml:space="preserve"> </w:t>
      </w:r>
      <w:r w:rsidR="0004530C" w:rsidRPr="00493DDD">
        <w:rPr>
          <w:rFonts w:cs="Times New Roman"/>
          <w:i/>
          <w:iCs/>
          <w:noProof/>
          <w:szCs w:val="24"/>
        </w:rPr>
        <w:t>et al</w:t>
      </w:r>
      <w:r w:rsidR="0004530C" w:rsidRPr="00E94819">
        <w:rPr>
          <w:rFonts w:cs="Times New Roman"/>
          <w:iCs/>
          <w:noProof/>
          <w:szCs w:val="24"/>
        </w:rPr>
        <w:t>.,</w:t>
      </w:r>
      <w:r w:rsidR="0004530C" w:rsidRPr="00E94819">
        <w:rPr>
          <w:rFonts w:cs="Times New Roman"/>
          <w:noProof/>
          <w:szCs w:val="24"/>
        </w:rPr>
        <w:t xml:space="preserve"> </w:t>
      </w:r>
      <w:r w:rsidR="0004530C" w:rsidRPr="00493DDD">
        <w:rPr>
          <w:rFonts w:cs="Times New Roman"/>
          <w:noProof/>
          <w:szCs w:val="24"/>
        </w:rPr>
        <w:t>20</w:t>
      </w:r>
      <w:r w:rsidR="00C7753E">
        <w:rPr>
          <w:rFonts w:cs="Times New Roman"/>
          <w:noProof/>
          <w:szCs w:val="24"/>
        </w:rPr>
        <w:t>0</w:t>
      </w:r>
      <w:r w:rsidR="0004530C" w:rsidRPr="00493DDD">
        <w:rPr>
          <w:rFonts w:cs="Times New Roman"/>
          <w:noProof/>
          <w:szCs w:val="24"/>
        </w:rPr>
        <w:t>5)</w:t>
      </w:r>
      <w:r w:rsidR="0004530C" w:rsidRPr="00493DDD">
        <w:rPr>
          <w:rFonts w:cs="Times New Roman"/>
          <w:szCs w:val="24"/>
        </w:rPr>
        <w:t xml:space="preserve">. These individuals have driven most of their life, and </w:t>
      </w:r>
      <w:r w:rsidR="00F12410" w:rsidRPr="00493DDD">
        <w:rPr>
          <w:rFonts w:cs="Times New Roman"/>
          <w:szCs w:val="24"/>
        </w:rPr>
        <w:t xml:space="preserve">are naturally less trusting of disruptors such as AVs </w:t>
      </w:r>
      <w:r w:rsidR="00B31D5C" w:rsidRPr="00493DDD">
        <w:rPr>
          <w:rFonts w:cs="Times New Roman"/>
          <w:szCs w:val="24"/>
        </w:rPr>
        <w:t>(</w:t>
      </w:r>
      <w:r w:rsidR="00F12410" w:rsidRPr="00493DDD">
        <w:rPr>
          <w:rFonts w:cs="Times New Roman"/>
          <w:szCs w:val="24"/>
        </w:rPr>
        <w:t xml:space="preserve">see also </w:t>
      </w:r>
      <w:r w:rsidR="00B31D5C" w:rsidRPr="00493DDD">
        <w:rPr>
          <w:rFonts w:cs="Times New Roman"/>
          <w:szCs w:val="24"/>
        </w:rPr>
        <w:t>Haboucha</w:t>
      </w:r>
      <w:r w:rsidR="00C7753E" w:rsidRPr="00C7753E">
        <w:rPr>
          <w:rFonts w:cs="Times New Roman"/>
          <w:i/>
          <w:iCs/>
          <w:szCs w:val="24"/>
        </w:rPr>
        <w:t xml:space="preserve"> </w:t>
      </w:r>
      <w:r w:rsidR="00C7753E" w:rsidRPr="00493DDD">
        <w:rPr>
          <w:rFonts w:cs="Times New Roman"/>
          <w:i/>
          <w:iCs/>
          <w:szCs w:val="24"/>
        </w:rPr>
        <w:t>et al</w:t>
      </w:r>
      <w:r w:rsidR="00C7753E" w:rsidRPr="00E94819">
        <w:rPr>
          <w:rFonts w:cs="Times New Roman"/>
          <w:iCs/>
          <w:szCs w:val="24"/>
        </w:rPr>
        <w:t>.,</w:t>
      </w:r>
      <w:r w:rsidR="00C7753E" w:rsidRPr="00E94819">
        <w:rPr>
          <w:rFonts w:cs="Times New Roman"/>
          <w:szCs w:val="24"/>
        </w:rPr>
        <w:t xml:space="preserve"> </w:t>
      </w:r>
      <w:r w:rsidR="00B31D5C" w:rsidRPr="00493DDD">
        <w:rPr>
          <w:rFonts w:cs="Times New Roman"/>
          <w:szCs w:val="24"/>
        </w:rPr>
        <w:t>2017</w:t>
      </w:r>
      <w:r w:rsidR="0082498B">
        <w:rPr>
          <w:rFonts w:cs="Times New Roman"/>
          <w:szCs w:val="24"/>
        </w:rPr>
        <w:t xml:space="preserve">; </w:t>
      </w:r>
      <w:r w:rsidR="00F12410" w:rsidRPr="00493DDD">
        <w:rPr>
          <w:rFonts w:cs="Times New Roman"/>
          <w:szCs w:val="24"/>
        </w:rPr>
        <w:t xml:space="preserve">Voinescu </w:t>
      </w:r>
      <w:r w:rsidR="00F12410" w:rsidRPr="00493DDD">
        <w:rPr>
          <w:rFonts w:cs="Times New Roman"/>
          <w:i/>
          <w:iCs/>
          <w:szCs w:val="24"/>
        </w:rPr>
        <w:t>et al</w:t>
      </w:r>
      <w:r w:rsidR="00F12410" w:rsidRPr="00E94819">
        <w:rPr>
          <w:rFonts w:cs="Times New Roman"/>
          <w:iCs/>
          <w:szCs w:val="24"/>
        </w:rPr>
        <w:t>.,</w:t>
      </w:r>
      <w:r w:rsidR="00F12410" w:rsidRPr="00E94819">
        <w:rPr>
          <w:rFonts w:cs="Times New Roman"/>
          <w:szCs w:val="24"/>
        </w:rPr>
        <w:t xml:space="preserve"> </w:t>
      </w:r>
      <w:r w:rsidR="00F12410" w:rsidRPr="00493DDD">
        <w:rPr>
          <w:rFonts w:cs="Times New Roman"/>
          <w:szCs w:val="24"/>
        </w:rPr>
        <w:t>2020</w:t>
      </w:r>
      <w:r w:rsidR="00B31D5C" w:rsidRPr="00493DDD">
        <w:rPr>
          <w:rFonts w:cs="Times New Roman"/>
          <w:szCs w:val="24"/>
        </w:rPr>
        <w:t xml:space="preserve">). </w:t>
      </w:r>
      <w:r w:rsidR="00F12410" w:rsidRPr="00493DDD">
        <w:rPr>
          <w:rFonts w:cs="Times New Roman"/>
          <w:szCs w:val="24"/>
        </w:rPr>
        <w:t xml:space="preserve">Similar reasons can explain the need for mobility control among the elderly. While the elderly tend to have relatively small-sized social networks, and also travel less outside the home due to mobility constraints (see </w:t>
      </w:r>
      <w:r w:rsidR="00F12410" w:rsidRPr="00493DDD">
        <w:rPr>
          <w:rFonts w:cs="Times New Roman"/>
          <w:iCs/>
          <w:szCs w:val="24"/>
        </w:rPr>
        <w:t xml:space="preserve">Paillard-Borg </w:t>
      </w:r>
      <w:r w:rsidR="00F12410" w:rsidRPr="00493DDD">
        <w:rPr>
          <w:rFonts w:cs="Times New Roman"/>
          <w:i/>
          <w:szCs w:val="24"/>
        </w:rPr>
        <w:t>et al</w:t>
      </w:r>
      <w:r w:rsidR="00F12410" w:rsidRPr="00E94819">
        <w:rPr>
          <w:rFonts w:cs="Times New Roman"/>
          <w:szCs w:val="24"/>
        </w:rPr>
        <w:t>.,</w:t>
      </w:r>
      <w:r w:rsidR="00F12410" w:rsidRPr="00493DDD">
        <w:rPr>
          <w:rFonts w:cs="Times New Roman"/>
          <w:iCs/>
          <w:szCs w:val="24"/>
        </w:rPr>
        <w:t xml:space="preserve"> 2009</w:t>
      </w:r>
      <w:r w:rsidR="0082498B">
        <w:rPr>
          <w:rFonts w:cs="Times New Roman"/>
          <w:iCs/>
          <w:szCs w:val="24"/>
        </w:rPr>
        <w:t xml:space="preserve">; </w:t>
      </w:r>
      <w:r w:rsidR="00F12410" w:rsidRPr="00493DDD">
        <w:rPr>
          <w:rFonts w:cs="Times New Roman"/>
          <w:iCs/>
          <w:szCs w:val="24"/>
        </w:rPr>
        <w:t xml:space="preserve">Bhat </w:t>
      </w:r>
      <w:r w:rsidR="00322619" w:rsidRPr="00493DDD">
        <w:rPr>
          <w:rFonts w:cs="Times New Roman"/>
          <w:i/>
          <w:iCs/>
          <w:szCs w:val="24"/>
        </w:rPr>
        <w:t>et al</w:t>
      </w:r>
      <w:r w:rsidR="00322619" w:rsidRPr="00E94819">
        <w:rPr>
          <w:rFonts w:cs="Times New Roman"/>
          <w:iCs/>
          <w:szCs w:val="24"/>
        </w:rPr>
        <w:t>.</w:t>
      </w:r>
      <w:r w:rsidR="00F12410" w:rsidRPr="00493DDD">
        <w:rPr>
          <w:rFonts w:cs="Times New Roman"/>
          <w:iCs/>
          <w:szCs w:val="24"/>
        </w:rPr>
        <w:t>, 2020),</w:t>
      </w:r>
      <w:r w:rsidR="00F12410" w:rsidRPr="00493DDD">
        <w:rPr>
          <w:rFonts w:cs="Times New Roman"/>
          <w:b/>
          <w:iCs/>
          <w:szCs w:val="24"/>
        </w:rPr>
        <w:t xml:space="preserve"> </w:t>
      </w:r>
      <w:r w:rsidR="00F12410" w:rsidRPr="00493DDD">
        <w:rPr>
          <w:rFonts w:cs="Times New Roman"/>
          <w:szCs w:val="24"/>
        </w:rPr>
        <w:t xml:space="preserve">they tend to be much more zealous in preserving the spatio-temporal rigidity </w:t>
      </w:r>
      <w:r w:rsidR="00BA540E" w:rsidRPr="00493DDD">
        <w:rPr>
          <w:rFonts w:cs="Times New Roman"/>
          <w:szCs w:val="24"/>
        </w:rPr>
        <w:t xml:space="preserve">and schedule </w:t>
      </w:r>
      <w:r w:rsidR="00F12410" w:rsidRPr="00493DDD">
        <w:rPr>
          <w:rFonts w:cs="Times New Roman"/>
          <w:szCs w:val="24"/>
        </w:rPr>
        <w:t xml:space="preserve">of their out-of-home activity participations </w:t>
      </w:r>
      <w:r w:rsidR="00B31D5C" w:rsidRPr="00493DDD">
        <w:rPr>
          <w:rFonts w:cs="Times New Roman"/>
          <w:szCs w:val="24"/>
        </w:rPr>
        <w:t>(</w:t>
      </w:r>
      <w:r w:rsidR="00322619" w:rsidRPr="00AA7543">
        <w:rPr>
          <w:rFonts w:cs="Times New Roman"/>
          <w:szCs w:val="24"/>
        </w:rPr>
        <w:t>Nikitas</w:t>
      </w:r>
      <w:r w:rsidR="00B31D5C" w:rsidRPr="00493DDD">
        <w:rPr>
          <w:rFonts w:cs="Times New Roman"/>
          <w:szCs w:val="24"/>
        </w:rPr>
        <w:t xml:space="preserve"> </w:t>
      </w:r>
      <w:r w:rsidR="00B31D5C" w:rsidRPr="00493DDD">
        <w:rPr>
          <w:rFonts w:cs="Times New Roman"/>
          <w:i/>
          <w:iCs/>
          <w:szCs w:val="24"/>
        </w:rPr>
        <w:t>et al</w:t>
      </w:r>
      <w:r w:rsidR="00B31D5C" w:rsidRPr="00E94819">
        <w:rPr>
          <w:rFonts w:cs="Times New Roman"/>
          <w:iCs/>
          <w:szCs w:val="24"/>
        </w:rPr>
        <w:t>.,</w:t>
      </w:r>
      <w:r w:rsidR="00B31D5C" w:rsidRPr="00E94819">
        <w:rPr>
          <w:rFonts w:cs="Times New Roman"/>
          <w:szCs w:val="24"/>
        </w:rPr>
        <w:t xml:space="preserve"> </w:t>
      </w:r>
      <w:r w:rsidR="00B31D5C" w:rsidRPr="00493DDD">
        <w:rPr>
          <w:rFonts w:cs="Times New Roman"/>
          <w:szCs w:val="24"/>
        </w:rPr>
        <w:t>2018).</w:t>
      </w:r>
      <w:r w:rsidR="00C3359E" w:rsidRPr="00493DDD">
        <w:rPr>
          <w:rFonts w:cs="Times New Roman"/>
          <w:szCs w:val="24"/>
        </w:rPr>
        <w:t xml:space="preserve"> The heightened safety concern related to AVs</w:t>
      </w:r>
      <w:r w:rsidR="00590DE3" w:rsidRPr="00493DDD">
        <w:rPr>
          <w:rFonts w:cs="Times New Roman"/>
          <w:szCs w:val="24"/>
        </w:rPr>
        <w:t xml:space="preserve"> </w:t>
      </w:r>
      <w:r w:rsidR="00C3359E" w:rsidRPr="00493DDD">
        <w:rPr>
          <w:rFonts w:cs="Times New Roman"/>
          <w:szCs w:val="24"/>
        </w:rPr>
        <w:t xml:space="preserve">may be traced back again to a distrust and skepticism in new technology, in part engendered by prior exposure to technologies that </w:t>
      </w:r>
      <w:r w:rsidR="009C3E15" w:rsidRPr="00493DDD">
        <w:rPr>
          <w:rFonts w:cs="Times New Roman"/>
          <w:szCs w:val="24"/>
        </w:rPr>
        <w:t xml:space="preserve">were </w:t>
      </w:r>
      <w:r w:rsidR="00C3359E" w:rsidRPr="00493DDD">
        <w:rPr>
          <w:rFonts w:cs="Times New Roman"/>
          <w:szCs w:val="24"/>
        </w:rPr>
        <w:t xml:space="preserve">initially hailed as </w:t>
      </w:r>
      <w:r w:rsidR="00590DE3" w:rsidRPr="00493DDD">
        <w:rPr>
          <w:rFonts w:cs="Times New Roman"/>
          <w:szCs w:val="24"/>
        </w:rPr>
        <w:t>positive “breakthroughs”</w:t>
      </w:r>
      <w:r w:rsidR="00C3359E" w:rsidRPr="00493DDD">
        <w:rPr>
          <w:rFonts w:cs="Times New Roman"/>
          <w:szCs w:val="24"/>
        </w:rPr>
        <w:t>, but turned out to</w:t>
      </w:r>
      <w:r w:rsidR="00590DE3" w:rsidRPr="00493DDD">
        <w:rPr>
          <w:rFonts w:cs="Times New Roman"/>
          <w:szCs w:val="24"/>
        </w:rPr>
        <w:t xml:space="preserve"> have dangerous “side-effects</w:t>
      </w:r>
      <w:r w:rsidR="00C3359E" w:rsidRPr="00493DDD">
        <w:rPr>
          <w:rFonts w:cs="Times New Roman"/>
          <w:szCs w:val="24"/>
        </w:rPr>
        <w:t>.</w:t>
      </w:r>
      <w:r w:rsidR="00590DE3" w:rsidRPr="00493DDD">
        <w:rPr>
          <w:rFonts w:cs="Times New Roman"/>
          <w:szCs w:val="24"/>
        </w:rPr>
        <w:t>”</w:t>
      </w:r>
      <w:r w:rsidR="00C3359E" w:rsidRPr="00493DDD">
        <w:rPr>
          <w:rFonts w:cs="Times New Roman"/>
          <w:szCs w:val="24"/>
        </w:rPr>
        <w:t xml:space="preserve"> Another reason provided by Nair and Bhat (2020) is that traditional TV and radio media, which constitute important sources of information on automated driving for older individuals, tend to focus more on AV risks (such as accidents) than benefits (as part of news sensationalism). This immediately gets on the radar of older individuals, who then question AV safety. </w:t>
      </w:r>
      <w:r w:rsidR="00590DE3" w:rsidRPr="00493DDD">
        <w:rPr>
          <w:rFonts w:cs="Times New Roman"/>
          <w:szCs w:val="24"/>
        </w:rPr>
        <w:t xml:space="preserve">Finally, in the context of age effects related to the latent constructs, the lower levels of tech-savviness among the elderly is a consistent finding. Younger individuals (millennials, for example) grew up in an era of ubiquitous internet and communications technology (ICT), while baby boomers had to adapt to technological changes in adulthood </w:t>
      </w:r>
      <w:r w:rsidR="00590DE3" w:rsidRPr="00493DDD">
        <w:rPr>
          <w:rFonts w:cs="Times New Roman"/>
          <w:noProof/>
          <w:szCs w:val="24"/>
        </w:rPr>
        <w:t xml:space="preserve">(Correa </w:t>
      </w:r>
      <w:r w:rsidR="00590DE3" w:rsidRPr="00493DDD">
        <w:rPr>
          <w:rFonts w:cs="Times New Roman"/>
          <w:i/>
          <w:iCs/>
          <w:noProof/>
          <w:szCs w:val="24"/>
        </w:rPr>
        <w:t>et al</w:t>
      </w:r>
      <w:r w:rsidR="00590DE3" w:rsidRPr="00E94819">
        <w:rPr>
          <w:rFonts w:cs="Times New Roman"/>
          <w:iCs/>
          <w:noProof/>
          <w:szCs w:val="24"/>
        </w:rPr>
        <w:t>.,</w:t>
      </w:r>
      <w:r w:rsidR="00590DE3" w:rsidRPr="00493DDD">
        <w:rPr>
          <w:rFonts w:cs="Times New Roman"/>
          <w:noProof/>
          <w:szCs w:val="24"/>
        </w:rPr>
        <w:t xml:space="preserve"> 2010</w:t>
      </w:r>
      <w:r w:rsidR="0082498B">
        <w:rPr>
          <w:rFonts w:cs="Times New Roman"/>
          <w:noProof/>
          <w:szCs w:val="24"/>
        </w:rPr>
        <w:t xml:space="preserve">; </w:t>
      </w:r>
      <w:r w:rsidR="00590DE3" w:rsidRPr="00493DDD">
        <w:rPr>
          <w:rFonts w:cs="Times New Roman"/>
          <w:noProof/>
          <w:szCs w:val="24"/>
        </w:rPr>
        <w:t>Helsper and Eynon, 2010)</w:t>
      </w:r>
      <w:r w:rsidR="00590DE3" w:rsidRPr="00493DDD">
        <w:rPr>
          <w:rFonts w:cs="Times New Roman"/>
          <w:szCs w:val="24"/>
        </w:rPr>
        <w:t xml:space="preserve">. Further, it takes a greater effort for older generations to use digital devices as proficiently as younger individuals (see Bolton </w:t>
      </w:r>
      <w:r w:rsidR="00590DE3" w:rsidRPr="00493DDD">
        <w:rPr>
          <w:rFonts w:cs="Times New Roman"/>
          <w:i/>
          <w:iCs/>
          <w:szCs w:val="24"/>
        </w:rPr>
        <w:t>et al</w:t>
      </w:r>
      <w:r w:rsidR="00590DE3" w:rsidRPr="00E94819">
        <w:rPr>
          <w:rFonts w:cs="Times New Roman"/>
          <w:iCs/>
          <w:szCs w:val="24"/>
        </w:rPr>
        <w:t>.,</w:t>
      </w:r>
      <w:r w:rsidR="00590DE3" w:rsidRPr="00493DDD">
        <w:rPr>
          <w:rFonts w:cs="Times New Roman"/>
          <w:szCs w:val="24"/>
        </w:rPr>
        <w:t xml:space="preserve"> 2013</w:t>
      </w:r>
      <w:r w:rsidR="0082498B">
        <w:rPr>
          <w:rFonts w:cs="Times New Roman"/>
          <w:szCs w:val="24"/>
        </w:rPr>
        <w:t>;</w:t>
      </w:r>
      <w:r w:rsidR="00590DE3" w:rsidRPr="00493DDD">
        <w:rPr>
          <w:rFonts w:cs="Times New Roman"/>
          <w:szCs w:val="24"/>
        </w:rPr>
        <w:t xml:space="preserve"> </w:t>
      </w:r>
      <w:r w:rsidR="00590DE3" w:rsidRPr="00493DDD">
        <w:rPr>
          <w:rFonts w:cs="Times New Roman"/>
          <w:noProof/>
          <w:szCs w:val="24"/>
        </w:rPr>
        <w:t xml:space="preserve">Berkowsky </w:t>
      </w:r>
      <w:r w:rsidR="00590DE3" w:rsidRPr="00493DDD">
        <w:rPr>
          <w:rFonts w:cs="Times New Roman"/>
          <w:i/>
          <w:iCs/>
          <w:noProof/>
          <w:szCs w:val="24"/>
        </w:rPr>
        <w:t>et al</w:t>
      </w:r>
      <w:r w:rsidR="00590DE3" w:rsidRPr="00E94819">
        <w:rPr>
          <w:rFonts w:cs="Times New Roman"/>
          <w:iCs/>
          <w:noProof/>
          <w:szCs w:val="24"/>
        </w:rPr>
        <w:t>.,</w:t>
      </w:r>
      <w:r w:rsidR="00590DE3" w:rsidRPr="00493DDD">
        <w:rPr>
          <w:rFonts w:cs="Times New Roman"/>
          <w:noProof/>
          <w:szCs w:val="24"/>
        </w:rPr>
        <w:t xml:space="preserve"> 2017</w:t>
      </w:r>
      <w:r w:rsidR="0082498B">
        <w:rPr>
          <w:rFonts w:cs="Times New Roman"/>
          <w:noProof/>
          <w:szCs w:val="24"/>
        </w:rPr>
        <w:t xml:space="preserve">; </w:t>
      </w:r>
      <w:r w:rsidR="00590DE3" w:rsidRPr="00493DDD">
        <w:rPr>
          <w:rFonts w:cs="Times New Roman"/>
          <w:noProof/>
          <w:szCs w:val="24"/>
        </w:rPr>
        <w:t xml:space="preserve">Rogers </w:t>
      </w:r>
      <w:r w:rsidR="00322619" w:rsidRPr="00264E6C">
        <w:rPr>
          <w:rFonts w:cs="Times New Roman"/>
          <w:color w:val="222222"/>
          <w:szCs w:val="24"/>
          <w:shd w:val="clear" w:color="auto" w:fill="FFFFFF"/>
        </w:rPr>
        <w:t>and Mitzner</w:t>
      </w:r>
      <w:r w:rsidR="00322619">
        <w:rPr>
          <w:rFonts w:cs="Times New Roman"/>
          <w:noProof/>
          <w:szCs w:val="24"/>
        </w:rPr>
        <w:t xml:space="preserve">, </w:t>
      </w:r>
      <w:r w:rsidR="00590DE3" w:rsidRPr="00493DDD">
        <w:rPr>
          <w:rFonts w:cs="Times New Roman"/>
          <w:noProof/>
          <w:szCs w:val="24"/>
        </w:rPr>
        <w:t>2017)</w:t>
      </w:r>
      <w:r w:rsidR="00590DE3" w:rsidRPr="00493DDD">
        <w:rPr>
          <w:rFonts w:cs="Times New Roman"/>
          <w:szCs w:val="24"/>
        </w:rPr>
        <w:t xml:space="preserve">. Also, the elderly tend to be </w:t>
      </w:r>
      <w:r w:rsidR="00530140" w:rsidRPr="00493DDD">
        <w:rPr>
          <w:rFonts w:cs="Times New Roman"/>
          <w:szCs w:val="24"/>
        </w:rPr>
        <w:t>more reticent in using new technology because of being risk-averse in general and also not being very adept with technology (</w:t>
      </w:r>
      <w:r w:rsidR="00530140" w:rsidRPr="00CC726E">
        <w:rPr>
          <w:rFonts w:cs="Times New Roman"/>
          <w:szCs w:val="24"/>
        </w:rPr>
        <w:t>Hamid</w:t>
      </w:r>
      <w:r w:rsidR="00C2146C" w:rsidRPr="00CC726E">
        <w:rPr>
          <w:rFonts w:cs="Times New Roman"/>
          <w:szCs w:val="24"/>
        </w:rPr>
        <w:t xml:space="preserve"> </w:t>
      </w:r>
      <w:r w:rsidR="00322619" w:rsidRPr="00CC726E">
        <w:rPr>
          <w:rFonts w:cs="Times New Roman"/>
          <w:szCs w:val="24"/>
        </w:rPr>
        <w:t>and Cheng</w:t>
      </w:r>
      <w:r w:rsidR="00322619">
        <w:rPr>
          <w:rFonts w:cs="Times New Roman"/>
          <w:szCs w:val="24"/>
        </w:rPr>
        <w:t>,</w:t>
      </w:r>
      <w:r w:rsidR="00530140" w:rsidRPr="00CC726E">
        <w:rPr>
          <w:rFonts w:cs="Times New Roman"/>
          <w:szCs w:val="24"/>
        </w:rPr>
        <w:t xml:space="preserve"> </w:t>
      </w:r>
      <w:r w:rsidR="00CC726E" w:rsidRPr="00CC726E">
        <w:rPr>
          <w:rFonts w:cs="Times New Roman"/>
          <w:szCs w:val="24"/>
        </w:rPr>
        <w:t>2013</w:t>
      </w:r>
      <w:r w:rsidR="0082498B">
        <w:rPr>
          <w:rFonts w:cs="Times New Roman"/>
          <w:szCs w:val="24"/>
        </w:rPr>
        <w:t>;</w:t>
      </w:r>
      <w:r w:rsidR="00905D0D" w:rsidRPr="00CC726E">
        <w:rPr>
          <w:rFonts w:cs="Times New Roman"/>
          <w:szCs w:val="24"/>
        </w:rPr>
        <w:t xml:space="preserve"> </w:t>
      </w:r>
      <w:r w:rsidR="00530140" w:rsidRPr="00CC726E">
        <w:rPr>
          <w:rFonts w:cs="Times New Roman"/>
          <w:szCs w:val="24"/>
        </w:rPr>
        <w:t>Oliveira</w:t>
      </w:r>
      <w:r w:rsidR="00530140" w:rsidRPr="00493DDD">
        <w:rPr>
          <w:rFonts w:cs="Times New Roman"/>
          <w:szCs w:val="24"/>
        </w:rPr>
        <w:t xml:space="preserve"> </w:t>
      </w:r>
      <w:r w:rsidR="00322619" w:rsidRPr="00264E6C">
        <w:rPr>
          <w:rFonts w:cs="Times New Roman"/>
          <w:szCs w:val="24"/>
        </w:rPr>
        <w:t>and Baldi</w:t>
      </w:r>
      <w:r w:rsidR="00530140" w:rsidRPr="00E94819">
        <w:rPr>
          <w:rFonts w:cs="Times New Roman"/>
          <w:iCs/>
          <w:szCs w:val="24"/>
        </w:rPr>
        <w:t>,</w:t>
      </w:r>
      <w:r w:rsidR="00530140" w:rsidRPr="00E94819">
        <w:rPr>
          <w:rFonts w:cs="Times New Roman"/>
          <w:szCs w:val="24"/>
        </w:rPr>
        <w:t xml:space="preserve"> </w:t>
      </w:r>
      <w:r w:rsidR="00530140" w:rsidRPr="00493DDD">
        <w:rPr>
          <w:rFonts w:cs="Times New Roman"/>
          <w:szCs w:val="24"/>
        </w:rPr>
        <w:t>2019</w:t>
      </w:r>
      <w:r w:rsidR="0082498B">
        <w:rPr>
          <w:rFonts w:cs="Times New Roman"/>
          <w:szCs w:val="24"/>
        </w:rPr>
        <w:t>;</w:t>
      </w:r>
      <w:r w:rsidR="00905D0D" w:rsidRPr="00493DDD">
        <w:rPr>
          <w:rFonts w:cs="Times New Roman"/>
          <w:szCs w:val="24"/>
        </w:rPr>
        <w:t xml:space="preserve"> </w:t>
      </w:r>
      <w:r w:rsidR="00530140" w:rsidRPr="00493DDD">
        <w:rPr>
          <w:rFonts w:cs="Times New Roman"/>
          <w:szCs w:val="24"/>
        </w:rPr>
        <w:t xml:space="preserve">Schmid </w:t>
      </w:r>
      <w:r w:rsidR="00322619" w:rsidRPr="00264E6C">
        <w:rPr>
          <w:rFonts w:cs="Times New Roman"/>
          <w:szCs w:val="24"/>
        </w:rPr>
        <w:t>and Axhausen</w:t>
      </w:r>
      <w:r w:rsidR="00530140" w:rsidRPr="00E94819">
        <w:rPr>
          <w:rFonts w:cs="Times New Roman"/>
          <w:iCs/>
          <w:szCs w:val="24"/>
        </w:rPr>
        <w:t>,</w:t>
      </w:r>
      <w:r w:rsidR="00530140" w:rsidRPr="00E94819">
        <w:rPr>
          <w:rFonts w:cs="Times New Roman"/>
          <w:szCs w:val="24"/>
        </w:rPr>
        <w:t xml:space="preserve"> </w:t>
      </w:r>
      <w:r w:rsidR="00530140" w:rsidRPr="00493DDD">
        <w:rPr>
          <w:rFonts w:cs="Times New Roman"/>
          <w:szCs w:val="24"/>
        </w:rPr>
        <w:t>2019), further leading to a snowballing effect of their already low tech-savviness.</w:t>
      </w:r>
    </w:p>
    <w:p w14:paraId="2CEADD86" w14:textId="3C29CD85" w:rsidR="007D7032" w:rsidRPr="00493DDD" w:rsidRDefault="00D03022" w:rsidP="00493DDD">
      <w:pPr>
        <w:spacing w:line="276" w:lineRule="auto"/>
        <w:ind w:firstLine="720"/>
        <w:jc w:val="both"/>
        <w:rPr>
          <w:rFonts w:cs="Times New Roman"/>
          <w:szCs w:val="24"/>
        </w:rPr>
      </w:pPr>
      <w:r w:rsidRPr="00493DDD">
        <w:rPr>
          <w:rFonts w:cs="Times New Roman"/>
          <w:szCs w:val="24"/>
        </w:rPr>
        <w:lastRenderedPageBreak/>
        <w:t>I</w:t>
      </w:r>
      <w:r w:rsidR="004D316E" w:rsidRPr="00493DDD">
        <w:rPr>
          <w:rFonts w:cs="Times New Roman"/>
          <w:szCs w:val="24"/>
        </w:rPr>
        <w:t xml:space="preserve">n addition to the age and gender effects, the results in Table </w:t>
      </w:r>
      <w:r w:rsidR="006B3123">
        <w:rPr>
          <w:rFonts w:cs="Times New Roman"/>
          <w:szCs w:val="24"/>
        </w:rPr>
        <w:t>3</w:t>
      </w:r>
      <w:r w:rsidR="004D316E" w:rsidRPr="00493DDD">
        <w:rPr>
          <w:rFonts w:cs="Times New Roman"/>
          <w:szCs w:val="24"/>
        </w:rPr>
        <w:t xml:space="preserve"> indicate that employed individuals are less concerned </w:t>
      </w:r>
      <w:r w:rsidR="009873D5" w:rsidRPr="00493DDD">
        <w:rPr>
          <w:rFonts w:cs="Times New Roman"/>
          <w:szCs w:val="24"/>
        </w:rPr>
        <w:t>about safety-related problems due to AV use</w:t>
      </w:r>
      <w:r w:rsidRPr="00493DDD">
        <w:rPr>
          <w:rFonts w:cs="Times New Roman"/>
          <w:szCs w:val="24"/>
        </w:rPr>
        <w:t xml:space="preserve">. </w:t>
      </w:r>
      <w:r w:rsidR="0004580E" w:rsidRPr="00493DDD">
        <w:rPr>
          <w:rFonts w:cs="Times New Roman"/>
          <w:szCs w:val="24"/>
        </w:rPr>
        <w:t>E</w:t>
      </w:r>
      <w:r w:rsidR="00804BC8" w:rsidRPr="00493DDD">
        <w:rPr>
          <w:rFonts w:cs="Times New Roman"/>
          <w:szCs w:val="24"/>
        </w:rPr>
        <w:t>mployed individuals are routinely subjected to long commute delays and are more likely to encounter traffic accidents during their travel</w:t>
      </w:r>
      <w:r w:rsidR="009873D5" w:rsidRPr="00493DDD">
        <w:rPr>
          <w:rFonts w:cs="Times New Roman"/>
          <w:szCs w:val="24"/>
        </w:rPr>
        <w:t xml:space="preserve"> in the current human-driven environment</w:t>
      </w:r>
      <w:r w:rsidR="00804BC8" w:rsidRPr="00493DDD">
        <w:rPr>
          <w:rFonts w:cs="Times New Roman"/>
          <w:szCs w:val="24"/>
        </w:rPr>
        <w:t>, presumably leading to a</w:t>
      </w:r>
      <w:r w:rsidR="009873D5" w:rsidRPr="00493DDD">
        <w:rPr>
          <w:rFonts w:cs="Times New Roman"/>
          <w:szCs w:val="24"/>
        </w:rPr>
        <w:t xml:space="preserve"> perception that machines can do better</w:t>
      </w:r>
      <w:r w:rsidR="00DB40BC" w:rsidRPr="00493DDD">
        <w:rPr>
          <w:rFonts w:cs="Times New Roman"/>
          <w:szCs w:val="24"/>
        </w:rPr>
        <w:t>. These individuals also are submerged in a “sea” of technological advancements at their workplace</w:t>
      </w:r>
      <w:r w:rsidR="0059697C" w:rsidRPr="00493DDD">
        <w:rPr>
          <w:rFonts w:cs="Times New Roman"/>
          <w:szCs w:val="24"/>
        </w:rPr>
        <w:t xml:space="preserve">, </w:t>
      </w:r>
      <w:r w:rsidR="009873D5" w:rsidRPr="00493DDD">
        <w:rPr>
          <w:rFonts w:cs="Times New Roman"/>
          <w:szCs w:val="24"/>
        </w:rPr>
        <w:t xml:space="preserve">and thus </w:t>
      </w:r>
      <w:r w:rsidR="0059697C" w:rsidRPr="00493DDD">
        <w:rPr>
          <w:rFonts w:cs="Times New Roman"/>
          <w:szCs w:val="24"/>
        </w:rPr>
        <w:t xml:space="preserve">may be </w:t>
      </w:r>
      <w:r w:rsidR="009873D5" w:rsidRPr="00493DDD">
        <w:rPr>
          <w:rFonts w:cs="Times New Roman"/>
          <w:szCs w:val="24"/>
        </w:rPr>
        <w:t>less distrustful of AV technology</w:t>
      </w:r>
      <w:r w:rsidR="0059697C" w:rsidRPr="00493DDD">
        <w:rPr>
          <w:rFonts w:cs="Times New Roman"/>
          <w:szCs w:val="24"/>
        </w:rPr>
        <w:t xml:space="preserve"> (</w:t>
      </w:r>
      <w:r w:rsidR="009873D5" w:rsidRPr="00493DDD">
        <w:rPr>
          <w:rFonts w:cs="Times New Roman"/>
          <w:szCs w:val="24"/>
        </w:rPr>
        <w:t xml:space="preserve">see </w:t>
      </w:r>
      <w:r w:rsidRPr="00493DDD">
        <w:rPr>
          <w:rFonts w:cs="Times New Roman"/>
          <w:szCs w:val="24"/>
        </w:rPr>
        <w:t>Nair and Bhat</w:t>
      </w:r>
      <w:r w:rsidR="00804BC8" w:rsidRPr="00493DDD">
        <w:rPr>
          <w:rFonts w:cs="Times New Roman"/>
          <w:szCs w:val="24"/>
        </w:rPr>
        <w:t xml:space="preserve">, </w:t>
      </w:r>
      <w:r w:rsidRPr="00493DDD">
        <w:rPr>
          <w:rFonts w:cs="Times New Roman"/>
          <w:szCs w:val="24"/>
        </w:rPr>
        <w:t>2020).</w:t>
      </w:r>
      <w:r w:rsidR="009873D5" w:rsidRPr="00493DDD">
        <w:rPr>
          <w:rFonts w:cs="Times New Roman"/>
          <w:szCs w:val="24"/>
        </w:rPr>
        <w:t xml:space="preserve"> </w:t>
      </w:r>
      <w:r w:rsidR="0004580E" w:rsidRPr="00493DDD">
        <w:rPr>
          <w:rFonts w:cs="Times New Roman"/>
          <w:szCs w:val="24"/>
        </w:rPr>
        <w:t xml:space="preserve">The results also show that individuals </w:t>
      </w:r>
      <w:r w:rsidR="004D316E" w:rsidRPr="00493DDD">
        <w:rPr>
          <w:rFonts w:cs="Times New Roman"/>
          <w:szCs w:val="24"/>
        </w:rPr>
        <w:t xml:space="preserve">with an education beyond high school </w:t>
      </w:r>
      <w:r w:rsidR="00B00C9E" w:rsidRPr="00493DDD">
        <w:rPr>
          <w:rFonts w:cs="Times New Roman"/>
          <w:szCs w:val="24"/>
        </w:rPr>
        <w:t xml:space="preserve">show </w:t>
      </w:r>
      <w:r w:rsidR="004D316E" w:rsidRPr="00493DDD">
        <w:rPr>
          <w:rFonts w:cs="Times New Roman"/>
          <w:szCs w:val="24"/>
        </w:rPr>
        <w:t>a lower need for driving control</w:t>
      </w:r>
      <w:r w:rsidRPr="00493DDD">
        <w:rPr>
          <w:rFonts w:cs="Times New Roman"/>
          <w:szCs w:val="24"/>
        </w:rPr>
        <w:t>, but display higher tech-savviness levels</w:t>
      </w:r>
      <w:r w:rsidR="004D316E" w:rsidRPr="00493DDD">
        <w:rPr>
          <w:rFonts w:cs="Times New Roman"/>
          <w:szCs w:val="24"/>
        </w:rPr>
        <w:t xml:space="preserve">. </w:t>
      </w:r>
      <w:r w:rsidR="00B00C9E" w:rsidRPr="00493DDD">
        <w:rPr>
          <w:rFonts w:cs="Times New Roman"/>
          <w:szCs w:val="24"/>
        </w:rPr>
        <w:t>T</w:t>
      </w:r>
      <w:r w:rsidR="0097423D" w:rsidRPr="00493DDD">
        <w:rPr>
          <w:rFonts w:cs="Times New Roman"/>
          <w:szCs w:val="24"/>
        </w:rPr>
        <w:t xml:space="preserve">he higher tech-savviness among </w:t>
      </w:r>
      <w:r w:rsidR="00B00C9E" w:rsidRPr="00493DDD">
        <w:rPr>
          <w:rFonts w:cs="Times New Roman"/>
          <w:szCs w:val="24"/>
        </w:rPr>
        <w:t xml:space="preserve">the highly educated </w:t>
      </w:r>
      <w:r w:rsidR="0097423D" w:rsidRPr="00493DDD">
        <w:rPr>
          <w:rFonts w:cs="Times New Roman"/>
          <w:szCs w:val="24"/>
        </w:rPr>
        <w:t>is not surprising, because a thorough grasp of ICT use is essential</w:t>
      </w:r>
      <w:r w:rsidR="00B00C9E" w:rsidRPr="00493DDD">
        <w:rPr>
          <w:rFonts w:cs="Times New Roman"/>
          <w:szCs w:val="24"/>
        </w:rPr>
        <w:t xml:space="preserve"> </w:t>
      </w:r>
      <w:r w:rsidR="0097423D" w:rsidRPr="00493DDD">
        <w:rPr>
          <w:rFonts w:cs="Times New Roman"/>
          <w:szCs w:val="24"/>
        </w:rPr>
        <w:t xml:space="preserve">in today’s increasingly knowledge networking-based </w:t>
      </w:r>
      <w:r w:rsidR="00B00C9E" w:rsidRPr="00493DDD">
        <w:rPr>
          <w:rFonts w:cs="Times New Roman"/>
          <w:szCs w:val="24"/>
        </w:rPr>
        <w:t xml:space="preserve">instruction technology and </w:t>
      </w:r>
      <w:r w:rsidR="0097423D" w:rsidRPr="00493DDD">
        <w:rPr>
          <w:rFonts w:cs="Times New Roman"/>
          <w:szCs w:val="24"/>
        </w:rPr>
        <w:t xml:space="preserve">economy </w:t>
      </w:r>
      <w:r w:rsidR="0097423D" w:rsidRPr="00493DDD">
        <w:rPr>
          <w:rFonts w:cs="Times New Roman"/>
          <w:noProof/>
          <w:szCs w:val="24"/>
        </w:rPr>
        <w:t xml:space="preserve">(van Laar </w:t>
      </w:r>
      <w:r w:rsidR="0097423D" w:rsidRPr="00493DDD">
        <w:rPr>
          <w:rFonts w:cs="Times New Roman"/>
          <w:i/>
          <w:iCs/>
          <w:noProof/>
          <w:szCs w:val="24"/>
        </w:rPr>
        <w:t>et al</w:t>
      </w:r>
      <w:r w:rsidR="0097423D" w:rsidRPr="00E94819">
        <w:rPr>
          <w:rFonts w:cs="Times New Roman"/>
          <w:iCs/>
          <w:noProof/>
          <w:szCs w:val="24"/>
        </w:rPr>
        <w:t>.,</w:t>
      </w:r>
      <w:r w:rsidR="0097423D" w:rsidRPr="00493DDD">
        <w:rPr>
          <w:rFonts w:cs="Times New Roman"/>
          <w:noProof/>
          <w:szCs w:val="24"/>
        </w:rPr>
        <w:t xml:space="preserve"> 2017)</w:t>
      </w:r>
      <w:r w:rsidR="0097423D" w:rsidRPr="00493DDD">
        <w:rPr>
          <w:rFonts w:cs="Times New Roman"/>
          <w:szCs w:val="24"/>
        </w:rPr>
        <w:t xml:space="preserve">. </w:t>
      </w:r>
      <w:r w:rsidR="0004580E" w:rsidRPr="00493DDD">
        <w:rPr>
          <w:rFonts w:cs="Times New Roman"/>
          <w:szCs w:val="24"/>
        </w:rPr>
        <w:t>Finally, in the context of latent constructs, high income individuals display</w:t>
      </w:r>
      <w:r w:rsidR="008C62C6" w:rsidRPr="00493DDD">
        <w:rPr>
          <w:rFonts w:cs="Times New Roman"/>
          <w:szCs w:val="24"/>
        </w:rPr>
        <w:t xml:space="preserve"> </w:t>
      </w:r>
      <w:r w:rsidR="0004580E" w:rsidRPr="00493DDD">
        <w:rPr>
          <w:rFonts w:cs="Times New Roman"/>
          <w:szCs w:val="24"/>
        </w:rPr>
        <w:t>a higher level of tech-savviness</w:t>
      </w:r>
      <w:r w:rsidR="008C62C6" w:rsidRPr="00493DDD">
        <w:rPr>
          <w:rFonts w:cs="Times New Roman"/>
          <w:szCs w:val="24"/>
        </w:rPr>
        <w:t>. This</w:t>
      </w:r>
      <w:r w:rsidR="008C62C6" w:rsidRPr="00493DDD">
        <w:rPr>
          <w:rFonts w:eastAsiaTheme="minorEastAsia" w:cs="Times New Roman"/>
          <w:szCs w:val="24"/>
        </w:rPr>
        <w:t xml:space="preserve"> </w:t>
      </w:r>
      <w:r w:rsidR="0004580E" w:rsidRPr="00493DDD">
        <w:rPr>
          <w:rFonts w:cs="Times New Roman"/>
          <w:szCs w:val="24"/>
        </w:rPr>
        <w:t xml:space="preserve">relationship between technology </w:t>
      </w:r>
      <w:r w:rsidR="008C62C6" w:rsidRPr="00493DDD">
        <w:rPr>
          <w:rFonts w:cs="Times New Roman"/>
          <w:szCs w:val="24"/>
        </w:rPr>
        <w:t xml:space="preserve">savviness </w:t>
      </w:r>
      <w:r w:rsidR="0004580E" w:rsidRPr="00493DDD">
        <w:rPr>
          <w:rFonts w:cs="Times New Roman"/>
          <w:szCs w:val="24"/>
        </w:rPr>
        <w:t xml:space="preserve">and level of income is widely referenced in the </w:t>
      </w:r>
      <w:r w:rsidR="008C62C6" w:rsidRPr="00493DDD">
        <w:rPr>
          <w:rFonts w:cs="Times New Roman"/>
          <w:szCs w:val="24"/>
        </w:rPr>
        <w:t xml:space="preserve">socio-technical </w:t>
      </w:r>
      <w:r w:rsidR="0004580E" w:rsidRPr="00493DDD">
        <w:rPr>
          <w:rFonts w:cs="Times New Roman"/>
          <w:szCs w:val="24"/>
        </w:rPr>
        <w:t xml:space="preserve">literature </w:t>
      </w:r>
      <w:r w:rsidR="008C62C6" w:rsidRPr="00493DDD">
        <w:rPr>
          <w:rFonts w:cs="Times New Roman"/>
          <w:szCs w:val="24"/>
        </w:rPr>
        <w:t>as well as the recent transportation literature (see Kalba, 2008</w:t>
      </w:r>
      <w:r w:rsidR="0082498B">
        <w:rPr>
          <w:rFonts w:cs="Times New Roman"/>
          <w:szCs w:val="24"/>
        </w:rPr>
        <w:t xml:space="preserve">; </w:t>
      </w:r>
      <w:r w:rsidR="008C62C6" w:rsidRPr="00493DDD">
        <w:rPr>
          <w:rFonts w:cs="Times New Roman"/>
          <w:szCs w:val="24"/>
        </w:rPr>
        <w:t xml:space="preserve">Lavieri </w:t>
      </w:r>
      <w:r w:rsidR="008C62C6" w:rsidRPr="00493DDD">
        <w:rPr>
          <w:rFonts w:cs="Times New Roman"/>
          <w:i/>
          <w:iCs/>
          <w:szCs w:val="24"/>
        </w:rPr>
        <w:t>et al</w:t>
      </w:r>
      <w:r w:rsidR="008C62C6" w:rsidRPr="00E94819">
        <w:rPr>
          <w:rFonts w:cs="Times New Roman"/>
          <w:iCs/>
          <w:szCs w:val="24"/>
        </w:rPr>
        <w:t>.,</w:t>
      </w:r>
      <w:r w:rsidR="008C62C6" w:rsidRPr="00E94819">
        <w:rPr>
          <w:rFonts w:cs="Times New Roman"/>
          <w:szCs w:val="24"/>
        </w:rPr>
        <w:t xml:space="preserve"> </w:t>
      </w:r>
      <w:r w:rsidR="008C62C6" w:rsidRPr="00493DDD">
        <w:rPr>
          <w:rFonts w:cs="Times New Roman"/>
          <w:szCs w:val="24"/>
        </w:rPr>
        <w:t>2017</w:t>
      </w:r>
      <w:r w:rsidR="0082498B">
        <w:rPr>
          <w:rFonts w:cs="Times New Roman"/>
          <w:szCs w:val="24"/>
        </w:rPr>
        <w:t>;</w:t>
      </w:r>
      <w:r w:rsidR="009C3E15" w:rsidRPr="00493DDD">
        <w:rPr>
          <w:rFonts w:cs="Times New Roman"/>
          <w:szCs w:val="24"/>
        </w:rPr>
        <w:t xml:space="preserve"> </w:t>
      </w:r>
      <w:r w:rsidR="008C62C6" w:rsidRPr="00493DDD">
        <w:rPr>
          <w:rFonts w:cs="Times New Roman"/>
          <w:szCs w:val="24"/>
        </w:rPr>
        <w:t>Nair and Bhat, 2020)</w:t>
      </w:r>
      <w:r w:rsidR="00905D0D" w:rsidRPr="00493DDD">
        <w:rPr>
          <w:rFonts w:cs="Times New Roman"/>
          <w:szCs w:val="24"/>
        </w:rPr>
        <w:t>.</w:t>
      </w:r>
    </w:p>
    <w:p w14:paraId="745C73C1" w14:textId="5F779178" w:rsidR="0016254A" w:rsidRPr="00493DDD" w:rsidRDefault="007D7032" w:rsidP="00493DDD">
      <w:pPr>
        <w:spacing w:line="276" w:lineRule="auto"/>
        <w:ind w:firstLine="720"/>
        <w:jc w:val="both"/>
        <w:rPr>
          <w:rFonts w:cs="Times New Roman"/>
          <w:szCs w:val="24"/>
        </w:rPr>
      </w:pPr>
      <w:r w:rsidRPr="00493DDD">
        <w:rPr>
          <w:rFonts w:cs="Times New Roman"/>
          <w:szCs w:val="24"/>
        </w:rPr>
        <w:t xml:space="preserve">The estimated correlations between the error terms of the latent constructs (see bottom of Table </w:t>
      </w:r>
      <w:r w:rsidR="006B3123">
        <w:rPr>
          <w:rFonts w:cs="Times New Roman"/>
          <w:szCs w:val="24"/>
        </w:rPr>
        <w:t>3</w:t>
      </w:r>
      <w:r w:rsidRPr="00493DDD">
        <w:rPr>
          <w:rFonts w:cs="Times New Roman"/>
          <w:szCs w:val="24"/>
        </w:rPr>
        <w:t xml:space="preserve">) are as one would expect. Unobserved factors that increase </w:t>
      </w:r>
      <w:r w:rsidR="00E66133" w:rsidRPr="00493DDD">
        <w:rPr>
          <w:rFonts w:cs="Times New Roman"/>
          <w:szCs w:val="24"/>
        </w:rPr>
        <w:t>the need for driving control also increase the need for mobility control, and both these control constructs are positively correlated with tech-savviness. Interestingly, individual-level unobserved factors that heighten safety concern also reduce the need for mobility control. Finally, individuals who are intrinsically tech-savvy are less concerned about safety issues</w:t>
      </w:r>
      <w:r w:rsidR="00B65AF8" w:rsidRPr="00493DDD">
        <w:rPr>
          <w:rFonts w:cs="Times New Roman"/>
          <w:szCs w:val="24"/>
        </w:rPr>
        <w:t xml:space="preserve">. This latter result may be because tech-savviness is associated with a higher </w:t>
      </w:r>
      <w:r w:rsidR="00E66133" w:rsidRPr="00493DDD">
        <w:rPr>
          <w:rFonts w:cs="Times New Roman"/>
          <w:szCs w:val="24"/>
        </w:rPr>
        <w:t>trust</w:t>
      </w:r>
      <w:r w:rsidR="00B65AF8" w:rsidRPr="00493DDD">
        <w:rPr>
          <w:rFonts w:cs="Times New Roman"/>
          <w:szCs w:val="24"/>
        </w:rPr>
        <w:t xml:space="preserve"> </w:t>
      </w:r>
      <w:r w:rsidR="00E66133" w:rsidRPr="00493DDD">
        <w:rPr>
          <w:rFonts w:cs="Times New Roman"/>
          <w:szCs w:val="24"/>
        </w:rPr>
        <w:t>of technology and its reliability in the first place.</w:t>
      </w:r>
    </w:p>
    <w:p w14:paraId="236105D0" w14:textId="4E642E99" w:rsidR="00B31D5C" w:rsidRPr="00493DDD" w:rsidRDefault="00E66133" w:rsidP="00493DDD">
      <w:pPr>
        <w:spacing w:line="276" w:lineRule="auto"/>
        <w:ind w:firstLine="720"/>
        <w:jc w:val="both"/>
        <w:rPr>
          <w:rFonts w:cs="Times New Roman"/>
          <w:szCs w:val="24"/>
        </w:rPr>
      </w:pPr>
      <w:r w:rsidRPr="00493DDD">
        <w:rPr>
          <w:rFonts w:cs="Times New Roman"/>
          <w:szCs w:val="24"/>
        </w:rPr>
        <w:t xml:space="preserve"> </w:t>
      </w:r>
    </w:p>
    <w:p w14:paraId="7E072D25" w14:textId="6A02D20B" w:rsidR="006F6F51" w:rsidRPr="00493DDD" w:rsidRDefault="006F6F51" w:rsidP="00493DDD">
      <w:pPr>
        <w:pStyle w:val="Style2"/>
        <w:spacing w:before="0" w:line="276" w:lineRule="auto"/>
        <w:ind w:left="540" w:hanging="540"/>
        <w:jc w:val="both"/>
        <w:rPr>
          <w:rFonts w:cs="Times New Roman"/>
          <w:szCs w:val="24"/>
        </w:rPr>
      </w:pPr>
      <w:r w:rsidRPr="00493DDD">
        <w:rPr>
          <w:rFonts w:cs="Times New Roman"/>
          <w:szCs w:val="24"/>
        </w:rPr>
        <w:t>4.</w:t>
      </w:r>
      <w:r w:rsidR="0060558B" w:rsidRPr="00493DDD">
        <w:rPr>
          <w:rFonts w:cs="Times New Roman"/>
          <w:szCs w:val="24"/>
        </w:rPr>
        <w:t>2</w:t>
      </w:r>
      <w:r w:rsidRPr="00493DDD">
        <w:rPr>
          <w:rFonts w:cs="Times New Roman"/>
          <w:szCs w:val="24"/>
        </w:rPr>
        <w:t xml:space="preserve"> </w:t>
      </w:r>
      <w:r w:rsidR="00493DDD">
        <w:rPr>
          <w:rFonts w:cs="Times New Roman"/>
          <w:szCs w:val="24"/>
        </w:rPr>
        <w:tab/>
      </w:r>
      <w:r w:rsidR="001E378C" w:rsidRPr="00493DDD">
        <w:rPr>
          <w:rFonts w:cs="Times New Roman"/>
          <w:szCs w:val="24"/>
        </w:rPr>
        <w:t>Main Outcome</w:t>
      </w:r>
      <w:r w:rsidR="00C30B2F" w:rsidRPr="00493DDD">
        <w:rPr>
          <w:rFonts w:cs="Times New Roman"/>
          <w:szCs w:val="24"/>
        </w:rPr>
        <w:t>s</w:t>
      </w:r>
    </w:p>
    <w:p w14:paraId="192466DA" w14:textId="2D2D4BCE" w:rsidR="0016254A" w:rsidRPr="00493DDD" w:rsidRDefault="00C30B2F" w:rsidP="00493DDD">
      <w:pPr>
        <w:spacing w:line="276" w:lineRule="auto"/>
        <w:jc w:val="both"/>
        <w:rPr>
          <w:rFonts w:cs="Times New Roman"/>
          <w:szCs w:val="24"/>
        </w:rPr>
      </w:pPr>
      <w:r w:rsidRPr="00493DDD">
        <w:rPr>
          <w:rFonts w:cs="Times New Roman"/>
          <w:szCs w:val="24"/>
        </w:rPr>
        <w:t xml:space="preserve">Table </w:t>
      </w:r>
      <w:r w:rsidR="006B3123">
        <w:rPr>
          <w:rFonts w:cs="Times New Roman"/>
          <w:szCs w:val="24"/>
        </w:rPr>
        <w:t>4</w:t>
      </w:r>
      <w:r w:rsidR="00905D0D" w:rsidRPr="00493DDD">
        <w:rPr>
          <w:rFonts w:cs="Times New Roman"/>
          <w:szCs w:val="24"/>
        </w:rPr>
        <w:t xml:space="preserve"> </w:t>
      </w:r>
      <w:r w:rsidRPr="00493DDD">
        <w:rPr>
          <w:rFonts w:cs="Times New Roman"/>
          <w:szCs w:val="24"/>
        </w:rPr>
        <w:t xml:space="preserve">presents the coefficients estimated for the AVD and DAD outcomes. These coefficients refer to the impact on the underlying utilities characterizing the outcomes. The constants in the first row do not have any substantive interpretations, and simply are estimated to best match with the observed ranked choice proportions and choice proportions (conditional on the determinant variables).  </w:t>
      </w:r>
      <w:r w:rsidR="00685FE9" w:rsidRPr="00493DDD">
        <w:rPr>
          <w:rFonts w:cs="Times New Roman"/>
          <w:szCs w:val="24"/>
        </w:rPr>
        <w:t xml:space="preserve">Any cells </w:t>
      </w:r>
      <w:r w:rsidR="002577E1" w:rsidRPr="00493DDD">
        <w:rPr>
          <w:rFonts w:cs="Times New Roman"/>
          <w:szCs w:val="24"/>
        </w:rPr>
        <w:t xml:space="preserve">marked “--” </w:t>
      </w:r>
      <w:r w:rsidR="00685FE9" w:rsidRPr="00493DDD">
        <w:rPr>
          <w:rFonts w:cs="Times New Roman"/>
          <w:szCs w:val="24"/>
        </w:rPr>
        <w:t xml:space="preserve">in Table </w:t>
      </w:r>
      <w:r w:rsidR="006B3123">
        <w:rPr>
          <w:rFonts w:cs="Times New Roman"/>
          <w:szCs w:val="24"/>
        </w:rPr>
        <w:t>4</w:t>
      </w:r>
      <w:r w:rsidR="00685FE9" w:rsidRPr="00493DDD">
        <w:rPr>
          <w:rFonts w:cs="Times New Roman"/>
          <w:szCs w:val="24"/>
        </w:rPr>
        <w:t xml:space="preserve"> indicate that the corresponding column alternative(s) serve as the base “category” in introducing the latent construct effects and the individual-level variable effects.</w:t>
      </w:r>
    </w:p>
    <w:p w14:paraId="70769802" w14:textId="19D19A98" w:rsidR="00C30B2F" w:rsidRPr="00493DDD" w:rsidRDefault="00685FE9" w:rsidP="00493DDD">
      <w:pPr>
        <w:spacing w:line="276" w:lineRule="auto"/>
        <w:ind w:firstLine="720"/>
        <w:jc w:val="both"/>
        <w:rPr>
          <w:rFonts w:cs="Times New Roman"/>
          <w:szCs w:val="24"/>
        </w:rPr>
      </w:pPr>
      <w:r w:rsidRPr="00493DDD">
        <w:rPr>
          <w:rFonts w:cs="Times New Roman"/>
          <w:szCs w:val="24"/>
        </w:rPr>
        <w:t xml:space="preserve"> </w:t>
      </w:r>
    </w:p>
    <w:p w14:paraId="291BB8C6" w14:textId="20A90E0E" w:rsidR="00C30B2F" w:rsidRPr="00493DDD" w:rsidRDefault="00C30B2F" w:rsidP="00493DDD">
      <w:pPr>
        <w:spacing w:line="276" w:lineRule="auto"/>
        <w:jc w:val="both"/>
        <w:rPr>
          <w:rFonts w:cs="Times New Roman"/>
          <w:szCs w:val="24"/>
        </w:rPr>
      </w:pPr>
      <w:r w:rsidRPr="00493DDD">
        <w:rPr>
          <w:rFonts w:cs="Times New Roman"/>
          <w:szCs w:val="24"/>
          <w:u w:val="single"/>
        </w:rPr>
        <w:t>Latent construct effects:</w:t>
      </w:r>
      <w:r w:rsidRPr="00493DDD">
        <w:rPr>
          <w:rFonts w:cs="Times New Roman"/>
          <w:szCs w:val="24"/>
        </w:rPr>
        <w:t xml:space="preserve"> The direction of impacts of the latent constructs are</w:t>
      </w:r>
      <w:r w:rsidR="00E54AA4" w:rsidRPr="00493DDD">
        <w:rPr>
          <w:rFonts w:cs="Times New Roman"/>
          <w:szCs w:val="24"/>
        </w:rPr>
        <w:t xml:space="preserve"> mostly as expected and discussed earlier in Section </w:t>
      </w:r>
      <w:r w:rsidR="00905D0D" w:rsidRPr="00493DDD">
        <w:rPr>
          <w:rFonts w:cs="Times New Roman"/>
          <w:szCs w:val="24"/>
        </w:rPr>
        <w:t>3.2.2</w:t>
      </w:r>
      <w:r w:rsidR="00E54AA4" w:rsidRPr="00493DDD">
        <w:rPr>
          <w:rFonts w:cs="Times New Roman"/>
          <w:szCs w:val="24"/>
        </w:rPr>
        <w:t xml:space="preserve">, with </w:t>
      </w:r>
      <w:r w:rsidR="00361B1E" w:rsidRPr="00493DDD">
        <w:rPr>
          <w:rFonts w:cs="Times New Roman"/>
          <w:szCs w:val="24"/>
        </w:rPr>
        <w:t>a few</w:t>
      </w:r>
      <w:r w:rsidR="007E5E86" w:rsidRPr="00493DDD">
        <w:rPr>
          <w:rFonts w:cs="Times New Roman"/>
          <w:szCs w:val="24"/>
        </w:rPr>
        <w:t xml:space="preserve"> </w:t>
      </w:r>
      <w:r w:rsidR="00E54AA4" w:rsidRPr="00493DDD">
        <w:rPr>
          <w:rFonts w:cs="Times New Roman"/>
          <w:szCs w:val="24"/>
        </w:rPr>
        <w:t>minor variation</w:t>
      </w:r>
      <w:r w:rsidR="00361B1E" w:rsidRPr="00493DDD">
        <w:rPr>
          <w:rFonts w:cs="Times New Roman"/>
          <w:szCs w:val="24"/>
        </w:rPr>
        <w:t>s</w:t>
      </w:r>
      <w:r w:rsidR="00E54AA4" w:rsidRPr="00493DDD">
        <w:rPr>
          <w:rFonts w:cs="Times New Roman"/>
          <w:szCs w:val="24"/>
        </w:rPr>
        <w:t xml:space="preserve">. In particular, </w:t>
      </w:r>
      <w:r w:rsidR="00F506B5" w:rsidRPr="00493DDD">
        <w:rPr>
          <w:rFonts w:cs="Times New Roman"/>
          <w:szCs w:val="24"/>
        </w:rPr>
        <w:t>while individuals with a high need for driving control are less likely to buy an AV, driving control does not impact SAV use</w:t>
      </w:r>
      <w:r w:rsidR="00AD57C2" w:rsidRPr="00493DDD">
        <w:rPr>
          <w:rFonts w:cs="Times New Roman"/>
          <w:szCs w:val="24"/>
        </w:rPr>
        <w:t xml:space="preserve"> utility directly. This has the result of increasing SAV use through a probability cross-effect, </w:t>
      </w:r>
      <w:r w:rsidR="00F506B5" w:rsidRPr="00493DDD">
        <w:rPr>
          <w:rFonts w:cs="Times New Roman"/>
          <w:szCs w:val="24"/>
        </w:rPr>
        <w:t xml:space="preserve">perhaps because even these individuals see some value in SAV use for specific occasions such as after a social night out (Burtch </w:t>
      </w:r>
      <w:r w:rsidR="00F506B5" w:rsidRPr="00493DDD">
        <w:rPr>
          <w:rFonts w:cs="Times New Roman"/>
          <w:i/>
          <w:iCs/>
          <w:szCs w:val="24"/>
        </w:rPr>
        <w:t>et al</w:t>
      </w:r>
      <w:r w:rsidR="00F506B5" w:rsidRPr="00131995">
        <w:rPr>
          <w:rFonts w:cs="Times New Roman"/>
          <w:iCs/>
          <w:szCs w:val="24"/>
        </w:rPr>
        <w:t>.,</w:t>
      </w:r>
      <w:r w:rsidR="00F506B5" w:rsidRPr="00493DDD">
        <w:rPr>
          <w:rFonts w:cs="Times New Roman"/>
          <w:szCs w:val="24"/>
        </w:rPr>
        <w:t xml:space="preserve"> 2019). </w:t>
      </w:r>
      <w:r w:rsidR="007E5E86" w:rsidRPr="00493DDD">
        <w:rPr>
          <w:rFonts w:cs="Times New Roman"/>
          <w:szCs w:val="24"/>
        </w:rPr>
        <w:t xml:space="preserve">Additionally, our analysis revealed the presence of interactions of </w:t>
      </w:r>
      <w:r w:rsidR="00361B1E" w:rsidRPr="00493DDD">
        <w:rPr>
          <w:rFonts w:cs="Times New Roman"/>
          <w:szCs w:val="24"/>
        </w:rPr>
        <w:t>the two control-related latent constructs with gender and age.</w:t>
      </w:r>
      <w:r w:rsidR="00C42DB4" w:rsidRPr="00493DDD">
        <w:rPr>
          <w:rFonts w:cs="Times New Roman"/>
          <w:szCs w:val="24"/>
        </w:rPr>
        <w:t xml:space="preserve"> For the same level of driving control, women appear much less likely to purchase an AV relative to men, while younger individuals (below the age of 30 years) appear to be less tempered in their aversion </w:t>
      </w:r>
      <w:r w:rsidR="00C42DB4" w:rsidRPr="00493DDD">
        <w:rPr>
          <w:rFonts w:cs="Times New Roman"/>
          <w:szCs w:val="24"/>
        </w:rPr>
        <w:lastRenderedPageBreak/>
        <w:t xml:space="preserve">toward AVs even </w:t>
      </w:r>
      <w:r w:rsidR="00685FE9" w:rsidRPr="00493DDD">
        <w:rPr>
          <w:rFonts w:cs="Times New Roman"/>
          <w:szCs w:val="24"/>
        </w:rPr>
        <w:t xml:space="preserve">as </w:t>
      </w:r>
      <w:r w:rsidR="00C42DB4" w:rsidRPr="00493DDD">
        <w:rPr>
          <w:rFonts w:cs="Times New Roman"/>
          <w:szCs w:val="24"/>
        </w:rPr>
        <w:t xml:space="preserve">they hold a high desire to retain driving control. In other words, older individuals are more likely to translate their driving control desire into investing in a regular vehicle at the next purchase occasion. </w:t>
      </w:r>
      <w:r w:rsidR="00D24077" w:rsidRPr="00493DDD">
        <w:rPr>
          <w:rFonts w:cs="Times New Roman"/>
          <w:szCs w:val="24"/>
        </w:rPr>
        <w:t xml:space="preserve">In the context of the interactions with mobility control, for a man and a woman with the same level of mobility control need, women appear to be more inclined to purchase an AV. This perhaps </w:t>
      </w:r>
      <w:r w:rsidR="00767906" w:rsidRPr="00493DDD">
        <w:rPr>
          <w:rFonts w:cs="Times New Roman"/>
          <w:szCs w:val="24"/>
        </w:rPr>
        <w:t xml:space="preserve">is a result of women being more time-poor than men (especially if they have children; see Bernardo </w:t>
      </w:r>
      <w:r w:rsidR="00767906" w:rsidRPr="00493DDD">
        <w:rPr>
          <w:rFonts w:cs="Times New Roman"/>
          <w:i/>
          <w:iCs/>
          <w:szCs w:val="24"/>
        </w:rPr>
        <w:t>et al</w:t>
      </w:r>
      <w:r w:rsidR="00767906" w:rsidRPr="00131995">
        <w:rPr>
          <w:rFonts w:cs="Times New Roman"/>
          <w:iCs/>
          <w:szCs w:val="24"/>
        </w:rPr>
        <w:t>.,</w:t>
      </w:r>
      <w:r w:rsidR="00767906" w:rsidRPr="00493DDD">
        <w:rPr>
          <w:rFonts w:cs="Times New Roman"/>
          <w:szCs w:val="24"/>
        </w:rPr>
        <w:t xml:space="preserve"> 2015), and so, for a given mobility control need, they may be more willing to adopt an AV as a means to use time productively in a hands-off environment and pursue social-recreational activities of their choice.</w:t>
      </w:r>
    </w:p>
    <w:p w14:paraId="71070B28" w14:textId="77777777" w:rsidR="0016254A" w:rsidRPr="00493DDD" w:rsidRDefault="0016254A" w:rsidP="00493DDD">
      <w:pPr>
        <w:spacing w:line="276" w:lineRule="auto"/>
        <w:ind w:firstLine="720"/>
        <w:jc w:val="both"/>
        <w:rPr>
          <w:rFonts w:cs="Times New Roman"/>
          <w:szCs w:val="24"/>
        </w:rPr>
      </w:pPr>
    </w:p>
    <w:p w14:paraId="04053D28" w14:textId="14CF5789" w:rsidR="00B4307C" w:rsidRPr="00493DDD" w:rsidRDefault="00B4307C" w:rsidP="00493DDD">
      <w:pPr>
        <w:spacing w:line="276" w:lineRule="auto"/>
        <w:jc w:val="both"/>
        <w:rPr>
          <w:rFonts w:cs="Times New Roman"/>
          <w:szCs w:val="24"/>
        </w:rPr>
      </w:pPr>
      <w:r w:rsidRPr="00493DDD">
        <w:rPr>
          <w:rFonts w:cs="Times New Roman"/>
          <w:bCs/>
          <w:szCs w:val="24"/>
          <w:u w:val="single"/>
        </w:rPr>
        <w:t xml:space="preserve">Effects of </w:t>
      </w:r>
      <w:r w:rsidR="00B66FD2">
        <w:rPr>
          <w:rFonts w:cs="Times New Roman"/>
          <w:bCs/>
          <w:szCs w:val="24"/>
          <w:u w:val="single"/>
        </w:rPr>
        <w:t>i</w:t>
      </w:r>
      <w:r w:rsidRPr="00493DDD">
        <w:rPr>
          <w:rFonts w:cs="Times New Roman"/>
          <w:bCs/>
          <w:szCs w:val="24"/>
          <w:u w:val="single"/>
        </w:rPr>
        <w:t>ndividual-level characteristics</w:t>
      </w:r>
      <w:r w:rsidR="00C30B2F" w:rsidRPr="00493DDD">
        <w:rPr>
          <w:rFonts w:cs="Times New Roman"/>
          <w:bCs/>
          <w:szCs w:val="24"/>
          <w:u w:val="single"/>
        </w:rPr>
        <w:t>:</w:t>
      </w:r>
      <w:r w:rsidR="00C30B2F" w:rsidRPr="00493DDD">
        <w:rPr>
          <w:rFonts w:cs="Times New Roman"/>
          <w:b/>
          <w:bCs/>
          <w:szCs w:val="24"/>
        </w:rPr>
        <w:t xml:space="preserve"> </w:t>
      </w:r>
      <w:r w:rsidR="00C30B2F" w:rsidRPr="00493DDD">
        <w:rPr>
          <w:rFonts w:cs="Times New Roman"/>
          <w:szCs w:val="24"/>
        </w:rPr>
        <w:t xml:space="preserve">The </w:t>
      </w:r>
      <w:r w:rsidRPr="00493DDD">
        <w:rPr>
          <w:rFonts w:cs="Times New Roman"/>
          <w:szCs w:val="24"/>
        </w:rPr>
        <w:t>individual-level</w:t>
      </w:r>
      <w:r w:rsidR="00C30B2F" w:rsidRPr="00493DDD">
        <w:rPr>
          <w:rFonts w:cs="Times New Roman"/>
          <w:szCs w:val="24"/>
        </w:rPr>
        <w:t xml:space="preserve"> effects in Table </w:t>
      </w:r>
      <w:r w:rsidR="006B3123">
        <w:rPr>
          <w:rFonts w:cs="Times New Roman"/>
          <w:szCs w:val="24"/>
        </w:rPr>
        <w:t>4</w:t>
      </w:r>
      <w:r w:rsidRPr="00493DDD">
        <w:rPr>
          <w:rFonts w:cs="Times New Roman"/>
          <w:szCs w:val="24"/>
        </w:rPr>
        <w:t xml:space="preserve"> </w:t>
      </w:r>
      <w:r w:rsidR="00C30B2F" w:rsidRPr="00493DDD">
        <w:rPr>
          <w:rFonts w:cs="Times New Roman"/>
          <w:szCs w:val="24"/>
        </w:rPr>
        <w:t xml:space="preserve">provide the direct effects of socio-demographics, beyond their indirect effects mediated through the latent constructs (the indirect effect of a socio-demographic variable is the product of the coefficient of the latent construct in Table </w:t>
      </w:r>
      <w:r w:rsidR="006B3123">
        <w:rPr>
          <w:rFonts w:cs="Times New Roman"/>
          <w:szCs w:val="24"/>
        </w:rPr>
        <w:t>4</w:t>
      </w:r>
      <w:r w:rsidR="00C30B2F" w:rsidRPr="00493DDD">
        <w:rPr>
          <w:rFonts w:cs="Times New Roman"/>
          <w:szCs w:val="24"/>
        </w:rPr>
        <w:t xml:space="preserve"> and the coefficient of the socio-demographic attribute for the latent construct in Table </w:t>
      </w:r>
      <w:r w:rsidR="006B3123">
        <w:rPr>
          <w:rFonts w:cs="Times New Roman"/>
          <w:szCs w:val="24"/>
        </w:rPr>
        <w:t>3</w:t>
      </w:r>
      <w:r w:rsidR="00C30B2F" w:rsidRPr="00493DDD">
        <w:rPr>
          <w:rFonts w:cs="Times New Roman"/>
          <w:szCs w:val="24"/>
        </w:rPr>
        <w:t>)</w:t>
      </w:r>
      <w:r w:rsidRPr="00493DDD">
        <w:rPr>
          <w:rFonts w:cs="Times New Roman"/>
          <w:szCs w:val="24"/>
        </w:rPr>
        <w:t>. Not surprisingly, after considering the indirect effects through the latent constructs, not many individual-level variables have a direct effect on the AVD or DAD choice decisions.</w:t>
      </w:r>
    </w:p>
    <w:p w14:paraId="65668D5C" w14:textId="6E631B93" w:rsidR="0016254A" w:rsidRPr="00493DDD" w:rsidRDefault="00B4307C" w:rsidP="00493DDD">
      <w:pPr>
        <w:spacing w:line="276" w:lineRule="auto"/>
        <w:ind w:firstLine="720"/>
        <w:jc w:val="both"/>
        <w:rPr>
          <w:rFonts w:cs="Times New Roman"/>
          <w:szCs w:val="24"/>
        </w:rPr>
      </w:pPr>
      <w:r w:rsidRPr="00493DDD">
        <w:rPr>
          <w:rFonts w:cs="Times New Roman"/>
          <w:szCs w:val="24"/>
        </w:rPr>
        <w:t>Age continues to have an important effect, even after considering its indirect effects through the latent constructs. That is, for two individuals (one being less than 6</w:t>
      </w:r>
      <w:r w:rsidR="004D4692" w:rsidRPr="00493DDD">
        <w:rPr>
          <w:rFonts w:cs="Times New Roman"/>
          <w:szCs w:val="24"/>
        </w:rPr>
        <w:t xml:space="preserve">5 </w:t>
      </w:r>
      <w:r w:rsidRPr="00493DDD">
        <w:rPr>
          <w:rFonts w:cs="Times New Roman"/>
          <w:szCs w:val="24"/>
        </w:rPr>
        <w:t>years of age, and another being 6</w:t>
      </w:r>
      <w:r w:rsidR="004D4692" w:rsidRPr="00493DDD">
        <w:rPr>
          <w:rFonts w:cs="Times New Roman"/>
          <w:szCs w:val="24"/>
        </w:rPr>
        <w:t>5</w:t>
      </w:r>
      <w:r w:rsidRPr="00493DDD">
        <w:rPr>
          <w:rFonts w:cs="Times New Roman"/>
          <w:szCs w:val="24"/>
        </w:rPr>
        <w:t xml:space="preserve"> years of age </w:t>
      </w:r>
      <w:r w:rsidR="004D4692" w:rsidRPr="00493DDD">
        <w:rPr>
          <w:rFonts w:cs="Times New Roman"/>
          <w:szCs w:val="24"/>
        </w:rPr>
        <w:t xml:space="preserve">or older) with the same latent construct values, the older individual is more </w:t>
      </w:r>
      <w:r w:rsidRPr="00493DDD">
        <w:rPr>
          <w:rFonts w:cs="Times New Roman"/>
          <w:szCs w:val="24"/>
        </w:rPr>
        <w:t>likely to spurn AV technology of any kind as well as never buy an AV. These are consistent findings in the AV adoption literature</w:t>
      </w:r>
      <w:r w:rsidR="004D4692" w:rsidRPr="00493DDD">
        <w:rPr>
          <w:rFonts w:cs="Times New Roman"/>
          <w:szCs w:val="24"/>
        </w:rPr>
        <w:t xml:space="preserve">, suggesting added technology distrust and unwillingness to change current habits beyond that manifested through the latent constructs (see, for example, Voinescu </w:t>
      </w:r>
      <w:r w:rsidR="004D4692" w:rsidRPr="00493DDD">
        <w:rPr>
          <w:rFonts w:cs="Times New Roman"/>
          <w:i/>
          <w:iCs/>
          <w:szCs w:val="24"/>
        </w:rPr>
        <w:t>et al</w:t>
      </w:r>
      <w:r w:rsidR="004D4692" w:rsidRPr="00131995">
        <w:rPr>
          <w:rFonts w:cs="Times New Roman"/>
          <w:iCs/>
          <w:szCs w:val="24"/>
        </w:rPr>
        <w:t>.,</w:t>
      </w:r>
      <w:r w:rsidR="004D4692" w:rsidRPr="00131995">
        <w:rPr>
          <w:rFonts w:cs="Times New Roman"/>
          <w:szCs w:val="24"/>
        </w:rPr>
        <w:t xml:space="preserve"> </w:t>
      </w:r>
      <w:r w:rsidR="004D4692" w:rsidRPr="00493DDD">
        <w:rPr>
          <w:rFonts w:cs="Times New Roman"/>
          <w:szCs w:val="24"/>
        </w:rPr>
        <w:t xml:space="preserve">2020). </w:t>
      </w:r>
      <w:r w:rsidR="005E2841" w:rsidRPr="00493DDD">
        <w:rPr>
          <w:rFonts w:cs="Times New Roman"/>
          <w:szCs w:val="24"/>
        </w:rPr>
        <w:t>Beyond age, no other individual characteristic has a direct effect on the main outcomes, though a few characteristics associated with the household of the respondent do have a direct effect.</w:t>
      </w:r>
    </w:p>
    <w:p w14:paraId="4D01B0E8" w14:textId="3D6CF991" w:rsidR="00767906" w:rsidRPr="00493DDD" w:rsidRDefault="005E2841" w:rsidP="00493DDD">
      <w:pPr>
        <w:spacing w:line="276" w:lineRule="auto"/>
        <w:ind w:firstLine="720"/>
        <w:jc w:val="both"/>
        <w:rPr>
          <w:rFonts w:cs="Times New Roman"/>
          <w:szCs w:val="24"/>
        </w:rPr>
      </w:pPr>
      <w:r w:rsidRPr="00493DDD">
        <w:rPr>
          <w:rFonts w:cs="Times New Roman"/>
          <w:szCs w:val="24"/>
        </w:rPr>
        <w:t xml:space="preserve">The effect of household income </w:t>
      </w:r>
      <w:r w:rsidR="00905D0D" w:rsidRPr="00493DDD">
        <w:rPr>
          <w:rFonts w:cs="Times New Roman"/>
          <w:szCs w:val="24"/>
        </w:rPr>
        <w:t xml:space="preserve">on </w:t>
      </w:r>
      <w:r w:rsidR="00B83BA5" w:rsidRPr="00493DDD">
        <w:rPr>
          <w:rFonts w:cs="Times New Roman"/>
          <w:szCs w:val="24"/>
        </w:rPr>
        <w:t xml:space="preserve">technology adoption </w:t>
      </w:r>
      <w:r w:rsidR="00905D0D" w:rsidRPr="00493DDD">
        <w:rPr>
          <w:rFonts w:cs="Times New Roman"/>
          <w:szCs w:val="24"/>
        </w:rPr>
        <w:t xml:space="preserve">is well established in the </w:t>
      </w:r>
      <w:r w:rsidR="00B83BA5" w:rsidRPr="00493DDD">
        <w:rPr>
          <w:rFonts w:cs="Times New Roman"/>
          <w:szCs w:val="24"/>
        </w:rPr>
        <w:t xml:space="preserve">literature. Wealthier individuals have the financial wherewithal to afford new technological devices and are usually the first to have access to expensive new technologies </w:t>
      </w:r>
      <w:r w:rsidR="00B83BA5" w:rsidRPr="00493DDD">
        <w:rPr>
          <w:rFonts w:cs="Times New Roman"/>
          <w:noProof/>
          <w:szCs w:val="24"/>
        </w:rPr>
        <w:t xml:space="preserve">(see, for example, Lavieri </w:t>
      </w:r>
      <w:r w:rsidR="00B83BA5" w:rsidRPr="00493DDD">
        <w:rPr>
          <w:rFonts w:cs="Times New Roman"/>
          <w:i/>
          <w:iCs/>
          <w:noProof/>
          <w:szCs w:val="24"/>
        </w:rPr>
        <w:t>et al</w:t>
      </w:r>
      <w:r w:rsidR="00B83BA5" w:rsidRPr="00131995">
        <w:rPr>
          <w:rFonts w:cs="Times New Roman"/>
          <w:iCs/>
          <w:noProof/>
          <w:szCs w:val="24"/>
        </w:rPr>
        <w:t>.,</w:t>
      </w:r>
      <w:r w:rsidR="00B83BA5" w:rsidRPr="00131995">
        <w:rPr>
          <w:rFonts w:cs="Times New Roman"/>
          <w:noProof/>
          <w:szCs w:val="24"/>
        </w:rPr>
        <w:t xml:space="preserve"> </w:t>
      </w:r>
      <w:r w:rsidR="00B83BA5" w:rsidRPr="00493DDD">
        <w:rPr>
          <w:rFonts w:cs="Times New Roman"/>
          <w:noProof/>
          <w:szCs w:val="24"/>
        </w:rPr>
        <w:t>201</w:t>
      </w:r>
      <w:r w:rsidR="009C3E15" w:rsidRPr="00493DDD">
        <w:rPr>
          <w:rFonts w:cs="Times New Roman"/>
          <w:noProof/>
          <w:szCs w:val="24"/>
        </w:rPr>
        <w:t>7</w:t>
      </w:r>
      <w:r w:rsidR="0082498B">
        <w:rPr>
          <w:rFonts w:cs="Times New Roman"/>
          <w:noProof/>
          <w:szCs w:val="24"/>
        </w:rPr>
        <w:t xml:space="preserve">; </w:t>
      </w:r>
      <w:r w:rsidR="00B83BA5" w:rsidRPr="00493DDD">
        <w:rPr>
          <w:rFonts w:cs="Times New Roman"/>
          <w:noProof/>
          <w:szCs w:val="24"/>
        </w:rPr>
        <w:t>Liu and Yu, 2017)</w:t>
      </w:r>
      <w:r w:rsidR="00B83BA5" w:rsidRPr="00493DDD">
        <w:rPr>
          <w:rFonts w:cs="Times New Roman"/>
          <w:szCs w:val="24"/>
        </w:rPr>
        <w:t xml:space="preserve">. </w:t>
      </w:r>
      <w:r w:rsidR="00685FE9" w:rsidRPr="00493DDD">
        <w:rPr>
          <w:rFonts w:cs="Times New Roman"/>
          <w:szCs w:val="24"/>
        </w:rPr>
        <w:t xml:space="preserve">The second household variable, which influences only the AVD dimension of choice, is whether a household currently has a vehicle or not. </w:t>
      </w:r>
      <w:r w:rsidR="00767906" w:rsidRPr="00493DDD">
        <w:rPr>
          <w:rFonts w:cs="Times New Roman"/>
          <w:szCs w:val="24"/>
        </w:rPr>
        <w:t xml:space="preserve">Relative to households with no vehicles, </w:t>
      </w:r>
      <w:r w:rsidR="00685FE9" w:rsidRPr="00493DDD">
        <w:rPr>
          <w:rFonts w:cs="Times New Roman"/>
          <w:szCs w:val="24"/>
        </w:rPr>
        <w:t xml:space="preserve">individuals from </w:t>
      </w:r>
      <w:r w:rsidR="00767906" w:rsidRPr="00493DDD">
        <w:rPr>
          <w:rFonts w:cs="Times New Roman"/>
          <w:szCs w:val="24"/>
        </w:rPr>
        <w:t xml:space="preserve">households with one or more vehicles </w:t>
      </w:r>
      <w:r w:rsidR="007C66A9" w:rsidRPr="00493DDD">
        <w:rPr>
          <w:rFonts w:cs="Times New Roman"/>
          <w:szCs w:val="24"/>
        </w:rPr>
        <w:t xml:space="preserve">have a </w:t>
      </w:r>
      <w:r w:rsidR="00685FE9" w:rsidRPr="00493DDD">
        <w:rPr>
          <w:rFonts w:cs="Times New Roman"/>
          <w:szCs w:val="24"/>
        </w:rPr>
        <w:t xml:space="preserve">lower propensity to purchase AVs or use SAVs. That is, such individuals have a </w:t>
      </w:r>
      <w:r w:rsidR="007C66A9" w:rsidRPr="00493DDD">
        <w:rPr>
          <w:rFonts w:cs="Times New Roman"/>
          <w:szCs w:val="24"/>
        </w:rPr>
        <w:t xml:space="preserve">high propensity </w:t>
      </w:r>
      <w:r w:rsidR="00767906" w:rsidRPr="00493DDD">
        <w:rPr>
          <w:rFonts w:cs="Times New Roman"/>
          <w:szCs w:val="24"/>
        </w:rPr>
        <w:t xml:space="preserve">to purchase a regular vehicle, </w:t>
      </w:r>
      <w:r w:rsidR="007C66A9" w:rsidRPr="00493DDD">
        <w:rPr>
          <w:rFonts w:cs="Times New Roman"/>
          <w:szCs w:val="24"/>
        </w:rPr>
        <w:t xml:space="preserve">and are particularly averse to using SAVs. The higher propensity of non-zero vehicle households to purchase regular vehicles rather than use AVs in the future is consistent with the finding from Liljamo </w:t>
      </w:r>
      <w:r w:rsidR="007C66A9" w:rsidRPr="00493DDD">
        <w:rPr>
          <w:rFonts w:cs="Times New Roman"/>
          <w:i/>
          <w:iCs/>
          <w:szCs w:val="24"/>
        </w:rPr>
        <w:t>et al</w:t>
      </w:r>
      <w:r w:rsidR="007C66A9" w:rsidRPr="00131995">
        <w:rPr>
          <w:rFonts w:cs="Times New Roman"/>
          <w:iCs/>
          <w:szCs w:val="24"/>
        </w:rPr>
        <w:t>.</w:t>
      </w:r>
      <w:r w:rsidR="007C66A9" w:rsidRPr="00493DDD">
        <w:rPr>
          <w:rFonts w:cs="Times New Roman"/>
          <w:szCs w:val="24"/>
        </w:rPr>
        <w:t xml:space="preserve"> (2018) that non-zero vehicle households have a significantly lower positive attitude to AVs. </w:t>
      </w:r>
      <w:r w:rsidR="001322F3" w:rsidRPr="00493DDD">
        <w:rPr>
          <w:rFonts w:cs="Times New Roman"/>
          <w:szCs w:val="24"/>
        </w:rPr>
        <w:t xml:space="preserve">Additional investigation to better understand this effect would be fruitful, though it is possible that this is simply a manifestation of a “leapfrogging” </w:t>
      </w:r>
      <w:r w:rsidR="00BF3EEE" w:rsidRPr="00493DDD">
        <w:rPr>
          <w:rFonts w:cs="Times New Roman"/>
          <w:szCs w:val="24"/>
        </w:rPr>
        <w:t>mindset</w:t>
      </w:r>
      <w:r w:rsidR="001322F3" w:rsidRPr="00493DDD">
        <w:rPr>
          <w:rFonts w:cs="Times New Roman"/>
          <w:szCs w:val="24"/>
        </w:rPr>
        <w:t xml:space="preserve"> </w:t>
      </w:r>
      <w:r w:rsidR="00905D0D" w:rsidRPr="00493DDD">
        <w:rPr>
          <w:rFonts w:cs="Times New Roman"/>
          <w:szCs w:val="24"/>
        </w:rPr>
        <w:t>among individual</w:t>
      </w:r>
      <w:r w:rsidR="00BA291E" w:rsidRPr="00493DDD">
        <w:rPr>
          <w:rFonts w:cs="Times New Roman"/>
          <w:szCs w:val="24"/>
        </w:rPr>
        <w:t>s</w:t>
      </w:r>
      <w:r w:rsidR="00905D0D" w:rsidRPr="00493DDD">
        <w:rPr>
          <w:rFonts w:cs="Times New Roman"/>
          <w:szCs w:val="24"/>
        </w:rPr>
        <w:t xml:space="preserve"> residing in current zero vehicle household</w:t>
      </w:r>
      <w:r w:rsidR="00947164" w:rsidRPr="00493DDD">
        <w:rPr>
          <w:rFonts w:cs="Times New Roman"/>
          <w:szCs w:val="24"/>
        </w:rPr>
        <w:t>s.</w:t>
      </w:r>
      <w:r w:rsidR="00BA291E" w:rsidRPr="00493DDD">
        <w:rPr>
          <w:rStyle w:val="FootnoteReference"/>
          <w:rFonts w:cs="Times New Roman"/>
          <w:szCs w:val="24"/>
        </w:rPr>
        <w:footnoteReference w:id="5"/>
      </w:r>
      <w:r w:rsidR="00947164" w:rsidRPr="00493DDD">
        <w:rPr>
          <w:rFonts w:cs="Times New Roman"/>
          <w:szCs w:val="24"/>
        </w:rPr>
        <w:t xml:space="preserve"> </w:t>
      </w:r>
      <w:r w:rsidR="007C66A9" w:rsidRPr="00493DDD">
        <w:rPr>
          <w:rFonts w:cs="Times New Roman"/>
          <w:szCs w:val="24"/>
        </w:rPr>
        <w:t xml:space="preserve">The </w:t>
      </w:r>
      <w:r w:rsidR="00BF3EEE" w:rsidRPr="00493DDD">
        <w:rPr>
          <w:rFonts w:cs="Times New Roman"/>
          <w:szCs w:val="24"/>
        </w:rPr>
        <w:t xml:space="preserve">lower propensity to use SAVs among </w:t>
      </w:r>
      <w:r w:rsidR="00BF3EEE" w:rsidRPr="00493DDD">
        <w:rPr>
          <w:rFonts w:cs="Times New Roman"/>
          <w:szCs w:val="24"/>
        </w:rPr>
        <w:lastRenderedPageBreak/>
        <w:t xml:space="preserve">individuals in non-zero vehicle households </w:t>
      </w:r>
      <w:r w:rsidR="007C66A9" w:rsidRPr="00493DDD">
        <w:rPr>
          <w:rFonts w:cs="Times New Roman"/>
          <w:szCs w:val="24"/>
        </w:rPr>
        <w:t xml:space="preserve">is to be expected, since </w:t>
      </w:r>
      <w:r w:rsidR="00BF3EEE" w:rsidRPr="00493DDD">
        <w:rPr>
          <w:rFonts w:cs="Times New Roman"/>
          <w:szCs w:val="24"/>
        </w:rPr>
        <w:t>such individuals</w:t>
      </w:r>
      <w:r w:rsidR="007C66A9" w:rsidRPr="00493DDD">
        <w:rPr>
          <w:rFonts w:cs="Times New Roman"/>
          <w:szCs w:val="24"/>
        </w:rPr>
        <w:t xml:space="preserve"> are less likely to have experienced ride-hailing as it exists today (see</w:t>
      </w:r>
      <w:r w:rsidR="001322F3" w:rsidRPr="00493DDD">
        <w:rPr>
          <w:rFonts w:cs="Times New Roman"/>
          <w:szCs w:val="24"/>
        </w:rPr>
        <w:t xml:space="preserve"> Dias </w:t>
      </w:r>
      <w:r w:rsidR="001322F3" w:rsidRPr="00493DDD">
        <w:rPr>
          <w:rFonts w:cs="Times New Roman"/>
          <w:i/>
          <w:iCs/>
          <w:szCs w:val="24"/>
        </w:rPr>
        <w:t>et al</w:t>
      </w:r>
      <w:r w:rsidR="001322F3" w:rsidRPr="00131995">
        <w:rPr>
          <w:rFonts w:cs="Times New Roman"/>
          <w:iCs/>
          <w:szCs w:val="24"/>
        </w:rPr>
        <w:t>.,</w:t>
      </w:r>
      <w:r w:rsidR="001322F3" w:rsidRPr="00493DDD">
        <w:rPr>
          <w:rFonts w:cs="Times New Roman"/>
          <w:i/>
          <w:iCs/>
          <w:szCs w:val="24"/>
        </w:rPr>
        <w:t xml:space="preserve"> </w:t>
      </w:r>
      <w:r w:rsidR="001322F3" w:rsidRPr="0039429D">
        <w:rPr>
          <w:rFonts w:cs="Times New Roman"/>
          <w:szCs w:val="24"/>
        </w:rPr>
        <w:t>2017</w:t>
      </w:r>
      <w:r w:rsidR="0082498B" w:rsidRPr="0039429D">
        <w:rPr>
          <w:rFonts w:cs="Times New Roman"/>
          <w:szCs w:val="24"/>
        </w:rPr>
        <w:t xml:space="preserve">; </w:t>
      </w:r>
      <w:r w:rsidR="001322F3" w:rsidRPr="0039429D">
        <w:rPr>
          <w:rFonts w:cs="Times New Roman"/>
          <w:szCs w:val="24"/>
        </w:rPr>
        <w:t>Lavieri and Bhat, 2019</w:t>
      </w:r>
      <w:r w:rsidR="0039429D" w:rsidRPr="0039429D">
        <w:rPr>
          <w:rFonts w:cs="Times New Roman"/>
          <w:szCs w:val="24"/>
        </w:rPr>
        <w:t>a,b</w:t>
      </w:r>
      <w:r w:rsidR="007C66A9" w:rsidRPr="0039429D">
        <w:rPr>
          <w:rFonts w:cs="Times New Roman"/>
          <w:szCs w:val="24"/>
        </w:rPr>
        <w:t>),</w:t>
      </w:r>
      <w:r w:rsidR="007C66A9" w:rsidRPr="00493DDD">
        <w:rPr>
          <w:rFonts w:cs="Times New Roman"/>
          <w:szCs w:val="24"/>
        </w:rPr>
        <w:t xml:space="preserve"> and so may be less familiar with shared services and less comfortable with SAVs in the future.</w:t>
      </w:r>
    </w:p>
    <w:p w14:paraId="7E0C637A" w14:textId="77777777" w:rsidR="00131995" w:rsidRDefault="00131995" w:rsidP="00131995">
      <w:pPr>
        <w:pStyle w:val="Style3"/>
        <w:spacing w:line="276" w:lineRule="auto"/>
        <w:rPr>
          <w:i w:val="0"/>
          <w:szCs w:val="24"/>
          <w:u w:val="single"/>
        </w:rPr>
      </w:pPr>
    </w:p>
    <w:p w14:paraId="0BF537D4" w14:textId="53ECD4FA" w:rsidR="0016254A" w:rsidRDefault="007C3233" w:rsidP="00131995">
      <w:pPr>
        <w:pStyle w:val="Style3"/>
        <w:spacing w:line="276" w:lineRule="auto"/>
        <w:rPr>
          <w:i w:val="0"/>
          <w:szCs w:val="24"/>
        </w:rPr>
      </w:pPr>
      <w:r w:rsidRPr="00493DDD">
        <w:rPr>
          <w:i w:val="0"/>
          <w:szCs w:val="24"/>
          <w:u w:val="single"/>
        </w:rPr>
        <w:t>Vehicle/service attributes</w:t>
      </w:r>
      <w:r w:rsidR="00BF3EEE" w:rsidRPr="00493DDD">
        <w:rPr>
          <w:i w:val="0"/>
          <w:szCs w:val="24"/>
          <w:u w:val="single"/>
        </w:rPr>
        <w:t xml:space="preserve">: </w:t>
      </w:r>
      <w:r w:rsidR="00F148D9" w:rsidRPr="00493DDD">
        <w:rPr>
          <w:i w:val="0"/>
          <w:szCs w:val="24"/>
        </w:rPr>
        <w:t>Two cost variables were considered in the AVD stated choice questions: a fixed per month cost (applicable only to the RV and AV option, and not to the SAV option), and a variable per mile cost (applicable to all options). As would be expected, the utility of the RV and AV options reduce as the fixed cost of these alternatives increases</w:t>
      </w:r>
      <w:r w:rsidR="00A7247A" w:rsidRPr="00493DDD">
        <w:rPr>
          <w:i w:val="0"/>
          <w:szCs w:val="24"/>
        </w:rPr>
        <w:t xml:space="preserve">, and the utilities of all the three alternatives reduce as the variable cost increases. </w:t>
      </w:r>
      <w:r w:rsidR="00C3538E" w:rsidRPr="00493DDD">
        <w:rPr>
          <w:i w:val="0"/>
          <w:szCs w:val="24"/>
        </w:rPr>
        <w:t xml:space="preserve">Assuming </w:t>
      </w:r>
      <w:r w:rsidR="00F36533" w:rsidRPr="00493DDD">
        <w:rPr>
          <w:i w:val="0"/>
          <w:szCs w:val="24"/>
        </w:rPr>
        <w:t>that an average vehicle mileage is 1000 miles a month (the average for the U.S</w:t>
      </w:r>
      <w:r w:rsidR="00131995">
        <w:rPr>
          <w:i w:val="0"/>
          <w:szCs w:val="24"/>
        </w:rPr>
        <w:t>.</w:t>
      </w:r>
      <w:r w:rsidR="00F36533" w:rsidRPr="00493DDD">
        <w:rPr>
          <w:i w:val="0"/>
          <w:szCs w:val="24"/>
        </w:rPr>
        <w:t xml:space="preserve"> is closer to 1,125 miles per month or 13,500 miles per year), the effective coefficient on actual variable cost is (-0.161/1000). The corresponding coefficient on fixed cost is, of course, (-0.955/1000), given the fact that the model uses fixed cost in units of 1000s (so, for example, the monthly cost of $</w:t>
      </w:r>
      <w:r w:rsidR="00A67C9E" w:rsidRPr="00493DDD">
        <w:rPr>
          <w:i w:val="0"/>
          <w:szCs w:val="24"/>
        </w:rPr>
        <w:t>3</w:t>
      </w:r>
      <w:r w:rsidR="00F36533" w:rsidRPr="00493DDD">
        <w:rPr>
          <w:i w:val="0"/>
          <w:szCs w:val="24"/>
        </w:rPr>
        <w:t>00 is used as 0.</w:t>
      </w:r>
      <w:r w:rsidR="00A67C9E" w:rsidRPr="00493DDD">
        <w:rPr>
          <w:i w:val="0"/>
          <w:szCs w:val="24"/>
        </w:rPr>
        <w:t>3</w:t>
      </w:r>
      <w:r w:rsidR="00F36533" w:rsidRPr="00493DDD">
        <w:rPr>
          <w:i w:val="0"/>
          <w:szCs w:val="24"/>
        </w:rPr>
        <w:t xml:space="preserve"> in estimation). Comparing the coefficients on fixed cost and the effective co</w:t>
      </w:r>
      <w:r w:rsidR="00F56C94" w:rsidRPr="00493DDD">
        <w:rPr>
          <w:i w:val="0"/>
          <w:szCs w:val="24"/>
        </w:rPr>
        <w:t>efficient</w:t>
      </w:r>
      <w:r w:rsidR="00F36533" w:rsidRPr="00493DDD">
        <w:rPr>
          <w:i w:val="0"/>
          <w:szCs w:val="24"/>
        </w:rPr>
        <w:t xml:space="preserve"> on variable cost, i</w:t>
      </w:r>
      <w:r w:rsidR="003D1668" w:rsidRPr="00493DDD">
        <w:rPr>
          <w:i w:val="0"/>
          <w:szCs w:val="24"/>
        </w:rPr>
        <w:t>t is not surprising that</w:t>
      </w:r>
      <w:r w:rsidR="00184CFF" w:rsidRPr="00493DDD">
        <w:rPr>
          <w:i w:val="0"/>
          <w:szCs w:val="24"/>
        </w:rPr>
        <w:t xml:space="preserve">, for the RV and AV alternatives, </w:t>
      </w:r>
      <w:r w:rsidR="00AD5930" w:rsidRPr="00493DDD">
        <w:rPr>
          <w:i w:val="0"/>
          <w:szCs w:val="24"/>
        </w:rPr>
        <w:t xml:space="preserve">the sensitivity to fixed cost is higher than </w:t>
      </w:r>
      <w:r w:rsidR="003D1668" w:rsidRPr="00493DDD">
        <w:rPr>
          <w:i w:val="0"/>
          <w:szCs w:val="24"/>
        </w:rPr>
        <w:t xml:space="preserve">that </w:t>
      </w:r>
      <w:r w:rsidR="00F36533" w:rsidRPr="00493DDD">
        <w:rPr>
          <w:i w:val="0"/>
          <w:szCs w:val="24"/>
        </w:rPr>
        <w:t>on</w:t>
      </w:r>
      <w:r w:rsidR="003D1668" w:rsidRPr="00493DDD">
        <w:rPr>
          <w:i w:val="0"/>
          <w:szCs w:val="24"/>
        </w:rPr>
        <w:t xml:space="preserve"> </w:t>
      </w:r>
      <w:r w:rsidR="00AD5930" w:rsidRPr="00493DDD">
        <w:rPr>
          <w:i w:val="0"/>
          <w:szCs w:val="24"/>
        </w:rPr>
        <w:t xml:space="preserve">variable cost, which </w:t>
      </w:r>
      <w:r w:rsidR="002D79E8" w:rsidRPr="00493DDD">
        <w:rPr>
          <w:i w:val="0"/>
          <w:szCs w:val="24"/>
        </w:rPr>
        <w:t xml:space="preserve">is understandable, since the </w:t>
      </w:r>
      <w:r w:rsidR="00AD5930" w:rsidRPr="00493DDD">
        <w:rPr>
          <w:i w:val="0"/>
          <w:szCs w:val="24"/>
        </w:rPr>
        <w:t xml:space="preserve">fixed </w:t>
      </w:r>
      <w:r w:rsidR="002D79E8" w:rsidRPr="00493DDD">
        <w:rPr>
          <w:i w:val="0"/>
          <w:szCs w:val="24"/>
        </w:rPr>
        <w:t xml:space="preserve">price constitutes a large investment at one point in time, while the </w:t>
      </w:r>
      <w:r w:rsidR="00AD5930" w:rsidRPr="00493DDD">
        <w:rPr>
          <w:i w:val="0"/>
          <w:szCs w:val="24"/>
        </w:rPr>
        <w:t xml:space="preserve">variable </w:t>
      </w:r>
      <w:r w:rsidR="002D79E8" w:rsidRPr="00493DDD">
        <w:rPr>
          <w:i w:val="0"/>
          <w:szCs w:val="24"/>
        </w:rPr>
        <w:t xml:space="preserve">cost is incurred </w:t>
      </w:r>
      <w:r w:rsidR="00AD5930" w:rsidRPr="00493DDD">
        <w:rPr>
          <w:i w:val="0"/>
          <w:szCs w:val="24"/>
        </w:rPr>
        <w:t>over time</w:t>
      </w:r>
      <w:r w:rsidR="00595171" w:rsidRPr="00493DDD">
        <w:rPr>
          <w:i w:val="0"/>
          <w:szCs w:val="24"/>
        </w:rPr>
        <w:t xml:space="preserve"> (see Bhat </w:t>
      </w:r>
      <w:r w:rsidR="00595171" w:rsidRPr="00493DDD">
        <w:rPr>
          <w:iCs/>
          <w:szCs w:val="24"/>
        </w:rPr>
        <w:t>et al</w:t>
      </w:r>
      <w:r w:rsidR="00595171" w:rsidRPr="00131995">
        <w:rPr>
          <w:i w:val="0"/>
          <w:iCs/>
          <w:szCs w:val="24"/>
        </w:rPr>
        <w:t>.,</w:t>
      </w:r>
      <w:r w:rsidR="00595171" w:rsidRPr="00493DDD">
        <w:rPr>
          <w:i w:val="0"/>
          <w:szCs w:val="24"/>
        </w:rPr>
        <w:t xml:space="preserve"> 2009)</w:t>
      </w:r>
      <w:r w:rsidR="002D79E8" w:rsidRPr="00493DDD">
        <w:rPr>
          <w:i w:val="0"/>
          <w:szCs w:val="24"/>
        </w:rPr>
        <w:t>.</w:t>
      </w:r>
      <w:r w:rsidR="002D79E8" w:rsidRPr="00493DDD">
        <w:rPr>
          <w:szCs w:val="24"/>
        </w:rPr>
        <w:t xml:space="preserve"> </w:t>
      </w:r>
      <w:r w:rsidR="00595171" w:rsidRPr="00493DDD">
        <w:rPr>
          <w:i w:val="0"/>
          <w:szCs w:val="24"/>
        </w:rPr>
        <w:t xml:space="preserve">The compensatory variation between fixed and variable cost </w:t>
      </w:r>
      <w:r w:rsidR="00F36533" w:rsidRPr="00493DDD">
        <w:rPr>
          <w:i w:val="0"/>
          <w:szCs w:val="24"/>
        </w:rPr>
        <w:t xml:space="preserve">(again, at the driving mileage of 1000 miles per month) </w:t>
      </w:r>
      <w:r w:rsidR="00595171" w:rsidRPr="00493DDD">
        <w:rPr>
          <w:i w:val="0"/>
          <w:szCs w:val="24"/>
        </w:rPr>
        <w:t xml:space="preserve">indicates that </w:t>
      </w:r>
      <w:r w:rsidR="00F36533" w:rsidRPr="00493DDD">
        <w:rPr>
          <w:i w:val="0"/>
          <w:szCs w:val="24"/>
        </w:rPr>
        <w:t>a dollar</w:t>
      </w:r>
      <w:r w:rsidR="00595171" w:rsidRPr="00493DDD">
        <w:rPr>
          <w:i w:val="0"/>
          <w:szCs w:val="24"/>
        </w:rPr>
        <w:t xml:space="preserve"> of fixed cost is considered equivalent to 16.9 cents [</w:t>
      </w:r>
      <w:proofErr w:type="gramStart"/>
      <w:r w:rsidR="00595171" w:rsidRPr="00493DDD">
        <w:rPr>
          <w:i w:val="0"/>
          <w:szCs w:val="24"/>
        </w:rPr>
        <w:t>=(</w:t>
      </w:r>
      <w:proofErr w:type="gramEnd"/>
      <w:r w:rsidR="00595171" w:rsidRPr="00493DDD">
        <w:rPr>
          <w:i w:val="0"/>
          <w:szCs w:val="24"/>
        </w:rPr>
        <w:t>0.161/0.955)</w:t>
      </w:r>
      <w:r w:rsidR="006B657E">
        <w:rPr>
          <w:i w:val="0"/>
          <w:szCs w:val="24"/>
        </w:rPr>
        <w:t>×</w:t>
      </w:r>
      <w:r w:rsidR="00595171" w:rsidRPr="00493DDD">
        <w:rPr>
          <w:i w:val="0"/>
          <w:szCs w:val="24"/>
        </w:rPr>
        <w:t xml:space="preserve">100] of variable cost. </w:t>
      </w:r>
      <w:r w:rsidR="00184CFF" w:rsidRPr="00493DDD">
        <w:rPr>
          <w:i w:val="0"/>
          <w:szCs w:val="24"/>
        </w:rPr>
        <w:t xml:space="preserve">Fixed costs do not apply to the SAV mode, but the actual variable costs for SAVs are higher than for RVs or AVs. According to our results, </w:t>
      </w:r>
      <w:r w:rsidR="00A67C9E" w:rsidRPr="00493DDD">
        <w:rPr>
          <w:i w:val="0"/>
          <w:szCs w:val="24"/>
        </w:rPr>
        <w:t xml:space="preserve">if only financial considerations were in play, </w:t>
      </w:r>
      <w:r w:rsidR="00184CFF" w:rsidRPr="00493DDD">
        <w:rPr>
          <w:i w:val="0"/>
          <w:szCs w:val="24"/>
        </w:rPr>
        <w:t>for a</w:t>
      </w:r>
      <w:r w:rsidR="00F36533" w:rsidRPr="00493DDD">
        <w:rPr>
          <w:i w:val="0"/>
          <w:szCs w:val="24"/>
        </w:rPr>
        <w:t xml:space="preserve"> vehicle mileage of 100</w:t>
      </w:r>
      <w:r w:rsidR="00184CFF" w:rsidRPr="00493DDD">
        <w:rPr>
          <w:i w:val="0"/>
          <w:szCs w:val="24"/>
        </w:rPr>
        <w:t>0 miles per month</w:t>
      </w:r>
      <w:r w:rsidR="001D6FA8" w:rsidRPr="00493DDD">
        <w:rPr>
          <w:i w:val="0"/>
          <w:szCs w:val="24"/>
        </w:rPr>
        <w:t>, and at the average fixed cost and variable cost for RVs/AVs at $</w:t>
      </w:r>
      <w:r w:rsidR="00F56C94" w:rsidRPr="00493DDD">
        <w:rPr>
          <w:i w:val="0"/>
          <w:szCs w:val="24"/>
        </w:rPr>
        <w:t>2</w:t>
      </w:r>
      <w:r w:rsidR="001D6FA8" w:rsidRPr="00493DDD">
        <w:rPr>
          <w:i w:val="0"/>
          <w:szCs w:val="24"/>
        </w:rPr>
        <w:t xml:space="preserve">00 per month and </w:t>
      </w:r>
      <w:r w:rsidR="00F56C94" w:rsidRPr="00493DDD">
        <w:rPr>
          <w:i w:val="0"/>
          <w:szCs w:val="24"/>
        </w:rPr>
        <w:t>3</w:t>
      </w:r>
      <w:r w:rsidR="00A67C9E" w:rsidRPr="00493DDD">
        <w:rPr>
          <w:i w:val="0"/>
          <w:szCs w:val="24"/>
        </w:rPr>
        <w:t>0</w:t>
      </w:r>
      <w:r w:rsidR="001D6FA8" w:rsidRPr="00493DDD">
        <w:rPr>
          <w:i w:val="0"/>
          <w:szCs w:val="24"/>
        </w:rPr>
        <w:t xml:space="preserve"> cents per mile, the SAV cost can be no more than </w:t>
      </w:r>
      <w:r w:rsidR="00F56C94" w:rsidRPr="00493DDD">
        <w:rPr>
          <w:i w:val="0"/>
          <w:szCs w:val="24"/>
        </w:rPr>
        <w:t>1.49</w:t>
      </w:r>
      <w:r w:rsidR="00A67C9E" w:rsidRPr="00493DDD">
        <w:rPr>
          <w:i w:val="0"/>
          <w:szCs w:val="24"/>
        </w:rPr>
        <w:t xml:space="preserve"> cents per mile </w:t>
      </w:r>
      <w:r w:rsidR="00F56C94" w:rsidRPr="00493DDD">
        <w:rPr>
          <w:i w:val="0"/>
          <w:szCs w:val="24"/>
        </w:rPr>
        <w:t>[</w:t>
      </w:r>
      <w:proofErr w:type="gramStart"/>
      <w:r w:rsidR="00F36533" w:rsidRPr="00493DDD">
        <w:rPr>
          <w:i w:val="0"/>
          <w:szCs w:val="24"/>
        </w:rPr>
        <w:t>=</w:t>
      </w:r>
      <w:r w:rsidR="00F56C94" w:rsidRPr="00493DDD">
        <w:rPr>
          <w:i w:val="0"/>
          <w:szCs w:val="24"/>
        </w:rPr>
        <w:t>(</w:t>
      </w:r>
      <w:proofErr w:type="gramEnd"/>
      <w:r w:rsidR="00F36533" w:rsidRPr="00493DDD">
        <w:rPr>
          <w:i w:val="0"/>
          <w:szCs w:val="24"/>
        </w:rPr>
        <w:t>0.955</w:t>
      </w:r>
      <w:r w:rsidR="006B657E">
        <w:rPr>
          <w:i w:val="0"/>
          <w:szCs w:val="24"/>
        </w:rPr>
        <w:t>×</w:t>
      </w:r>
      <w:r w:rsidR="00A67C9E" w:rsidRPr="00493DDD">
        <w:rPr>
          <w:i w:val="0"/>
          <w:szCs w:val="24"/>
        </w:rPr>
        <w:t>0.</w:t>
      </w:r>
      <w:r w:rsidR="00F56C94" w:rsidRPr="00493DDD">
        <w:rPr>
          <w:i w:val="0"/>
          <w:szCs w:val="24"/>
        </w:rPr>
        <w:t>2</w:t>
      </w:r>
      <w:r w:rsidR="006B657E">
        <w:rPr>
          <w:i w:val="0"/>
          <w:szCs w:val="24"/>
        </w:rPr>
        <w:t xml:space="preserve"> </w:t>
      </w:r>
      <w:r w:rsidR="00F36533" w:rsidRPr="00493DDD">
        <w:rPr>
          <w:i w:val="0"/>
          <w:szCs w:val="24"/>
        </w:rPr>
        <w:t>+</w:t>
      </w:r>
      <w:r w:rsidR="006B657E">
        <w:rPr>
          <w:i w:val="0"/>
          <w:szCs w:val="24"/>
        </w:rPr>
        <w:t xml:space="preserve"> </w:t>
      </w:r>
      <w:r w:rsidR="00F36533" w:rsidRPr="00493DDD">
        <w:rPr>
          <w:i w:val="0"/>
          <w:szCs w:val="24"/>
        </w:rPr>
        <w:t>0.161</w:t>
      </w:r>
      <w:r w:rsidR="006B657E">
        <w:rPr>
          <w:i w:val="0"/>
          <w:szCs w:val="24"/>
        </w:rPr>
        <w:t>×</w:t>
      </w:r>
      <w:r w:rsidR="00F36533" w:rsidRPr="00493DDD">
        <w:rPr>
          <w:i w:val="0"/>
          <w:szCs w:val="24"/>
        </w:rPr>
        <w:t>0.3</w:t>
      </w:r>
      <w:r w:rsidR="00F56C94" w:rsidRPr="00493DDD">
        <w:rPr>
          <w:i w:val="0"/>
          <w:szCs w:val="24"/>
        </w:rPr>
        <w:t xml:space="preserve">0)/(0.161)] </w:t>
      </w:r>
      <w:r w:rsidR="001D6FA8" w:rsidRPr="00493DDD">
        <w:rPr>
          <w:i w:val="0"/>
          <w:szCs w:val="24"/>
        </w:rPr>
        <w:t xml:space="preserve">for the SAV to stand some chance of being chosen. </w:t>
      </w:r>
      <w:r w:rsidR="00F56C94" w:rsidRPr="00493DDD">
        <w:rPr>
          <w:i w:val="0"/>
          <w:szCs w:val="24"/>
        </w:rPr>
        <w:t>Of course, this is based purely on financial considerations, and the strong negative constant for SAVs suggests that SAV use is likely to be quite low, unless specific policy actions are taken to promote SAV use.</w:t>
      </w:r>
    </w:p>
    <w:p w14:paraId="38D879DA" w14:textId="77777777" w:rsidR="00131995" w:rsidRPr="00493DDD" w:rsidRDefault="00131995" w:rsidP="00131995">
      <w:pPr>
        <w:pStyle w:val="Style3"/>
        <w:spacing w:line="276" w:lineRule="auto"/>
        <w:rPr>
          <w:i w:val="0"/>
          <w:szCs w:val="24"/>
        </w:rPr>
      </w:pPr>
    </w:p>
    <w:p w14:paraId="09FE1D2A" w14:textId="43590746" w:rsidR="0016254A" w:rsidRPr="00493DDD" w:rsidRDefault="00A724C2" w:rsidP="00131995">
      <w:pPr>
        <w:pStyle w:val="Style3"/>
        <w:spacing w:line="276" w:lineRule="auto"/>
        <w:rPr>
          <w:i w:val="0"/>
          <w:szCs w:val="24"/>
        </w:rPr>
      </w:pPr>
      <w:r w:rsidRPr="00493DDD">
        <w:rPr>
          <w:i w:val="0"/>
          <w:szCs w:val="24"/>
          <w:u w:val="single"/>
        </w:rPr>
        <w:t xml:space="preserve">Correlation across </w:t>
      </w:r>
      <w:r w:rsidR="00B34F5E" w:rsidRPr="00493DDD">
        <w:rPr>
          <w:i w:val="0"/>
          <w:szCs w:val="24"/>
          <w:u w:val="single"/>
        </w:rPr>
        <w:t>latent constructs and AV</w:t>
      </w:r>
      <w:r w:rsidR="0003182B" w:rsidRPr="00493DDD">
        <w:rPr>
          <w:i w:val="0"/>
          <w:szCs w:val="24"/>
          <w:u w:val="single"/>
        </w:rPr>
        <w:t>D</w:t>
      </w:r>
      <w:r w:rsidR="00B34F5E" w:rsidRPr="00493DDD">
        <w:rPr>
          <w:i w:val="0"/>
          <w:szCs w:val="24"/>
          <w:u w:val="single"/>
        </w:rPr>
        <w:t>/DAD alternatives</w:t>
      </w:r>
      <w:r w:rsidR="0019203E" w:rsidRPr="00493DDD">
        <w:rPr>
          <w:i w:val="0"/>
          <w:szCs w:val="24"/>
          <w:u w:val="single"/>
        </w:rPr>
        <w:t xml:space="preserve">: </w:t>
      </w:r>
      <w:r w:rsidR="00D74C46" w:rsidRPr="00493DDD">
        <w:rPr>
          <w:i w:val="0"/>
          <w:szCs w:val="24"/>
        </w:rPr>
        <w:t xml:space="preserve">The </w:t>
      </w:r>
      <w:r w:rsidR="0019203E" w:rsidRPr="00493DDD">
        <w:rPr>
          <w:i w:val="0"/>
          <w:szCs w:val="24"/>
        </w:rPr>
        <w:t>c</w:t>
      </w:r>
      <w:r w:rsidR="00D74C46" w:rsidRPr="00493DDD">
        <w:rPr>
          <w:i w:val="0"/>
          <w:szCs w:val="24"/>
        </w:rPr>
        <w:t xml:space="preserve">orrelations across the latent constructs have already </w:t>
      </w:r>
      <w:r w:rsidR="00603CBA" w:rsidRPr="00493DDD">
        <w:rPr>
          <w:i w:val="0"/>
          <w:szCs w:val="24"/>
        </w:rPr>
        <w:t xml:space="preserve">been </w:t>
      </w:r>
      <w:r w:rsidR="00D74C46" w:rsidRPr="00493DDD">
        <w:rPr>
          <w:i w:val="0"/>
          <w:szCs w:val="24"/>
        </w:rPr>
        <w:t>discussed</w:t>
      </w:r>
      <w:r w:rsidR="0019203E" w:rsidRPr="00493DDD">
        <w:rPr>
          <w:i w:val="0"/>
          <w:szCs w:val="24"/>
        </w:rPr>
        <w:t xml:space="preserve"> </w:t>
      </w:r>
      <w:r w:rsidR="00D74C46" w:rsidRPr="00493DDD">
        <w:rPr>
          <w:i w:val="0"/>
          <w:szCs w:val="24"/>
        </w:rPr>
        <w:t>earlier in Section</w:t>
      </w:r>
      <w:r w:rsidR="0019203E" w:rsidRPr="00493DDD">
        <w:rPr>
          <w:i w:val="0"/>
          <w:szCs w:val="24"/>
        </w:rPr>
        <w:t xml:space="preserve"> 4.1</w:t>
      </w:r>
      <w:r w:rsidR="00D74C46" w:rsidRPr="00493DDD">
        <w:rPr>
          <w:i w:val="0"/>
          <w:szCs w:val="24"/>
        </w:rPr>
        <w:t xml:space="preserve">. Further, the correlations across the main outcomes themselves </w:t>
      </w:r>
      <w:r w:rsidR="009C46B2" w:rsidRPr="00493DDD">
        <w:rPr>
          <w:i w:val="0"/>
          <w:szCs w:val="24"/>
        </w:rPr>
        <w:t xml:space="preserve">(as well as the correlation across the two responses from the same individual) </w:t>
      </w:r>
      <w:r w:rsidR="00D74C46" w:rsidRPr="00493DDD">
        <w:rPr>
          <w:i w:val="0"/>
          <w:szCs w:val="24"/>
        </w:rPr>
        <w:t xml:space="preserve">are engendered in our framework through the effects of the </w:t>
      </w:r>
      <w:r w:rsidR="009C46B2" w:rsidRPr="00493DDD">
        <w:rPr>
          <w:i w:val="0"/>
          <w:szCs w:val="24"/>
        </w:rPr>
        <w:t xml:space="preserve">individual-level </w:t>
      </w:r>
      <w:r w:rsidR="00D74C46" w:rsidRPr="00493DDD">
        <w:rPr>
          <w:i w:val="0"/>
          <w:szCs w:val="24"/>
        </w:rPr>
        <w:t>stochastic latent constructs</w:t>
      </w:r>
      <w:r w:rsidR="002F4D4F" w:rsidRPr="00493DDD">
        <w:rPr>
          <w:i w:val="0"/>
          <w:szCs w:val="24"/>
        </w:rPr>
        <w:t xml:space="preserve">, as discussed earlier in Section </w:t>
      </w:r>
      <w:r w:rsidR="0019203E" w:rsidRPr="00493DDD">
        <w:rPr>
          <w:i w:val="0"/>
          <w:szCs w:val="24"/>
        </w:rPr>
        <w:t>3.2</w:t>
      </w:r>
      <w:r w:rsidR="002F4D4F" w:rsidRPr="00493DDD">
        <w:rPr>
          <w:i w:val="0"/>
          <w:szCs w:val="24"/>
        </w:rPr>
        <w:t>. In addition, we also consider the latent constructs to be co-endogenous with the main outcome variables.</w:t>
      </w:r>
      <w:r w:rsidR="009C46B2" w:rsidRPr="00493DDD">
        <w:rPr>
          <w:rStyle w:val="FootnoteReference"/>
          <w:i w:val="0"/>
          <w:szCs w:val="24"/>
        </w:rPr>
        <w:footnoteReference w:id="6"/>
      </w:r>
      <w:r w:rsidR="002F4D4F" w:rsidRPr="00493DDD">
        <w:rPr>
          <w:i w:val="0"/>
          <w:szCs w:val="24"/>
        </w:rPr>
        <w:t xml:space="preserve"> </w:t>
      </w:r>
      <w:r w:rsidR="009C46B2" w:rsidRPr="00493DDD">
        <w:rPr>
          <w:i w:val="0"/>
          <w:szCs w:val="24"/>
        </w:rPr>
        <w:t xml:space="preserve">In the latter context, three </w:t>
      </w:r>
      <w:r w:rsidR="009C46B2" w:rsidRPr="00493DDD">
        <w:rPr>
          <w:i w:val="0"/>
          <w:szCs w:val="24"/>
        </w:rPr>
        <w:lastRenderedPageBreak/>
        <w:t>correlation terms turned out to be important. The first is a negative correlation between the safety latent construct and the AV alternative of the AVD dimension (correlation of -0.18</w:t>
      </w:r>
      <w:r w:rsidR="00AB090D" w:rsidRPr="00493DDD">
        <w:rPr>
          <w:i w:val="0"/>
          <w:szCs w:val="24"/>
        </w:rPr>
        <w:t>0</w:t>
      </w:r>
      <w:r w:rsidR="009C46B2" w:rsidRPr="00493DDD">
        <w:rPr>
          <w:i w:val="0"/>
          <w:szCs w:val="24"/>
        </w:rPr>
        <w:t xml:space="preserve"> with a t-statistic of -4.78). As discussed in Section </w:t>
      </w:r>
      <w:r w:rsidR="0019203E" w:rsidRPr="00493DDD">
        <w:rPr>
          <w:i w:val="0"/>
          <w:szCs w:val="24"/>
        </w:rPr>
        <w:t>2.1</w:t>
      </w:r>
      <w:r w:rsidR="009C46B2" w:rsidRPr="00493DDD">
        <w:rPr>
          <w:i w:val="0"/>
          <w:szCs w:val="24"/>
        </w:rPr>
        <w:t xml:space="preserve">, when this correlation term </w:t>
      </w:r>
      <w:r w:rsidR="0019203E" w:rsidRPr="00493DDD">
        <w:rPr>
          <w:i w:val="0"/>
          <w:szCs w:val="24"/>
        </w:rPr>
        <w:t>wa</w:t>
      </w:r>
      <w:r w:rsidR="009C46B2" w:rsidRPr="00493DDD">
        <w:rPr>
          <w:i w:val="0"/>
          <w:szCs w:val="24"/>
        </w:rPr>
        <w:t>s ignored</w:t>
      </w:r>
      <w:r w:rsidR="0019203E" w:rsidRPr="00493DDD">
        <w:rPr>
          <w:i w:val="0"/>
          <w:szCs w:val="24"/>
        </w:rPr>
        <w:t xml:space="preserve"> in our estimation</w:t>
      </w:r>
      <w:r w:rsidR="009C46B2" w:rsidRPr="00493DDD">
        <w:rPr>
          <w:i w:val="0"/>
          <w:szCs w:val="24"/>
        </w:rPr>
        <w:t xml:space="preserve">, it exaggerated the positive effect of safety concern on RV purchase (that is, equivalently, it exaggerated the implied negative effect of safety concern on the AV alternative). A second positive correlation was obtained between the mobility control latent construct and the first-buy </w:t>
      </w:r>
      <w:r w:rsidR="00F76953" w:rsidRPr="00493DDD">
        <w:rPr>
          <w:i w:val="0"/>
          <w:szCs w:val="24"/>
        </w:rPr>
        <w:t xml:space="preserve">(FB) </w:t>
      </w:r>
      <w:r w:rsidR="009C46B2" w:rsidRPr="00493DDD">
        <w:rPr>
          <w:i w:val="0"/>
          <w:szCs w:val="24"/>
        </w:rPr>
        <w:t>alternative of the DAD dimension</w:t>
      </w:r>
      <w:r w:rsidR="00F76953" w:rsidRPr="00493DDD">
        <w:rPr>
          <w:i w:val="0"/>
          <w:szCs w:val="24"/>
        </w:rPr>
        <w:t xml:space="preserve"> (0.184 with a t-statistic of 1.90). When this correlation was ignored, it turned up as a “spurious” positive effect of the mobility control latent construct on the FB utility. The third correlation term was a positive association between tech-savviness and the FB alternative, due to unobserved factors (0.177, with a t-statistic of 1.82). For example, it is possible that a child raised to be intensely curious would try</w:t>
      </w:r>
      <w:r w:rsidR="00E84345" w:rsidRPr="00493DDD">
        <w:rPr>
          <w:i w:val="0"/>
          <w:szCs w:val="24"/>
        </w:rPr>
        <w:t>, as an adult,</w:t>
      </w:r>
      <w:r w:rsidR="00F76953" w:rsidRPr="00493DDD">
        <w:rPr>
          <w:i w:val="0"/>
          <w:szCs w:val="24"/>
        </w:rPr>
        <w:t xml:space="preserve"> to “jump off the block” to </w:t>
      </w:r>
      <w:r w:rsidR="00E84345" w:rsidRPr="00493DDD">
        <w:rPr>
          <w:i w:val="0"/>
          <w:szCs w:val="24"/>
        </w:rPr>
        <w:t>be the first to explore</w:t>
      </w:r>
      <w:r w:rsidR="00F76953" w:rsidRPr="00493DDD">
        <w:rPr>
          <w:i w:val="0"/>
          <w:szCs w:val="24"/>
        </w:rPr>
        <w:t xml:space="preserve"> new adventures and products</w:t>
      </w:r>
      <w:r w:rsidR="00E84345" w:rsidRPr="00493DDD">
        <w:rPr>
          <w:i w:val="0"/>
          <w:szCs w:val="24"/>
        </w:rPr>
        <w:t xml:space="preserve">. Such an individual may also be </w:t>
      </w:r>
      <w:r w:rsidR="00F76953" w:rsidRPr="00493DDD">
        <w:rPr>
          <w:i w:val="0"/>
          <w:szCs w:val="24"/>
        </w:rPr>
        <w:t xml:space="preserve">tech-savvy simply because of her/his curiosity. If this generic “curiosity” effect is ignored, it would exaggerate how much the adoption of AVs could be encouraged based on campaigns to promote tech-savviness. Indeed, as can be seen from Table </w:t>
      </w:r>
      <w:r w:rsidR="006B3123">
        <w:rPr>
          <w:i w:val="0"/>
          <w:szCs w:val="24"/>
        </w:rPr>
        <w:t>4</w:t>
      </w:r>
      <w:r w:rsidR="00F76953" w:rsidRPr="00493DDD">
        <w:rPr>
          <w:i w:val="0"/>
          <w:szCs w:val="24"/>
        </w:rPr>
        <w:t>, the tech-savviness latent construct does not even show up as a determinant of the FB alternative</w:t>
      </w:r>
      <w:r w:rsidR="00E84345" w:rsidRPr="00493DDD">
        <w:rPr>
          <w:i w:val="0"/>
          <w:szCs w:val="24"/>
        </w:rPr>
        <w:t xml:space="preserve"> when we considered this correlation between tech-savviness and FB</w:t>
      </w:r>
      <w:r w:rsidR="00F76953" w:rsidRPr="00493DDD">
        <w:rPr>
          <w:i w:val="0"/>
          <w:szCs w:val="24"/>
        </w:rPr>
        <w:t xml:space="preserve">; however, when the error correlation effect was ignored, a “spurious” </w:t>
      </w:r>
      <w:r w:rsidR="00E84345" w:rsidRPr="00493DDD">
        <w:rPr>
          <w:i w:val="0"/>
          <w:szCs w:val="24"/>
        </w:rPr>
        <w:t xml:space="preserve">positive </w:t>
      </w:r>
      <w:r w:rsidR="00F76953" w:rsidRPr="00493DDD">
        <w:rPr>
          <w:i w:val="0"/>
          <w:szCs w:val="24"/>
        </w:rPr>
        <w:t xml:space="preserve">tech-savviness latent construct effect </w:t>
      </w:r>
      <w:r w:rsidR="00E84345" w:rsidRPr="00493DDD">
        <w:rPr>
          <w:i w:val="0"/>
          <w:szCs w:val="24"/>
        </w:rPr>
        <w:t>on the FB alternative was the result.</w:t>
      </w:r>
    </w:p>
    <w:p w14:paraId="1D1E3F2C" w14:textId="596B71EB" w:rsidR="00F44F41" w:rsidRPr="00493DDD" w:rsidRDefault="00E84345" w:rsidP="00493DDD">
      <w:pPr>
        <w:pStyle w:val="Style3"/>
        <w:spacing w:line="276" w:lineRule="auto"/>
        <w:ind w:firstLine="720"/>
        <w:rPr>
          <w:i w:val="0"/>
          <w:szCs w:val="24"/>
          <w:u w:val="single"/>
        </w:rPr>
      </w:pPr>
      <w:r w:rsidRPr="00493DDD">
        <w:rPr>
          <w:i w:val="0"/>
          <w:szCs w:val="24"/>
        </w:rPr>
        <w:t xml:space="preserve"> </w:t>
      </w:r>
    </w:p>
    <w:p w14:paraId="214EC749" w14:textId="14FB52D7" w:rsidR="00F148D9" w:rsidRPr="00493DDD" w:rsidRDefault="00F148D9" w:rsidP="00493DDD">
      <w:pPr>
        <w:pStyle w:val="Style2"/>
        <w:spacing w:before="0" w:line="276" w:lineRule="auto"/>
        <w:ind w:left="540" w:hanging="540"/>
        <w:jc w:val="both"/>
        <w:rPr>
          <w:rFonts w:cs="Times New Roman"/>
          <w:szCs w:val="24"/>
        </w:rPr>
      </w:pPr>
      <w:r w:rsidRPr="00493DDD">
        <w:rPr>
          <w:rFonts w:cs="Times New Roman"/>
          <w:szCs w:val="24"/>
        </w:rPr>
        <w:t>4.</w:t>
      </w:r>
      <w:r w:rsidR="0060558B" w:rsidRPr="00493DDD">
        <w:rPr>
          <w:rFonts w:cs="Times New Roman"/>
          <w:szCs w:val="24"/>
        </w:rPr>
        <w:t>3</w:t>
      </w:r>
      <w:r w:rsidRPr="00493DDD">
        <w:rPr>
          <w:rFonts w:cs="Times New Roman"/>
          <w:szCs w:val="24"/>
        </w:rPr>
        <w:t xml:space="preserve"> </w:t>
      </w:r>
      <w:r w:rsidR="00493DDD">
        <w:rPr>
          <w:rFonts w:cs="Times New Roman"/>
          <w:szCs w:val="24"/>
        </w:rPr>
        <w:tab/>
      </w:r>
      <w:r w:rsidRPr="00493DDD">
        <w:rPr>
          <w:rFonts w:cs="Times New Roman"/>
          <w:szCs w:val="24"/>
        </w:rPr>
        <w:t>Model Goodness of Fit</w:t>
      </w:r>
    </w:p>
    <w:p w14:paraId="2B9B8DB9" w14:textId="5C0B8D35" w:rsidR="007C167E" w:rsidRPr="00493DDD" w:rsidRDefault="00927177" w:rsidP="00D028CA">
      <w:pPr>
        <w:spacing w:line="276" w:lineRule="auto"/>
        <w:jc w:val="both"/>
        <w:rPr>
          <w:rFonts w:cs="Times New Roman"/>
          <w:szCs w:val="24"/>
        </w:rPr>
      </w:pPr>
      <w:r w:rsidRPr="00493DDD">
        <w:rPr>
          <w:rFonts w:cs="Times New Roman"/>
          <w:szCs w:val="24"/>
        </w:rPr>
        <w:t>The performance of the joint model may be compared with that of a restricted model (</w:t>
      </w:r>
      <w:r w:rsidR="001860AA" w:rsidRPr="00493DDD">
        <w:rPr>
          <w:rFonts w:cs="Times New Roman"/>
          <w:szCs w:val="24"/>
        </w:rPr>
        <w:t>that is, an independent model</w:t>
      </w:r>
      <w:r w:rsidRPr="00493DDD">
        <w:rPr>
          <w:rFonts w:cs="Times New Roman"/>
          <w:szCs w:val="24"/>
        </w:rPr>
        <w:t>) that does not consider latent constructs (and consequently also ignores any type of dependency between th</w:t>
      </w:r>
      <w:r w:rsidR="001860AA" w:rsidRPr="00493DDD">
        <w:rPr>
          <w:rFonts w:cs="Times New Roman"/>
          <w:szCs w:val="24"/>
        </w:rPr>
        <w:t xml:space="preserve">e </w:t>
      </w:r>
      <w:r w:rsidRPr="00493DDD">
        <w:rPr>
          <w:rFonts w:cs="Times New Roman"/>
          <w:szCs w:val="24"/>
        </w:rPr>
        <w:t xml:space="preserve">outcomes). </w:t>
      </w:r>
      <w:r w:rsidR="00B432C7" w:rsidRPr="00493DDD">
        <w:rPr>
          <w:rFonts w:cs="Times New Roman"/>
          <w:szCs w:val="24"/>
        </w:rPr>
        <w:t xml:space="preserve">That is, </w:t>
      </w:r>
      <w:r w:rsidR="0019203E" w:rsidRPr="00493DDD">
        <w:rPr>
          <w:rFonts w:cs="Times New Roman"/>
          <w:szCs w:val="24"/>
        </w:rPr>
        <w:t xml:space="preserve">we </w:t>
      </w:r>
      <w:r w:rsidR="00B432C7" w:rsidRPr="00493DDD">
        <w:rPr>
          <w:rFonts w:cs="Times New Roman"/>
          <w:szCs w:val="24"/>
        </w:rPr>
        <w:t xml:space="preserve">evaluate a predictive log-likelihood value </w:t>
      </w:r>
      <w:r w:rsidR="007C167E" w:rsidRPr="00493DDD">
        <w:rPr>
          <w:rFonts w:cs="Times New Roman"/>
          <w:szCs w:val="24"/>
        </w:rPr>
        <w:t xml:space="preserve">purely for the AVD and DAD dimensions, </w:t>
      </w:r>
      <w:r w:rsidR="00B432C7" w:rsidRPr="00493DDD">
        <w:rPr>
          <w:rFonts w:cs="Times New Roman"/>
          <w:szCs w:val="24"/>
        </w:rPr>
        <w:t xml:space="preserve">using the convergent parameter values from </w:t>
      </w:r>
      <w:r w:rsidR="007C167E" w:rsidRPr="00493DDD">
        <w:rPr>
          <w:rFonts w:cs="Times New Roman"/>
          <w:szCs w:val="24"/>
        </w:rPr>
        <w:t>our</w:t>
      </w:r>
      <w:r w:rsidR="00B432C7" w:rsidRPr="00493DDD">
        <w:rPr>
          <w:rFonts w:cs="Times New Roman"/>
          <w:szCs w:val="24"/>
        </w:rPr>
        <w:t xml:space="preserve"> </w:t>
      </w:r>
      <w:r w:rsidR="007C167E" w:rsidRPr="00493DDD">
        <w:rPr>
          <w:rFonts w:cs="Times New Roman"/>
          <w:szCs w:val="24"/>
        </w:rPr>
        <w:t xml:space="preserve">joint </w:t>
      </w:r>
      <w:r w:rsidR="00B432C7" w:rsidRPr="00493DDD">
        <w:rPr>
          <w:rFonts w:cs="Times New Roman"/>
          <w:szCs w:val="24"/>
        </w:rPr>
        <w:t>estimatio</w:t>
      </w:r>
      <w:r w:rsidR="007C167E" w:rsidRPr="00493DDD">
        <w:rPr>
          <w:rFonts w:cs="Times New Roman"/>
          <w:szCs w:val="24"/>
        </w:rPr>
        <w:t>n</w:t>
      </w:r>
      <w:r w:rsidR="00017667" w:rsidRPr="00493DDD">
        <w:rPr>
          <w:rFonts w:cs="Times New Roman"/>
          <w:szCs w:val="24"/>
        </w:rPr>
        <w:t xml:space="preserve"> (focusing on the first-choice for the AVD dimension)</w:t>
      </w:r>
      <w:r w:rsidR="00B432C7" w:rsidRPr="00493DDD">
        <w:rPr>
          <w:rFonts w:cs="Times New Roman"/>
          <w:szCs w:val="24"/>
        </w:rPr>
        <w:t xml:space="preserve">. </w:t>
      </w:r>
      <w:r w:rsidR="007C167E" w:rsidRPr="00493DDD">
        <w:rPr>
          <w:rFonts w:cs="Times New Roman"/>
          <w:szCs w:val="24"/>
        </w:rPr>
        <w:t xml:space="preserve">Next, we estimate an independent model for the AVD and DAD dimensions, without consideration of any latent variables. </w:t>
      </w:r>
      <w:r w:rsidRPr="00493DDD">
        <w:rPr>
          <w:rFonts w:cs="Times New Roman"/>
          <w:szCs w:val="24"/>
        </w:rPr>
        <w:t>In th</w:t>
      </w:r>
      <w:r w:rsidR="007C167E" w:rsidRPr="00493DDD">
        <w:rPr>
          <w:rFonts w:cs="Times New Roman"/>
          <w:szCs w:val="24"/>
        </w:rPr>
        <w:t>is independent model</w:t>
      </w:r>
      <w:r w:rsidRPr="00493DDD">
        <w:rPr>
          <w:rFonts w:cs="Times New Roman"/>
          <w:szCs w:val="24"/>
        </w:rPr>
        <w:t>, to put things in as equal a footing as possible in terms of observed variable effects, we include the determinants of the latent constructs as explanatory variables</w:t>
      </w:r>
      <w:r w:rsidR="001860AA" w:rsidRPr="00493DDD">
        <w:rPr>
          <w:rFonts w:cs="Times New Roman"/>
          <w:szCs w:val="24"/>
        </w:rPr>
        <w:t>.</w:t>
      </w:r>
      <w:r w:rsidR="00B432C7" w:rsidRPr="00493DDD">
        <w:rPr>
          <w:rFonts w:cs="Times New Roman"/>
          <w:szCs w:val="24"/>
        </w:rPr>
        <w:t xml:space="preserve"> </w:t>
      </w:r>
      <w:r w:rsidR="007C167E" w:rsidRPr="00493DDD">
        <w:rPr>
          <w:rFonts w:cs="Times New Roman"/>
          <w:szCs w:val="24"/>
        </w:rPr>
        <w:t xml:space="preserve">We </w:t>
      </w:r>
      <w:r w:rsidR="00017667" w:rsidRPr="00493DDD">
        <w:rPr>
          <w:rFonts w:cs="Times New Roman"/>
          <w:szCs w:val="24"/>
        </w:rPr>
        <w:t xml:space="preserve">next compute a predictive log-likelihood for this independent model focusing again on the </w:t>
      </w:r>
      <w:r w:rsidR="001100B4" w:rsidRPr="00493DDD">
        <w:rPr>
          <w:rFonts w:cs="Times New Roman"/>
          <w:szCs w:val="24"/>
        </w:rPr>
        <w:t>first-choice</w:t>
      </w:r>
      <w:r w:rsidR="00017667" w:rsidRPr="00493DDD">
        <w:rPr>
          <w:rFonts w:cs="Times New Roman"/>
          <w:szCs w:val="24"/>
        </w:rPr>
        <w:t xml:space="preserve"> for the AVD component. We </w:t>
      </w:r>
      <w:r w:rsidR="007C167E" w:rsidRPr="00493DDD">
        <w:rPr>
          <w:rFonts w:cs="Times New Roman"/>
          <w:szCs w:val="24"/>
        </w:rPr>
        <w:t xml:space="preserve">also compute the log-likelihood with only the constants in the AVD </w:t>
      </w:r>
      <w:r w:rsidR="00017667" w:rsidRPr="00493DDD">
        <w:rPr>
          <w:rFonts w:cs="Times New Roman"/>
          <w:szCs w:val="24"/>
        </w:rPr>
        <w:t xml:space="preserve">(for first-choice) </w:t>
      </w:r>
      <w:r w:rsidR="007C167E" w:rsidRPr="00493DDD">
        <w:rPr>
          <w:rFonts w:cs="Times New Roman"/>
          <w:szCs w:val="24"/>
        </w:rPr>
        <w:t>and DAD dimensions.</w:t>
      </w:r>
    </w:p>
    <w:p w14:paraId="590522AE" w14:textId="2B4B0A3B" w:rsidR="00927177" w:rsidRPr="00493DDD" w:rsidRDefault="007C167E" w:rsidP="00493DDD">
      <w:pPr>
        <w:spacing w:line="276" w:lineRule="auto"/>
        <w:ind w:firstLine="720"/>
        <w:jc w:val="both"/>
        <w:rPr>
          <w:rFonts w:cs="Times New Roman"/>
          <w:szCs w:val="24"/>
        </w:rPr>
      </w:pPr>
      <w:r w:rsidRPr="00493DDD">
        <w:rPr>
          <w:rFonts w:cs="Times New Roman"/>
          <w:szCs w:val="24"/>
        </w:rPr>
        <w:t xml:space="preserve">Our joint model and the independent model may be compared using a predictive Bayesian Information Criterion (BIC) </w:t>
      </w:r>
      <w:r w:rsidR="00584B40" w:rsidRPr="00493DDD">
        <w:rPr>
          <w:rFonts w:cs="Times New Roman"/>
          <w:szCs w:val="24"/>
        </w:rPr>
        <w:t>statistic</w:t>
      </w:r>
      <w:r w:rsidRPr="00493DDD">
        <w:rPr>
          <w:rFonts w:cs="Times New Roman"/>
          <w:szCs w:val="24"/>
        </w:rPr>
        <w:t xml:space="preserve"> [=</w:t>
      </w:r>
      <w:r w:rsidR="00131995">
        <w:rPr>
          <w:rFonts w:cs="Times New Roman"/>
          <w:szCs w:val="24"/>
        </w:rPr>
        <w:t xml:space="preserve"> –</w:t>
      </w:r>
      <w:r w:rsidR="00131995" w:rsidRPr="00493DDD">
        <w:rPr>
          <w:rFonts w:cs="Times New Roman"/>
          <w:position w:val="-10"/>
          <w:szCs w:val="24"/>
        </w:rPr>
        <w:object w:dxaOrig="600" w:dyaOrig="380" w14:anchorId="7E92B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9.3pt" o:ole="" o:preferrelative="f">
            <v:imagedata r:id="rId13" o:title=""/>
            <o:lock v:ext="edit" aspectratio="f"/>
          </v:shape>
          <o:OLEObject Type="Embed" ProgID="Equation.DSMT4" ShapeID="_x0000_i1025" DrawAspect="Content" ObjectID="_1663589586" r:id="rId14"/>
        </w:object>
      </w:r>
      <w:r w:rsidRPr="00493DDD">
        <w:rPr>
          <w:rFonts w:cs="Times New Roman"/>
          <w:szCs w:val="24"/>
        </w:rPr>
        <w:t xml:space="preserve">+ 0.5(# of model parameters) </w:t>
      </w:r>
      <w:proofErr w:type="gramStart"/>
      <w:r w:rsidRPr="00493DDD">
        <w:rPr>
          <w:rFonts w:cs="Times New Roman"/>
          <w:szCs w:val="24"/>
        </w:rPr>
        <w:t>log(</w:t>
      </w:r>
      <w:proofErr w:type="gramEnd"/>
      <w:r w:rsidRPr="00493DDD">
        <w:rPr>
          <w:rFonts w:cs="Times New Roman"/>
          <w:szCs w:val="24"/>
        </w:rPr>
        <w:t xml:space="preserve">sample size)] </w:t>
      </w:r>
      <w:r w:rsidR="00131995">
        <w:rPr>
          <w:rFonts w:cs="Times New Roman"/>
          <w:szCs w:val="24"/>
        </w:rPr>
        <w:t xml:space="preserve">       </w:t>
      </w:r>
      <w:r w:rsidRPr="00493DDD">
        <w:rPr>
          <w:rFonts w:cs="Times New Roman"/>
          <w:szCs w:val="24"/>
        </w:rPr>
        <w:t>(</w:t>
      </w:r>
      <w:r w:rsidR="00131995" w:rsidRPr="00493DDD">
        <w:rPr>
          <w:rFonts w:cs="Times New Roman"/>
          <w:position w:val="-10"/>
          <w:szCs w:val="24"/>
        </w:rPr>
        <w:object w:dxaOrig="600" w:dyaOrig="380" w14:anchorId="5DEDD3A5">
          <v:shape id="_x0000_i1026" type="#_x0000_t75" style="width:30pt;height:19.3pt" o:ole="" o:preferrelative="f">
            <v:imagedata r:id="rId15" o:title=""/>
            <o:lock v:ext="edit" aspectratio="f"/>
          </v:shape>
          <o:OLEObject Type="Embed" ProgID="Equation.DSMT4" ShapeID="_x0000_i1026" DrawAspect="Content" ObjectID="_1663589587" r:id="rId16"/>
        </w:object>
      </w:r>
      <w:r w:rsidRPr="00493DDD">
        <w:rPr>
          <w:rFonts w:cs="Times New Roman"/>
          <w:szCs w:val="24"/>
        </w:rPr>
        <w:t xml:space="preserve"> is the </w:t>
      </w:r>
      <w:r w:rsidR="00584B40" w:rsidRPr="00493DDD">
        <w:rPr>
          <w:rFonts w:cs="Times New Roman"/>
          <w:szCs w:val="24"/>
        </w:rPr>
        <w:t xml:space="preserve">predictive </w:t>
      </w:r>
      <w:r w:rsidRPr="00493DDD">
        <w:rPr>
          <w:rFonts w:cs="Times New Roman"/>
          <w:szCs w:val="24"/>
        </w:rPr>
        <w:t>log-likelihood at convergence).</w:t>
      </w:r>
      <w:r w:rsidR="00584B40" w:rsidRPr="00493DDD">
        <w:rPr>
          <w:rFonts w:cs="Times New Roman"/>
          <w:szCs w:val="24"/>
        </w:rPr>
        <w:t xml:space="preserve"> The model with a</w:t>
      </w:r>
      <w:r w:rsidR="006C00C0">
        <w:rPr>
          <w:rFonts w:cs="Times New Roman"/>
          <w:szCs w:val="24"/>
        </w:rPr>
        <w:t xml:space="preserve"> lower </w:t>
      </w:r>
      <w:r w:rsidR="00584B40" w:rsidRPr="00493DDD">
        <w:rPr>
          <w:rFonts w:cs="Times New Roman"/>
          <w:szCs w:val="24"/>
        </w:rPr>
        <w:t>BIC statistic is the preferred model. In addition to the comparison using the BIC value, an informal predictive non-nested likelihood ratio test may be used to compare the models.</w:t>
      </w:r>
      <w:r w:rsidR="001860AA" w:rsidRPr="00493DDD">
        <w:rPr>
          <w:rFonts w:cs="Times New Roman"/>
          <w:szCs w:val="24"/>
        </w:rPr>
        <w:t xml:space="preserve"> </w:t>
      </w:r>
      <w:r w:rsidR="00927177" w:rsidRPr="00493DDD">
        <w:rPr>
          <w:rFonts w:cs="Times New Roman"/>
          <w:szCs w:val="24"/>
        </w:rPr>
        <w:t xml:space="preserve">The adjusted likelihood ratio index of each model </w:t>
      </w:r>
      <w:r w:rsidR="00584B40" w:rsidRPr="00493DDD">
        <w:rPr>
          <w:rFonts w:cs="Times New Roman"/>
          <w:szCs w:val="24"/>
        </w:rPr>
        <w:t xml:space="preserve">of the joint and independent models </w:t>
      </w:r>
      <w:r w:rsidR="001860AA" w:rsidRPr="00493DDD">
        <w:rPr>
          <w:rFonts w:cs="Times New Roman"/>
          <w:szCs w:val="24"/>
        </w:rPr>
        <w:t>i</w:t>
      </w:r>
      <w:r w:rsidR="00927177" w:rsidRPr="00493DDD">
        <w:rPr>
          <w:rFonts w:cs="Times New Roman"/>
          <w:szCs w:val="24"/>
        </w:rPr>
        <w:t xml:space="preserve">s </w:t>
      </w:r>
      <w:r w:rsidR="001860AA" w:rsidRPr="00493DDD">
        <w:rPr>
          <w:rFonts w:cs="Times New Roman"/>
          <w:szCs w:val="24"/>
        </w:rPr>
        <w:t xml:space="preserve">first </w:t>
      </w:r>
      <w:r w:rsidR="00927177" w:rsidRPr="00493DDD">
        <w:rPr>
          <w:rFonts w:cs="Times New Roman"/>
          <w:szCs w:val="24"/>
        </w:rPr>
        <w:t xml:space="preserve">computed with respect to the log-likelihood with only the constants </w:t>
      </w:r>
      <w:r w:rsidR="001860AA" w:rsidRPr="00493DDD">
        <w:rPr>
          <w:rFonts w:cs="Times New Roman"/>
          <w:szCs w:val="24"/>
        </w:rPr>
        <w:t>in the AVD and DAD dimensions</w:t>
      </w:r>
      <w:r w:rsidR="00927177" w:rsidRPr="00493DDD">
        <w:rPr>
          <w:rFonts w:cs="Times New Roman"/>
          <w:szCs w:val="24"/>
        </w:rPr>
        <w:t>:</w:t>
      </w:r>
    </w:p>
    <w:p w14:paraId="351051D7" w14:textId="6BD9E583" w:rsidR="00927177" w:rsidRPr="00493DDD" w:rsidRDefault="006B657E" w:rsidP="00E32A2A">
      <w:pPr>
        <w:tabs>
          <w:tab w:val="right" w:pos="9360"/>
        </w:tabs>
        <w:spacing w:line="276" w:lineRule="auto"/>
        <w:jc w:val="both"/>
        <w:rPr>
          <w:rFonts w:cs="Times New Roman"/>
          <w:szCs w:val="24"/>
        </w:rPr>
      </w:pPr>
      <w:r w:rsidRPr="00493DDD">
        <w:rPr>
          <w:rFonts w:cs="Times New Roman"/>
          <w:position w:val="-28"/>
          <w:szCs w:val="24"/>
        </w:rPr>
        <w:object w:dxaOrig="1800" w:dyaOrig="720" w14:anchorId="74DE06A1">
          <v:shape id="_x0000_i1027" type="#_x0000_t75" style="width:90pt;height:36pt" o:ole="" o:preferrelative="f">
            <v:imagedata r:id="rId17" o:title=""/>
            <o:lock v:ext="edit" aspectratio="f"/>
          </v:shape>
          <o:OLEObject Type="Embed" ProgID="Equation.DSMT4" ShapeID="_x0000_i1027" DrawAspect="Content" ObjectID="_1663589588" r:id="rId18"/>
        </w:object>
      </w:r>
      <w:r w:rsidR="00927177" w:rsidRPr="00493DDD">
        <w:rPr>
          <w:rFonts w:cs="Times New Roman"/>
          <w:szCs w:val="24"/>
        </w:rPr>
        <w:tab/>
        <w:t xml:space="preserve"> (</w:t>
      </w:r>
      <w:r w:rsidR="006C00C0">
        <w:rPr>
          <w:rFonts w:cs="Times New Roman"/>
          <w:szCs w:val="24"/>
        </w:rPr>
        <w:t>1</w:t>
      </w:r>
      <w:r w:rsidR="00927177" w:rsidRPr="00493DDD">
        <w:rPr>
          <w:rFonts w:cs="Times New Roman"/>
          <w:szCs w:val="24"/>
        </w:rPr>
        <w:t>)</w:t>
      </w:r>
    </w:p>
    <w:p w14:paraId="1BE9CB7E" w14:textId="4295D004" w:rsidR="0016254A" w:rsidRPr="00493DDD" w:rsidRDefault="00927177" w:rsidP="00131995">
      <w:pPr>
        <w:spacing w:line="276" w:lineRule="auto"/>
        <w:jc w:val="both"/>
        <w:rPr>
          <w:rFonts w:cs="Times New Roman"/>
          <w:szCs w:val="24"/>
        </w:rPr>
      </w:pPr>
      <w:r w:rsidRPr="00493DDD">
        <w:rPr>
          <w:rFonts w:cs="Times New Roman"/>
          <w:szCs w:val="24"/>
        </w:rPr>
        <w:t xml:space="preserve">where </w:t>
      </w:r>
      <w:r w:rsidR="006B657E" w:rsidRPr="00493DDD">
        <w:rPr>
          <w:rFonts w:cs="Times New Roman"/>
          <w:position w:val="-10"/>
          <w:szCs w:val="24"/>
        </w:rPr>
        <w:object w:dxaOrig="520" w:dyaOrig="400" w14:anchorId="04B13E5C">
          <v:shape id="_x0000_i1028" type="#_x0000_t75" style="width:25.7pt;height:20.15pt" o:ole="" o:preferrelative="f">
            <v:imagedata r:id="rId19" o:title=""/>
            <o:lock v:ext="edit" aspectratio="f"/>
          </v:shape>
          <o:OLEObject Type="Embed" ProgID="Equation.DSMT4" ShapeID="_x0000_i1028" DrawAspect="Content" ObjectID="_1663589589" r:id="rId20"/>
        </w:object>
      </w:r>
      <w:r w:rsidRPr="00493DDD">
        <w:rPr>
          <w:rFonts w:cs="Times New Roman"/>
          <w:szCs w:val="24"/>
        </w:rPr>
        <w:t xml:space="preserve"> and </w:t>
      </w:r>
      <w:r w:rsidR="006B657E" w:rsidRPr="00493DDD">
        <w:rPr>
          <w:rFonts w:cs="Times New Roman"/>
          <w:position w:val="-10"/>
          <w:szCs w:val="24"/>
        </w:rPr>
        <w:object w:dxaOrig="499" w:dyaOrig="320" w14:anchorId="1EB20A3E">
          <v:shape id="_x0000_i1029" type="#_x0000_t75" style="width:25.3pt;height:15.85pt" o:ole="" o:preferrelative="f">
            <v:imagedata r:id="rId21" o:title=""/>
            <o:lock v:ext="edit" aspectratio="f"/>
          </v:shape>
          <o:OLEObject Type="Embed" ProgID="Equation.DSMT4" ShapeID="_x0000_i1029" DrawAspect="Content" ObjectID="_1663589590" r:id="rId22"/>
        </w:object>
      </w:r>
      <w:r w:rsidRPr="00493DDD">
        <w:rPr>
          <w:rFonts w:cs="Times New Roman"/>
          <w:szCs w:val="24"/>
        </w:rPr>
        <w:t xml:space="preserve"> are the predictive log-likelihood functions at convergence and at constants, respectively, and </w:t>
      </w:r>
      <w:r w:rsidRPr="00493DDD">
        <w:rPr>
          <w:rFonts w:cs="Times New Roman"/>
          <w:i/>
          <w:szCs w:val="24"/>
        </w:rPr>
        <w:t>M</w:t>
      </w:r>
      <w:r w:rsidRPr="00493DDD">
        <w:rPr>
          <w:rFonts w:cs="Times New Roman"/>
          <w:szCs w:val="24"/>
        </w:rPr>
        <w:t xml:space="preserve"> is the number of parameters (excluding the constants) estimated in the model. If the difference in the indices is </w:t>
      </w:r>
      <w:r w:rsidR="006B657E" w:rsidRPr="00493DDD">
        <w:rPr>
          <w:rFonts w:cs="Times New Roman"/>
          <w:position w:val="-10"/>
          <w:szCs w:val="24"/>
        </w:rPr>
        <w:object w:dxaOrig="1340" w:dyaOrig="340" w14:anchorId="2F3FB68E">
          <v:shape id="_x0000_i1030" type="#_x0000_t75" style="width:66.85pt;height:17.15pt" o:ole="" o:preferrelative="f">
            <v:imagedata r:id="rId23" o:title=""/>
            <o:lock v:ext="edit" aspectratio="f"/>
          </v:shape>
          <o:OLEObject Type="Embed" ProgID="Equation.DSMT4" ShapeID="_x0000_i1030" DrawAspect="Content" ObjectID="_1663589591" r:id="rId24"/>
        </w:object>
      </w:r>
      <w:r w:rsidRPr="00493DDD">
        <w:rPr>
          <w:rFonts w:cs="Times New Roman"/>
          <w:szCs w:val="24"/>
        </w:rPr>
        <w:t xml:space="preserve">, then the probability that this difference could have occurred by chance is no larger than </w:t>
      </w:r>
      <w:r w:rsidR="006B657E" w:rsidRPr="00493DDD">
        <w:rPr>
          <w:rFonts w:cs="Times New Roman"/>
          <w:position w:val="-10"/>
          <w:szCs w:val="24"/>
        </w:rPr>
        <w:object w:dxaOrig="2920" w:dyaOrig="360" w14:anchorId="3A4B2ABF">
          <v:shape id="_x0000_i1031" type="#_x0000_t75" style="width:146.15pt;height:18pt" o:ole="" o:preferrelative="f">
            <v:imagedata r:id="rId25" o:title=""/>
            <o:lock v:ext="edit" aspectratio="f"/>
          </v:shape>
          <o:OLEObject Type="Embed" ProgID="Equation.DSMT4" ShapeID="_x0000_i1031" DrawAspect="Content" ObjectID="_1663589592" r:id="rId26"/>
        </w:object>
      </w:r>
      <w:r w:rsidRPr="00493DDD">
        <w:rPr>
          <w:rFonts w:cs="Times New Roman"/>
          <w:szCs w:val="24"/>
        </w:rPr>
        <w:t>, with a small value for the probability of chance occurrence suggesting that the difference is statistically significant and the model with the higher value for the adjusted likelihood ratio index is preferred.</w:t>
      </w:r>
    </w:p>
    <w:p w14:paraId="2067A990" w14:textId="2A95B558" w:rsidR="0016254A" w:rsidRPr="00493DDD" w:rsidRDefault="00927177" w:rsidP="00493DDD">
      <w:pPr>
        <w:spacing w:line="276" w:lineRule="auto"/>
        <w:ind w:firstLine="720"/>
        <w:jc w:val="both"/>
        <w:rPr>
          <w:rFonts w:cs="Times New Roman"/>
          <w:szCs w:val="24"/>
        </w:rPr>
      </w:pPr>
      <w:r w:rsidRPr="00493DDD">
        <w:rPr>
          <w:rFonts w:cs="Times New Roman"/>
          <w:szCs w:val="24"/>
        </w:rPr>
        <w:t>We also evaluate the data fit of the two models intuitively and informally at both the disaggregate and aggregate levels. To do so, we co</w:t>
      </w:r>
      <w:r w:rsidR="00584B40" w:rsidRPr="00493DDD">
        <w:rPr>
          <w:rFonts w:cs="Times New Roman"/>
          <w:szCs w:val="24"/>
        </w:rPr>
        <w:t>mpute</w:t>
      </w:r>
      <w:r w:rsidRPr="00493DDD">
        <w:rPr>
          <w:rFonts w:cs="Times New Roman"/>
          <w:szCs w:val="24"/>
        </w:rPr>
        <w:t xml:space="preserve"> marginal multivariate predictions for the </w:t>
      </w:r>
      <w:r w:rsidR="00584B40" w:rsidRPr="00493DDD">
        <w:rPr>
          <w:rFonts w:cs="Times New Roman"/>
          <w:szCs w:val="24"/>
        </w:rPr>
        <w:t>AV</w:t>
      </w:r>
      <w:r w:rsidR="007B2BDE" w:rsidRPr="00493DDD">
        <w:rPr>
          <w:rFonts w:cs="Times New Roman"/>
          <w:szCs w:val="24"/>
        </w:rPr>
        <w:t>D</w:t>
      </w:r>
      <w:r w:rsidR="00584B40" w:rsidRPr="00493DDD">
        <w:rPr>
          <w:rFonts w:cs="Times New Roman"/>
          <w:szCs w:val="24"/>
        </w:rPr>
        <w:t xml:space="preserve"> </w:t>
      </w:r>
      <w:r w:rsidR="001100B4" w:rsidRPr="00493DDD">
        <w:rPr>
          <w:rFonts w:cs="Times New Roman"/>
          <w:szCs w:val="24"/>
        </w:rPr>
        <w:t>first-choice</w:t>
      </w:r>
      <w:r w:rsidR="00017667" w:rsidRPr="00493DDD">
        <w:rPr>
          <w:rFonts w:cs="Times New Roman"/>
          <w:szCs w:val="24"/>
        </w:rPr>
        <w:t xml:space="preserve"> </w:t>
      </w:r>
      <w:r w:rsidR="00584B40" w:rsidRPr="00493DDD">
        <w:rPr>
          <w:rFonts w:cs="Times New Roman"/>
          <w:szCs w:val="24"/>
        </w:rPr>
        <w:t xml:space="preserve">and DAD </w:t>
      </w:r>
      <w:r w:rsidRPr="00493DDD">
        <w:rPr>
          <w:rFonts w:cs="Times New Roman"/>
          <w:szCs w:val="24"/>
        </w:rPr>
        <w:t>dimensions jointly</w:t>
      </w:r>
      <w:r w:rsidR="00017667" w:rsidRPr="00493DDD">
        <w:rPr>
          <w:rFonts w:cs="Times New Roman"/>
          <w:szCs w:val="24"/>
        </w:rPr>
        <w:t xml:space="preserve"> (for a total of nine combinations)</w:t>
      </w:r>
      <w:r w:rsidRPr="00493DDD">
        <w:rPr>
          <w:rFonts w:cs="Times New Roman"/>
          <w:szCs w:val="24"/>
        </w:rPr>
        <w:t xml:space="preserve">. At the </w:t>
      </w:r>
      <w:r w:rsidRPr="00493DDD">
        <w:rPr>
          <w:rFonts w:cs="Times New Roman"/>
          <w:szCs w:val="24"/>
          <w:u w:val="single"/>
        </w:rPr>
        <w:t>disaggregate level</w:t>
      </w:r>
      <w:r w:rsidRPr="00493DDD">
        <w:rPr>
          <w:rFonts w:cs="Times New Roman"/>
          <w:szCs w:val="24"/>
        </w:rPr>
        <w:t xml:space="preserve">, for the joint model, we estimate the probability of the observed multivariate outcome </w:t>
      </w:r>
      <w:r w:rsidR="00017667" w:rsidRPr="00493DDD">
        <w:rPr>
          <w:rFonts w:cs="Times New Roman"/>
          <w:szCs w:val="24"/>
        </w:rPr>
        <w:t>(AV</w:t>
      </w:r>
      <w:r w:rsidR="007B2BDE" w:rsidRPr="00493DDD">
        <w:rPr>
          <w:rFonts w:cs="Times New Roman"/>
          <w:szCs w:val="24"/>
        </w:rPr>
        <w:t>D</w:t>
      </w:r>
      <w:r w:rsidR="00017667" w:rsidRPr="00493DDD">
        <w:rPr>
          <w:rFonts w:cs="Times New Roman"/>
          <w:szCs w:val="24"/>
        </w:rPr>
        <w:t xml:space="preserve"> </w:t>
      </w:r>
      <w:r w:rsidR="001100B4" w:rsidRPr="00493DDD">
        <w:rPr>
          <w:rFonts w:cs="Times New Roman"/>
          <w:szCs w:val="24"/>
        </w:rPr>
        <w:t>first-choice</w:t>
      </w:r>
      <w:r w:rsidR="00017667" w:rsidRPr="00493DDD">
        <w:rPr>
          <w:rFonts w:cs="Times New Roman"/>
          <w:szCs w:val="24"/>
        </w:rPr>
        <w:t xml:space="preserve"> and DAD combination). </w:t>
      </w:r>
      <w:r w:rsidRPr="00493DDD">
        <w:rPr>
          <w:rFonts w:cs="Times New Roman"/>
          <w:szCs w:val="24"/>
        </w:rPr>
        <w:t>Then, we compute an average (across individuals) probability of correct prediction at this t</w:t>
      </w:r>
      <w:r w:rsidR="00017667" w:rsidRPr="00493DDD">
        <w:rPr>
          <w:rFonts w:cs="Times New Roman"/>
          <w:szCs w:val="24"/>
        </w:rPr>
        <w:t>wo</w:t>
      </w:r>
      <w:r w:rsidRPr="00493DDD">
        <w:rPr>
          <w:rFonts w:cs="Times New Roman"/>
          <w:szCs w:val="24"/>
        </w:rPr>
        <w:t>-variate level. Similar disaggregate measures are computed for the</w:t>
      </w:r>
      <w:r w:rsidR="00017667" w:rsidRPr="00493DDD">
        <w:rPr>
          <w:rFonts w:cs="Times New Roman"/>
          <w:szCs w:val="24"/>
        </w:rPr>
        <w:t xml:space="preserve"> independent </w:t>
      </w:r>
      <w:r w:rsidRPr="00493DDD">
        <w:rPr>
          <w:rFonts w:cs="Times New Roman"/>
          <w:szCs w:val="24"/>
        </w:rPr>
        <w:t xml:space="preserve">model. At the aggregate level, we design a heuristic diagnostic check of model fit by computing the predicted aggregate share of individuals for combinations of the </w:t>
      </w:r>
      <w:r w:rsidR="00017667" w:rsidRPr="00493DDD">
        <w:rPr>
          <w:rFonts w:cs="Times New Roman"/>
          <w:szCs w:val="24"/>
        </w:rPr>
        <w:t>two</w:t>
      </w:r>
      <w:r w:rsidRPr="00493DDD">
        <w:rPr>
          <w:rFonts w:cs="Times New Roman"/>
          <w:szCs w:val="24"/>
        </w:rPr>
        <w:t xml:space="preserve"> dimensions</w:t>
      </w:r>
      <w:r w:rsidR="00017667" w:rsidRPr="00493DDD">
        <w:rPr>
          <w:rFonts w:cs="Times New Roman"/>
          <w:szCs w:val="24"/>
        </w:rPr>
        <w:t xml:space="preserve"> (focusing again on the AV</w:t>
      </w:r>
      <w:r w:rsidR="007B2BDE" w:rsidRPr="00493DDD">
        <w:rPr>
          <w:rFonts w:cs="Times New Roman"/>
          <w:szCs w:val="24"/>
        </w:rPr>
        <w:t>D</w:t>
      </w:r>
      <w:r w:rsidR="00017667" w:rsidRPr="00493DDD">
        <w:rPr>
          <w:rFonts w:cs="Times New Roman"/>
          <w:szCs w:val="24"/>
        </w:rPr>
        <w:t xml:space="preserve"> first-choice)</w:t>
      </w:r>
      <w:r w:rsidRPr="00493DDD">
        <w:rPr>
          <w:rFonts w:cs="Times New Roman"/>
          <w:szCs w:val="24"/>
        </w:rPr>
        <w:t xml:space="preserve">. The predicted shares for each of these </w:t>
      </w:r>
      <w:r w:rsidR="00C01FAC" w:rsidRPr="00493DDD">
        <w:rPr>
          <w:rFonts w:cs="Times New Roman"/>
          <w:szCs w:val="24"/>
        </w:rPr>
        <w:t>nine</w:t>
      </w:r>
      <w:r w:rsidRPr="00493DDD">
        <w:rPr>
          <w:rFonts w:cs="Times New Roman"/>
          <w:szCs w:val="24"/>
        </w:rPr>
        <w:t xml:space="preserve"> multivariate outcomes is computed for all the two models and compared to the actual shares, and the absolute percentage error (APE) statistic is computed.</w:t>
      </w:r>
    </w:p>
    <w:p w14:paraId="42F6EA91" w14:textId="4C5ACD34" w:rsidR="00927177" w:rsidRPr="00493DDD" w:rsidRDefault="00927177" w:rsidP="00493DDD">
      <w:pPr>
        <w:spacing w:line="276" w:lineRule="auto"/>
        <w:ind w:firstLine="720"/>
        <w:jc w:val="both"/>
        <w:rPr>
          <w:rFonts w:cs="Times New Roman"/>
          <w:szCs w:val="24"/>
        </w:rPr>
      </w:pPr>
      <w:r w:rsidRPr="00493DDD">
        <w:rPr>
          <w:rFonts w:cs="Times New Roman"/>
          <w:szCs w:val="24"/>
        </w:rPr>
        <w:t>The results of</w:t>
      </w:r>
      <w:r w:rsidR="009C786E" w:rsidRPr="00493DDD">
        <w:rPr>
          <w:rFonts w:cs="Times New Roman"/>
          <w:szCs w:val="24"/>
        </w:rPr>
        <w:t xml:space="preserve"> the</w:t>
      </w:r>
      <w:r w:rsidRPr="00493DDD">
        <w:rPr>
          <w:rFonts w:cs="Times New Roman"/>
          <w:szCs w:val="24"/>
        </w:rPr>
        <w:t xml:space="preserve"> disaggregate data fit evaluation are provided in Table</w:t>
      </w:r>
      <w:r w:rsidR="00017667" w:rsidRPr="00493DDD">
        <w:rPr>
          <w:rFonts w:cs="Times New Roman"/>
          <w:szCs w:val="24"/>
        </w:rPr>
        <w:t xml:space="preserve"> </w:t>
      </w:r>
      <w:r w:rsidR="006B3123">
        <w:rPr>
          <w:rFonts w:cs="Times New Roman"/>
          <w:szCs w:val="24"/>
        </w:rPr>
        <w:t>5</w:t>
      </w:r>
      <w:r w:rsidRPr="00493DDD">
        <w:rPr>
          <w:rFonts w:cs="Times New Roman"/>
          <w:szCs w:val="24"/>
        </w:rPr>
        <w:t xml:space="preserve">. The </w:t>
      </w:r>
      <w:r w:rsidR="00017667" w:rsidRPr="00493DDD">
        <w:rPr>
          <w:rFonts w:cs="Times New Roman"/>
          <w:szCs w:val="24"/>
        </w:rPr>
        <w:t>B</w:t>
      </w:r>
      <w:r w:rsidRPr="00493DDD">
        <w:rPr>
          <w:rFonts w:cs="Times New Roman"/>
          <w:szCs w:val="24"/>
        </w:rPr>
        <w:t xml:space="preserve">IC values in </w:t>
      </w:r>
      <w:r w:rsidR="0019203E" w:rsidRPr="00493DDD">
        <w:rPr>
          <w:rFonts w:cs="Times New Roman"/>
          <w:szCs w:val="24"/>
        </w:rPr>
        <w:t xml:space="preserve">the table </w:t>
      </w:r>
      <w:r w:rsidRPr="00493DDD">
        <w:rPr>
          <w:rFonts w:cs="Times New Roman"/>
          <w:szCs w:val="24"/>
        </w:rPr>
        <w:t xml:space="preserve">clearly favor the joint model over the independent model. The predictive adjusted likelihood ratio indices, and the corresponding informal non-nested likelihood ratio statistics are also presented in </w:t>
      </w:r>
      <w:r w:rsidR="009C786E" w:rsidRPr="00493DDD">
        <w:rPr>
          <w:rFonts w:cs="Times New Roman"/>
          <w:szCs w:val="24"/>
        </w:rPr>
        <w:t>the table</w:t>
      </w:r>
      <w:r w:rsidRPr="00493DDD">
        <w:rPr>
          <w:rFonts w:cs="Times New Roman"/>
          <w:szCs w:val="24"/>
        </w:rPr>
        <w:t xml:space="preserve">. The probability that the adjusted likelihood ratio index difference between the joint model and the RES model could have occurred by chance is literally zero (see the </w:t>
      </w:r>
      <w:r w:rsidR="00C01FAC" w:rsidRPr="00493DDD">
        <w:rPr>
          <w:rFonts w:cs="Times New Roman"/>
          <w:szCs w:val="24"/>
        </w:rPr>
        <w:t>penultimate</w:t>
      </w:r>
      <w:r w:rsidRPr="00493DDD">
        <w:rPr>
          <w:rFonts w:cs="Times New Roman"/>
          <w:szCs w:val="24"/>
        </w:rPr>
        <w:t xml:space="preserve"> row of </w:t>
      </w:r>
      <w:r w:rsidR="0019203E" w:rsidRPr="00493DDD">
        <w:rPr>
          <w:rFonts w:cs="Times New Roman"/>
          <w:szCs w:val="24"/>
        </w:rPr>
        <w:t>the table</w:t>
      </w:r>
      <w:r w:rsidRPr="00493DDD">
        <w:rPr>
          <w:rFonts w:cs="Times New Roman"/>
          <w:szCs w:val="24"/>
        </w:rPr>
        <w:t>)</w:t>
      </w:r>
      <w:r w:rsidR="00F90863" w:rsidRPr="00493DDD">
        <w:rPr>
          <w:rFonts w:cs="Times New Roman"/>
          <w:szCs w:val="24"/>
        </w:rPr>
        <w:t>, and the average probability of correct prediction from the joint model is better than that from the independent model.</w:t>
      </w:r>
    </w:p>
    <w:p w14:paraId="58007706" w14:textId="4E8293B8" w:rsidR="00927177" w:rsidRPr="00493DDD" w:rsidRDefault="00927177" w:rsidP="00493DDD">
      <w:pPr>
        <w:spacing w:line="276" w:lineRule="auto"/>
        <w:ind w:firstLine="720"/>
        <w:jc w:val="both"/>
        <w:rPr>
          <w:rFonts w:cs="Times New Roman"/>
          <w:szCs w:val="24"/>
        </w:rPr>
      </w:pPr>
      <w:r w:rsidRPr="00493DDD">
        <w:rPr>
          <w:rFonts w:cs="Times New Roman"/>
          <w:szCs w:val="24"/>
        </w:rPr>
        <w:t xml:space="preserve">At the aggregate level, the </w:t>
      </w:r>
      <w:r w:rsidR="00F90863" w:rsidRPr="00493DDD">
        <w:rPr>
          <w:rFonts w:cs="Times New Roman"/>
          <w:szCs w:val="24"/>
        </w:rPr>
        <w:t>nine</w:t>
      </w:r>
      <w:r w:rsidRPr="00493DDD">
        <w:rPr>
          <w:rFonts w:cs="Times New Roman"/>
          <w:szCs w:val="24"/>
        </w:rPr>
        <w:t xml:space="preserve"> combinations </w:t>
      </w:r>
      <w:r w:rsidR="00F90863" w:rsidRPr="00493DDD">
        <w:rPr>
          <w:rFonts w:cs="Times New Roman"/>
          <w:szCs w:val="24"/>
        </w:rPr>
        <w:t xml:space="preserve">of the main outcomes </w:t>
      </w:r>
      <w:r w:rsidRPr="00493DDD">
        <w:rPr>
          <w:rFonts w:cs="Times New Roman"/>
          <w:szCs w:val="24"/>
        </w:rPr>
        <w:t xml:space="preserve">are identified in Table </w:t>
      </w:r>
      <w:r w:rsidR="006B3123">
        <w:rPr>
          <w:rFonts w:cs="Times New Roman"/>
          <w:szCs w:val="24"/>
        </w:rPr>
        <w:t>6</w:t>
      </w:r>
      <w:r w:rsidRPr="00493DDD">
        <w:rPr>
          <w:rFonts w:cs="Times New Roman"/>
          <w:szCs w:val="24"/>
        </w:rPr>
        <w:t>. For each of these combinations, the shares predicted by the joint model are generally better t</w:t>
      </w:r>
      <w:r w:rsidR="00F90863" w:rsidRPr="00493DDD">
        <w:rPr>
          <w:rFonts w:cs="Times New Roman"/>
          <w:szCs w:val="24"/>
        </w:rPr>
        <w:t>han</w:t>
      </w:r>
      <w:r w:rsidRPr="00493DDD">
        <w:rPr>
          <w:rFonts w:cs="Times New Roman"/>
          <w:szCs w:val="24"/>
        </w:rPr>
        <w:t xml:space="preserve"> the</w:t>
      </w:r>
      <w:r w:rsidR="00F90863" w:rsidRPr="00493DDD">
        <w:rPr>
          <w:rFonts w:cs="Times New Roman"/>
          <w:szCs w:val="24"/>
        </w:rPr>
        <w:t xml:space="preserve"> independent </w:t>
      </w:r>
      <w:r w:rsidRPr="00493DDD">
        <w:rPr>
          <w:rFonts w:cs="Times New Roman"/>
          <w:szCs w:val="24"/>
        </w:rPr>
        <w:t xml:space="preserve">model. Overall, across all the combinations, the weighted average (weighted by the share of each combination) </w:t>
      </w:r>
      <w:r w:rsidR="00F93C1C" w:rsidRPr="00493DDD">
        <w:rPr>
          <w:rFonts w:cs="Times New Roman"/>
          <w:szCs w:val="24"/>
        </w:rPr>
        <w:t xml:space="preserve">of the absolute percentage error </w:t>
      </w:r>
      <w:r w:rsidRPr="00493DDD">
        <w:rPr>
          <w:rFonts w:cs="Times New Roman"/>
          <w:szCs w:val="24"/>
        </w:rPr>
        <w:t xml:space="preserve">is </w:t>
      </w:r>
      <w:r w:rsidR="00F93C1C" w:rsidRPr="00493DDD">
        <w:rPr>
          <w:rFonts w:cs="Times New Roman"/>
          <w:szCs w:val="24"/>
        </w:rPr>
        <w:t>11.64%</w:t>
      </w:r>
      <w:r w:rsidRPr="00493DDD">
        <w:rPr>
          <w:rFonts w:cs="Times New Roman"/>
          <w:szCs w:val="24"/>
        </w:rPr>
        <w:t xml:space="preserve"> for the joint model, compared to </w:t>
      </w:r>
      <w:r w:rsidR="00F93C1C" w:rsidRPr="00493DDD">
        <w:rPr>
          <w:rFonts w:cs="Times New Roman"/>
          <w:szCs w:val="24"/>
        </w:rPr>
        <w:t>32.32</w:t>
      </w:r>
      <w:r w:rsidRPr="00493DDD">
        <w:rPr>
          <w:rFonts w:cs="Times New Roman"/>
          <w:szCs w:val="24"/>
        </w:rPr>
        <w:t>% for the</w:t>
      </w:r>
      <w:r w:rsidR="00F90863" w:rsidRPr="00493DDD">
        <w:rPr>
          <w:rFonts w:cs="Times New Roman"/>
          <w:szCs w:val="24"/>
        </w:rPr>
        <w:t xml:space="preserve"> independent</w:t>
      </w:r>
      <w:r w:rsidRPr="00493DDD">
        <w:rPr>
          <w:rFonts w:cs="Times New Roman"/>
          <w:szCs w:val="24"/>
        </w:rPr>
        <w:t xml:space="preserve"> model (see the last row of Table </w:t>
      </w:r>
      <w:r w:rsidR="006B3123">
        <w:rPr>
          <w:rFonts w:cs="Times New Roman"/>
          <w:szCs w:val="24"/>
        </w:rPr>
        <w:t>6</w:t>
      </w:r>
      <w:r w:rsidRPr="00493DDD">
        <w:rPr>
          <w:rFonts w:cs="Times New Roman"/>
          <w:szCs w:val="24"/>
        </w:rPr>
        <w:t xml:space="preserve">). </w:t>
      </w:r>
      <w:r w:rsidR="0019203E" w:rsidRPr="00493DDD">
        <w:rPr>
          <w:rFonts w:cs="Times New Roman"/>
          <w:szCs w:val="24"/>
        </w:rPr>
        <w:t>T</w:t>
      </w:r>
      <w:r w:rsidRPr="00493DDD">
        <w:rPr>
          <w:rFonts w:cs="Times New Roman"/>
          <w:szCs w:val="24"/>
        </w:rPr>
        <w:t xml:space="preserve">he aggregate fit measures in Table </w:t>
      </w:r>
      <w:r w:rsidR="006B3123">
        <w:rPr>
          <w:rFonts w:cs="Times New Roman"/>
          <w:szCs w:val="24"/>
        </w:rPr>
        <w:t>6</w:t>
      </w:r>
      <w:r w:rsidRPr="00493DDD">
        <w:rPr>
          <w:rFonts w:cs="Times New Roman"/>
          <w:szCs w:val="24"/>
        </w:rPr>
        <w:t xml:space="preserve"> reinforce the disaggregate level results in Table </w:t>
      </w:r>
      <w:r w:rsidR="006B3123">
        <w:rPr>
          <w:rFonts w:cs="Times New Roman"/>
          <w:szCs w:val="24"/>
        </w:rPr>
        <w:t>5</w:t>
      </w:r>
      <w:r w:rsidRPr="00493DDD">
        <w:rPr>
          <w:rFonts w:cs="Times New Roman"/>
          <w:szCs w:val="24"/>
        </w:rPr>
        <w:t>.</w:t>
      </w:r>
    </w:p>
    <w:p w14:paraId="5CDBBFD2" w14:textId="77777777" w:rsidR="0016254A" w:rsidRPr="00493DDD" w:rsidRDefault="0016254A" w:rsidP="00E32A2A">
      <w:pPr>
        <w:spacing w:line="276" w:lineRule="auto"/>
        <w:jc w:val="both"/>
        <w:rPr>
          <w:rFonts w:cs="Times New Roman"/>
          <w:szCs w:val="24"/>
        </w:rPr>
      </w:pPr>
    </w:p>
    <w:p w14:paraId="3F756AA7" w14:textId="4B8C1F92" w:rsidR="00F148D9" w:rsidRPr="00493DDD" w:rsidRDefault="00F148D9" w:rsidP="00493DDD">
      <w:pPr>
        <w:pStyle w:val="Style1"/>
        <w:spacing w:before="0" w:line="276" w:lineRule="auto"/>
        <w:ind w:left="540" w:hanging="540"/>
        <w:jc w:val="both"/>
        <w:rPr>
          <w:rFonts w:cs="Times New Roman"/>
          <w:sz w:val="24"/>
          <w:szCs w:val="24"/>
        </w:rPr>
      </w:pPr>
      <w:r w:rsidRPr="00493DDD">
        <w:rPr>
          <w:rFonts w:cs="Times New Roman"/>
          <w:sz w:val="24"/>
          <w:szCs w:val="24"/>
        </w:rPr>
        <w:t>5</w:t>
      </w:r>
      <w:r w:rsidR="00E25F92" w:rsidRPr="00493DDD">
        <w:rPr>
          <w:rFonts w:cs="Times New Roman"/>
          <w:sz w:val="24"/>
          <w:szCs w:val="24"/>
        </w:rPr>
        <w:t>.</w:t>
      </w:r>
      <w:r w:rsidR="00E25F92" w:rsidRPr="00493DDD">
        <w:rPr>
          <w:rFonts w:cs="Times New Roman"/>
          <w:sz w:val="24"/>
          <w:szCs w:val="24"/>
        </w:rPr>
        <w:tab/>
      </w:r>
      <w:r w:rsidRPr="00493DDD">
        <w:rPr>
          <w:rFonts w:cs="Times New Roman"/>
          <w:sz w:val="24"/>
          <w:szCs w:val="24"/>
        </w:rPr>
        <w:t>IMPLICATIONS</w:t>
      </w:r>
    </w:p>
    <w:p w14:paraId="367E66A8" w14:textId="5257C1B1" w:rsidR="0016254A" w:rsidRPr="00493DDD" w:rsidRDefault="0087285B" w:rsidP="00493DDD">
      <w:pPr>
        <w:spacing w:line="276" w:lineRule="auto"/>
        <w:jc w:val="both"/>
        <w:rPr>
          <w:rFonts w:cs="Times New Roman"/>
          <w:szCs w:val="24"/>
        </w:rPr>
      </w:pPr>
      <w:r w:rsidRPr="00493DDD">
        <w:rPr>
          <w:rFonts w:cs="Times New Roman"/>
          <w:szCs w:val="24"/>
        </w:rPr>
        <w:t xml:space="preserve">The estimation results in the previous section provide insights into direct and overall indirect effects of the individual-level characteristics on the two main outcomes of interest (AVD and DAD). However, for policy analysis purposes, it is more useful to partition the influence (on the main outcomes) of each individual-level characteristic into the following five sub-effects: driving control effect, mobility control effect, safety concern effect, tech-savviness effect and the </w:t>
      </w:r>
      <w:r w:rsidRPr="00493DDD">
        <w:rPr>
          <w:rFonts w:cs="Times New Roman"/>
          <w:szCs w:val="24"/>
        </w:rPr>
        <w:lastRenderedPageBreak/>
        <w:t>remaining direct effect. This analysis can be undertaken using the Average Treatment Effect (ATE effect; see Angrist and Imbens, 1991</w:t>
      </w:r>
      <w:r w:rsidR="009C3E15" w:rsidRPr="00493DDD">
        <w:rPr>
          <w:rFonts w:cs="Times New Roman"/>
          <w:szCs w:val="24"/>
        </w:rPr>
        <w:t xml:space="preserve"> </w:t>
      </w:r>
      <w:r w:rsidRPr="00493DDD">
        <w:rPr>
          <w:rFonts w:cs="Times New Roman"/>
          <w:szCs w:val="24"/>
        </w:rPr>
        <w:t>and Heckman and Vytlacil, 200</w:t>
      </w:r>
      <w:r w:rsidR="0082498B">
        <w:rPr>
          <w:rFonts w:cs="Times New Roman"/>
          <w:szCs w:val="24"/>
        </w:rPr>
        <w:t>0</w:t>
      </w:r>
      <w:r w:rsidRPr="00493DDD">
        <w:rPr>
          <w:rFonts w:cs="Times New Roman"/>
          <w:szCs w:val="24"/>
        </w:rPr>
        <w:t xml:space="preserve">), a method that calculates the impact on a downstream posterior variable of interest due to a treatment that alters the state of an antecedent variable from </w:t>
      </w:r>
      <w:r w:rsidRPr="00493DDD">
        <w:rPr>
          <w:rFonts w:cs="Times New Roman"/>
          <w:i/>
          <w:iCs/>
          <w:szCs w:val="24"/>
        </w:rPr>
        <w:t>A</w:t>
      </w:r>
      <w:r w:rsidRPr="00493DDD">
        <w:rPr>
          <w:rFonts w:cs="Times New Roman"/>
          <w:szCs w:val="24"/>
        </w:rPr>
        <w:t xml:space="preserve"> to </w:t>
      </w:r>
      <w:r w:rsidRPr="00493DDD">
        <w:rPr>
          <w:rFonts w:cs="Times New Roman"/>
          <w:i/>
          <w:iCs/>
          <w:szCs w:val="24"/>
        </w:rPr>
        <w:t>B</w:t>
      </w:r>
      <w:r w:rsidRPr="00493DDD">
        <w:rPr>
          <w:rFonts w:cs="Times New Roman"/>
          <w:szCs w:val="24"/>
        </w:rPr>
        <w:t xml:space="preserve">. For example, if the intent is to estimate the “treatment” effect of age on AVD choice, </w:t>
      </w:r>
      <w:r w:rsidRPr="00493DDD">
        <w:rPr>
          <w:rFonts w:cs="Times New Roman"/>
          <w:i/>
          <w:szCs w:val="24"/>
        </w:rPr>
        <w:t>A</w:t>
      </w:r>
      <w:r w:rsidRPr="00493DDD">
        <w:rPr>
          <w:rFonts w:cs="Times New Roman"/>
          <w:szCs w:val="24"/>
        </w:rPr>
        <w:t xml:space="preserve"> can be the state where an individual is 64 years of age or below, and </w:t>
      </w:r>
      <w:r w:rsidRPr="00493DDD">
        <w:rPr>
          <w:rFonts w:cs="Times New Roman"/>
          <w:i/>
          <w:szCs w:val="24"/>
        </w:rPr>
        <w:t>B</w:t>
      </w:r>
      <w:r w:rsidRPr="00493DDD">
        <w:rPr>
          <w:rFonts w:cs="Times New Roman"/>
          <w:szCs w:val="24"/>
        </w:rPr>
        <w:t xml:space="preserve"> can be the state where the individual is 65 years or above. The impact of this change in state is measured in terms of the change in the shares of the outcomes of interest between the case where all individuals in the dataset are in state </w:t>
      </w:r>
      <w:r w:rsidRPr="00493DDD">
        <w:rPr>
          <w:rFonts w:cs="Times New Roman"/>
          <w:i/>
          <w:szCs w:val="24"/>
        </w:rPr>
        <w:t>A</w:t>
      </w:r>
      <w:r w:rsidRPr="00493DDD">
        <w:rPr>
          <w:rFonts w:cs="Times New Roman"/>
          <w:szCs w:val="24"/>
        </w:rPr>
        <w:t xml:space="preserve"> and the case where all the individuals in the dataset are in state </w:t>
      </w:r>
      <w:r w:rsidRPr="00493DDD">
        <w:rPr>
          <w:rFonts w:cs="Times New Roman"/>
          <w:i/>
          <w:szCs w:val="24"/>
        </w:rPr>
        <w:t>B</w:t>
      </w:r>
      <w:r w:rsidRPr="00493DDD">
        <w:rPr>
          <w:rFonts w:cs="Times New Roman"/>
          <w:szCs w:val="24"/>
        </w:rPr>
        <w:t xml:space="preserve">. If an individual-level variable impacts the main outcomes through mediating latent constructs, one can use the estimates from Tables </w:t>
      </w:r>
      <w:r w:rsidR="00C61BE4">
        <w:rPr>
          <w:rFonts w:cs="Times New Roman"/>
          <w:szCs w:val="24"/>
        </w:rPr>
        <w:t>3</w:t>
      </w:r>
      <w:r w:rsidRPr="00493DDD">
        <w:rPr>
          <w:rFonts w:cs="Times New Roman"/>
          <w:szCs w:val="24"/>
        </w:rPr>
        <w:t xml:space="preserve"> and </w:t>
      </w:r>
      <w:r w:rsidR="00C61BE4">
        <w:rPr>
          <w:rFonts w:cs="Times New Roman"/>
          <w:szCs w:val="24"/>
        </w:rPr>
        <w:t>4</w:t>
      </w:r>
      <w:r w:rsidRPr="00493DDD">
        <w:rPr>
          <w:rFonts w:cs="Times New Roman"/>
          <w:szCs w:val="24"/>
        </w:rPr>
        <w:t xml:space="preserve"> to partition out the ATE by its sub-effects.</w:t>
      </w:r>
    </w:p>
    <w:p w14:paraId="51D5FC07" w14:textId="527F34BB" w:rsidR="0016254A" w:rsidRPr="00E32A2A" w:rsidRDefault="00B703B4" w:rsidP="00E32A2A">
      <w:pPr>
        <w:spacing w:line="276" w:lineRule="auto"/>
        <w:ind w:firstLine="720"/>
        <w:jc w:val="both"/>
        <w:rPr>
          <w:rFonts w:cs="Times New Roman"/>
          <w:szCs w:val="24"/>
          <w:shd w:val="clear" w:color="auto" w:fill="FFFFFF"/>
        </w:rPr>
      </w:pPr>
      <w:r w:rsidRPr="00493DDD">
        <w:rPr>
          <w:rFonts w:cs="Times New Roman"/>
          <w:szCs w:val="24"/>
        </w:rPr>
        <w:t>In addition to the indirect and direct effects of the individual-level characteristics, we also compute the direct ATE effect for the fixed cost and the variable cost variables. For the fixed AV cost, the base case corresponds to the current situation. The average fixed cost across individuals in this base case is</w:t>
      </w:r>
      <w:r w:rsidR="0063569C" w:rsidRPr="00493DDD">
        <w:rPr>
          <w:rFonts w:cs="Times New Roman"/>
          <w:szCs w:val="24"/>
        </w:rPr>
        <w:t xml:space="preserve"> $399</w:t>
      </w:r>
      <w:r w:rsidRPr="00493DDD">
        <w:rPr>
          <w:rFonts w:cs="Times New Roman"/>
          <w:szCs w:val="24"/>
          <w:shd w:val="clear" w:color="auto" w:fill="FFFFFF"/>
        </w:rPr>
        <w:t>. The “treatment level” for AV fixed costs corresponds to a decrease (for each individual in the sample) by $50 per month (about a 15%</w:t>
      </w:r>
      <w:r w:rsidR="0063569C" w:rsidRPr="00493DDD">
        <w:rPr>
          <w:rFonts w:cs="Times New Roman"/>
          <w:szCs w:val="24"/>
          <w:shd w:val="clear" w:color="auto" w:fill="FFFFFF"/>
        </w:rPr>
        <w:t xml:space="preserve"> decrease</w:t>
      </w:r>
      <w:r w:rsidRPr="00493DDD">
        <w:rPr>
          <w:rFonts w:cs="Times New Roman"/>
          <w:szCs w:val="24"/>
          <w:shd w:val="clear" w:color="auto" w:fill="FFFFFF"/>
        </w:rPr>
        <w:t xml:space="preserve"> over the average of $330 per month as estimated by the U</w:t>
      </w:r>
      <w:r w:rsidR="00DD3A42">
        <w:rPr>
          <w:rFonts w:cs="Times New Roman"/>
          <w:szCs w:val="24"/>
          <w:shd w:val="clear" w:color="auto" w:fill="FFFFFF"/>
        </w:rPr>
        <w:t>.</w:t>
      </w:r>
      <w:r w:rsidRPr="00493DDD">
        <w:rPr>
          <w:rFonts w:cs="Times New Roman"/>
          <w:szCs w:val="24"/>
          <w:shd w:val="clear" w:color="auto" w:fill="FFFFFF"/>
        </w:rPr>
        <w:t>S</w:t>
      </w:r>
      <w:r w:rsidR="00DD3A42">
        <w:rPr>
          <w:rFonts w:cs="Times New Roman"/>
          <w:szCs w:val="24"/>
          <w:shd w:val="clear" w:color="auto" w:fill="FFFFFF"/>
        </w:rPr>
        <w:t>.</w:t>
      </w:r>
      <w:r w:rsidRPr="00493DDD">
        <w:rPr>
          <w:rFonts w:cs="Times New Roman"/>
          <w:szCs w:val="24"/>
          <w:shd w:val="clear" w:color="auto" w:fill="FFFFFF"/>
        </w:rPr>
        <w:t xml:space="preserve"> Bureau of Labor Statistics; U</w:t>
      </w:r>
      <w:r w:rsidR="00DD3A42">
        <w:rPr>
          <w:rFonts w:cs="Times New Roman"/>
          <w:szCs w:val="24"/>
          <w:shd w:val="clear" w:color="auto" w:fill="FFFFFF"/>
        </w:rPr>
        <w:t>.</w:t>
      </w:r>
      <w:r w:rsidRPr="00493DDD">
        <w:rPr>
          <w:rFonts w:cs="Times New Roman"/>
          <w:szCs w:val="24"/>
          <w:shd w:val="clear" w:color="auto" w:fill="FFFFFF"/>
        </w:rPr>
        <w:t>S</w:t>
      </w:r>
      <w:r w:rsidR="00DD3A42">
        <w:rPr>
          <w:rFonts w:cs="Times New Roman"/>
          <w:szCs w:val="24"/>
          <w:shd w:val="clear" w:color="auto" w:fill="FFFFFF"/>
        </w:rPr>
        <w:t>.</w:t>
      </w:r>
      <w:r w:rsidRPr="00493DDD">
        <w:rPr>
          <w:rFonts w:cs="Times New Roman"/>
          <w:szCs w:val="24"/>
          <w:shd w:val="clear" w:color="auto" w:fill="FFFFFF"/>
        </w:rPr>
        <w:t xml:space="preserve"> BLS, 2018). The average fixed AV cost across individuals in this “treatment” case is</w:t>
      </w:r>
      <w:r w:rsidR="0063569C" w:rsidRPr="00493DDD">
        <w:rPr>
          <w:rFonts w:cs="Times New Roman"/>
          <w:szCs w:val="24"/>
          <w:shd w:val="clear" w:color="auto" w:fill="FFFFFF"/>
        </w:rPr>
        <w:t xml:space="preserve"> $289</w:t>
      </w:r>
      <w:r w:rsidRPr="00493DDD">
        <w:rPr>
          <w:rFonts w:cs="Times New Roman"/>
          <w:szCs w:val="24"/>
          <w:shd w:val="clear" w:color="auto" w:fill="FFFFFF"/>
        </w:rPr>
        <w:t>. For variable costs, for the base level, we retain the current AV level presented to individuals in the choice experiment (the average across individuals of this AV variable cost is about</w:t>
      </w:r>
      <w:r w:rsidR="0063569C" w:rsidRPr="00493DDD">
        <w:rPr>
          <w:rFonts w:cs="Times New Roman"/>
          <w:szCs w:val="24"/>
          <w:shd w:val="clear" w:color="auto" w:fill="FFFFFF"/>
        </w:rPr>
        <w:t xml:space="preserve"> 50</w:t>
      </w:r>
      <w:r w:rsidRPr="00493DDD">
        <w:rPr>
          <w:rFonts w:cs="Times New Roman"/>
          <w:szCs w:val="24"/>
          <w:shd w:val="clear" w:color="auto" w:fill="FFFFFF"/>
        </w:rPr>
        <w:t> cents per mile), and consider an SAV cost of $1.75 per mile (this estimate is slightly more than current Uber ride</w:t>
      </w:r>
      <w:r w:rsidR="006D57D5">
        <w:rPr>
          <w:rFonts w:cs="Times New Roman"/>
          <w:szCs w:val="24"/>
          <w:shd w:val="clear" w:color="auto" w:fill="FFFFFF"/>
        </w:rPr>
        <w:t>-</w:t>
      </w:r>
      <w:r w:rsidRPr="00493DDD">
        <w:rPr>
          <w:rFonts w:cs="Times New Roman"/>
          <w:szCs w:val="24"/>
          <w:shd w:val="clear" w:color="auto" w:fill="FFFFFF"/>
        </w:rPr>
        <w:t xml:space="preserve">hailing costs of $1.65 per mile, based on Childress </w:t>
      </w:r>
      <w:r w:rsidRPr="00493DDD">
        <w:rPr>
          <w:rFonts w:cs="Times New Roman"/>
          <w:i/>
          <w:iCs/>
          <w:szCs w:val="24"/>
          <w:shd w:val="clear" w:color="auto" w:fill="FFFFFF"/>
        </w:rPr>
        <w:t>et al</w:t>
      </w:r>
      <w:r w:rsidRPr="00E32A2A">
        <w:rPr>
          <w:rFonts w:cs="Times New Roman"/>
          <w:iCs/>
          <w:szCs w:val="24"/>
          <w:shd w:val="clear" w:color="auto" w:fill="FFFFFF"/>
        </w:rPr>
        <w:t>.,</w:t>
      </w:r>
      <w:r w:rsidRPr="00493DDD">
        <w:rPr>
          <w:rFonts w:cs="Times New Roman"/>
          <w:szCs w:val="24"/>
          <w:shd w:val="clear" w:color="auto" w:fill="FFFFFF"/>
        </w:rPr>
        <w:t xml:space="preserve"> 2015). The average difference between SAV variable cost and AV variable cost in the base scenario is</w:t>
      </w:r>
      <w:r w:rsidR="001815B4" w:rsidRPr="00493DDD">
        <w:rPr>
          <w:rFonts w:cs="Times New Roman"/>
          <w:szCs w:val="24"/>
          <w:shd w:val="clear" w:color="auto" w:fill="FFFFFF"/>
        </w:rPr>
        <w:t xml:space="preserve"> $1.25</w:t>
      </w:r>
      <w:r w:rsidRPr="00493DDD">
        <w:rPr>
          <w:rFonts w:cs="Times New Roman"/>
          <w:szCs w:val="24"/>
          <w:shd w:val="clear" w:color="auto" w:fill="FFFFFF"/>
        </w:rPr>
        <w:t>. For the treatment scenario, we decrease the SAV variable cost to $1.25 per mile; the average difference between SAV variable cost and AV variable cost in this treatment scenario is</w:t>
      </w:r>
      <w:r w:rsidR="001815B4" w:rsidRPr="00493DDD">
        <w:rPr>
          <w:rFonts w:cs="Times New Roman"/>
          <w:szCs w:val="24"/>
          <w:shd w:val="clear" w:color="auto" w:fill="FFFFFF"/>
        </w:rPr>
        <w:t xml:space="preserve"> $0.75.</w:t>
      </w:r>
    </w:p>
    <w:p w14:paraId="400D2341" w14:textId="44370E1D" w:rsidR="0016254A" w:rsidRPr="00493DDD" w:rsidRDefault="0087285B" w:rsidP="00493DDD">
      <w:pPr>
        <w:spacing w:line="276" w:lineRule="auto"/>
        <w:ind w:firstLine="720"/>
        <w:jc w:val="both"/>
        <w:rPr>
          <w:rFonts w:cs="Times New Roman"/>
          <w:szCs w:val="24"/>
        </w:rPr>
      </w:pPr>
      <w:r w:rsidRPr="00493DDD">
        <w:rPr>
          <w:rFonts w:cs="Times New Roman"/>
          <w:szCs w:val="24"/>
        </w:rPr>
        <w:t xml:space="preserve">To compute the relative magnitudes of the contribution of each individual-level variable sub-effect, we ignore the directionality of the ATE effect and compute percentages as a function of the sum of the absolute values of each sub-effect. These percentages are provided as the relative contributions of each sub-effect in Tables </w:t>
      </w:r>
      <w:r w:rsidR="00C61BE4">
        <w:rPr>
          <w:rFonts w:cs="Times New Roman"/>
          <w:szCs w:val="24"/>
        </w:rPr>
        <w:t>7</w:t>
      </w:r>
      <w:r w:rsidRPr="00493DDD">
        <w:rPr>
          <w:rFonts w:cs="Times New Roman"/>
          <w:szCs w:val="24"/>
        </w:rPr>
        <w:t xml:space="preserve"> and </w:t>
      </w:r>
      <w:r w:rsidR="00C61BE4">
        <w:rPr>
          <w:rFonts w:cs="Times New Roman"/>
          <w:szCs w:val="24"/>
        </w:rPr>
        <w:t>8</w:t>
      </w:r>
      <w:r w:rsidRPr="00493DDD">
        <w:rPr>
          <w:rFonts w:cs="Times New Roman"/>
          <w:szCs w:val="24"/>
        </w:rPr>
        <w:t>. For completeness, we also provide the overall effect of each variable, which would be the sum of the individual sub-effects (after considering the directionality of effect).</w:t>
      </w:r>
    </w:p>
    <w:p w14:paraId="68C77415" w14:textId="01B68093" w:rsidR="0016254A" w:rsidRPr="00493DDD" w:rsidRDefault="0087285B" w:rsidP="00493DDD">
      <w:pPr>
        <w:spacing w:line="276" w:lineRule="auto"/>
        <w:ind w:firstLine="720"/>
        <w:jc w:val="both"/>
        <w:rPr>
          <w:rFonts w:cs="Times New Roman"/>
          <w:szCs w:val="24"/>
        </w:rPr>
      </w:pPr>
      <w:r w:rsidRPr="00493DDD">
        <w:rPr>
          <w:rFonts w:cs="Times New Roman"/>
          <w:szCs w:val="24"/>
        </w:rPr>
        <w:t>T</w:t>
      </w:r>
      <w:r w:rsidRPr="00493DDD">
        <w:rPr>
          <w:rFonts w:eastAsiaTheme="majorEastAsia" w:cs="Times New Roman"/>
          <w:szCs w:val="24"/>
        </w:rPr>
        <w:t xml:space="preserve">he ATE effects in Table </w:t>
      </w:r>
      <w:r w:rsidR="006B3123">
        <w:rPr>
          <w:rFonts w:eastAsiaTheme="majorEastAsia" w:cs="Times New Roman"/>
          <w:szCs w:val="24"/>
        </w:rPr>
        <w:t>7</w:t>
      </w:r>
      <w:r w:rsidRPr="00493DDD">
        <w:rPr>
          <w:rFonts w:eastAsiaTheme="majorEastAsia" w:cs="Times New Roman"/>
          <w:szCs w:val="24"/>
        </w:rPr>
        <w:t xml:space="preserve"> (for the AVD dimension) and Table </w:t>
      </w:r>
      <w:r w:rsidR="006B3123">
        <w:rPr>
          <w:rFonts w:eastAsiaTheme="majorEastAsia" w:cs="Times New Roman"/>
          <w:szCs w:val="24"/>
        </w:rPr>
        <w:t>8</w:t>
      </w:r>
      <w:r w:rsidRPr="00493DDD">
        <w:rPr>
          <w:rFonts w:eastAsiaTheme="majorEastAsia" w:cs="Times New Roman"/>
          <w:szCs w:val="24"/>
        </w:rPr>
        <w:t xml:space="preserve"> (for the DAD dimension)</w:t>
      </w:r>
      <w:r w:rsidRPr="00493DDD">
        <w:rPr>
          <w:rFonts w:cs="Times New Roman"/>
          <w:szCs w:val="24"/>
        </w:rPr>
        <w:t xml:space="preserve"> enable us </w:t>
      </w:r>
      <w:r w:rsidRPr="00493DDD">
        <w:rPr>
          <w:rFonts w:eastAsiaTheme="majorEastAsia" w:cs="Times New Roman"/>
          <w:szCs w:val="24"/>
        </w:rPr>
        <w:t xml:space="preserve">to extract important insights for policy actions. The ATE values </w:t>
      </w:r>
      <w:r w:rsidRPr="00493DDD">
        <w:rPr>
          <w:rFonts w:cs="Times New Roman"/>
          <w:szCs w:val="24"/>
        </w:rPr>
        <w:t xml:space="preserve">(in the last column of the tables) are to be interpreted as follows. Consider the ATE effect </w:t>
      </w:r>
      <w:r w:rsidRPr="00493DDD">
        <w:rPr>
          <w:rFonts w:eastAsiaTheme="majorEastAsia" w:cs="Times New Roman"/>
          <w:szCs w:val="24"/>
        </w:rPr>
        <w:t xml:space="preserve">of gender on the “AV” alternative for the AVD dimension. The last column of the first numeric row corresponding to this variable shows a value of -0.057. This implies that if 100 men were replaced by 100 women, about six (5.7 in the table) fewer individuals (of the 100) would choose an AV at the next purchase occasion. Other ATE values may similarly be interpreted.  </w:t>
      </w:r>
      <w:r w:rsidRPr="00493DDD">
        <w:rPr>
          <w:rFonts w:cs="Times New Roman"/>
          <w:szCs w:val="24"/>
        </w:rPr>
        <w:t>The sub-effect categories are labeled in a way that a positive change in the sub-effect would generally lead to a positive increase in AV</w:t>
      </w:r>
      <w:r w:rsidR="00484A24" w:rsidRPr="00493DDD">
        <w:rPr>
          <w:rFonts w:cs="Times New Roman"/>
          <w:szCs w:val="24"/>
        </w:rPr>
        <w:t xml:space="preserve"> </w:t>
      </w:r>
      <w:r w:rsidRPr="00493DDD">
        <w:rPr>
          <w:rFonts w:cs="Times New Roman"/>
          <w:szCs w:val="24"/>
        </w:rPr>
        <w:t xml:space="preserve">shares. Thus, the sub-effects are labeled as “driving control decrease”, “mobility control </w:t>
      </w:r>
      <w:r w:rsidR="00AD57C2" w:rsidRPr="00493DDD">
        <w:rPr>
          <w:rFonts w:cs="Times New Roman"/>
          <w:szCs w:val="24"/>
        </w:rPr>
        <w:t>in</w:t>
      </w:r>
      <w:r w:rsidRPr="00493DDD">
        <w:rPr>
          <w:rFonts w:cs="Times New Roman"/>
          <w:szCs w:val="24"/>
        </w:rPr>
        <w:t xml:space="preserve">crease”, </w:t>
      </w:r>
      <w:r w:rsidRPr="00493DDD">
        <w:rPr>
          <w:rFonts w:cs="Times New Roman"/>
          <w:szCs w:val="24"/>
        </w:rPr>
        <w:lastRenderedPageBreak/>
        <w:t>“safety concern decrease”, and “tech-savviness increase”. The “% contribution by mediation through...” columns are then to be interpreted as follows. The value of 32% in the column for “driving control</w:t>
      </w:r>
      <w:r w:rsidR="00CA4BA7" w:rsidRPr="00493DDD">
        <w:rPr>
          <w:rFonts w:cs="Times New Roman"/>
          <w:szCs w:val="24"/>
        </w:rPr>
        <w:t xml:space="preserve"> decrease</w:t>
      </w:r>
      <w:r w:rsidRPr="00493DDD">
        <w:rPr>
          <w:rFonts w:cs="Times New Roman"/>
          <w:szCs w:val="24"/>
        </w:rPr>
        <w:t xml:space="preserve">” for the gender variable indicates that, in terms of magnitude, 32% of the sum of the contributions of each sub-effect (ignoring directionality) to the ATE change in AV purchase is due to the driving control sub-effect. The negative sign on 32% reflects the fact that the change from the base male category to the “treatment” female category would lead to a </w:t>
      </w:r>
      <w:r w:rsidR="00CA4BA7" w:rsidRPr="00493DDD">
        <w:rPr>
          <w:rFonts w:cs="Times New Roman"/>
          <w:szCs w:val="24"/>
        </w:rPr>
        <w:t>reduction</w:t>
      </w:r>
      <w:r w:rsidRPr="00493DDD">
        <w:rPr>
          <w:rFonts w:cs="Times New Roman"/>
          <w:szCs w:val="24"/>
        </w:rPr>
        <w:t xml:space="preserve"> in the “driving control decrease” effect (that </w:t>
      </w:r>
      <w:r w:rsidR="00CA4BA7" w:rsidRPr="00493DDD">
        <w:rPr>
          <w:rFonts w:cs="Times New Roman"/>
          <w:szCs w:val="24"/>
        </w:rPr>
        <w:t>i</w:t>
      </w:r>
      <w:r w:rsidRPr="00493DDD">
        <w:rPr>
          <w:rFonts w:cs="Times New Roman"/>
          <w:szCs w:val="24"/>
        </w:rPr>
        <w:t xml:space="preserve">s, this change leads to a decrease in AV purchase because women actually have a higher driving control need). On the other hand, this gender “treatment” leads to an increase in AV purchase share due to the mobility control </w:t>
      </w:r>
      <w:r w:rsidR="00CA4BA7" w:rsidRPr="00493DDD">
        <w:rPr>
          <w:rFonts w:cs="Times New Roman"/>
          <w:szCs w:val="24"/>
        </w:rPr>
        <w:t>increase</w:t>
      </w:r>
      <w:r w:rsidRPr="00493DDD">
        <w:rPr>
          <w:rFonts w:cs="Times New Roman"/>
          <w:szCs w:val="24"/>
        </w:rPr>
        <w:t xml:space="preserve"> sub-effect. The +5% entry for this sub-effect suggests that the mobility control sub-effect contributes 5% to the ATE change, and the positive sign shows that the sub-effect leads to an increase in the ATE effect. Other entries may be similarly interpreted.</w:t>
      </w:r>
    </w:p>
    <w:p w14:paraId="068C8F19" w14:textId="6213CBEE" w:rsidR="0087285B" w:rsidRPr="00493DDD" w:rsidRDefault="005A7477" w:rsidP="00493DDD">
      <w:pPr>
        <w:spacing w:line="276" w:lineRule="auto"/>
        <w:ind w:firstLine="720"/>
        <w:jc w:val="both"/>
        <w:rPr>
          <w:rFonts w:cs="Times New Roman"/>
          <w:szCs w:val="24"/>
        </w:rPr>
      </w:pPr>
      <w:r w:rsidRPr="00493DDD">
        <w:rPr>
          <w:rFonts w:cs="Times New Roman"/>
          <w:szCs w:val="24"/>
        </w:rPr>
        <w:t xml:space="preserve">The reader will note that there is not necessarily a correspondence in the magnitude or even sign of some coefficients from Table </w:t>
      </w:r>
      <w:r w:rsidR="006B3123">
        <w:rPr>
          <w:rFonts w:cs="Times New Roman"/>
          <w:szCs w:val="24"/>
        </w:rPr>
        <w:t>4</w:t>
      </w:r>
      <w:r w:rsidRPr="00493DDD">
        <w:rPr>
          <w:rFonts w:cs="Times New Roman"/>
          <w:szCs w:val="24"/>
        </w:rPr>
        <w:t xml:space="preserve"> with those in Table </w:t>
      </w:r>
      <w:r w:rsidR="006B3123">
        <w:rPr>
          <w:rFonts w:cs="Times New Roman"/>
          <w:szCs w:val="24"/>
        </w:rPr>
        <w:t>7</w:t>
      </w:r>
      <w:r w:rsidRPr="00493DDD">
        <w:rPr>
          <w:rFonts w:cs="Times New Roman"/>
          <w:szCs w:val="24"/>
        </w:rPr>
        <w:t xml:space="preserve">. This is because the coefficients in Table </w:t>
      </w:r>
      <w:r w:rsidR="006B3123">
        <w:rPr>
          <w:rFonts w:cs="Times New Roman"/>
          <w:szCs w:val="24"/>
        </w:rPr>
        <w:t>4</w:t>
      </w:r>
      <w:r w:rsidRPr="00493DDD">
        <w:rPr>
          <w:rFonts w:cs="Times New Roman"/>
          <w:szCs w:val="24"/>
        </w:rPr>
        <w:t xml:space="preserve"> refer to effects on utilities, while those in Table </w:t>
      </w:r>
      <w:r w:rsidR="006B3123">
        <w:rPr>
          <w:rFonts w:cs="Times New Roman"/>
          <w:szCs w:val="24"/>
        </w:rPr>
        <w:t>7</w:t>
      </w:r>
      <w:r w:rsidRPr="00493DDD">
        <w:rPr>
          <w:rFonts w:cs="Times New Roman"/>
          <w:szCs w:val="24"/>
        </w:rPr>
        <w:t xml:space="preserve"> correspond to share shifts </w:t>
      </w:r>
      <w:r w:rsidR="00363BE9" w:rsidRPr="00493DDD">
        <w:rPr>
          <w:rFonts w:cs="Times New Roman"/>
          <w:szCs w:val="24"/>
        </w:rPr>
        <w:t xml:space="preserve">in alternatives </w:t>
      </w:r>
      <w:r w:rsidRPr="00493DDD">
        <w:rPr>
          <w:rFonts w:cs="Times New Roman"/>
          <w:szCs w:val="24"/>
        </w:rPr>
        <w:t xml:space="preserve">(based on probability shifts at the individual-level). For example, driving control has no impact on SAV utility in Table </w:t>
      </w:r>
      <w:r w:rsidR="006B3123">
        <w:rPr>
          <w:rFonts w:cs="Times New Roman"/>
          <w:szCs w:val="24"/>
        </w:rPr>
        <w:t>4</w:t>
      </w:r>
      <w:r w:rsidRPr="00493DDD">
        <w:rPr>
          <w:rFonts w:cs="Times New Roman"/>
          <w:szCs w:val="24"/>
        </w:rPr>
        <w:t xml:space="preserve">. However, the negative coefficient of driving control on AV purchase </w:t>
      </w:r>
      <w:r w:rsidR="00363BE9" w:rsidRPr="00493DDD">
        <w:rPr>
          <w:rFonts w:cs="Times New Roman"/>
          <w:szCs w:val="24"/>
        </w:rPr>
        <w:t xml:space="preserve">utility in Table </w:t>
      </w:r>
      <w:r w:rsidR="006B3123">
        <w:rPr>
          <w:rFonts w:cs="Times New Roman"/>
          <w:szCs w:val="24"/>
        </w:rPr>
        <w:t>4</w:t>
      </w:r>
      <w:r w:rsidR="00363BE9" w:rsidRPr="00493DDD">
        <w:rPr>
          <w:rFonts w:cs="Times New Roman"/>
          <w:szCs w:val="24"/>
        </w:rPr>
        <w:t xml:space="preserve"> </w:t>
      </w:r>
      <w:r w:rsidRPr="00493DDD">
        <w:rPr>
          <w:rFonts w:cs="Times New Roman"/>
          <w:szCs w:val="24"/>
        </w:rPr>
        <w:t xml:space="preserve">immediately </w:t>
      </w:r>
      <w:r w:rsidR="001523DB" w:rsidRPr="00493DDD">
        <w:rPr>
          <w:rFonts w:cs="Times New Roman"/>
          <w:szCs w:val="24"/>
        </w:rPr>
        <w:t xml:space="preserve">implies </w:t>
      </w:r>
      <w:r w:rsidRPr="00493DDD">
        <w:rPr>
          <w:rFonts w:cs="Times New Roman"/>
          <w:szCs w:val="24"/>
        </w:rPr>
        <w:t xml:space="preserve">that </w:t>
      </w:r>
      <w:r w:rsidR="00363BE9" w:rsidRPr="00493DDD">
        <w:rPr>
          <w:rFonts w:cs="Times New Roman"/>
          <w:szCs w:val="24"/>
        </w:rPr>
        <w:t xml:space="preserve">an increase in driving control need increases the probability of SAV use, which is the reason, for example, for the positive driving control effect of the gender variable for SAV use in the lower panel of Table </w:t>
      </w:r>
      <w:r w:rsidR="006B3123">
        <w:rPr>
          <w:rFonts w:cs="Times New Roman"/>
          <w:szCs w:val="24"/>
        </w:rPr>
        <w:t>7</w:t>
      </w:r>
      <w:r w:rsidR="00363BE9" w:rsidRPr="00493DDD">
        <w:rPr>
          <w:rFonts w:cs="Times New Roman"/>
          <w:szCs w:val="24"/>
        </w:rPr>
        <w:t>.</w:t>
      </w:r>
    </w:p>
    <w:p w14:paraId="416586EB" w14:textId="77777777" w:rsidR="0087285B" w:rsidRPr="00493DDD" w:rsidRDefault="0087285B" w:rsidP="00493DDD">
      <w:pPr>
        <w:spacing w:line="276" w:lineRule="auto"/>
        <w:ind w:firstLine="720"/>
        <w:jc w:val="both"/>
        <w:rPr>
          <w:rFonts w:cs="Times New Roman"/>
          <w:szCs w:val="24"/>
        </w:rPr>
      </w:pPr>
    </w:p>
    <w:p w14:paraId="595A69D4" w14:textId="4F844137" w:rsidR="0087285B" w:rsidRPr="00493DDD" w:rsidRDefault="00A442C7" w:rsidP="00493DDD">
      <w:pPr>
        <w:pStyle w:val="Heading2"/>
        <w:keepNext w:val="0"/>
        <w:keepLines w:val="0"/>
        <w:numPr>
          <w:ilvl w:val="1"/>
          <w:numId w:val="21"/>
        </w:numPr>
        <w:spacing w:before="0" w:line="276" w:lineRule="auto"/>
        <w:ind w:left="540" w:hanging="540"/>
        <w:jc w:val="both"/>
        <w:rPr>
          <w:rFonts w:ascii="Times New Roman" w:hAnsi="Times New Roman" w:cs="Times New Roman"/>
          <w:b/>
          <w:color w:val="auto"/>
          <w:sz w:val="24"/>
          <w:szCs w:val="24"/>
        </w:rPr>
      </w:pPr>
      <w:r w:rsidRPr="00493DDD">
        <w:rPr>
          <w:rFonts w:ascii="Times New Roman" w:hAnsi="Times New Roman" w:cs="Times New Roman"/>
          <w:b/>
          <w:color w:val="auto"/>
          <w:sz w:val="24"/>
          <w:szCs w:val="24"/>
        </w:rPr>
        <w:t xml:space="preserve"> </w:t>
      </w:r>
      <w:r w:rsidR="0087285B" w:rsidRPr="00493DDD">
        <w:rPr>
          <w:rFonts w:ascii="Times New Roman" w:hAnsi="Times New Roman" w:cs="Times New Roman"/>
          <w:b/>
          <w:color w:val="auto"/>
          <w:sz w:val="24"/>
          <w:szCs w:val="24"/>
        </w:rPr>
        <w:t>AV Adoption (AVD) Dimension</w:t>
      </w:r>
    </w:p>
    <w:p w14:paraId="0D2BAEAE" w14:textId="42AE3329" w:rsidR="0016254A" w:rsidRPr="00493DDD" w:rsidRDefault="0087285B" w:rsidP="00493DDD">
      <w:pPr>
        <w:spacing w:line="276" w:lineRule="auto"/>
        <w:jc w:val="both"/>
        <w:rPr>
          <w:rFonts w:cs="Times New Roman"/>
          <w:szCs w:val="24"/>
        </w:rPr>
      </w:pPr>
      <w:r w:rsidRPr="00493DDD">
        <w:rPr>
          <w:rFonts w:cs="Times New Roman"/>
          <w:szCs w:val="24"/>
        </w:rPr>
        <w:t xml:space="preserve">The first row panel of Table </w:t>
      </w:r>
      <w:r w:rsidR="006B3123">
        <w:rPr>
          <w:rFonts w:cs="Times New Roman"/>
          <w:szCs w:val="24"/>
        </w:rPr>
        <w:t>7</w:t>
      </w:r>
      <w:r w:rsidRPr="00493DDD">
        <w:rPr>
          <w:rFonts w:cs="Times New Roman"/>
          <w:szCs w:val="24"/>
        </w:rPr>
        <w:t xml:space="preserve"> provides the ATE effects with respect to AV purchase, while the second row panel provides the corresponding effects for SAV use. For both the AV and SAV alternatives, in terms of individual-level characteristics, gender </w:t>
      </w:r>
      <w:r w:rsidR="004802AC" w:rsidRPr="00493DDD">
        <w:rPr>
          <w:rFonts w:cs="Times New Roman"/>
          <w:szCs w:val="24"/>
        </w:rPr>
        <w:t xml:space="preserve">and age (particularly the latter) </w:t>
      </w:r>
      <w:r w:rsidRPr="00493DDD">
        <w:rPr>
          <w:rFonts w:cs="Times New Roman"/>
          <w:szCs w:val="24"/>
        </w:rPr>
        <w:t>have, by far, the highest overall ATE impact</w:t>
      </w:r>
      <w:r w:rsidR="002E30BD" w:rsidRPr="00493DDD">
        <w:rPr>
          <w:rFonts w:cs="Times New Roman"/>
          <w:szCs w:val="24"/>
        </w:rPr>
        <w:t xml:space="preserve"> (see the last column of the table)</w:t>
      </w:r>
      <w:r w:rsidRPr="00493DDD">
        <w:rPr>
          <w:rFonts w:cs="Times New Roman"/>
          <w:szCs w:val="24"/>
        </w:rPr>
        <w:t>.</w:t>
      </w:r>
    </w:p>
    <w:p w14:paraId="24A1A3BF" w14:textId="7516D8E6" w:rsidR="0016254A" w:rsidRPr="00493DDD" w:rsidRDefault="00AB1D1C" w:rsidP="00493DDD">
      <w:pPr>
        <w:spacing w:line="276" w:lineRule="auto"/>
        <w:ind w:firstLine="720"/>
        <w:jc w:val="both"/>
        <w:rPr>
          <w:rFonts w:cs="Times New Roman"/>
          <w:szCs w:val="24"/>
        </w:rPr>
      </w:pPr>
      <w:r w:rsidRPr="00493DDD">
        <w:rPr>
          <w:rFonts w:cs="Times New Roman"/>
          <w:szCs w:val="24"/>
        </w:rPr>
        <w:t>Women are clearly much less likely to purchase AVs and use SAVs relative to men, based on the overall ATE effects. This is a result obtained in many earlier studies. However, we are able to further partition this overall effect into attitudinal pathways of effect. Not surprisingly</w:t>
      </w:r>
      <w:r w:rsidR="00363BE9" w:rsidRPr="00493DDD">
        <w:rPr>
          <w:rFonts w:cs="Times New Roman"/>
          <w:szCs w:val="24"/>
        </w:rPr>
        <w:t xml:space="preserve">, </w:t>
      </w:r>
      <w:r w:rsidRPr="00493DDD">
        <w:rPr>
          <w:rFonts w:cs="Times New Roman"/>
          <w:szCs w:val="24"/>
        </w:rPr>
        <w:t>safety concerns dominate the reason why women are more reluctant to jump onto the AV bandwagon</w:t>
      </w:r>
      <w:r w:rsidR="00363BE9" w:rsidRPr="00493DDD">
        <w:rPr>
          <w:rFonts w:cs="Times New Roman"/>
          <w:szCs w:val="24"/>
        </w:rPr>
        <w:t xml:space="preserve"> (this safety concern effect is 51% of the total gender effect for the AV alternative and rises to </w:t>
      </w:r>
      <w:r w:rsidR="001523DB" w:rsidRPr="00493DDD">
        <w:rPr>
          <w:rFonts w:cs="Times New Roman"/>
          <w:szCs w:val="24"/>
        </w:rPr>
        <w:t>76</w:t>
      </w:r>
      <w:r w:rsidR="00363BE9" w:rsidRPr="00493DDD">
        <w:rPr>
          <w:rFonts w:cs="Times New Roman"/>
          <w:szCs w:val="24"/>
        </w:rPr>
        <w:t>% of the total gender effect for SAV use)</w:t>
      </w:r>
      <w:r w:rsidRPr="00493DDD">
        <w:rPr>
          <w:rFonts w:cs="Times New Roman"/>
          <w:szCs w:val="24"/>
        </w:rPr>
        <w:t xml:space="preserve">. Making women more aware of AV technology and its expected safety benefits may be a particularly effective strategy to increase AV and SAV uptake among women. Such AV information campaigns </w:t>
      </w:r>
      <w:r w:rsidR="001523DB" w:rsidRPr="00493DDD">
        <w:rPr>
          <w:rFonts w:cs="Times New Roman"/>
          <w:szCs w:val="24"/>
        </w:rPr>
        <w:t>can</w:t>
      </w:r>
      <w:r w:rsidRPr="00493DDD">
        <w:rPr>
          <w:rFonts w:cs="Times New Roman"/>
          <w:szCs w:val="24"/>
        </w:rPr>
        <w:t xml:space="preserve"> be specifically targeted toward social groups that are typically dominated by women (such as religious and spiritual groups, and performance and arts groups), and at work places/professional groups associated with women-dominant professions (such as K-12 teachers, health information technicians, and public relations managers). Parent groups and parent-teacher associations (PTAs) may be another avenue to highlight potential AV safety benefits, and also address important and valid concerns about child transport, which, as </w:t>
      </w:r>
      <w:r w:rsidRPr="0039429D">
        <w:rPr>
          <w:rFonts w:cs="Times New Roman"/>
          <w:szCs w:val="24"/>
        </w:rPr>
        <w:t>Lee and Mirman (2018)</w:t>
      </w:r>
      <w:r w:rsidRPr="00493DDD">
        <w:rPr>
          <w:rFonts w:cs="Times New Roman"/>
          <w:szCs w:val="24"/>
        </w:rPr>
        <w:t xml:space="preserve"> find, is one of the leading reasons why women are less likely to be </w:t>
      </w:r>
      <w:r w:rsidRPr="00493DDD">
        <w:rPr>
          <w:rFonts w:cs="Times New Roman"/>
          <w:szCs w:val="24"/>
        </w:rPr>
        <w:lastRenderedPageBreak/>
        <w:t>receptive to AVs. Specifically, issues related to whether or not young children needing restraint systems would be buckled up appropriately</w:t>
      </w:r>
      <w:r w:rsidR="00687DBB" w:rsidRPr="00493DDD">
        <w:rPr>
          <w:rFonts w:cs="Times New Roman"/>
          <w:szCs w:val="24"/>
        </w:rPr>
        <w:t>,</w:t>
      </w:r>
      <w:r w:rsidRPr="00493DDD">
        <w:rPr>
          <w:rFonts w:cs="Times New Roman"/>
          <w:szCs w:val="24"/>
        </w:rPr>
        <w:t xml:space="preserve"> and anxiety about the ability of AVs to navigate environments with aggressive drivers are important considerations. The design of AVs so that video and audio feedback to mothers (and parents in general) at the beginning and end of trips (for example, to assure parents that </w:t>
      </w:r>
      <w:r w:rsidR="00687DBB" w:rsidRPr="00493DDD">
        <w:rPr>
          <w:rFonts w:cs="Times New Roman"/>
          <w:szCs w:val="24"/>
        </w:rPr>
        <w:t>a</w:t>
      </w:r>
      <w:r w:rsidRPr="00493DDD">
        <w:rPr>
          <w:rFonts w:cs="Times New Roman"/>
          <w:szCs w:val="24"/>
        </w:rPr>
        <w:t xml:space="preserve"> child ha</w:t>
      </w:r>
      <w:r w:rsidR="00687DBB" w:rsidRPr="00493DDD">
        <w:rPr>
          <w:rFonts w:cs="Times New Roman"/>
          <w:szCs w:val="24"/>
        </w:rPr>
        <w:t>s</w:t>
      </w:r>
      <w:r w:rsidRPr="00493DDD">
        <w:rPr>
          <w:rFonts w:cs="Times New Roman"/>
          <w:szCs w:val="24"/>
        </w:rPr>
        <w:t xml:space="preserve"> been buckled up securely</w:t>
      </w:r>
      <w:r w:rsidR="00687DBB" w:rsidRPr="00493DDD">
        <w:rPr>
          <w:rFonts w:cs="Times New Roman"/>
          <w:szCs w:val="24"/>
        </w:rPr>
        <w:t>)</w:t>
      </w:r>
      <w:r w:rsidRPr="00493DDD">
        <w:rPr>
          <w:rFonts w:cs="Times New Roman"/>
          <w:szCs w:val="24"/>
        </w:rPr>
        <w:t>, may be a design feature that can alleviate safety concerns among women and mothers. Such designs may also contribute to reducing the driving control need for women and mothers, and thus increas</w:t>
      </w:r>
      <w:r w:rsidR="00687DBB" w:rsidRPr="00493DDD">
        <w:rPr>
          <w:rFonts w:cs="Times New Roman"/>
          <w:szCs w:val="24"/>
        </w:rPr>
        <w:t>e</w:t>
      </w:r>
      <w:r w:rsidRPr="00493DDD">
        <w:rPr>
          <w:rFonts w:cs="Times New Roman"/>
          <w:szCs w:val="24"/>
        </w:rPr>
        <w:t xml:space="preserve"> AV purchase likelihood. A</w:t>
      </w:r>
      <w:r w:rsidR="00687DBB" w:rsidRPr="00493DDD">
        <w:rPr>
          <w:rFonts w:cs="Times New Roman"/>
          <w:szCs w:val="24"/>
        </w:rPr>
        <w:t>dditionally</w:t>
      </w:r>
      <w:r w:rsidRPr="00493DDD">
        <w:rPr>
          <w:rFonts w:cs="Times New Roman"/>
          <w:szCs w:val="24"/>
        </w:rPr>
        <w:t xml:space="preserve">, underscoring the benefits of gaining time for leisure/relaxation in an AV environment may help women be more willing to relinquish driving control. More broadly, working toward </w:t>
      </w:r>
      <w:r w:rsidR="00687DBB" w:rsidRPr="00493DDD">
        <w:rPr>
          <w:rFonts w:cs="Times New Roman"/>
          <w:szCs w:val="24"/>
        </w:rPr>
        <w:t xml:space="preserve">an </w:t>
      </w:r>
      <w:r w:rsidRPr="00493DDD">
        <w:rPr>
          <w:rFonts w:cs="Times New Roman"/>
          <w:szCs w:val="24"/>
        </w:rPr>
        <w:t xml:space="preserve">egalitarian society, one in which there is gender symmetry in power dynamics across the professional, political, and domestic spectrums of life, would perhaps be </w:t>
      </w:r>
      <w:r w:rsidR="00687DBB" w:rsidRPr="00493DDD">
        <w:rPr>
          <w:rFonts w:cs="Times New Roman"/>
          <w:szCs w:val="24"/>
        </w:rPr>
        <w:t>a</w:t>
      </w:r>
      <w:r w:rsidRPr="00493DDD">
        <w:rPr>
          <w:rFonts w:cs="Times New Roman"/>
          <w:szCs w:val="24"/>
        </w:rPr>
        <w:t xml:space="preserve"> fundamental approach to address the issue of driving control among women.</w:t>
      </w:r>
    </w:p>
    <w:p w14:paraId="53825397" w14:textId="088BF023" w:rsidR="0016254A" w:rsidRPr="00493DDD" w:rsidRDefault="004802AC" w:rsidP="00493DDD">
      <w:pPr>
        <w:spacing w:line="276" w:lineRule="auto"/>
        <w:ind w:firstLine="720"/>
        <w:jc w:val="both"/>
        <w:rPr>
          <w:rFonts w:cs="Times New Roman"/>
          <w:szCs w:val="24"/>
        </w:rPr>
      </w:pPr>
      <w:r w:rsidRPr="00493DDD">
        <w:rPr>
          <w:rFonts w:cs="Times New Roman"/>
          <w:szCs w:val="24"/>
        </w:rPr>
        <w:t xml:space="preserve">Age has a much stronger overall effect relative to gender. </w:t>
      </w:r>
      <w:r w:rsidR="0087285B" w:rsidRPr="00493DDD">
        <w:rPr>
          <w:rFonts w:cs="Times New Roman"/>
          <w:szCs w:val="24"/>
        </w:rPr>
        <w:t xml:space="preserve">In the context of age, there is clearly a high generic disinclination to purchase an AV among </w:t>
      </w:r>
      <w:r w:rsidR="00687DBB" w:rsidRPr="00493DDD">
        <w:rPr>
          <w:rFonts w:cs="Times New Roman"/>
          <w:szCs w:val="24"/>
        </w:rPr>
        <w:t>older adults</w:t>
      </w:r>
      <w:r w:rsidR="0087285B" w:rsidRPr="00493DDD">
        <w:rPr>
          <w:rFonts w:cs="Times New Roman"/>
          <w:szCs w:val="24"/>
        </w:rPr>
        <w:t>, as reflected by the 61% sub-effect attributable to a direct effect. While additional investigation to explain this large age effect would be fruitful, it is quite likely that this direct effect is strongly correlated with the perceived usability and friendliness of the human-machine interface (HMI) as embedded in AVs</w:t>
      </w:r>
      <w:r w:rsidR="00F467AD" w:rsidRPr="00493DDD">
        <w:rPr>
          <w:rFonts w:cs="Times New Roman"/>
          <w:szCs w:val="24"/>
        </w:rPr>
        <w:t>.</w:t>
      </w:r>
      <w:r w:rsidR="0087285B" w:rsidRPr="00493DDD">
        <w:rPr>
          <w:rFonts w:cs="Times New Roman"/>
          <w:szCs w:val="24"/>
        </w:rPr>
        <w:t xml:space="preserve"> This is</w:t>
      </w:r>
      <w:r w:rsidR="00687DBB" w:rsidRPr="00493DDD">
        <w:rPr>
          <w:rFonts w:cs="Times New Roman"/>
          <w:szCs w:val="24"/>
        </w:rPr>
        <w:t>sue is distinct</w:t>
      </w:r>
      <w:r w:rsidR="0087285B" w:rsidRPr="00493DDD">
        <w:rPr>
          <w:rFonts w:cs="Times New Roman"/>
          <w:szCs w:val="24"/>
        </w:rPr>
        <w:t xml:space="preserve"> from the concept of tech-savviness that is included in our current study. In particular, while an older person may be as tech-savvy in general as a younger </w:t>
      </w:r>
      <w:r w:rsidR="00687DBB" w:rsidRPr="00493DDD">
        <w:rPr>
          <w:rFonts w:cs="Times New Roman"/>
          <w:szCs w:val="24"/>
        </w:rPr>
        <w:t>individual</w:t>
      </w:r>
      <w:r w:rsidR="0087285B" w:rsidRPr="00493DDD">
        <w:rPr>
          <w:rFonts w:cs="Times New Roman"/>
          <w:szCs w:val="24"/>
        </w:rPr>
        <w:t xml:space="preserve">, the older individual may perceive lower AV usability due to </w:t>
      </w:r>
      <w:r w:rsidR="00687DBB" w:rsidRPr="00493DDD">
        <w:rPr>
          <w:rFonts w:cs="Times New Roman"/>
          <w:szCs w:val="24"/>
        </w:rPr>
        <w:t>reduced</w:t>
      </w:r>
      <w:r w:rsidR="0087285B" w:rsidRPr="00493DDD">
        <w:rPr>
          <w:rFonts w:cs="Times New Roman"/>
          <w:szCs w:val="24"/>
        </w:rPr>
        <w:t xml:space="preserve"> cognitive ability, especially in potentially time-critical circumstances such as when traveling in a vehicle. </w:t>
      </w:r>
      <w:r w:rsidR="00687DBB" w:rsidRPr="00493DDD">
        <w:rPr>
          <w:rFonts w:cs="Times New Roman"/>
          <w:szCs w:val="24"/>
        </w:rPr>
        <w:t>In this regard</w:t>
      </w:r>
      <w:r w:rsidR="00394AC2" w:rsidRPr="00493DDD">
        <w:rPr>
          <w:rFonts w:cs="Times New Roman"/>
          <w:szCs w:val="24"/>
        </w:rPr>
        <w:t xml:space="preserve">, the gerontology and </w:t>
      </w:r>
      <w:r w:rsidR="002A0718" w:rsidRPr="00493DDD">
        <w:rPr>
          <w:rFonts w:cs="Times New Roman"/>
          <w:szCs w:val="24"/>
        </w:rPr>
        <w:t>psychology</w:t>
      </w:r>
      <w:r w:rsidR="00394AC2" w:rsidRPr="00493DDD">
        <w:rPr>
          <w:rFonts w:cs="Times New Roman"/>
          <w:szCs w:val="24"/>
        </w:rPr>
        <w:t xml:space="preserve"> literature has established that ageing is </w:t>
      </w:r>
      <w:r w:rsidR="00687DBB" w:rsidRPr="00493DDD">
        <w:rPr>
          <w:rFonts w:cs="Times New Roman"/>
          <w:szCs w:val="24"/>
        </w:rPr>
        <w:t xml:space="preserve">generally </w:t>
      </w:r>
      <w:r w:rsidR="00394AC2" w:rsidRPr="00493DDD">
        <w:rPr>
          <w:rFonts w:cs="Times New Roman"/>
          <w:szCs w:val="24"/>
        </w:rPr>
        <w:t xml:space="preserve">associated with a </w:t>
      </w:r>
      <w:r w:rsidR="00687DBB" w:rsidRPr="00493DDD">
        <w:rPr>
          <w:rFonts w:cs="Times New Roman"/>
          <w:szCs w:val="24"/>
        </w:rPr>
        <w:t xml:space="preserve">decline </w:t>
      </w:r>
      <w:r w:rsidR="00394AC2" w:rsidRPr="00493DDD">
        <w:rPr>
          <w:rFonts w:cs="Times New Roman"/>
          <w:szCs w:val="24"/>
        </w:rPr>
        <w:t xml:space="preserve">in cognitive ability (such as memory, attention, and verbal and visual/spatial information retention; see Deary </w:t>
      </w:r>
      <w:r w:rsidR="00394AC2" w:rsidRPr="00493DDD">
        <w:rPr>
          <w:rFonts w:cs="Times New Roman"/>
          <w:i/>
          <w:iCs/>
          <w:szCs w:val="24"/>
        </w:rPr>
        <w:t>et al</w:t>
      </w:r>
      <w:r w:rsidR="00394AC2" w:rsidRPr="00E32A2A">
        <w:rPr>
          <w:rFonts w:cs="Times New Roman"/>
          <w:iCs/>
          <w:szCs w:val="24"/>
        </w:rPr>
        <w:t>.,</w:t>
      </w:r>
      <w:r w:rsidR="00394AC2" w:rsidRPr="00E32A2A">
        <w:rPr>
          <w:rFonts w:cs="Times New Roman"/>
          <w:szCs w:val="24"/>
        </w:rPr>
        <w:t xml:space="preserve"> </w:t>
      </w:r>
      <w:r w:rsidR="00394AC2" w:rsidRPr="00493DDD">
        <w:rPr>
          <w:rFonts w:cs="Times New Roman"/>
          <w:szCs w:val="24"/>
        </w:rPr>
        <w:t>2009</w:t>
      </w:r>
      <w:r w:rsidR="00D51049" w:rsidRPr="00493DDD">
        <w:rPr>
          <w:rFonts w:cs="Times New Roman"/>
          <w:szCs w:val="24"/>
        </w:rPr>
        <w:t xml:space="preserve"> and</w:t>
      </w:r>
      <w:r w:rsidR="00394AC2" w:rsidRPr="00493DDD">
        <w:rPr>
          <w:rFonts w:cs="Times New Roman"/>
          <w:szCs w:val="24"/>
        </w:rPr>
        <w:t xml:space="preserve"> </w:t>
      </w:r>
      <w:r w:rsidR="002A0718" w:rsidRPr="00493DDD">
        <w:rPr>
          <w:rFonts w:cs="Times New Roman"/>
          <w:szCs w:val="24"/>
        </w:rPr>
        <w:t xml:space="preserve">Boot </w:t>
      </w:r>
      <w:r w:rsidR="002A0718" w:rsidRPr="00493DDD">
        <w:rPr>
          <w:rFonts w:cs="Times New Roman"/>
          <w:i/>
          <w:iCs/>
          <w:szCs w:val="24"/>
        </w:rPr>
        <w:t>et al</w:t>
      </w:r>
      <w:r w:rsidR="002A0718" w:rsidRPr="00E32A2A">
        <w:rPr>
          <w:rFonts w:cs="Times New Roman"/>
          <w:iCs/>
          <w:szCs w:val="24"/>
        </w:rPr>
        <w:t>.,</w:t>
      </w:r>
      <w:r w:rsidR="002A0718" w:rsidRPr="00E32A2A">
        <w:rPr>
          <w:rFonts w:cs="Times New Roman"/>
          <w:szCs w:val="24"/>
        </w:rPr>
        <w:t xml:space="preserve"> </w:t>
      </w:r>
      <w:r w:rsidR="002A0718" w:rsidRPr="00493DDD">
        <w:rPr>
          <w:rFonts w:cs="Times New Roman"/>
          <w:szCs w:val="24"/>
        </w:rPr>
        <w:t>20</w:t>
      </w:r>
      <w:r w:rsidR="00D51049" w:rsidRPr="00493DDD">
        <w:rPr>
          <w:rFonts w:cs="Times New Roman"/>
          <w:szCs w:val="24"/>
        </w:rPr>
        <w:t>13</w:t>
      </w:r>
      <w:r w:rsidR="00394AC2" w:rsidRPr="00493DDD">
        <w:rPr>
          <w:rFonts w:cs="Times New Roman"/>
          <w:szCs w:val="24"/>
        </w:rPr>
        <w:t>). This leads to getting more easily overwhelmed with information</w:t>
      </w:r>
      <w:r w:rsidR="00687DBB" w:rsidRPr="00493DDD">
        <w:rPr>
          <w:rFonts w:cs="Times New Roman"/>
          <w:szCs w:val="24"/>
        </w:rPr>
        <w:t xml:space="preserve"> </w:t>
      </w:r>
      <w:r w:rsidR="00394AC2" w:rsidRPr="00493DDD">
        <w:rPr>
          <w:rFonts w:cs="Times New Roman"/>
          <w:szCs w:val="24"/>
        </w:rPr>
        <w:t>as one ages</w:t>
      </w:r>
      <w:r w:rsidR="00D51049" w:rsidRPr="00493DDD">
        <w:rPr>
          <w:rFonts w:cs="Times New Roman"/>
          <w:szCs w:val="24"/>
        </w:rPr>
        <w:t xml:space="preserve"> (Pearce, 2008)</w:t>
      </w:r>
      <w:r w:rsidR="00687DBB" w:rsidRPr="00493DDD">
        <w:rPr>
          <w:rFonts w:cs="Times New Roman"/>
          <w:szCs w:val="24"/>
        </w:rPr>
        <w:t xml:space="preserve">, and </w:t>
      </w:r>
      <w:r w:rsidR="00D51049" w:rsidRPr="00493DDD">
        <w:rPr>
          <w:rFonts w:cs="Times New Roman"/>
          <w:szCs w:val="24"/>
        </w:rPr>
        <w:t>suggest</w:t>
      </w:r>
      <w:r w:rsidR="00687DBB" w:rsidRPr="00493DDD">
        <w:rPr>
          <w:rFonts w:cs="Times New Roman"/>
          <w:szCs w:val="24"/>
        </w:rPr>
        <w:t>s</w:t>
      </w:r>
      <w:r w:rsidR="00D51049" w:rsidRPr="00493DDD">
        <w:rPr>
          <w:rFonts w:cs="Times New Roman"/>
          <w:szCs w:val="24"/>
        </w:rPr>
        <w:t xml:space="preserve"> the need for careful HMI design for AVs if older individuals are to be brought into the AV fold</w:t>
      </w:r>
      <w:r w:rsidR="00687DBB" w:rsidRPr="00493DDD">
        <w:rPr>
          <w:rFonts w:cs="Times New Roman"/>
          <w:szCs w:val="24"/>
        </w:rPr>
        <w:t>. Such design features may</w:t>
      </w:r>
      <w:r w:rsidR="00D51049" w:rsidRPr="00493DDD">
        <w:rPr>
          <w:rFonts w:cs="Times New Roman"/>
          <w:szCs w:val="24"/>
        </w:rPr>
        <w:t xml:space="preserve"> includ</w:t>
      </w:r>
      <w:r w:rsidR="00687DBB" w:rsidRPr="00493DDD">
        <w:rPr>
          <w:rFonts w:cs="Times New Roman"/>
          <w:szCs w:val="24"/>
        </w:rPr>
        <w:t>e</w:t>
      </w:r>
      <w:r w:rsidR="00D51049" w:rsidRPr="00493DDD">
        <w:rPr>
          <w:rFonts w:cs="Times New Roman"/>
          <w:szCs w:val="24"/>
        </w:rPr>
        <w:t xml:space="preserve"> (a) providing voice functionality for most tasks, and multi-modal audio/visual interfaces for high priority human-to-machine instructions, (b) avoiding unintentional activation and de-activation of computer-human control exchange, (c) </w:t>
      </w:r>
      <w:r w:rsidR="002B79B4" w:rsidRPr="00493DDD">
        <w:rPr>
          <w:rFonts w:cs="Times New Roman"/>
          <w:szCs w:val="24"/>
        </w:rPr>
        <w:t>reducing clutter and us</w:t>
      </w:r>
      <w:r w:rsidR="00687DBB" w:rsidRPr="00493DDD">
        <w:rPr>
          <w:rFonts w:cs="Times New Roman"/>
          <w:szCs w:val="24"/>
        </w:rPr>
        <w:t xml:space="preserve">ing </w:t>
      </w:r>
      <w:r w:rsidR="002B79B4" w:rsidRPr="00493DDD">
        <w:rPr>
          <w:rFonts w:cs="Times New Roman"/>
          <w:szCs w:val="24"/>
        </w:rPr>
        <w:t>simple displays with large screens</w:t>
      </w:r>
      <w:r w:rsidR="00687DBB" w:rsidRPr="00493DDD">
        <w:rPr>
          <w:rFonts w:cs="Times New Roman"/>
          <w:szCs w:val="24"/>
        </w:rPr>
        <w:t xml:space="preserve"> and </w:t>
      </w:r>
      <w:r w:rsidR="002B79B4" w:rsidRPr="00493DDD">
        <w:rPr>
          <w:rFonts w:cs="Times New Roman"/>
          <w:szCs w:val="24"/>
        </w:rPr>
        <w:t xml:space="preserve">buttons, and </w:t>
      </w:r>
      <w:r w:rsidR="00687DBB" w:rsidRPr="00493DDD">
        <w:rPr>
          <w:rFonts w:cs="Times New Roman"/>
          <w:szCs w:val="24"/>
        </w:rPr>
        <w:t xml:space="preserve">(d) </w:t>
      </w:r>
      <w:r w:rsidR="002B79B4" w:rsidRPr="00493DDD">
        <w:rPr>
          <w:rFonts w:cs="Times New Roman"/>
          <w:szCs w:val="24"/>
        </w:rPr>
        <w:t xml:space="preserve">a layered and streamlined interface using size, color, and contrast features. Of particular importance is avoiding clutter, because this can be </w:t>
      </w:r>
      <w:r w:rsidR="00687DBB" w:rsidRPr="00493DDD">
        <w:rPr>
          <w:rFonts w:cs="Times New Roman"/>
          <w:szCs w:val="24"/>
        </w:rPr>
        <w:t xml:space="preserve">off-putting </w:t>
      </w:r>
      <w:r w:rsidR="002B79B4" w:rsidRPr="00493DDD">
        <w:rPr>
          <w:rFonts w:cs="Times New Roman"/>
          <w:szCs w:val="24"/>
        </w:rPr>
        <w:t xml:space="preserve">for older individuals, given their reduced working memory and cognitive ability. In addition to AV design, video game interventions may be considered to improve the perceptual and cognitive abilities of the elderly, as has been examined by Basak </w:t>
      </w:r>
      <w:r w:rsidR="002B79B4" w:rsidRPr="00493DDD">
        <w:rPr>
          <w:rFonts w:cs="Times New Roman"/>
          <w:i/>
          <w:iCs/>
          <w:szCs w:val="24"/>
        </w:rPr>
        <w:t>et al</w:t>
      </w:r>
      <w:r w:rsidR="002B79B4" w:rsidRPr="00E32A2A">
        <w:rPr>
          <w:rFonts w:cs="Times New Roman"/>
          <w:iCs/>
          <w:szCs w:val="24"/>
        </w:rPr>
        <w:t>.,</w:t>
      </w:r>
      <w:r w:rsidR="002B79B4" w:rsidRPr="00E32A2A">
        <w:rPr>
          <w:rFonts w:cs="Times New Roman"/>
          <w:szCs w:val="24"/>
        </w:rPr>
        <w:t xml:space="preserve"> </w:t>
      </w:r>
      <w:r w:rsidR="002B79B4" w:rsidRPr="00493DDD">
        <w:rPr>
          <w:rFonts w:cs="Times New Roman"/>
          <w:szCs w:val="24"/>
        </w:rPr>
        <w:t xml:space="preserve">2008, Nouchi </w:t>
      </w:r>
      <w:r w:rsidR="002B79B4" w:rsidRPr="00493DDD">
        <w:rPr>
          <w:rFonts w:cs="Times New Roman"/>
          <w:i/>
          <w:iCs/>
          <w:szCs w:val="24"/>
        </w:rPr>
        <w:t>et al</w:t>
      </w:r>
      <w:r w:rsidR="002B79B4" w:rsidRPr="00E32A2A">
        <w:rPr>
          <w:rFonts w:cs="Times New Roman"/>
          <w:iCs/>
          <w:szCs w:val="24"/>
        </w:rPr>
        <w:t>.,</w:t>
      </w:r>
      <w:r w:rsidR="002B79B4" w:rsidRPr="00E32A2A">
        <w:rPr>
          <w:rFonts w:cs="Times New Roman"/>
          <w:szCs w:val="24"/>
        </w:rPr>
        <w:t xml:space="preserve"> </w:t>
      </w:r>
      <w:r w:rsidR="002B79B4" w:rsidRPr="00493DDD">
        <w:rPr>
          <w:rFonts w:cs="Times New Roman"/>
          <w:szCs w:val="24"/>
        </w:rPr>
        <w:t xml:space="preserve">2012, and Boot </w:t>
      </w:r>
      <w:r w:rsidR="002B79B4" w:rsidRPr="00493DDD">
        <w:rPr>
          <w:rFonts w:cs="Times New Roman"/>
          <w:i/>
          <w:iCs/>
          <w:szCs w:val="24"/>
        </w:rPr>
        <w:t>et al</w:t>
      </w:r>
      <w:r w:rsidR="002B79B4" w:rsidRPr="00E32A2A">
        <w:rPr>
          <w:rFonts w:cs="Times New Roman"/>
          <w:iCs/>
          <w:szCs w:val="24"/>
        </w:rPr>
        <w:t>.,</w:t>
      </w:r>
      <w:r w:rsidR="002B79B4" w:rsidRPr="00E32A2A">
        <w:rPr>
          <w:rFonts w:cs="Times New Roman"/>
          <w:szCs w:val="24"/>
        </w:rPr>
        <w:t xml:space="preserve"> </w:t>
      </w:r>
      <w:r w:rsidR="002B79B4" w:rsidRPr="00493DDD">
        <w:rPr>
          <w:rFonts w:cs="Times New Roman"/>
          <w:szCs w:val="24"/>
        </w:rPr>
        <w:t xml:space="preserve">2013. These studies suggest that exposure to one specific task in a video game can </w:t>
      </w:r>
      <w:r w:rsidR="00F467AD" w:rsidRPr="00493DDD">
        <w:rPr>
          <w:rFonts w:cs="Times New Roman"/>
          <w:szCs w:val="24"/>
        </w:rPr>
        <w:t>transfer</w:t>
      </w:r>
      <w:r w:rsidR="002B79B4" w:rsidRPr="00493DDD">
        <w:rPr>
          <w:rFonts w:cs="Times New Roman"/>
          <w:szCs w:val="24"/>
        </w:rPr>
        <w:t xml:space="preserve"> to a general improvement in </w:t>
      </w:r>
      <w:r w:rsidR="00F467AD" w:rsidRPr="00493DDD">
        <w:rPr>
          <w:rFonts w:cs="Times New Roman"/>
          <w:szCs w:val="24"/>
        </w:rPr>
        <w:t xml:space="preserve">cognitive ability across a broad range of even unrelated novel tasks. </w:t>
      </w:r>
      <w:r w:rsidR="002B79B4" w:rsidRPr="00493DDD">
        <w:rPr>
          <w:rFonts w:cs="Times New Roman"/>
          <w:szCs w:val="24"/>
        </w:rPr>
        <w:t>Older adults, in particular, appear to respond well to video games that involve some intellectual challenge</w:t>
      </w:r>
      <w:r w:rsidR="00F467AD" w:rsidRPr="00493DDD">
        <w:rPr>
          <w:rFonts w:cs="Times New Roman"/>
          <w:szCs w:val="24"/>
        </w:rPr>
        <w:t>, as opposed to fast-paced action games that tend to work better to improve cognitive ability among younger adults.</w:t>
      </w:r>
    </w:p>
    <w:p w14:paraId="076EC0BF" w14:textId="7B881680" w:rsidR="007501A7" w:rsidRPr="00493DDD" w:rsidRDefault="00F467AD" w:rsidP="00493DDD">
      <w:pPr>
        <w:spacing w:line="276" w:lineRule="auto"/>
        <w:ind w:firstLine="720"/>
        <w:jc w:val="both"/>
        <w:rPr>
          <w:rFonts w:cs="Times New Roman"/>
          <w:szCs w:val="24"/>
        </w:rPr>
      </w:pPr>
      <w:r w:rsidRPr="00493DDD">
        <w:rPr>
          <w:rFonts w:cs="Times New Roman"/>
          <w:szCs w:val="24"/>
        </w:rPr>
        <w:lastRenderedPageBreak/>
        <w:t>In addition to the direct age effect, the results also suggest that AV purchase among the elderly may be promoted by addressing their need for driving control</w:t>
      </w:r>
      <w:r w:rsidR="002E30BD" w:rsidRPr="00493DDD">
        <w:rPr>
          <w:rFonts w:cs="Times New Roman"/>
          <w:szCs w:val="24"/>
        </w:rPr>
        <w:t xml:space="preserve"> </w:t>
      </w:r>
      <w:r w:rsidRPr="00493DDD">
        <w:rPr>
          <w:rFonts w:cs="Times New Roman"/>
          <w:szCs w:val="24"/>
        </w:rPr>
        <w:t xml:space="preserve">and safety concern, as well as through </w:t>
      </w:r>
      <w:r w:rsidR="006C3E92" w:rsidRPr="00493DDD">
        <w:rPr>
          <w:rFonts w:cs="Times New Roman"/>
          <w:szCs w:val="24"/>
        </w:rPr>
        <w:t xml:space="preserve">tech-savviness information campaigns. Of these, addressing the driving control issue seems particularly important. As discussed earlier, </w:t>
      </w:r>
      <w:r w:rsidR="00687DBB" w:rsidRPr="00493DDD">
        <w:rPr>
          <w:rFonts w:cs="Times New Roman"/>
          <w:szCs w:val="24"/>
        </w:rPr>
        <w:t xml:space="preserve">retaining </w:t>
      </w:r>
      <w:r w:rsidR="006C3E92" w:rsidRPr="00493DDD">
        <w:rPr>
          <w:rFonts w:cs="Times New Roman"/>
          <w:szCs w:val="24"/>
        </w:rPr>
        <w:t xml:space="preserve">driving control may </w:t>
      </w:r>
      <w:r w:rsidR="00687DBB" w:rsidRPr="00493DDD">
        <w:rPr>
          <w:rFonts w:cs="Times New Roman"/>
          <w:szCs w:val="24"/>
        </w:rPr>
        <w:t xml:space="preserve">constitute a means </w:t>
      </w:r>
      <w:r w:rsidR="006C3E92" w:rsidRPr="00493DDD">
        <w:rPr>
          <w:rFonts w:cs="Times New Roman"/>
          <w:szCs w:val="24"/>
        </w:rPr>
        <w:t xml:space="preserve">for </w:t>
      </w:r>
      <w:r w:rsidR="00C93D45" w:rsidRPr="00493DDD">
        <w:rPr>
          <w:rFonts w:cs="Times New Roman"/>
          <w:szCs w:val="24"/>
        </w:rPr>
        <w:t xml:space="preserve">older adults </w:t>
      </w:r>
      <w:r w:rsidR="006C3E92" w:rsidRPr="00493DDD">
        <w:rPr>
          <w:rFonts w:cs="Times New Roman"/>
          <w:szCs w:val="24"/>
        </w:rPr>
        <w:t xml:space="preserve">to </w:t>
      </w:r>
      <w:r w:rsidR="000A0D68" w:rsidRPr="00493DDD">
        <w:rPr>
          <w:rFonts w:cs="Times New Roman"/>
          <w:szCs w:val="24"/>
        </w:rPr>
        <w:t>preserve</w:t>
      </w:r>
      <w:r w:rsidR="006C3E92" w:rsidRPr="00493DDD">
        <w:rPr>
          <w:rFonts w:cs="Times New Roman"/>
          <w:szCs w:val="24"/>
        </w:rPr>
        <w:t xml:space="preserve"> </w:t>
      </w:r>
      <w:r w:rsidR="000A0D68" w:rsidRPr="00493DDD">
        <w:rPr>
          <w:rFonts w:cs="Times New Roman"/>
          <w:szCs w:val="24"/>
        </w:rPr>
        <w:t>a</w:t>
      </w:r>
      <w:r w:rsidR="006C3E92" w:rsidRPr="00493DDD">
        <w:rPr>
          <w:rFonts w:cs="Times New Roman"/>
          <w:szCs w:val="24"/>
        </w:rPr>
        <w:t xml:space="preserve"> sense of identity and not disrupt their usual way of life. However, the new cohort of the elderly tend to be more physically active, and more open to “seeing the world” (</w:t>
      </w:r>
      <w:r w:rsidR="00C63F62" w:rsidRPr="00493DDD">
        <w:rPr>
          <w:rFonts w:cs="Times New Roman"/>
          <w:szCs w:val="24"/>
        </w:rPr>
        <w:t>Levy, 2020</w:t>
      </w:r>
      <w:r w:rsidR="006C3E92" w:rsidRPr="00493DDD">
        <w:rPr>
          <w:rFonts w:cs="Times New Roman"/>
          <w:szCs w:val="24"/>
        </w:rPr>
        <w:t xml:space="preserve">). This tendency can be beneficially </w:t>
      </w:r>
      <w:r w:rsidR="000A0D68" w:rsidRPr="00493DDD">
        <w:rPr>
          <w:rFonts w:cs="Times New Roman"/>
          <w:szCs w:val="24"/>
        </w:rPr>
        <w:t xml:space="preserve">tapped into </w:t>
      </w:r>
      <w:r w:rsidR="006C3E92" w:rsidRPr="00493DDD">
        <w:rPr>
          <w:rFonts w:cs="Times New Roman"/>
          <w:szCs w:val="24"/>
        </w:rPr>
        <w:t xml:space="preserve">by positioning AVs as the new “vehicle” for </w:t>
      </w:r>
      <w:r w:rsidR="00C93D45" w:rsidRPr="00493DDD">
        <w:rPr>
          <w:rFonts w:cs="Times New Roman"/>
          <w:szCs w:val="24"/>
        </w:rPr>
        <w:t>older adults</w:t>
      </w:r>
      <w:r w:rsidR="006C3E92" w:rsidRPr="00493DDD">
        <w:rPr>
          <w:rFonts w:cs="Times New Roman"/>
          <w:szCs w:val="24"/>
        </w:rPr>
        <w:t xml:space="preserve"> to </w:t>
      </w:r>
      <w:r w:rsidR="00C93D45" w:rsidRPr="00493DDD">
        <w:rPr>
          <w:rFonts w:cs="Times New Roman"/>
          <w:szCs w:val="24"/>
        </w:rPr>
        <w:t>fulfill</w:t>
      </w:r>
      <w:r w:rsidR="006C3E92" w:rsidRPr="00493DDD">
        <w:rPr>
          <w:rFonts w:cs="Times New Roman"/>
          <w:szCs w:val="24"/>
        </w:rPr>
        <w:t xml:space="preserve"> their </w:t>
      </w:r>
      <w:r w:rsidR="00C93D45" w:rsidRPr="00493DDD">
        <w:rPr>
          <w:rFonts w:cs="Times New Roman"/>
          <w:szCs w:val="24"/>
        </w:rPr>
        <w:t xml:space="preserve">bucket-list of places to visit, </w:t>
      </w:r>
      <w:r w:rsidR="000A0D68" w:rsidRPr="00493DDD">
        <w:rPr>
          <w:rFonts w:cs="Times New Roman"/>
          <w:szCs w:val="24"/>
        </w:rPr>
        <w:t xml:space="preserve">thus </w:t>
      </w:r>
      <w:r w:rsidR="00C93D45" w:rsidRPr="00493DDD">
        <w:rPr>
          <w:rFonts w:cs="Times New Roman"/>
          <w:szCs w:val="24"/>
        </w:rPr>
        <w:t>reignit</w:t>
      </w:r>
      <w:r w:rsidR="000A0D68" w:rsidRPr="00493DDD">
        <w:rPr>
          <w:rFonts w:cs="Times New Roman"/>
          <w:szCs w:val="24"/>
        </w:rPr>
        <w:t>ing</w:t>
      </w:r>
      <w:r w:rsidR="00C93D45" w:rsidRPr="00493DDD">
        <w:rPr>
          <w:rFonts w:cs="Times New Roman"/>
          <w:szCs w:val="24"/>
        </w:rPr>
        <w:t xml:space="preserve"> their sense of adventure and exploration. Doing so can also</w:t>
      </w:r>
      <w:r w:rsidR="000A0D68" w:rsidRPr="00493DDD">
        <w:rPr>
          <w:rFonts w:cs="Times New Roman"/>
          <w:szCs w:val="24"/>
        </w:rPr>
        <w:t xml:space="preserve"> </w:t>
      </w:r>
      <w:r w:rsidR="00C93D45" w:rsidRPr="00493DDD">
        <w:rPr>
          <w:rFonts w:cs="Times New Roman"/>
          <w:szCs w:val="24"/>
        </w:rPr>
        <w:t>address</w:t>
      </w:r>
      <w:r w:rsidR="000A0D68" w:rsidRPr="00493DDD">
        <w:rPr>
          <w:rFonts w:cs="Times New Roman"/>
          <w:szCs w:val="24"/>
        </w:rPr>
        <w:t xml:space="preserve"> </w:t>
      </w:r>
      <w:r w:rsidR="00C93D45" w:rsidRPr="00493DDD">
        <w:rPr>
          <w:rFonts w:cs="Times New Roman"/>
          <w:szCs w:val="24"/>
        </w:rPr>
        <w:t xml:space="preserve">any mobility control concerns that older adults may have with AV use. </w:t>
      </w:r>
      <w:r w:rsidR="007501A7" w:rsidRPr="00493DDD">
        <w:rPr>
          <w:rFonts w:cs="Times New Roman"/>
          <w:szCs w:val="24"/>
        </w:rPr>
        <w:t>Addressing these mobility control concerns appear particularly important for SAV use among older adults, as reflected in the 4</w:t>
      </w:r>
      <w:r w:rsidR="002E30BD" w:rsidRPr="00493DDD">
        <w:rPr>
          <w:rFonts w:cs="Times New Roman"/>
          <w:szCs w:val="24"/>
        </w:rPr>
        <w:t>1</w:t>
      </w:r>
      <w:r w:rsidR="007501A7" w:rsidRPr="00493DDD">
        <w:rPr>
          <w:rFonts w:cs="Times New Roman"/>
          <w:szCs w:val="24"/>
        </w:rPr>
        <w:t xml:space="preserve">% contribution of this latent construct to the overall ATE for SAV use (see the row corresponding to age in the lower panel of Table </w:t>
      </w:r>
      <w:r w:rsidR="006B3123">
        <w:rPr>
          <w:rFonts w:cs="Times New Roman"/>
          <w:szCs w:val="24"/>
        </w:rPr>
        <w:t>7</w:t>
      </w:r>
      <w:r w:rsidR="007501A7" w:rsidRPr="00493DDD">
        <w:rPr>
          <w:rFonts w:cs="Times New Roman"/>
          <w:szCs w:val="24"/>
        </w:rPr>
        <w:t xml:space="preserve">). Promoting SAV use as a way to avoid the </w:t>
      </w:r>
      <w:r w:rsidR="00B51419" w:rsidRPr="00493DDD">
        <w:rPr>
          <w:rFonts w:cs="Times New Roman"/>
          <w:szCs w:val="24"/>
        </w:rPr>
        <w:t>“has</w:t>
      </w:r>
      <w:r w:rsidR="000A0D68" w:rsidRPr="00493DDD">
        <w:rPr>
          <w:rFonts w:cs="Times New Roman"/>
          <w:szCs w:val="24"/>
        </w:rPr>
        <w:t>s</w:t>
      </w:r>
      <w:r w:rsidR="00B51419" w:rsidRPr="00493DDD">
        <w:rPr>
          <w:rFonts w:cs="Times New Roman"/>
          <w:szCs w:val="24"/>
        </w:rPr>
        <w:t>le”</w:t>
      </w:r>
      <w:r w:rsidR="007501A7" w:rsidRPr="00493DDD">
        <w:rPr>
          <w:rFonts w:cs="Times New Roman"/>
          <w:szCs w:val="24"/>
        </w:rPr>
        <w:t xml:space="preserve"> of finding parking spots close to destination points can be a particularly effective way to highlight the positive benefits of SAV use</w:t>
      </w:r>
      <w:r w:rsidR="00C71873" w:rsidRPr="00493DDD">
        <w:rPr>
          <w:rFonts w:cs="Times New Roman"/>
          <w:szCs w:val="24"/>
        </w:rPr>
        <w:t xml:space="preserve"> and </w:t>
      </w:r>
      <w:r w:rsidR="00B51419" w:rsidRPr="00493DDD">
        <w:rPr>
          <w:rFonts w:cs="Times New Roman"/>
          <w:szCs w:val="24"/>
        </w:rPr>
        <w:t>instill a sense of</w:t>
      </w:r>
      <w:r w:rsidR="00C71873" w:rsidRPr="00493DDD">
        <w:rPr>
          <w:rFonts w:cs="Times New Roman"/>
          <w:szCs w:val="24"/>
        </w:rPr>
        <w:t xml:space="preserve"> </w:t>
      </w:r>
      <w:r w:rsidR="0066571C" w:rsidRPr="00493DDD">
        <w:rPr>
          <w:rFonts w:cs="Times New Roman"/>
          <w:szCs w:val="24"/>
        </w:rPr>
        <w:t>mobility control. Another approach can be to have a high priority SAV pre-reservation system for older adults, whereby they are guaranteed mobility services at times of their choosing during the week</w:t>
      </w:r>
      <w:r w:rsidR="004802AC" w:rsidRPr="00493DDD">
        <w:rPr>
          <w:rFonts w:cs="Times New Roman"/>
          <w:szCs w:val="24"/>
        </w:rPr>
        <w:t xml:space="preserve">. This should alleviate any concerns among older adults about time delays caused by SAVs, while the </w:t>
      </w:r>
      <w:r w:rsidR="000A0D68" w:rsidRPr="00493DDD">
        <w:rPr>
          <w:rFonts w:cs="Times New Roman"/>
          <w:szCs w:val="24"/>
        </w:rPr>
        <w:t xml:space="preserve">typical </w:t>
      </w:r>
      <w:r w:rsidR="0066571C" w:rsidRPr="00493DDD">
        <w:rPr>
          <w:rFonts w:cs="Times New Roman"/>
          <w:szCs w:val="24"/>
        </w:rPr>
        <w:t>spatio-temporal rigidity of the schedule</w:t>
      </w:r>
      <w:r w:rsidR="004802AC" w:rsidRPr="00493DDD">
        <w:rPr>
          <w:rFonts w:cs="Times New Roman"/>
          <w:szCs w:val="24"/>
        </w:rPr>
        <w:t>s of older adults should make such an arrangement practical for SAV fleet manage</w:t>
      </w:r>
      <w:r w:rsidR="000A0D68" w:rsidRPr="00493DDD">
        <w:rPr>
          <w:rFonts w:cs="Times New Roman"/>
          <w:szCs w:val="24"/>
        </w:rPr>
        <w:t>rs</w:t>
      </w:r>
      <w:r w:rsidR="004802AC" w:rsidRPr="00493DDD">
        <w:rPr>
          <w:rFonts w:cs="Times New Roman"/>
          <w:szCs w:val="24"/>
        </w:rPr>
        <w:t xml:space="preserve">. </w:t>
      </w:r>
    </w:p>
    <w:p w14:paraId="58F6508A" w14:textId="77777777" w:rsidR="0016254A" w:rsidRPr="00493DDD" w:rsidRDefault="001C206D" w:rsidP="00493DDD">
      <w:pPr>
        <w:spacing w:line="276" w:lineRule="auto"/>
        <w:ind w:firstLine="720"/>
        <w:jc w:val="both"/>
        <w:rPr>
          <w:rFonts w:cs="Times New Roman"/>
          <w:szCs w:val="24"/>
        </w:rPr>
      </w:pPr>
      <w:r w:rsidRPr="00493DDD">
        <w:rPr>
          <w:rFonts w:cs="Times New Roman"/>
          <w:szCs w:val="24"/>
        </w:rPr>
        <w:t xml:space="preserve">The </w:t>
      </w:r>
      <w:r w:rsidR="006B13EF" w:rsidRPr="00493DDD">
        <w:rPr>
          <w:rFonts w:cs="Times New Roman"/>
          <w:szCs w:val="24"/>
        </w:rPr>
        <w:t xml:space="preserve">overall ATE </w:t>
      </w:r>
      <w:r w:rsidRPr="00493DDD">
        <w:rPr>
          <w:rFonts w:cs="Times New Roman"/>
          <w:szCs w:val="24"/>
        </w:rPr>
        <w:t xml:space="preserve">effects of employment status, </w:t>
      </w:r>
      <w:r w:rsidR="00353433" w:rsidRPr="00493DDD">
        <w:rPr>
          <w:rFonts w:cs="Times New Roman"/>
          <w:szCs w:val="24"/>
        </w:rPr>
        <w:t xml:space="preserve">education, </w:t>
      </w:r>
      <w:r w:rsidRPr="00493DDD">
        <w:rPr>
          <w:rFonts w:cs="Times New Roman"/>
          <w:szCs w:val="24"/>
        </w:rPr>
        <w:t xml:space="preserve">and household income on </w:t>
      </w:r>
      <w:r w:rsidR="006B13EF" w:rsidRPr="00493DDD">
        <w:rPr>
          <w:rFonts w:cs="Times New Roman"/>
          <w:szCs w:val="24"/>
        </w:rPr>
        <w:t xml:space="preserve">AV and SAV use are relatively modest. While </w:t>
      </w:r>
      <w:r w:rsidR="00353433" w:rsidRPr="00493DDD">
        <w:rPr>
          <w:rFonts w:cs="Times New Roman"/>
          <w:szCs w:val="24"/>
        </w:rPr>
        <w:t>the employment status effect corresponds to a safety concern sub-effect, the</w:t>
      </w:r>
      <w:r w:rsidR="006B13EF" w:rsidRPr="00493DDD">
        <w:rPr>
          <w:rFonts w:cs="Times New Roman"/>
          <w:szCs w:val="24"/>
        </w:rPr>
        <w:t xml:space="preserve"> education effect is primarily manifested through a driving control sub-effect</w:t>
      </w:r>
      <w:r w:rsidR="00353433" w:rsidRPr="00493DDD">
        <w:rPr>
          <w:rFonts w:cs="Times New Roman"/>
          <w:szCs w:val="24"/>
        </w:rPr>
        <w:t xml:space="preserve">, </w:t>
      </w:r>
      <w:r w:rsidR="006B13EF" w:rsidRPr="00493DDD">
        <w:rPr>
          <w:rFonts w:cs="Times New Roman"/>
          <w:szCs w:val="24"/>
        </w:rPr>
        <w:t xml:space="preserve">and the income effect is associated with a tech-savviness effect. </w:t>
      </w:r>
      <w:r w:rsidR="00353433" w:rsidRPr="00493DDD">
        <w:rPr>
          <w:rFonts w:cs="Times New Roman"/>
          <w:szCs w:val="24"/>
        </w:rPr>
        <w:t xml:space="preserve">Approaches to address the elevated safety concerns among those who are unemployed can be similar to those identified earlier </w:t>
      </w:r>
      <w:r w:rsidR="000A0D68" w:rsidRPr="00493DDD">
        <w:rPr>
          <w:rFonts w:cs="Times New Roman"/>
          <w:szCs w:val="24"/>
        </w:rPr>
        <w:t xml:space="preserve">for </w:t>
      </w:r>
      <w:r w:rsidR="00353433" w:rsidRPr="00493DDD">
        <w:rPr>
          <w:rFonts w:cs="Times New Roman"/>
          <w:szCs w:val="24"/>
        </w:rPr>
        <w:t>women. In the context of the education effect,</w:t>
      </w:r>
      <w:r w:rsidR="001C6C47" w:rsidRPr="00493DDD">
        <w:rPr>
          <w:rFonts w:cs="Times New Roman"/>
          <w:szCs w:val="24"/>
        </w:rPr>
        <w:t xml:space="preserve"> </w:t>
      </w:r>
      <w:r w:rsidR="00353433" w:rsidRPr="00493DDD">
        <w:rPr>
          <w:rFonts w:cs="Times New Roman"/>
          <w:szCs w:val="24"/>
        </w:rPr>
        <w:t xml:space="preserve">similar to women, </w:t>
      </w:r>
      <w:r w:rsidR="001C6C47" w:rsidRPr="00493DDD">
        <w:rPr>
          <w:rFonts w:cs="Times New Roman"/>
          <w:szCs w:val="24"/>
        </w:rPr>
        <w:t>those who are not highly educated may view driving as one of the few ways to retain a sense of control and empowerment</w:t>
      </w:r>
      <w:r w:rsidR="00353433" w:rsidRPr="00493DDD">
        <w:rPr>
          <w:rFonts w:cs="Times New Roman"/>
          <w:szCs w:val="24"/>
        </w:rPr>
        <w:t xml:space="preserve"> in their lives</w:t>
      </w:r>
      <w:r w:rsidR="001C6C47" w:rsidRPr="00493DDD">
        <w:rPr>
          <w:rFonts w:cs="Times New Roman"/>
          <w:szCs w:val="24"/>
        </w:rPr>
        <w:t>. In fact, some of these relatively low educated individuals</w:t>
      </w:r>
      <w:r w:rsidR="00185D83" w:rsidRPr="00493DDD">
        <w:rPr>
          <w:rFonts w:cs="Times New Roman"/>
          <w:szCs w:val="24"/>
        </w:rPr>
        <w:t xml:space="preserve"> </w:t>
      </w:r>
      <w:r w:rsidR="001C6C47" w:rsidRPr="00493DDD">
        <w:rPr>
          <w:rFonts w:cs="Times New Roman"/>
          <w:szCs w:val="24"/>
        </w:rPr>
        <w:t>make their living through driving for taxicab and ride-hailing companies</w:t>
      </w:r>
      <w:r w:rsidR="00185D83" w:rsidRPr="00493DDD">
        <w:rPr>
          <w:rFonts w:cs="Times New Roman"/>
          <w:szCs w:val="24"/>
        </w:rPr>
        <w:t xml:space="preserve"> (a study by the UCLA Labor Center </w:t>
      </w:r>
      <w:r w:rsidR="009C3E15" w:rsidRPr="00493DDD">
        <w:rPr>
          <w:rFonts w:cs="Times New Roman"/>
          <w:szCs w:val="24"/>
        </w:rPr>
        <w:t>(</w:t>
      </w:r>
      <w:r w:rsidR="00185D83" w:rsidRPr="00493DDD">
        <w:rPr>
          <w:rFonts w:cs="Times New Roman"/>
          <w:szCs w:val="24"/>
        </w:rPr>
        <w:t>2018</w:t>
      </w:r>
      <w:r w:rsidR="009C3E15" w:rsidRPr="00493DDD">
        <w:rPr>
          <w:rFonts w:cs="Times New Roman"/>
          <w:szCs w:val="24"/>
        </w:rPr>
        <w:t>)</w:t>
      </w:r>
      <w:r w:rsidR="000A0D68" w:rsidRPr="00493DDD">
        <w:rPr>
          <w:rFonts w:cs="Times New Roman"/>
          <w:szCs w:val="24"/>
        </w:rPr>
        <w:t xml:space="preserve"> </w:t>
      </w:r>
      <w:r w:rsidR="00185D83" w:rsidRPr="00493DDD">
        <w:rPr>
          <w:rFonts w:cs="Times New Roman"/>
          <w:szCs w:val="24"/>
        </w:rPr>
        <w:t>observes that two-thirds of ride-hailing drivers depend on driving as their main source of income, and a high percentage of full-time ride-hailing drivers are recent immigrants with a low wage occupation). These individuals</w:t>
      </w:r>
      <w:r w:rsidR="001C6C47" w:rsidRPr="00493DDD">
        <w:rPr>
          <w:rFonts w:cs="Times New Roman"/>
          <w:szCs w:val="24"/>
        </w:rPr>
        <w:t xml:space="preserve"> </w:t>
      </w:r>
      <w:r w:rsidR="00185D83" w:rsidRPr="00493DDD">
        <w:rPr>
          <w:rFonts w:cs="Times New Roman"/>
          <w:szCs w:val="24"/>
        </w:rPr>
        <w:t xml:space="preserve">are likely to view </w:t>
      </w:r>
      <w:r w:rsidR="001C6C47" w:rsidRPr="00493DDD">
        <w:rPr>
          <w:rFonts w:cs="Times New Roman"/>
          <w:szCs w:val="24"/>
        </w:rPr>
        <w:t>driving</w:t>
      </w:r>
      <w:r w:rsidR="00185D83" w:rsidRPr="00493DDD">
        <w:rPr>
          <w:rFonts w:cs="Times New Roman"/>
          <w:szCs w:val="24"/>
        </w:rPr>
        <w:t xml:space="preserve"> </w:t>
      </w:r>
      <w:r w:rsidR="001C6C47" w:rsidRPr="00493DDD">
        <w:rPr>
          <w:rFonts w:cs="Times New Roman"/>
          <w:szCs w:val="24"/>
        </w:rPr>
        <w:t xml:space="preserve">automation as </w:t>
      </w:r>
      <w:r w:rsidR="00185D83" w:rsidRPr="00493DDD">
        <w:rPr>
          <w:rFonts w:cs="Times New Roman"/>
          <w:szCs w:val="24"/>
        </w:rPr>
        <w:t>an</w:t>
      </w:r>
      <w:r w:rsidR="001C6C47" w:rsidRPr="00493DDD">
        <w:rPr>
          <w:rFonts w:cs="Times New Roman"/>
          <w:szCs w:val="24"/>
        </w:rPr>
        <w:t xml:space="preserve"> act of robbing</w:t>
      </w:r>
      <w:r w:rsidR="00185D83" w:rsidRPr="00493DDD">
        <w:rPr>
          <w:rFonts w:cs="Times New Roman"/>
          <w:szCs w:val="24"/>
        </w:rPr>
        <w:t xml:space="preserve"> them of </w:t>
      </w:r>
      <w:r w:rsidR="001C6C47" w:rsidRPr="00493DDD">
        <w:rPr>
          <w:rFonts w:cs="Times New Roman"/>
          <w:szCs w:val="24"/>
        </w:rPr>
        <w:t xml:space="preserve">their very livelihoods. </w:t>
      </w:r>
      <w:r w:rsidR="00312426" w:rsidRPr="00493DDD">
        <w:rPr>
          <w:rFonts w:cs="Times New Roman"/>
          <w:szCs w:val="24"/>
        </w:rPr>
        <w:t xml:space="preserve">Thus, it is imperative that, even as AV adoption is promoted, affordable retraining programs </w:t>
      </w:r>
      <w:r w:rsidR="00423EE7" w:rsidRPr="00493DDD">
        <w:rPr>
          <w:rFonts w:cs="Times New Roman"/>
          <w:szCs w:val="24"/>
        </w:rPr>
        <w:t xml:space="preserve">are </w:t>
      </w:r>
      <w:r w:rsidR="000A0D68" w:rsidRPr="00493DDD">
        <w:rPr>
          <w:rFonts w:cs="Times New Roman"/>
          <w:szCs w:val="24"/>
        </w:rPr>
        <w:t xml:space="preserve">designed </w:t>
      </w:r>
      <w:r w:rsidR="00312426" w:rsidRPr="00493DDD">
        <w:rPr>
          <w:rFonts w:cs="Times New Roman"/>
          <w:szCs w:val="24"/>
        </w:rPr>
        <w:t xml:space="preserve">for </w:t>
      </w:r>
      <w:r w:rsidR="00423EE7" w:rsidRPr="00493DDD">
        <w:rPr>
          <w:rFonts w:cs="Times New Roman"/>
          <w:szCs w:val="24"/>
        </w:rPr>
        <w:t xml:space="preserve">those who will be directly impacted by </w:t>
      </w:r>
      <w:r w:rsidR="00312426" w:rsidRPr="00493DDD">
        <w:rPr>
          <w:rFonts w:cs="Times New Roman"/>
          <w:szCs w:val="24"/>
        </w:rPr>
        <w:t>automatio</w:t>
      </w:r>
      <w:r w:rsidR="00423EE7" w:rsidRPr="00493DDD">
        <w:rPr>
          <w:rFonts w:cs="Times New Roman"/>
          <w:szCs w:val="24"/>
        </w:rPr>
        <w:t>n.</w:t>
      </w:r>
    </w:p>
    <w:p w14:paraId="52A85F96" w14:textId="2ED417A6" w:rsidR="0016254A" w:rsidRPr="00493DDD" w:rsidRDefault="007213F4" w:rsidP="00493DDD">
      <w:pPr>
        <w:spacing w:line="276" w:lineRule="auto"/>
        <w:ind w:firstLine="720"/>
        <w:jc w:val="both"/>
        <w:rPr>
          <w:rFonts w:cs="Times New Roman"/>
          <w:szCs w:val="24"/>
        </w:rPr>
      </w:pPr>
      <w:r w:rsidRPr="00493DDD">
        <w:rPr>
          <w:rFonts w:cs="Times New Roman"/>
          <w:szCs w:val="24"/>
        </w:rPr>
        <w:t xml:space="preserve">Interestingly, our results show that interventions aimed at increasing tech-savviness considerations are generally less important than interventions aimed at decreasing driving control/mobility control needs and safety concerns. However, while campaigns to enhance tech-savviness levels (especially directed toward women, older adults, and individuals with low education levels and low income) may not yield substantial benefits, they can be used as supplemental strategies to increase AV uptake. As observed by Nair and Bhat (2020) such tech-savviness campaigns should not be generic discourses about technology, but </w:t>
      </w:r>
      <w:r w:rsidR="009E3171" w:rsidRPr="00493DDD">
        <w:rPr>
          <w:rFonts w:cs="Times New Roman"/>
          <w:szCs w:val="24"/>
        </w:rPr>
        <w:t xml:space="preserve">should </w:t>
      </w:r>
      <w:r w:rsidRPr="00493DDD">
        <w:rPr>
          <w:rFonts w:cs="Times New Roman"/>
          <w:szCs w:val="24"/>
        </w:rPr>
        <w:t xml:space="preserve">emphasize </w:t>
      </w:r>
      <w:r w:rsidRPr="00493DDD">
        <w:rPr>
          <w:rFonts w:cs="Times New Roman"/>
          <w:szCs w:val="24"/>
        </w:rPr>
        <w:lastRenderedPageBreak/>
        <w:t>AV</w:t>
      </w:r>
      <w:r w:rsidR="009E3171" w:rsidRPr="00493DDD">
        <w:rPr>
          <w:rFonts w:cs="Times New Roman"/>
          <w:szCs w:val="24"/>
        </w:rPr>
        <w:t xml:space="preserve"> technology and use</w:t>
      </w:r>
      <w:r w:rsidRPr="00493DDD">
        <w:rPr>
          <w:rFonts w:cs="Times New Roman"/>
          <w:szCs w:val="24"/>
        </w:rPr>
        <w:t xml:space="preserve"> in the context of the current lifestyles and habits of </w:t>
      </w:r>
      <w:r w:rsidR="009E3171" w:rsidRPr="00493DDD">
        <w:rPr>
          <w:rFonts w:cs="Times New Roman"/>
          <w:szCs w:val="24"/>
        </w:rPr>
        <w:t>the target audience</w:t>
      </w:r>
      <w:r w:rsidRPr="00493DDD">
        <w:rPr>
          <w:rFonts w:cs="Times New Roman"/>
          <w:szCs w:val="24"/>
        </w:rPr>
        <w:t xml:space="preserve">. </w:t>
      </w:r>
      <w:r w:rsidR="009E3171" w:rsidRPr="00493DDD">
        <w:rPr>
          <w:rFonts w:cs="Times New Roman"/>
          <w:szCs w:val="24"/>
        </w:rPr>
        <w:t xml:space="preserve">Such campaigns should underscore the socio-technical element in technology adoption by integrating the </w:t>
      </w:r>
      <w:r w:rsidRPr="00493DDD">
        <w:rPr>
          <w:rFonts w:cs="Times New Roman"/>
          <w:szCs w:val="24"/>
        </w:rPr>
        <w:t xml:space="preserve">technological “geek” with human social </w:t>
      </w:r>
      <w:r w:rsidR="009E3171" w:rsidRPr="00493DDD">
        <w:rPr>
          <w:rFonts w:cs="Times New Roman"/>
          <w:szCs w:val="24"/>
        </w:rPr>
        <w:t xml:space="preserve">and anthropological </w:t>
      </w:r>
      <w:r w:rsidRPr="00493DDD">
        <w:rPr>
          <w:rFonts w:cs="Times New Roman"/>
          <w:szCs w:val="24"/>
        </w:rPr>
        <w:t>considerations</w:t>
      </w:r>
      <w:r w:rsidR="009E3171" w:rsidRPr="00493DDD">
        <w:rPr>
          <w:rFonts w:cs="Times New Roman"/>
          <w:szCs w:val="24"/>
        </w:rPr>
        <w:t>.</w:t>
      </w:r>
    </w:p>
    <w:p w14:paraId="4AEAA77B" w14:textId="199C0B8E" w:rsidR="0016254A" w:rsidRPr="00493DDD" w:rsidRDefault="00353433" w:rsidP="00493DDD">
      <w:pPr>
        <w:pStyle w:val="NormalWeb"/>
        <w:spacing w:after="0" w:line="276" w:lineRule="auto"/>
        <w:ind w:firstLine="720"/>
        <w:jc w:val="both"/>
      </w:pPr>
      <w:r w:rsidRPr="00493DDD">
        <w:t>The trip-level attribute effects indicate, as exp</w:t>
      </w:r>
      <w:r w:rsidR="00D25C81" w:rsidRPr="00493DDD">
        <w:t>e</w:t>
      </w:r>
      <w:r w:rsidRPr="00493DDD">
        <w:t xml:space="preserve">cted, the relatively high sensitivity of individuals to the fixed cost of an AV and the variable cost for SAV. </w:t>
      </w:r>
      <w:r w:rsidR="00D25C81" w:rsidRPr="00493DDD">
        <w:t xml:space="preserve">In terms of relative magnitude effects, a </w:t>
      </w:r>
      <w:r w:rsidR="00363BE9" w:rsidRPr="00493DDD">
        <w:t>change</w:t>
      </w:r>
      <w:r w:rsidR="00D25C81" w:rsidRPr="00493DDD">
        <w:t xml:space="preserve"> in fixed cost by $50 per month has a higher impact on AV purchase than </w:t>
      </w:r>
      <w:r w:rsidR="00A62BE9" w:rsidRPr="00493DDD">
        <w:t xml:space="preserve">the employment status, education, and income effects. However, the age and gender effects still dominate. </w:t>
      </w:r>
      <w:r w:rsidR="00D25C81" w:rsidRPr="00493DDD">
        <w:t xml:space="preserve">Similarly, a change in </w:t>
      </w:r>
      <w:r w:rsidR="00E054C1" w:rsidRPr="00493DDD">
        <w:t xml:space="preserve">variable SAV cost </w:t>
      </w:r>
      <w:r w:rsidR="009F6A0C" w:rsidRPr="00493DDD">
        <w:t xml:space="preserve">from $1.75 per month to $1.25 per month </w:t>
      </w:r>
      <w:r w:rsidR="00E054C1" w:rsidRPr="00493DDD">
        <w:t>has a reasonable impact on SAV use</w:t>
      </w:r>
      <w:r w:rsidR="00A62BE9" w:rsidRPr="00493DDD">
        <w:t xml:space="preserve"> (see last row of Table </w:t>
      </w:r>
      <w:r w:rsidR="006B3123">
        <w:t>7</w:t>
      </w:r>
      <w:r w:rsidR="00A62BE9" w:rsidRPr="00493DDD">
        <w:t>)</w:t>
      </w:r>
      <w:r w:rsidR="00E054C1" w:rsidRPr="00493DDD">
        <w:t xml:space="preserve">, </w:t>
      </w:r>
      <w:r w:rsidR="00A62BE9" w:rsidRPr="00493DDD">
        <w:t xml:space="preserve">but is </w:t>
      </w:r>
      <w:r w:rsidR="00E054C1" w:rsidRPr="00493DDD">
        <w:t>overshadowed (again) by the age effect.</w:t>
      </w:r>
    </w:p>
    <w:p w14:paraId="11DDB429" w14:textId="2067D888" w:rsidR="00363BE9" w:rsidRPr="00493DDD" w:rsidRDefault="00E054C1" w:rsidP="00493DDD">
      <w:pPr>
        <w:pStyle w:val="NormalWeb"/>
        <w:spacing w:after="0" w:line="276" w:lineRule="auto"/>
        <w:ind w:firstLine="720"/>
        <w:jc w:val="both"/>
      </w:pPr>
      <w:r w:rsidRPr="00493DDD">
        <w:t xml:space="preserve"> </w:t>
      </w:r>
    </w:p>
    <w:p w14:paraId="67DFB4AE" w14:textId="4BEE50EA" w:rsidR="00AF3954" w:rsidRPr="00493DDD" w:rsidRDefault="0060558B" w:rsidP="00493DDD">
      <w:pPr>
        <w:spacing w:line="276" w:lineRule="auto"/>
        <w:ind w:left="540" w:hanging="540"/>
        <w:jc w:val="both"/>
        <w:rPr>
          <w:rFonts w:cs="Times New Roman"/>
          <w:b/>
          <w:szCs w:val="24"/>
        </w:rPr>
      </w:pPr>
      <w:r w:rsidRPr="00493DDD">
        <w:rPr>
          <w:rFonts w:cs="Times New Roman"/>
          <w:b/>
          <w:szCs w:val="24"/>
        </w:rPr>
        <w:t>5</w:t>
      </w:r>
      <w:r w:rsidR="00E07C9E" w:rsidRPr="00493DDD">
        <w:rPr>
          <w:rFonts w:cs="Times New Roman"/>
          <w:b/>
          <w:szCs w:val="24"/>
        </w:rPr>
        <w:t>.2</w:t>
      </w:r>
      <w:r w:rsidR="00A442C7" w:rsidRPr="00493DDD">
        <w:rPr>
          <w:rFonts w:cs="Times New Roman"/>
          <w:b/>
          <w:szCs w:val="24"/>
        </w:rPr>
        <w:t xml:space="preserve"> </w:t>
      </w:r>
      <w:r w:rsidR="00493DDD">
        <w:rPr>
          <w:rFonts w:cs="Times New Roman"/>
          <w:b/>
          <w:szCs w:val="24"/>
        </w:rPr>
        <w:tab/>
      </w:r>
      <w:r w:rsidRPr="00493DDD">
        <w:rPr>
          <w:rFonts w:cs="Times New Roman"/>
          <w:b/>
          <w:szCs w:val="24"/>
        </w:rPr>
        <w:t>Duration to Adoption (</w:t>
      </w:r>
      <w:r w:rsidR="00AF3954" w:rsidRPr="00493DDD">
        <w:rPr>
          <w:rFonts w:cs="Times New Roman"/>
          <w:b/>
          <w:szCs w:val="24"/>
        </w:rPr>
        <w:t>DAD</w:t>
      </w:r>
      <w:r w:rsidRPr="00493DDD">
        <w:rPr>
          <w:rFonts w:cs="Times New Roman"/>
          <w:b/>
          <w:szCs w:val="24"/>
        </w:rPr>
        <w:t>)</w:t>
      </w:r>
      <w:r w:rsidR="00AF3954" w:rsidRPr="00493DDD">
        <w:rPr>
          <w:rFonts w:cs="Times New Roman"/>
          <w:b/>
          <w:szCs w:val="24"/>
        </w:rPr>
        <w:t xml:space="preserve"> </w:t>
      </w:r>
      <w:r w:rsidR="00BE62C4" w:rsidRPr="00493DDD">
        <w:rPr>
          <w:rFonts w:cs="Times New Roman"/>
          <w:b/>
          <w:szCs w:val="24"/>
        </w:rPr>
        <w:t>D</w:t>
      </w:r>
      <w:r w:rsidR="00AF3954" w:rsidRPr="00493DDD">
        <w:rPr>
          <w:rFonts w:cs="Times New Roman"/>
          <w:b/>
          <w:szCs w:val="24"/>
        </w:rPr>
        <w:t>imension</w:t>
      </w:r>
    </w:p>
    <w:p w14:paraId="4442DB81" w14:textId="31CF00B1" w:rsidR="0016254A" w:rsidRPr="00493DDD" w:rsidRDefault="00AF3954" w:rsidP="00493DDD">
      <w:pPr>
        <w:spacing w:line="276" w:lineRule="auto"/>
        <w:jc w:val="both"/>
        <w:rPr>
          <w:rFonts w:cs="Times New Roman"/>
          <w:szCs w:val="24"/>
        </w:rPr>
      </w:pPr>
      <w:r w:rsidRPr="00493DDD">
        <w:rPr>
          <w:rFonts w:cs="Times New Roman"/>
          <w:szCs w:val="24"/>
        </w:rPr>
        <w:t>The results for the DAD dimension</w:t>
      </w:r>
      <w:r w:rsidR="00FF226E" w:rsidRPr="00493DDD">
        <w:rPr>
          <w:rFonts w:cs="Times New Roman"/>
          <w:szCs w:val="24"/>
        </w:rPr>
        <w:t xml:space="preserve"> indicate the strong effects of gender and income levels for the first-to-buy (FB) an AV alternative, while age and education dominate as the main determinants of the eventually buy (EB) alternative. Specifically, men and those with high incomes are the most</w:t>
      </w:r>
      <w:r w:rsidR="00DD3A42">
        <w:rPr>
          <w:rFonts w:cs="Times New Roman"/>
          <w:szCs w:val="24"/>
        </w:rPr>
        <w:t xml:space="preserve"> </w:t>
      </w:r>
      <w:r w:rsidR="00FF226E" w:rsidRPr="00493DDD">
        <w:rPr>
          <w:rFonts w:cs="Times New Roman"/>
          <w:szCs w:val="24"/>
        </w:rPr>
        <w:t>likely first-buyers, while those who are older are the least likely to ever buy an AV</w:t>
      </w:r>
      <w:r w:rsidR="00441F4E" w:rsidRPr="00493DDD">
        <w:rPr>
          <w:rFonts w:cs="Times New Roman"/>
          <w:szCs w:val="24"/>
        </w:rPr>
        <w:t>; t</w:t>
      </w:r>
      <w:r w:rsidR="00FF226E" w:rsidRPr="00493DDD">
        <w:rPr>
          <w:rFonts w:cs="Times New Roman"/>
          <w:szCs w:val="24"/>
        </w:rPr>
        <w:t xml:space="preserve">hose with a high education tend to position themselves as AV purchasers in the post-first buy period. Clearly, if the goal is to accelerate AV uptake as soon as it is introduced, information campaigns directed at men and high income individuals would be most effective. By way of attempting to convince more women </w:t>
      </w:r>
      <w:r w:rsidR="00E07C9E" w:rsidRPr="00493DDD">
        <w:rPr>
          <w:rFonts w:cs="Times New Roman"/>
          <w:szCs w:val="24"/>
        </w:rPr>
        <w:t xml:space="preserve">and old adults </w:t>
      </w:r>
      <w:r w:rsidR="00FF226E" w:rsidRPr="00493DDD">
        <w:rPr>
          <w:rFonts w:cs="Times New Roman"/>
          <w:szCs w:val="24"/>
        </w:rPr>
        <w:t>to be</w:t>
      </w:r>
      <w:r w:rsidR="00E07C9E" w:rsidRPr="00493DDD">
        <w:rPr>
          <w:rFonts w:cs="Times New Roman"/>
          <w:szCs w:val="24"/>
        </w:rPr>
        <w:t>come</w:t>
      </w:r>
      <w:r w:rsidR="00FF226E" w:rsidRPr="00493DDD">
        <w:rPr>
          <w:rFonts w:cs="Times New Roman"/>
          <w:szCs w:val="24"/>
        </w:rPr>
        <w:t xml:space="preserve"> first-buyers</w:t>
      </w:r>
      <w:r w:rsidR="00E07C9E" w:rsidRPr="00493DDD">
        <w:rPr>
          <w:rFonts w:cs="Times New Roman"/>
          <w:szCs w:val="24"/>
        </w:rPr>
        <w:t xml:space="preserve"> or to become eventual buyers</w:t>
      </w:r>
      <w:r w:rsidR="00FF226E" w:rsidRPr="00493DDD">
        <w:rPr>
          <w:rFonts w:cs="Times New Roman"/>
          <w:szCs w:val="24"/>
        </w:rPr>
        <w:t xml:space="preserve">, </w:t>
      </w:r>
      <w:r w:rsidR="00116FED">
        <w:rPr>
          <w:rFonts w:cs="Times New Roman"/>
          <w:szCs w:val="24"/>
        </w:rPr>
        <w:t xml:space="preserve">especially if the hypothesis that safety will be substantially enhanced with the move toward AVs is proven over time, </w:t>
      </w:r>
      <w:r w:rsidR="00FF226E" w:rsidRPr="00493DDD">
        <w:rPr>
          <w:rFonts w:cs="Times New Roman"/>
          <w:szCs w:val="24"/>
        </w:rPr>
        <w:t xml:space="preserve">once again campaigns extolling </w:t>
      </w:r>
      <w:r w:rsidR="00E07C9E" w:rsidRPr="00493DDD">
        <w:rPr>
          <w:rFonts w:cs="Times New Roman"/>
          <w:szCs w:val="24"/>
        </w:rPr>
        <w:t xml:space="preserve">the </w:t>
      </w:r>
      <w:r w:rsidR="00FF226E" w:rsidRPr="00493DDD">
        <w:rPr>
          <w:rFonts w:cs="Times New Roman"/>
          <w:szCs w:val="24"/>
        </w:rPr>
        <w:t xml:space="preserve">AV safety benefits and </w:t>
      </w:r>
      <w:r w:rsidR="000A0D68" w:rsidRPr="00493DDD">
        <w:rPr>
          <w:rFonts w:cs="Times New Roman"/>
          <w:szCs w:val="24"/>
        </w:rPr>
        <w:t>the advantages accruing from</w:t>
      </w:r>
      <w:r w:rsidR="00FF226E" w:rsidRPr="00493DDD">
        <w:rPr>
          <w:rFonts w:cs="Times New Roman"/>
          <w:szCs w:val="24"/>
        </w:rPr>
        <w:t xml:space="preserve"> relinquishing driving control would </w:t>
      </w:r>
      <w:r w:rsidR="00E07C9E" w:rsidRPr="00493DDD">
        <w:rPr>
          <w:rFonts w:cs="Times New Roman"/>
          <w:szCs w:val="24"/>
        </w:rPr>
        <w:t xml:space="preserve">generally </w:t>
      </w:r>
      <w:r w:rsidR="00FF226E" w:rsidRPr="00493DDD">
        <w:rPr>
          <w:rFonts w:cs="Times New Roman"/>
          <w:szCs w:val="24"/>
        </w:rPr>
        <w:t xml:space="preserve">be much more effective than campaigns to increase tech-savviness levels. </w:t>
      </w:r>
      <w:r w:rsidR="0032016C" w:rsidRPr="00493DDD">
        <w:rPr>
          <w:rFonts w:cs="Times New Roman"/>
          <w:szCs w:val="24"/>
        </w:rPr>
        <w:t>Th</w:t>
      </w:r>
      <w:r w:rsidR="000A0D68" w:rsidRPr="00493DDD">
        <w:rPr>
          <w:rFonts w:cs="Times New Roman"/>
          <w:szCs w:val="24"/>
        </w:rPr>
        <w:t>us</w:t>
      </w:r>
      <w:r w:rsidR="0032016C" w:rsidRPr="00493DDD">
        <w:rPr>
          <w:rFonts w:cs="Times New Roman"/>
          <w:szCs w:val="24"/>
        </w:rPr>
        <w:t>, the policy measures mentioned earlier (for promoting AV adoption and SAV use in the AVD dimension) in t</w:t>
      </w:r>
      <w:r w:rsidR="00441F4E" w:rsidRPr="00493DDD">
        <w:rPr>
          <w:rFonts w:cs="Times New Roman"/>
          <w:szCs w:val="24"/>
        </w:rPr>
        <w:t>h</w:t>
      </w:r>
      <w:r w:rsidR="0032016C" w:rsidRPr="00493DDD">
        <w:rPr>
          <w:rFonts w:cs="Times New Roman"/>
          <w:szCs w:val="24"/>
        </w:rPr>
        <w:t xml:space="preserve">e group of women and older adults should also help decrease the time to AV adoption. </w:t>
      </w:r>
      <w:r w:rsidR="00E07C9E" w:rsidRPr="00493DDD">
        <w:rPr>
          <w:rFonts w:cs="Times New Roman"/>
          <w:szCs w:val="24"/>
        </w:rPr>
        <w:t xml:space="preserve">At the same time, </w:t>
      </w:r>
      <w:r w:rsidR="0032016C" w:rsidRPr="00493DDD">
        <w:rPr>
          <w:rFonts w:cs="Times New Roman"/>
          <w:szCs w:val="24"/>
        </w:rPr>
        <w:t xml:space="preserve">it would behoove automotive manufacturers to maintain a </w:t>
      </w:r>
      <w:r w:rsidR="00E07C9E" w:rsidRPr="00493DDD">
        <w:rPr>
          <w:rFonts w:cs="Times New Roman"/>
          <w:szCs w:val="24"/>
        </w:rPr>
        <w:t>sustained information</w:t>
      </w:r>
      <w:r w:rsidR="0032016C" w:rsidRPr="00493DDD">
        <w:rPr>
          <w:rFonts w:cs="Times New Roman"/>
          <w:szCs w:val="24"/>
        </w:rPr>
        <w:t xml:space="preserve"> </w:t>
      </w:r>
      <w:r w:rsidR="00E07C9E" w:rsidRPr="00493DDD">
        <w:rPr>
          <w:rFonts w:cs="Times New Roman"/>
          <w:szCs w:val="24"/>
        </w:rPr>
        <w:t>campaign directed toward the well-educated</w:t>
      </w:r>
      <w:r w:rsidR="0032016C" w:rsidRPr="00493DDD">
        <w:rPr>
          <w:rFonts w:cs="Times New Roman"/>
          <w:szCs w:val="24"/>
        </w:rPr>
        <w:t xml:space="preserve">, as this should </w:t>
      </w:r>
      <w:r w:rsidR="00E07C9E" w:rsidRPr="00493DDD">
        <w:rPr>
          <w:rFonts w:cs="Times New Roman"/>
          <w:szCs w:val="24"/>
        </w:rPr>
        <w:t>have good payoffs even if not immediately after the introduction of AVs in the market.</w:t>
      </w:r>
    </w:p>
    <w:p w14:paraId="5E10DA92" w14:textId="2727FDDD" w:rsidR="00E07C9E" w:rsidRPr="00493DDD" w:rsidRDefault="00E07C9E" w:rsidP="00493DDD">
      <w:pPr>
        <w:spacing w:line="276" w:lineRule="auto"/>
        <w:ind w:firstLine="720"/>
        <w:jc w:val="both"/>
        <w:rPr>
          <w:rFonts w:cs="Times New Roman"/>
          <w:szCs w:val="24"/>
        </w:rPr>
      </w:pPr>
      <w:r w:rsidRPr="00493DDD">
        <w:rPr>
          <w:rFonts w:cs="Times New Roman"/>
          <w:szCs w:val="24"/>
        </w:rPr>
        <w:t xml:space="preserve"> </w:t>
      </w:r>
    </w:p>
    <w:p w14:paraId="2DA0BD67" w14:textId="7A42F6D7" w:rsidR="00F148D9" w:rsidRPr="00493DDD" w:rsidRDefault="00BE62C4" w:rsidP="00493DDD">
      <w:pPr>
        <w:pStyle w:val="Style1"/>
        <w:spacing w:before="0" w:line="276" w:lineRule="auto"/>
        <w:ind w:left="540" w:hanging="540"/>
        <w:jc w:val="both"/>
        <w:rPr>
          <w:rFonts w:cs="Times New Roman"/>
          <w:sz w:val="24"/>
          <w:szCs w:val="24"/>
        </w:rPr>
      </w:pPr>
      <w:r w:rsidRPr="00493DDD">
        <w:rPr>
          <w:rFonts w:cs="Times New Roman"/>
          <w:sz w:val="24"/>
          <w:szCs w:val="24"/>
        </w:rPr>
        <w:t>6.</w:t>
      </w:r>
      <w:r w:rsidRPr="00493DDD">
        <w:rPr>
          <w:rFonts w:cs="Times New Roman"/>
          <w:sz w:val="24"/>
          <w:szCs w:val="24"/>
        </w:rPr>
        <w:tab/>
      </w:r>
      <w:r w:rsidR="00F148D9" w:rsidRPr="00493DDD">
        <w:rPr>
          <w:rFonts w:cs="Times New Roman"/>
          <w:sz w:val="24"/>
          <w:szCs w:val="24"/>
        </w:rPr>
        <w:t>DISCUSSION AND CONCLUSION</w:t>
      </w:r>
    </w:p>
    <w:p w14:paraId="16CAE934" w14:textId="77777777" w:rsidR="0016254A" w:rsidRPr="00493DDD" w:rsidRDefault="00F148D9" w:rsidP="00493DDD">
      <w:pPr>
        <w:spacing w:line="276" w:lineRule="auto"/>
        <w:jc w:val="both"/>
        <w:rPr>
          <w:rFonts w:cs="Times New Roman"/>
          <w:szCs w:val="24"/>
        </w:rPr>
      </w:pPr>
      <w:r w:rsidRPr="00493DDD">
        <w:rPr>
          <w:rFonts w:cs="Times New Roman"/>
          <w:szCs w:val="24"/>
        </w:rPr>
        <w:t xml:space="preserve">AV technology </w:t>
      </w:r>
      <w:r w:rsidR="007926BF" w:rsidRPr="00493DDD">
        <w:rPr>
          <w:rFonts w:cs="Times New Roman"/>
          <w:szCs w:val="24"/>
        </w:rPr>
        <w:t xml:space="preserve">adoption and the speed of adoption is </w:t>
      </w:r>
      <w:r w:rsidRPr="00493DDD">
        <w:rPr>
          <w:rFonts w:cs="Times New Roman"/>
          <w:szCs w:val="24"/>
        </w:rPr>
        <w:t>shape</w:t>
      </w:r>
      <w:r w:rsidR="007926BF" w:rsidRPr="00493DDD">
        <w:rPr>
          <w:rFonts w:cs="Times New Roman"/>
          <w:szCs w:val="24"/>
        </w:rPr>
        <w:t xml:space="preserve">d by many factors, including individual-level demographic characteristics, individual-level psycho-social attributes, and AV vehicle/SAV service characteristics. </w:t>
      </w:r>
      <w:r w:rsidR="00354432" w:rsidRPr="00493DDD">
        <w:rPr>
          <w:rFonts w:cs="Times New Roman"/>
          <w:szCs w:val="24"/>
        </w:rPr>
        <w:t xml:space="preserve">In this paper, we examine this individual-level process, considering the psycho-social factors of driving control, mobility control, safety concerns, and tech-savviness. Including such factors helps go beyond </w:t>
      </w:r>
      <w:r w:rsidR="00836337" w:rsidRPr="00493DDD">
        <w:rPr>
          <w:rFonts w:cs="Times New Roman"/>
          <w:szCs w:val="24"/>
        </w:rPr>
        <w:t xml:space="preserve">passively witnessing the evolution of </w:t>
      </w:r>
      <w:r w:rsidR="00354432" w:rsidRPr="00493DDD">
        <w:rPr>
          <w:rFonts w:cs="Times New Roman"/>
          <w:szCs w:val="24"/>
        </w:rPr>
        <w:t>AV adoption trends to more proactive</w:t>
      </w:r>
      <w:r w:rsidR="00836337" w:rsidRPr="00493DDD">
        <w:rPr>
          <w:rFonts w:cs="Times New Roman"/>
          <w:szCs w:val="24"/>
        </w:rPr>
        <w:t>ly</w:t>
      </w:r>
      <w:r w:rsidR="00354432" w:rsidRPr="00493DDD">
        <w:rPr>
          <w:rFonts w:cs="Times New Roman"/>
          <w:szCs w:val="24"/>
        </w:rPr>
        <w:t xml:space="preserve"> </w:t>
      </w:r>
      <w:r w:rsidR="000A0D68" w:rsidRPr="00493DDD">
        <w:rPr>
          <w:rFonts w:cs="Times New Roman"/>
          <w:szCs w:val="24"/>
        </w:rPr>
        <w:t xml:space="preserve">shaping </w:t>
      </w:r>
      <w:r w:rsidR="00354432" w:rsidRPr="00493DDD">
        <w:rPr>
          <w:rFonts w:cs="Times New Roman"/>
          <w:szCs w:val="24"/>
        </w:rPr>
        <w:t xml:space="preserve">the adoption pathway. </w:t>
      </w:r>
      <w:r w:rsidR="00836337" w:rsidRPr="00493DDD">
        <w:rPr>
          <w:rFonts w:cs="Times New Roman"/>
          <w:szCs w:val="24"/>
        </w:rPr>
        <w:t>In particular, by</w:t>
      </w:r>
      <w:r w:rsidR="00354432" w:rsidRPr="00493DDD">
        <w:rPr>
          <w:rFonts w:cs="Times New Roman"/>
          <w:szCs w:val="24"/>
        </w:rPr>
        <w:t xml:space="preserve"> estimati</w:t>
      </w:r>
      <w:r w:rsidR="00836337" w:rsidRPr="00493DDD">
        <w:rPr>
          <w:rFonts w:cs="Times New Roman"/>
          <w:szCs w:val="24"/>
        </w:rPr>
        <w:t xml:space="preserve">ng </w:t>
      </w:r>
      <w:r w:rsidR="00354432" w:rsidRPr="00493DDD">
        <w:rPr>
          <w:rFonts w:cs="Times New Roman"/>
          <w:szCs w:val="24"/>
        </w:rPr>
        <w:t xml:space="preserve">the relative magnitudes of the psycho-social factors through which demographics influence AV adoption, we are able to design </w:t>
      </w:r>
      <w:r w:rsidR="00836337" w:rsidRPr="00493DDD">
        <w:rPr>
          <w:rFonts w:cs="Times New Roman"/>
          <w:szCs w:val="24"/>
        </w:rPr>
        <w:t xml:space="preserve">effective </w:t>
      </w:r>
      <w:r w:rsidR="00354432" w:rsidRPr="00493DDD">
        <w:rPr>
          <w:rFonts w:cs="Times New Roman"/>
          <w:szCs w:val="24"/>
        </w:rPr>
        <w:t xml:space="preserve">policy instruments and information campaigns </w:t>
      </w:r>
      <w:r w:rsidR="00836337" w:rsidRPr="00493DDD">
        <w:rPr>
          <w:rFonts w:cs="Times New Roman"/>
          <w:szCs w:val="24"/>
        </w:rPr>
        <w:t xml:space="preserve">that appeal to the specific psycho-social sensitivities of distinct </w:t>
      </w:r>
      <w:r w:rsidR="00354432" w:rsidRPr="00493DDD">
        <w:rPr>
          <w:rFonts w:cs="Times New Roman"/>
          <w:szCs w:val="24"/>
        </w:rPr>
        <w:t>population groups</w:t>
      </w:r>
      <w:r w:rsidR="00836337" w:rsidRPr="00493DDD">
        <w:rPr>
          <w:rFonts w:cs="Times New Roman"/>
          <w:szCs w:val="24"/>
        </w:rPr>
        <w:t>.</w:t>
      </w:r>
    </w:p>
    <w:p w14:paraId="0662E127" w14:textId="12740EAC" w:rsidR="0016254A" w:rsidRPr="00493DDD" w:rsidRDefault="008477DB" w:rsidP="00493DDD">
      <w:pPr>
        <w:spacing w:line="276" w:lineRule="auto"/>
        <w:ind w:firstLine="720"/>
        <w:jc w:val="both"/>
        <w:rPr>
          <w:rFonts w:cs="Times New Roman"/>
          <w:szCs w:val="24"/>
        </w:rPr>
      </w:pPr>
      <w:r w:rsidRPr="00493DDD">
        <w:rPr>
          <w:rFonts w:cs="Times New Roman"/>
          <w:szCs w:val="24"/>
        </w:rPr>
        <w:lastRenderedPageBreak/>
        <w:t>In this paper, we have examined both the vehicle purchase decision (regular vehicle, AV, or not buy a vehicle and use SAV) in the specific time context of the next vehicle purchase</w:t>
      </w:r>
      <w:r w:rsidR="00EE0D11" w:rsidRPr="00493DDD">
        <w:rPr>
          <w:rFonts w:cs="Times New Roman"/>
          <w:szCs w:val="24"/>
        </w:rPr>
        <w:t xml:space="preserve"> (the AVD decision)</w:t>
      </w:r>
      <w:r w:rsidRPr="00493DDD">
        <w:rPr>
          <w:rFonts w:cs="Times New Roman"/>
          <w:szCs w:val="24"/>
        </w:rPr>
        <w:t>, as well as the duration to AV adoption</w:t>
      </w:r>
      <w:r w:rsidR="00EE0D11" w:rsidRPr="00493DDD">
        <w:rPr>
          <w:rFonts w:cs="Times New Roman"/>
          <w:szCs w:val="24"/>
        </w:rPr>
        <w:t xml:space="preserve"> (the DAD decision)</w:t>
      </w:r>
      <w:r w:rsidR="00F12D2A" w:rsidRPr="00493DDD">
        <w:rPr>
          <w:rFonts w:cs="Times New Roman"/>
          <w:szCs w:val="24"/>
        </w:rPr>
        <w:t xml:space="preserve">. The AVD choice is modeled using an SP choice design, while the DAD decision is based on the response to a stated intention question. </w:t>
      </w:r>
      <w:r w:rsidR="00EE0D11" w:rsidRPr="00493DDD">
        <w:rPr>
          <w:rFonts w:cs="Times New Roman"/>
          <w:szCs w:val="24"/>
        </w:rPr>
        <w:t xml:space="preserve">An important departure </w:t>
      </w:r>
      <w:r w:rsidR="00F12D2A" w:rsidRPr="00493DDD">
        <w:rPr>
          <w:rFonts w:cs="Times New Roman"/>
          <w:szCs w:val="24"/>
        </w:rPr>
        <w:t xml:space="preserve">from traditional SP choice design in our AVD modeling </w:t>
      </w:r>
      <w:r w:rsidR="00EE0D11" w:rsidRPr="00493DDD">
        <w:rPr>
          <w:rFonts w:cs="Times New Roman"/>
          <w:szCs w:val="24"/>
        </w:rPr>
        <w:t xml:space="preserve">is that we use a ranking preference elicitation approach, rather than the typically used first-choice preference elicitation approach. This </w:t>
      </w:r>
      <w:r w:rsidR="00F12D2A" w:rsidRPr="00493DDD">
        <w:rPr>
          <w:rFonts w:cs="Times New Roman"/>
          <w:szCs w:val="24"/>
        </w:rPr>
        <w:t xml:space="preserve">allows us to extract </w:t>
      </w:r>
      <w:r w:rsidR="00EE0D11" w:rsidRPr="00493DDD">
        <w:rPr>
          <w:rFonts w:cs="Times New Roman"/>
          <w:szCs w:val="24"/>
        </w:rPr>
        <w:t xml:space="preserve">much more information </w:t>
      </w:r>
      <w:r w:rsidR="00F12D2A" w:rsidRPr="00493DDD">
        <w:rPr>
          <w:rFonts w:cs="Times New Roman"/>
          <w:szCs w:val="24"/>
        </w:rPr>
        <w:t xml:space="preserve">than can be obtained in a </w:t>
      </w:r>
      <w:r w:rsidR="00EE0D11" w:rsidRPr="00493DDD">
        <w:rPr>
          <w:rFonts w:cs="Times New Roman"/>
          <w:szCs w:val="24"/>
        </w:rPr>
        <w:t xml:space="preserve">first-choice </w:t>
      </w:r>
      <w:r w:rsidR="00F12D2A" w:rsidRPr="00493DDD">
        <w:rPr>
          <w:rFonts w:cs="Times New Roman"/>
          <w:szCs w:val="24"/>
        </w:rPr>
        <w:t xml:space="preserve">analysis </w:t>
      </w:r>
      <w:r w:rsidR="00EE0D11" w:rsidRPr="00493DDD">
        <w:rPr>
          <w:rFonts w:cs="Times New Roman"/>
          <w:szCs w:val="24"/>
        </w:rPr>
        <w:t xml:space="preserve">approach, as </w:t>
      </w:r>
      <w:r w:rsidR="00F12D2A" w:rsidRPr="00493DDD">
        <w:rPr>
          <w:rFonts w:cs="Times New Roman"/>
          <w:szCs w:val="24"/>
        </w:rPr>
        <w:t xml:space="preserve">well as aids in joint </w:t>
      </w:r>
      <w:r w:rsidR="000A0D68" w:rsidRPr="00493DDD">
        <w:rPr>
          <w:rFonts w:cs="Times New Roman"/>
          <w:szCs w:val="24"/>
        </w:rPr>
        <w:t xml:space="preserve">multivariate </w:t>
      </w:r>
      <w:r w:rsidR="00F12D2A" w:rsidRPr="00493DDD">
        <w:rPr>
          <w:rFonts w:cs="Times New Roman"/>
          <w:szCs w:val="24"/>
        </w:rPr>
        <w:t xml:space="preserve">modeling. </w:t>
      </w:r>
      <w:r w:rsidRPr="00493DDD">
        <w:rPr>
          <w:rFonts w:cs="Times New Roman"/>
          <w:szCs w:val="24"/>
        </w:rPr>
        <w:t xml:space="preserve">The data used </w:t>
      </w:r>
      <w:r w:rsidR="000A0D68" w:rsidRPr="00493DDD">
        <w:rPr>
          <w:rFonts w:cs="Times New Roman"/>
          <w:szCs w:val="24"/>
        </w:rPr>
        <w:t xml:space="preserve">for the analysis </w:t>
      </w:r>
      <w:r w:rsidR="0099399A" w:rsidRPr="00493DDD">
        <w:rPr>
          <w:rFonts w:cs="Times New Roman"/>
          <w:szCs w:val="24"/>
        </w:rPr>
        <w:t xml:space="preserve">is drawn </w:t>
      </w:r>
      <w:r w:rsidRPr="00493DDD">
        <w:rPr>
          <w:rFonts w:cs="Times New Roman"/>
          <w:szCs w:val="24"/>
        </w:rPr>
        <w:t>from a 2019 Austin area survey of emerging mobility services.</w:t>
      </w:r>
    </w:p>
    <w:p w14:paraId="13D0C449" w14:textId="096385EC" w:rsidR="0016254A" w:rsidRPr="00493DDD" w:rsidRDefault="002407FC" w:rsidP="00493DDD">
      <w:pPr>
        <w:spacing w:line="276" w:lineRule="auto"/>
        <w:ind w:firstLine="720"/>
        <w:jc w:val="both"/>
        <w:rPr>
          <w:rFonts w:cs="Times New Roman"/>
          <w:szCs w:val="24"/>
        </w:rPr>
      </w:pPr>
      <w:r w:rsidRPr="00493DDD">
        <w:rPr>
          <w:rFonts w:cs="Times New Roman"/>
          <w:szCs w:val="24"/>
        </w:rPr>
        <w:t xml:space="preserve">An important element of </w:t>
      </w:r>
      <w:r w:rsidR="0099399A" w:rsidRPr="00493DDD">
        <w:rPr>
          <w:rFonts w:cs="Times New Roman"/>
          <w:szCs w:val="24"/>
        </w:rPr>
        <w:t>the</w:t>
      </w:r>
      <w:r w:rsidRPr="00493DDD">
        <w:rPr>
          <w:rFonts w:cs="Times New Roman"/>
          <w:szCs w:val="24"/>
        </w:rPr>
        <w:t xml:space="preserve"> analysis is the introduction of two control-related psychological constructs</w:t>
      </w:r>
      <w:r w:rsidR="00440D49" w:rsidRPr="00493DDD">
        <w:rPr>
          <w:rFonts w:cs="Times New Roman"/>
          <w:szCs w:val="24"/>
        </w:rPr>
        <w:t>; driving control and mobility control;</w:t>
      </w:r>
      <w:r w:rsidRPr="00493DDD">
        <w:rPr>
          <w:rFonts w:cs="Times New Roman"/>
          <w:szCs w:val="24"/>
        </w:rPr>
        <w:t xml:space="preserve"> </w:t>
      </w:r>
      <w:r w:rsidR="00440D49" w:rsidRPr="00493DDD">
        <w:rPr>
          <w:rFonts w:cs="Times New Roman"/>
          <w:szCs w:val="24"/>
        </w:rPr>
        <w:t xml:space="preserve">that </w:t>
      </w:r>
      <w:r w:rsidRPr="00493DDD">
        <w:rPr>
          <w:rFonts w:cs="Times New Roman"/>
          <w:szCs w:val="24"/>
        </w:rPr>
        <w:t>have received limited to no attention in the AV adoption literature. Th</w:t>
      </w:r>
      <w:r w:rsidR="00440D49" w:rsidRPr="00493DDD">
        <w:rPr>
          <w:rFonts w:cs="Times New Roman"/>
          <w:szCs w:val="24"/>
        </w:rPr>
        <w:t xml:space="preserve">e inclusion of these two constructs </w:t>
      </w:r>
      <w:r w:rsidRPr="00493DDD">
        <w:rPr>
          <w:rFonts w:cs="Times New Roman"/>
          <w:szCs w:val="24"/>
        </w:rPr>
        <w:t>was based on the notion tha</w:t>
      </w:r>
      <w:r w:rsidR="00CE371A" w:rsidRPr="00493DDD">
        <w:rPr>
          <w:rFonts w:cs="Times New Roman"/>
          <w:szCs w:val="24"/>
        </w:rPr>
        <w:t xml:space="preserve">t, from the point of view of individuals who value the driving/mobility experience, automation can be perceived as </w:t>
      </w:r>
      <w:r w:rsidR="0099399A" w:rsidRPr="00493DDD">
        <w:rPr>
          <w:rFonts w:cs="Times New Roman"/>
          <w:szCs w:val="24"/>
        </w:rPr>
        <w:t xml:space="preserve">an </w:t>
      </w:r>
      <w:r w:rsidR="00CE371A" w:rsidRPr="00493DDD">
        <w:rPr>
          <w:rFonts w:cs="Times New Roman"/>
          <w:szCs w:val="24"/>
        </w:rPr>
        <w:t>alienating</w:t>
      </w:r>
      <w:r w:rsidR="00633C9C" w:rsidRPr="00493DDD">
        <w:rPr>
          <w:rFonts w:cs="Times New Roman"/>
          <w:szCs w:val="24"/>
        </w:rPr>
        <w:t xml:space="preserve"> </w:t>
      </w:r>
      <w:r w:rsidR="0099399A" w:rsidRPr="00493DDD">
        <w:rPr>
          <w:rFonts w:cs="Times New Roman"/>
          <w:szCs w:val="24"/>
        </w:rPr>
        <w:t>development.</w:t>
      </w:r>
      <w:r w:rsidR="00633C9C" w:rsidRPr="00493DDD">
        <w:rPr>
          <w:rFonts w:cs="Times New Roman"/>
          <w:szCs w:val="24"/>
        </w:rPr>
        <w:t xml:space="preserve"> </w:t>
      </w:r>
      <w:r w:rsidR="0099399A" w:rsidRPr="00493DDD">
        <w:rPr>
          <w:rFonts w:cs="Times New Roman"/>
          <w:szCs w:val="24"/>
        </w:rPr>
        <w:t>O</w:t>
      </w:r>
      <w:r w:rsidR="00440D49" w:rsidRPr="00493DDD">
        <w:rPr>
          <w:rFonts w:cs="Times New Roman"/>
          <w:szCs w:val="24"/>
        </w:rPr>
        <w:t>ur model results underscore the importance of considering t</w:t>
      </w:r>
      <w:r w:rsidR="0099399A" w:rsidRPr="00493DDD">
        <w:rPr>
          <w:rFonts w:cs="Times New Roman"/>
          <w:szCs w:val="24"/>
        </w:rPr>
        <w:t>h</w:t>
      </w:r>
      <w:r w:rsidR="00440D49" w:rsidRPr="00493DDD">
        <w:rPr>
          <w:rFonts w:cs="Times New Roman"/>
          <w:szCs w:val="24"/>
        </w:rPr>
        <w:t xml:space="preserve">e two </w:t>
      </w:r>
      <w:r w:rsidR="0099399A" w:rsidRPr="00493DDD">
        <w:rPr>
          <w:rFonts w:cs="Times New Roman"/>
          <w:szCs w:val="24"/>
        </w:rPr>
        <w:t xml:space="preserve">emotive </w:t>
      </w:r>
      <w:r w:rsidR="00440D49" w:rsidRPr="00493DDD">
        <w:rPr>
          <w:rFonts w:cs="Times New Roman"/>
          <w:szCs w:val="24"/>
        </w:rPr>
        <w:t xml:space="preserve">control factors. More generally, </w:t>
      </w:r>
      <w:r w:rsidR="0099399A" w:rsidRPr="00493DDD">
        <w:rPr>
          <w:rFonts w:cs="Times New Roman"/>
          <w:szCs w:val="24"/>
        </w:rPr>
        <w:t>the</w:t>
      </w:r>
      <w:r w:rsidR="00440D49" w:rsidRPr="00493DDD">
        <w:rPr>
          <w:rFonts w:cs="Times New Roman"/>
          <w:szCs w:val="24"/>
        </w:rPr>
        <w:t xml:space="preserve"> use of psycho-social factors as mediators of individual-level socio-demographics also allows a parsimonious approach to estimate the joint model of AVD and DAD.</w:t>
      </w:r>
    </w:p>
    <w:p w14:paraId="634A4C4D" w14:textId="4A15735E" w:rsidR="0016254A" w:rsidRPr="00493DDD" w:rsidRDefault="00400CB6" w:rsidP="00493DDD">
      <w:pPr>
        <w:spacing w:line="276" w:lineRule="auto"/>
        <w:ind w:firstLine="720"/>
        <w:jc w:val="both"/>
        <w:rPr>
          <w:rFonts w:cs="Times New Roman"/>
          <w:szCs w:val="24"/>
        </w:rPr>
      </w:pPr>
      <w:r w:rsidRPr="00493DDD">
        <w:rPr>
          <w:rFonts w:cs="Times New Roman"/>
          <w:bCs/>
          <w:szCs w:val="24"/>
        </w:rPr>
        <w:t>The effects of individual socio-demographics reveal the strong influence of gender and age on AV adoption and SAV u</w:t>
      </w:r>
      <w:r w:rsidR="00255BC1" w:rsidRPr="00493DDD">
        <w:rPr>
          <w:rFonts w:cs="Times New Roman"/>
          <w:bCs/>
          <w:szCs w:val="24"/>
        </w:rPr>
        <w:t>se in the AVD dimension, especially the age effect</w:t>
      </w:r>
      <w:r w:rsidRPr="00493DDD">
        <w:rPr>
          <w:rFonts w:cs="Times New Roman"/>
          <w:bCs/>
          <w:szCs w:val="24"/>
        </w:rPr>
        <w:t xml:space="preserve">. The </w:t>
      </w:r>
      <w:r w:rsidR="00AB1D1C" w:rsidRPr="00493DDD">
        <w:rPr>
          <w:rFonts w:cs="Times New Roman"/>
          <w:bCs/>
          <w:szCs w:val="24"/>
        </w:rPr>
        <w:t xml:space="preserve">gender effect is manifested </w:t>
      </w:r>
      <w:r w:rsidR="00255BC1" w:rsidRPr="00493DDD">
        <w:rPr>
          <w:rFonts w:cs="Times New Roman"/>
          <w:bCs/>
          <w:szCs w:val="24"/>
        </w:rPr>
        <w:t xml:space="preserve">in both the AVD </w:t>
      </w:r>
      <w:r w:rsidR="0099399A" w:rsidRPr="00493DDD">
        <w:rPr>
          <w:rFonts w:cs="Times New Roman"/>
          <w:bCs/>
          <w:szCs w:val="24"/>
        </w:rPr>
        <w:t>and</w:t>
      </w:r>
      <w:r w:rsidR="00255BC1" w:rsidRPr="00493DDD">
        <w:rPr>
          <w:rFonts w:cs="Times New Roman"/>
          <w:bCs/>
          <w:szCs w:val="24"/>
        </w:rPr>
        <w:t xml:space="preserve"> DAD dimensions </w:t>
      </w:r>
      <w:r w:rsidR="00AB1D1C" w:rsidRPr="00493DDD">
        <w:rPr>
          <w:rFonts w:cs="Times New Roman"/>
          <w:bCs/>
          <w:szCs w:val="24"/>
        </w:rPr>
        <w:t xml:space="preserve">primarily </w:t>
      </w:r>
      <w:r w:rsidR="00255BC1" w:rsidRPr="00493DDD">
        <w:rPr>
          <w:rFonts w:cs="Times New Roman"/>
          <w:bCs/>
          <w:szCs w:val="24"/>
        </w:rPr>
        <w:t xml:space="preserve">through concerns about AV </w:t>
      </w:r>
      <w:r w:rsidR="00AB1D1C" w:rsidRPr="00493DDD">
        <w:rPr>
          <w:rFonts w:cs="Times New Roman"/>
          <w:bCs/>
          <w:szCs w:val="24"/>
        </w:rPr>
        <w:t xml:space="preserve">safety </w:t>
      </w:r>
      <w:r w:rsidR="00255BC1" w:rsidRPr="00493DDD">
        <w:rPr>
          <w:rFonts w:cs="Times New Roman"/>
          <w:bCs/>
          <w:szCs w:val="24"/>
        </w:rPr>
        <w:t xml:space="preserve">and </w:t>
      </w:r>
      <w:r w:rsidR="00AB1D1C" w:rsidRPr="00493DDD">
        <w:rPr>
          <w:rFonts w:cs="Times New Roman"/>
          <w:bCs/>
          <w:szCs w:val="24"/>
        </w:rPr>
        <w:t xml:space="preserve">losing driving control. Underscoring the expected safety benefits of AVs </w:t>
      </w:r>
      <w:r w:rsidR="00D25C81" w:rsidRPr="00493DDD">
        <w:rPr>
          <w:rFonts w:cs="Times New Roman"/>
          <w:bCs/>
          <w:szCs w:val="24"/>
        </w:rPr>
        <w:t xml:space="preserve">and </w:t>
      </w:r>
      <w:r w:rsidR="00D25C81" w:rsidRPr="00493DDD">
        <w:rPr>
          <w:rFonts w:cs="Times New Roman"/>
          <w:szCs w:val="24"/>
        </w:rPr>
        <w:t>also addressing concerns about child transport</w:t>
      </w:r>
      <w:r w:rsidR="00D25C81" w:rsidRPr="00493DDD">
        <w:rPr>
          <w:rFonts w:cs="Times New Roman"/>
          <w:bCs/>
          <w:szCs w:val="24"/>
        </w:rPr>
        <w:t xml:space="preserve"> </w:t>
      </w:r>
      <w:r w:rsidR="00AB1D1C" w:rsidRPr="00493DDD">
        <w:rPr>
          <w:rFonts w:cs="Times New Roman"/>
          <w:bCs/>
          <w:szCs w:val="24"/>
        </w:rPr>
        <w:t xml:space="preserve">would be, by far, the most </w:t>
      </w:r>
      <w:r w:rsidR="00AB1D1C" w:rsidRPr="00493DDD">
        <w:rPr>
          <w:rFonts w:cs="Times New Roman"/>
          <w:szCs w:val="24"/>
        </w:rPr>
        <w:t>effective strateg</w:t>
      </w:r>
      <w:r w:rsidR="0099399A" w:rsidRPr="00493DDD">
        <w:rPr>
          <w:rFonts w:cs="Times New Roman"/>
          <w:szCs w:val="24"/>
        </w:rPr>
        <w:t>ies</w:t>
      </w:r>
      <w:r w:rsidR="00AB1D1C" w:rsidRPr="00493DDD">
        <w:rPr>
          <w:rFonts w:cs="Times New Roman"/>
          <w:szCs w:val="24"/>
        </w:rPr>
        <w:t xml:space="preserve"> to increase AV and SAV uptake among women, much more so than, for example, tech-savviness campaigns. </w:t>
      </w:r>
      <w:r w:rsidR="00EB2492">
        <w:rPr>
          <w:rFonts w:cs="Times New Roman"/>
          <w:szCs w:val="24"/>
        </w:rPr>
        <w:t xml:space="preserve">The DAD results also suggest that the sub-population of men and/or individuals from high income households may be more embracing of AVs as first-buyers. </w:t>
      </w:r>
      <w:r w:rsidR="00D25C81" w:rsidRPr="00493DDD">
        <w:rPr>
          <w:rFonts w:cs="Times New Roman"/>
          <w:szCs w:val="24"/>
        </w:rPr>
        <w:t xml:space="preserve">The </w:t>
      </w:r>
      <w:r w:rsidRPr="00493DDD">
        <w:rPr>
          <w:rFonts w:cs="Times New Roman"/>
          <w:bCs/>
          <w:szCs w:val="24"/>
        </w:rPr>
        <w:t xml:space="preserve">age effect gets manifested through the latent constructs, but also has a strong direct effect on the AVD and DAD decisions, with </w:t>
      </w:r>
      <w:r w:rsidRPr="00493DDD">
        <w:rPr>
          <w:rFonts w:cs="Times New Roman"/>
          <w:szCs w:val="24"/>
        </w:rPr>
        <w:t xml:space="preserve">older individuals (age ≥64 years) more likely to spurn AV technology of any kind as well as never buy an AV. This result </w:t>
      </w:r>
      <w:r w:rsidRPr="00493DDD">
        <w:rPr>
          <w:rFonts w:cs="Times New Roman"/>
          <w:bCs/>
          <w:szCs w:val="24"/>
        </w:rPr>
        <w:t xml:space="preserve">reinforces the notion from earlier studies, suggesting a combination of general </w:t>
      </w:r>
      <w:r w:rsidR="00903858" w:rsidRPr="00493DDD">
        <w:rPr>
          <w:rFonts w:cs="Times New Roman"/>
          <w:szCs w:val="24"/>
        </w:rPr>
        <w:t>technology distrust</w:t>
      </w:r>
      <w:r w:rsidRPr="00493DDD">
        <w:rPr>
          <w:rFonts w:cs="Times New Roman"/>
          <w:szCs w:val="24"/>
        </w:rPr>
        <w:t xml:space="preserve">, an </w:t>
      </w:r>
      <w:r w:rsidR="00903858" w:rsidRPr="00493DDD">
        <w:rPr>
          <w:rFonts w:cs="Times New Roman"/>
          <w:szCs w:val="24"/>
        </w:rPr>
        <w:t>unwillingness to change current habits</w:t>
      </w:r>
      <w:r w:rsidRPr="00493DDD">
        <w:rPr>
          <w:rFonts w:cs="Times New Roman"/>
          <w:szCs w:val="24"/>
        </w:rPr>
        <w:t>, as well as cognitive ability declines</w:t>
      </w:r>
      <w:r w:rsidR="00903858" w:rsidRPr="00493DDD">
        <w:rPr>
          <w:rFonts w:cs="Times New Roman"/>
          <w:szCs w:val="24"/>
        </w:rPr>
        <w:t xml:space="preserve"> </w:t>
      </w:r>
      <w:r w:rsidRPr="00493DDD">
        <w:rPr>
          <w:rFonts w:cs="Times New Roman"/>
          <w:szCs w:val="24"/>
        </w:rPr>
        <w:t>associated with aging as deterrents to AV technology acceptance. Potential countermeasures include</w:t>
      </w:r>
      <w:r w:rsidR="00AB1D1C" w:rsidRPr="00493DDD">
        <w:rPr>
          <w:rFonts w:cs="Times New Roman"/>
          <w:szCs w:val="24"/>
        </w:rPr>
        <w:t xml:space="preserve"> careful AV HMI design that recognizes the cognitive and working memory limitations of older adults, video game interventions to improve</w:t>
      </w:r>
      <w:r w:rsidR="0099399A" w:rsidRPr="00493DDD">
        <w:rPr>
          <w:rFonts w:cs="Times New Roman"/>
          <w:szCs w:val="24"/>
        </w:rPr>
        <w:t xml:space="preserve"> </w:t>
      </w:r>
      <w:r w:rsidR="00AB1D1C" w:rsidRPr="00493DDD">
        <w:rPr>
          <w:rFonts w:cs="Times New Roman"/>
          <w:szCs w:val="24"/>
        </w:rPr>
        <w:t xml:space="preserve">perceptual and cognitive abilities, </w:t>
      </w:r>
      <w:r w:rsidR="00D25C81" w:rsidRPr="00493DDD">
        <w:rPr>
          <w:rFonts w:cs="Times New Roman"/>
          <w:szCs w:val="24"/>
        </w:rPr>
        <w:t xml:space="preserve">and </w:t>
      </w:r>
      <w:r w:rsidR="00AB1D1C" w:rsidRPr="00493DDD">
        <w:rPr>
          <w:rFonts w:cs="Times New Roman"/>
          <w:szCs w:val="24"/>
        </w:rPr>
        <w:t>addressing older adults’ need for driving control</w:t>
      </w:r>
      <w:r w:rsidR="00D25C81" w:rsidRPr="00493DDD">
        <w:rPr>
          <w:rFonts w:cs="Times New Roman"/>
          <w:szCs w:val="24"/>
        </w:rPr>
        <w:t xml:space="preserve">. Interestingly, while it may be objectively true that AVs would hold the most benefit for older adults who cannot drive safely, driving control appears to provide a sense of identity and a reaffirmation of </w:t>
      </w:r>
      <w:r w:rsidR="009F6A0C" w:rsidRPr="00493DDD">
        <w:rPr>
          <w:rFonts w:cs="Times New Roman"/>
          <w:szCs w:val="24"/>
        </w:rPr>
        <w:t xml:space="preserve">older adults’ </w:t>
      </w:r>
      <w:r w:rsidR="00D25C81" w:rsidRPr="00493DDD">
        <w:rPr>
          <w:rFonts w:cs="Times New Roman"/>
          <w:szCs w:val="24"/>
        </w:rPr>
        <w:t>motor skills. Countermeasures aimed at highlighting the safety benefits of AVs</w:t>
      </w:r>
      <w:r w:rsidR="0099399A" w:rsidRPr="00493DDD">
        <w:rPr>
          <w:rFonts w:cs="Times New Roman"/>
          <w:szCs w:val="24"/>
        </w:rPr>
        <w:t>, therefore,</w:t>
      </w:r>
      <w:r w:rsidR="00D25C81" w:rsidRPr="00493DDD">
        <w:rPr>
          <w:rFonts w:cs="Times New Roman"/>
          <w:szCs w:val="24"/>
        </w:rPr>
        <w:t xml:space="preserve"> </w:t>
      </w:r>
      <w:r w:rsidR="0099399A" w:rsidRPr="00493DDD">
        <w:rPr>
          <w:rFonts w:cs="Times New Roman"/>
          <w:szCs w:val="24"/>
        </w:rPr>
        <w:t>may not play out as intended when directed toward older adults.</w:t>
      </w:r>
    </w:p>
    <w:p w14:paraId="17F4802A" w14:textId="33F7C5AD" w:rsidR="0016254A" w:rsidRPr="00493DDD" w:rsidRDefault="00255BC1" w:rsidP="00493DDD">
      <w:pPr>
        <w:spacing w:line="276" w:lineRule="auto"/>
        <w:ind w:firstLine="720"/>
        <w:jc w:val="both"/>
        <w:rPr>
          <w:rFonts w:cs="Times New Roman"/>
          <w:szCs w:val="24"/>
        </w:rPr>
      </w:pPr>
      <w:r w:rsidRPr="00493DDD">
        <w:rPr>
          <w:rFonts w:cs="Times New Roman"/>
          <w:szCs w:val="24"/>
        </w:rPr>
        <w:t>The ATE effects of employment status, education, and household income on AV and SAV use are relatively modest</w:t>
      </w:r>
      <w:r w:rsidR="00953DF9" w:rsidRPr="00493DDD">
        <w:rPr>
          <w:rFonts w:cs="Times New Roman"/>
          <w:szCs w:val="24"/>
        </w:rPr>
        <w:t xml:space="preserve"> in the overall</w:t>
      </w:r>
      <w:r w:rsidRPr="00493DDD">
        <w:rPr>
          <w:rFonts w:cs="Times New Roman"/>
          <w:szCs w:val="24"/>
        </w:rPr>
        <w:t xml:space="preserve">. </w:t>
      </w:r>
      <w:r w:rsidR="00E52E1A" w:rsidRPr="00493DDD">
        <w:rPr>
          <w:rFonts w:cs="Times New Roman"/>
          <w:szCs w:val="24"/>
        </w:rPr>
        <w:t xml:space="preserve">Our results also suggest that reductions in AV fixed cost and SAV variable cost can lead to AV and SAV uptake. In terms of AV fixed cost, a decrease of </w:t>
      </w:r>
      <w:r w:rsidR="00E52E1A" w:rsidRPr="00493DDD">
        <w:rPr>
          <w:rFonts w:cs="Times New Roman"/>
          <w:szCs w:val="24"/>
        </w:rPr>
        <w:lastRenderedPageBreak/>
        <w:t>$50 per month can lead to seven additional individuals out of 100 choosing the AV alternative. In terms of SAV variable cost, a decrease from $1.75 to $1.25 cents can lead to about 3 additional individuals out of 100 choosing the SAV alternative.</w:t>
      </w:r>
    </w:p>
    <w:p w14:paraId="163B6CF4" w14:textId="4367403C" w:rsidR="0016254A" w:rsidRPr="00493DDD" w:rsidRDefault="00953DF9" w:rsidP="00493DDD">
      <w:pPr>
        <w:spacing w:line="276" w:lineRule="auto"/>
        <w:ind w:firstLine="720"/>
        <w:jc w:val="both"/>
        <w:rPr>
          <w:rFonts w:cs="Times New Roman"/>
          <w:szCs w:val="24"/>
        </w:rPr>
      </w:pPr>
      <w:r w:rsidRPr="00493DDD">
        <w:rPr>
          <w:rFonts w:cs="Times New Roman"/>
          <w:szCs w:val="24"/>
        </w:rPr>
        <w:t>The speed of adoption of AV technology, even after its full</w:t>
      </w:r>
      <w:r w:rsidR="00BB2279">
        <w:rPr>
          <w:rFonts w:cs="Times New Roman"/>
          <w:szCs w:val="24"/>
        </w:rPr>
        <w:t>-</w:t>
      </w:r>
      <w:r w:rsidRPr="00493DDD">
        <w:rPr>
          <w:rFonts w:cs="Times New Roman"/>
          <w:szCs w:val="24"/>
        </w:rPr>
        <w:t>scale introduction in the market place, is likely to be rather slow because cars have a rather long lifespan and are quite expensive to acquire. Our results suggest that the first-buyers in the market will be men and high</w:t>
      </w:r>
      <w:r w:rsidR="00BB2279">
        <w:rPr>
          <w:rFonts w:cs="Times New Roman"/>
          <w:szCs w:val="24"/>
        </w:rPr>
        <w:t xml:space="preserve"> </w:t>
      </w:r>
      <w:r w:rsidRPr="00493DDD">
        <w:rPr>
          <w:rFonts w:cs="Times New Roman"/>
          <w:szCs w:val="24"/>
        </w:rPr>
        <w:t>income individuals</w:t>
      </w:r>
      <w:r w:rsidR="009C3E15" w:rsidRPr="00493DDD">
        <w:rPr>
          <w:rFonts w:cs="Times New Roman"/>
          <w:szCs w:val="24"/>
        </w:rPr>
        <w:t xml:space="preserve">. To target these first-buyers, campaigns illustrating the </w:t>
      </w:r>
      <w:r w:rsidR="00782AC8" w:rsidRPr="00493DDD">
        <w:rPr>
          <w:rFonts w:cs="Times New Roman"/>
          <w:szCs w:val="24"/>
        </w:rPr>
        <w:t xml:space="preserve">general </w:t>
      </w:r>
      <w:r w:rsidR="009C3E15" w:rsidRPr="00493DDD">
        <w:rPr>
          <w:rFonts w:cs="Times New Roman"/>
          <w:szCs w:val="24"/>
        </w:rPr>
        <w:t xml:space="preserve">allure of investing in flashy new capabilities and luxurious features of AVs </w:t>
      </w:r>
      <w:r w:rsidRPr="00493DDD">
        <w:rPr>
          <w:rFonts w:cs="Times New Roman"/>
          <w:szCs w:val="24"/>
        </w:rPr>
        <w:t>would be most effectiv</w:t>
      </w:r>
      <w:r w:rsidR="009C3E15" w:rsidRPr="00493DDD">
        <w:rPr>
          <w:rFonts w:cs="Times New Roman"/>
          <w:szCs w:val="24"/>
        </w:rPr>
        <w:t>e</w:t>
      </w:r>
      <w:r w:rsidRPr="00493DDD">
        <w:rPr>
          <w:rFonts w:cs="Times New Roman"/>
          <w:szCs w:val="24"/>
        </w:rPr>
        <w:t xml:space="preserve">. Also, to increase the speed of uptake among women and older adults, campaigns highlighting safety benefits </w:t>
      </w:r>
      <w:r w:rsidR="00DB7B7D" w:rsidRPr="00493DDD">
        <w:rPr>
          <w:rFonts w:cs="Times New Roman"/>
          <w:szCs w:val="24"/>
        </w:rPr>
        <w:t xml:space="preserve">and the </w:t>
      </w:r>
      <w:r w:rsidR="0099399A" w:rsidRPr="00493DDD">
        <w:rPr>
          <w:rFonts w:cs="Times New Roman"/>
          <w:szCs w:val="24"/>
        </w:rPr>
        <w:t xml:space="preserve">additional </w:t>
      </w:r>
      <w:r w:rsidR="00DB7B7D" w:rsidRPr="00493DDD">
        <w:rPr>
          <w:rFonts w:cs="Times New Roman"/>
          <w:szCs w:val="24"/>
        </w:rPr>
        <w:t xml:space="preserve">time to pursue other activities through relinquishing driving control </w:t>
      </w:r>
      <w:r w:rsidRPr="00493DDD">
        <w:rPr>
          <w:rFonts w:cs="Times New Roman"/>
          <w:szCs w:val="24"/>
        </w:rPr>
        <w:t>would generally be much more effective than campaigns to increase tech-savviness levels.</w:t>
      </w:r>
    </w:p>
    <w:p w14:paraId="32AF595E" w14:textId="6B181516" w:rsidR="0016254A" w:rsidRPr="00493DDD" w:rsidRDefault="00E52E1A" w:rsidP="00493DDD">
      <w:pPr>
        <w:spacing w:line="276" w:lineRule="auto"/>
        <w:ind w:firstLine="720"/>
        <w:jc w:val="both"/>
        <w:rPr>
          <w:rFonts w:cs="Times New Roman"/>
          <w:szCs w:val="24"/>
        </w:rPr>
      </w:pPr>
      <w:r w:rsidRPr="00493DDD">
        <w:rPr>
          <w:rFonts w:cs="Times New Roman"/>
          <w:szCs w:val="24"/>
        </w:rPr>
        <w:t xml:space="preserve">Overall, </w:t>
      </w:r>
      <w:r w:rsidR="009B5308" w:rsidRPr="00493DDD">
        <w:rPr>
          <w:rFonts w:cs="Times New Roman"/>
          <w:szCs w:val="24"/>
        </w:rPr>
        <w:t xml:space="preserve">our results emphasize the need to understand the effects of technology through a psycho-social lens. Technology developments and design cannot be divorced from careful investigations of habits and consumption motivations of different groups of individuals.  Innovations that are viewed as </w:t>
      </w:r>
      <w:r w:rsidR="00953DF9" w:rsidRPr="00493DDD">
        <w:rPr>
          <w:rFonts w:cs="Times New Roman"/>
          <w:szCs w:val="24"/>
        </w:rPr>
        <w:t>encroaching on</w:t>
      </w:r>
      <w:r w:rsidR="009B5308" w:rsidRPr="00493DDD">
        <w:rPr>
          <w:rFonts w:cs="Times New Roman"/>
          <w:szCs w:val="24"/>
        </w:rPr>
        <w:t xml:space="preserve"> “my motor skill territory”</w:t>
      </w:r>
      <w:r w:rsidR="0099399A" w:rsidRPr="00493DDD">
        <w:rPr>
          <w:rFonts w:cs="Times New Roman"/>
          <w:szCs w:val="24"/>
        </w:rPr>
        <w:t>,</w:t>
      </w:r>
      <w:r w:rsidR="009B5308" w:rsidRPr="00493DDD">
        <w:rPr>
          <w:rFonts w:cs="Times New Roman"/>
          <w:szCs w:val="24"/>
        </w:rPr>
        <w:t xml:space="preserve"> </w:t>
      </w:r>
      <w:r w:rsidR="00953DF9" w:rsidRPr="00493DDD">
        <w:rPr>
          <w:rFonts w:cs="Times New Roman"/>
          <w:szCs w:val="24"/>
        </w:rPr>
        <w:t xml:space="preserve">and as reducing the sensation-seeking that accompanies driving (see Nordhoff </w:t>
      </w:r>
      <w:r w:rsidR="00953DF9" w:rsidRPr="00493DDD">
        <w:rPr>
          <w:rFonts w:cs="Times New Roman"/>
          <w:i/>
          <w:iCs/>
          <w:szCs w:val="24"/>
        </w:rPr>
        <w:t>et al</w:t>
      </w:r>
      <w:r w:rsidR="00953DF9" w:rsidRPr="00E32A2A">
        <w:rPr>
          <w:rFonts w:cs="Times New Roman"/>
          <w:iCs/>
          <w:szCs w:val="24"/>
        </w:rPr>
        <w:t>.,</w:t>
      </w:r>
      <w:r w:rsidR="00953DF9" w:rsidRPr="00E32A2A">
        <w:rPr>
          <w:rFonts w:cs="Times New Roman"/>
          <w:szCs w:val="24"/>
        </w:rPr>
        <w:t xml:space="preserve"> </w:t>
      </w:r>
      <w:r w:rsidR="00953DF9" w:rsidRPr="00493DDD">
        <w:rPr>
          <w:rFonts w:cs="Times New Roman"/>
          <w:szCs w:val="24"/>
        </w:rPr>
        <w:t>2016)</w:t>
      </w:r>
      <w:r w:rsidR="0099399A" w:rsidRPr="00493DDD">
        <w:rPr>
          <w:rFonts w:cs="Times New Roman"/>
          <w:szCs w:val="24"/>
        </w:rPr>
        <w:t>,</w:t>
      </w:r>
      <w:r w:rsidR="00953DF9" w:rsidRPr="00493DDD">
        <w:rPr>
          <w:rFonts w:cs="Times New Roman"/>
          <w:szCs w:val="24"/>
        </w:rPr>
        <w:t xml:space="preserve"> </w:t>
      </w:r>
      <w:r w:rsidR="009B5308" w:rsidRPr="00493DDD">
        <w:rPr>
          <w:rFonts w:cs="Times New Roman"/>
          <w:szCs w:val="24"/>
        </w:rPr>
        <w:t>can lead to substantial resistance to adoption</w:t>
      </w:r>
      <w:r w:rsidR="00953DF9" w:rsidRPr="00493DDD">
        <w:rPr>
          <w:rFonts w:cs="Times New Roman"/>
          <w:szCs w:val="24"/>
        </w:rPr>
        <w:t xml:space="preserve">. </w:t>
      </w:r>
      <w:r w:rsidR="0099399A" w:rsidRPr="00493DDD">
        <w:rPr>
          <w:rFonts w:cs="Times New Roman"/>
          <w:szCs w:val="24"/>
        </w:rPr>
        <w:t xml:space="preserve">Thus, careful and balanced messaging, customized to the audience, is critical in information campaigns to promote AV adoption. </w:t>
      </w:r>
      <w:r w:rsidR="00DB7B7D" w:rsidRPr="00493DDD">
        <w:rPr>
          <w:rFonts w:cs="Times New Roman"/>
          <w:szCs w:val="24"/>
        </w:rPr>
        <w:t>From a methodological perspective, the study highlights the value of using ranked choice questions in stated preference surveys.</w:t>
      </w:r>
    </w:p>
    <w:p w14:paraId="16C6E9E7" w14:textId="15EDDE49" w:rsidR="0016254A" w:rsidRPr="00493DDD" w:rsidRDefault="00E52E1A" w:rsidP="00493DDD">
      <w:pPr>
        <w:spacing w:line="276" w:lineRule="auto"/>
        <w:ind w:firstLine="720"/>
        <w:jc w:val="both"/>
        <w:rPr>
          <w:rFonts w:cs="Times New Roman"/>
          <w:szCs w:val="24"/>
        </w:rPr>
      </w:pPr>
      <w:r w:rsidRPr="00493DDD">
        <w:rPr>
          <w:rFonts w:cs="Times New Roman"/>
          <w:szCs w:val="24"/>
        </w:rPr>
        <w:t xml:space="preserve">There are many directions for future research. </w:t>
      </w:r>
      <w:r w:rsidR="009B5308" w:rsidRPr="00493DDD">
        <w:rPr>
          <w:rFonts w:cs="Times New Roman"/>
          <w:szCs w:val="24"/>
        </w:rPr>
        <w:t xml:space="preserve">The magnitude of the direct age effect is quite high in our results, suggesting a need to further investigate the reasons for older adults’ reluctance toward AVs. While a number of reasons for this large direct effect (beyond the mediating effects through the latent constructs) have been provided, there are still many unknowns. </w:t>
      </w:r>
      <w:bookmarkStart w:id="9" w:name="_Hlk52807985"/>
      <w:r w:rsidR="00DB7B7D" w:rsidRPr="00493DDD">
        <w:rPr>
          <w:rFonts w:cs="Times New Roman"/>
          <w:szCs w:val="24"/>
        </w:rPr>
        <w:t xml:space="preserve">Also, while we do introduce a time frame element to the AVD choice decision (by anchoring the choice to the next purchase occasion), </w:t>
      </w:r>
      <w:r w:rsidR="00D21054">
        <w:rPr>
          <w:rFonts w:cs="Times New Roman"/>
          <w:szCs w:val="24"/>
        </w:rPr>
        <w:t xml:space="preserve">this could itself influence the AVD choice expressed (independent of objective feelings about AVs in general). For example, </w:t>
      </w:r>
      <w:r w:rsidR="00D21054">
        <w:t>i</w:t>
      </w:r>
      <w:r w:rsidR="00116FED">
        <w:t>ndividual</w:t>
      </w:r>
      <w:r w:rsidR="00D21054">
        <w:t>s</w:t>
      </w:r>
      <w:r w:rsidR="00116FED">
        <w:t xml:space="preserve"> who just purchased a regular vehicle </w:t>
      </w:r>
      <w:r w:rsidR="00D21054">
        <w:t xml:space="preserve">a month before (essentially, a situation where the next purchase occasion may be years away) may be more likely to respond that they would purchase an AV at the next purchase occasion, while individuals whose last car purchase occasion was 10 years ago may be more likely to respond that they would purchase a regular vehicle at the next purchase occasion (simply because the actual benefits of AVs and the technology reliability of AVs would be less known in the immediate future than over a longer period of time). </w:t>
      </w:r>
      <w:r w:rsidR="00BD3E1C">
        <w:t xml:space="preserve">There are clearly pros and cons of tying the AVD choice decision to the next purchase occasion, an issue that would be interesting to study in the future. Future studies </w:t>
      </w:r>
      <w:r w:rsidR="00DB7B7D" w:rsidRPr="00493DDD">
        <w:rPr>
          <w:rFonts w:cs="Times New Roman"/>
          <w:szCs w:val="24"/>
        </w:rPr>
        <w:t xml:space="preserve">can also be supplemented with a finer resolution </w:t>
      </w:r>
      <w:r w:rsidR="0099399A" w:rsidRPr="00493DDD">
        <w:rPr>
          <w:rFonts w:cs="Times New Roman"/>
          <w:szCs w:val="24"/>
        </w:rPr>
        <w:t xml:space="preserve">instrument to capture </w:t>
      </w:r>
      <w:r w:rsidR="00DB7B7D" w:rsidRPr="00493DDD">
        <w:rPr>
          <w:rFonts w:cs="Times New Roman"/>
          <w:szCs w:val="24"/>
        </w:rPr>
        <w:t xml:space="preserve">the </w:t>
      </w:r>
      <w:r w:rsidR="0099399A" w:rsidRPr="00493DDD">
        <w:rPr>
          <w:rFonts w:cs="Times New Roman"/>
          <w:szCs w:val="24"/>
        </w:rPr>
        <w:t xml:space="preserve">AV purchase </w:t>
      </w:r>
      <w:r w:rsidR="00DB7B7D" w:rsidRPr="00493DDD">
        <w:rPr>
          <w:rFonts w:cs="Times New Roman"/>
          <w:szCs w:val="24"/>
        </w:rPr>
        <w:t xml:space="preserve">duration </w:t>
      </w:r>
      <w:r w:rsidR="0099399A" w:rsidRPr="00493DDD">
        <w:rPr>
          <w:rFonts w:cs="Times New Roman"/>
          <w:szCs w:val="24"/>
        </w:rPr>
        <w:t>time frame</w:t>
      </w:r>
      <w:r w:rsidR="00DB7B7D" w:rsidRPr="00493DDD">
        <w:rPr>
          <w:rFonts w:cs="Times New Roman"/>
          <w:szCs w:val="24"/>
        </w:rPr>
        <w:t xml:space="preserve">, beyond the rather coarse grouping adopted in this study to characterize the DAD decision. </w:t>
      </w:r>
      <w:bookmarkEnd w:id="9"/>
      <w:r w:rsidR="00C20521" w:rsidRPr="00493DDD">
        <w:rPr>
          <w:rFonts w:cs="Times New Roman"/>
          <w:szCs w:val="24"/>
        </w:rPr>
        <w:t xml:space="preserve">Another </w:t>
      </w:r>
      <w:r w:rsidR="00BD3E1C">
        <w:rPr>
          <w:rFonts w:cs="Times New Roman"/>
          <w:szCs w:val="24"/>
        </w:rPr>
        <w:t xml:space="preserve">related </w:t>
      </w:r>
      <w:r w:rsidR="00C20521" w:rsidRPr="00493DDD">
        <w:rPr>
          <w:rFonts w:cs="Times New Roman"/>
          <w:szCs w:val="24"/>
        </w:rPr>
        <w:t xml:space="preserve">important direction is to strive toward introducing more realism in the response elicitation mechanism. As indicated by </w:t>
      </w:r>
      <w:r w:rsidR="00C20521" w:rsidRPr="0039429D">
        <w:rPr>
          <w:rFonts w:cs="Times New Roman"/>
          <w:szCs w:val="24"/>
        </w:rPr>
        <w:t xml:space="preserve">Zmud </w:t>
      </w:r>
      <w:r w:rsidR="00C20521" w:rsidRPr="0039429D">
        <w:rPr>
          <w:rFonts w:cs="Times New Roman"/>
          <w:i/>
          <w:iCs/>
          <w:szCs w:val="24"/>
        </w:rPr>
        <w:t>et al</w:t>
      </w:r>
      <w:r w:rsidR="00C20521" w:rsidRPr="0039429D">
        <w:rPr>
          <w:rFonts w:cs="Times New Roman"/>
          <w:iCs/>
          <w:szCs w:val="24"/>
        </w:rPr>
        <w:t>.</w:t>
      </w:r>
      <w:r w:rsidR="00C20521" w:rsidRPr="0039429D">
        <w:rPr>
          <w:rFonts w:cs="Times New Roman"/>
          <w:szCs w:val="24"/>
        </w:rPr>
        <w:t xml:space="preserve"> (201</w:t>
      </w:r>
      <w:r w:rsidR="0039429D" w:rsidRPr="0039429D">
        <w:rPr>
          <w:rFonts w:cs="Times New Roman"/>
          <w:szCs w:val="24"/>
        </w:rPr>
        <w:t>6</w:t>
      </w:r>
      <w:r w:rsidR="00C20521" w:rsidRPr="0039429D">
        <w:rPr>
          <w:rFonts w:cs="Times New Roman"/>
          <w:szCs w:val="24"/>
        </w:rPr>
        <w:t>),</w:t>
      </w:r>
      <w:r w:rsidR="00C20521" w:rsidRPr="00493DDD">
        <w:rPr>
          <w:rFonts w:cs="Times New Roman"/>
          <w:szCs w:val="24"/>
        </w:rPr>
        <w:t xml:space="preserve"> </w:t>
      </w:r>
      <w:r w:rsidR="004C584A" w:rsidRPr="00493DDD">
        <w:rPr>
          <w:rFonts w:cs="Times New Roman"/>
          <w:szCs w:val="24"/>
        </w:rPr>
        <w:t xml:space="preserve">AVs </w:t>
      </w:r>
      <w:r w:rsidR="00D43164" w:rsidRPr="00493DDD">
        <w:rPr>
          <w:rFonts w:cs="Times New Roman"/>
          <w:szCs w:val="24"/>
        </w:rPr>
        <w:t xml:space="preserve">continue to </w:t>
      </w:r>
      <w:r w:rsidR="004C584A" w:rsidRPr="00493DDD">
        <w:rPr>
          <w:rFonts w:cs="Times New Roman"/>
          <w:szCs w:val="24"/>
        </w:rPr>
        <w:t>remain abstract</w:t>
      </w:r>
      <w:r w:rsidR="00D43164" w:rsidRPr="00493DDD">
        <w:rPr>
          <w:rFonts w:cs="Times New Roman"/>
          <w:szCs w:val="24"/>
        </w:rPr>
        <w:t xml:space="preserve">, thus </w:t>
      </w:r>
      <w:r w:rsidR="004C584A" w:rsidRPr="00493DDD">
        <w:rPr>
          <w:rFonts w:cs="Times New Roman"/>
          <w:szCs w:val="24"/>
        </w:rPr>
        <w:t>conjur</w:t>
      </w:r>
      <w:r w:rsidR="00D43164" w:rsidRPr="00493DDD">
        <w:rPr>
          <w:rFonts w:cs="Times New Roman"/>
          <w:szCs w:val="24"/>
        </w:rPr>
        <w:t xml:space="preserve">ing up </w:t>
      </w:r>
      <w:r w:rsidR="004C584A" w:rsidRPr="00493DDD">
        <w:rPr>
          <w:rFonts w:cs="Times New Roman"/>
          <w:szCs w:val="24"/>
        </w:rPr>
        <w:t xml:space="preserve">different images for different </w:t>
      </w:r>
      <w:r w:rsidR="00D43164" w:rsidRPr="00493DDD">
        <w:rPr>
          <w:rFonts w:cs="Times New Roman"/>
          <w:szCs w:val="24"/>
        </w:rPr>
        <w:t xml:space="preserve">people and making </w:t>
      </w:r>
      <w:r w:rsidR="0099399A" w:rsidRPr="00493DDD">
        <w:rPr>
          <w:rFonts w:cs="Times New Roman"/>
          <w:szCs w:val="24"/>
        </w:rPr>
        <w:t xml:space="preserve">such vehicles </w:t>
      </w:r>
      <w:r w:rsidR="00D43164" w:rsidRPr="00493DDD">
        <w:rPr>
          <w:rFonts w:cs="Times New Roman"/>
          <w:szCs w:val="24"/>
        </w:rPr>
        <w:t xml:space="preserve">psychologically distant. In this uncertain and speculative context, the ecological validity of any analysis based on stated preference responses </w:t>
      </w:r>
      <w:r w:rsidR="00D43164" w:rsidRPr="00493DDD">
        <w:rPr>
          <w:rFonts w:cs="Times New Roman"/>
          <w:szCs w:val="24"/>
        </w:rPr>
        <w:lastRenderedPageBreak/>
        <w:t xml:space="preserve">can be limited. </w:t>
      </w:r>
      <w:r w:rsidR="004C584A" w:rsidRPr="00493DDD">
        <w:rPr>
          <w:rFonts w:cs="Times New Roman"/>
          <w:szCs w:val="24"/>
        </w:rPr>
        <w:t xml:space="preserve"> </w:t>
      </w:r>
      <w:r w:rsidR="0099399A" w:rsidRPr="00493DDD">
        <w:rPr>
          <w:rFonts w:cs="Times New Roman"/>
          <w:szCs w:val="24"/>
        </w:rPr>
        <w:t>A</w:t>
      </w:r>
      <w:r w:rsidR="00D43164" w:rsidRPr="00493DDD">
        <w:rPr>
          <w:rFonts w:cs="Times New Roman"/>
          <w:szCs w:val="24"/>
        </w:rPr>
        <w:t xml:space="preserve"> multi-modal approach </w:t>
      </w:r>
      <w:r w:rsidR="0099399A" w:rsidRPr="00493DDD">
        <w:rPr>
          <w:rFonts w:cs="Times New Roman"/>
          <w:szCs w:val="24"/>
        </w:rPr>
        <w:t xml:space="preserve">to eliciting responses and intentions </w:t>
      </w:r>
      <w:r w:rsidR="00D43164" w:rsidRPr="00493DDD">
        <w:rPr>
          <w:rFonts w:cs="Times New Roman"/>
          <w:szCs w:val="24"/>
        </w:rPr>
        <w:t xml:space="preserve">is needed, including virtual reality experiments of the type undertaken by Voinescu </w:t>
      </w:r>
      <w:r w:rsidR="00D43164" w:rsidRPr="00493DDD">
        <w:rPr>
          <w:rFonts w:cs="Times New Roman"/>
          <w:i/>
          <w:iCs/>
          <w:szCs w:val="24"/>
        </w:rPr>
        <w:t>et al</w:t>
      </w:r>
      <w:r w:rsidR="00D43164" w:rsidRPr="00E32A2A">
        <w:rPr>
          <w:rFonts w:cs="Times New Roman"/>
          <w:iCs/>
          <w:szCs w:val="24"/>
        </w:rPr>
        <w:t>.</w:t>
      </w:r>
      <w:r w:rsidR="00D43164" w:rsidRPr="00493DDD">
        <w:rPr>
          <w:rFonts w:cs="Times New Roman"/>
          <w:i/>
          <w:iCs/>
          <w:szCs w:val="24"/>
        </w:rPr>
        <w:t xml:space="preserve"> </w:t>
      </w:r>
      <w:r w:rsidR="00D43164" w:rsidRPr="00493DDD">
        <w:rPr>
          <w:rFonts w:cs="Times New Roman"/>
          <w:szCs w:val="24"/>
        </w:rPr>
        <w:t xml:space="preserve">(2020). In any event, there is a need to continually investigate the socio-technical considerations associated with AV adoption, as people become increasingly familiar with the technology and there is more clarity </w:t>
      </w:r>
      <w:r w:rsidR="00AE08D6" w:rsidRPr="00493DDD">
        <w:rPr>
          <w:rFonts w:cs="Times New Roman"/>
          <w:szCs w:val="24"/>
        </w:rPr>
        <w:t>on the design features of an AV.</w:t>
      </w:r>
    </w:p>
    <w:p w14:paraId="38E285A2" w14:textId="77777777" w:rsidR="0016254A" w:rsidRPr="00493DDD" w:rsidRDefault="0016254A" w:rsidP="00493DDD">
      <w:pPr>
        <w:spacing w:line="276" w:lineRule="auto"/>
        <w:ind w:firstLine="720"/>
        <w:jc w:val="both"/>
        <w:rPr>
          <w:rFonts w:cs="Times New Roman"/>
          <w:szCs w:val="24"/>
        </w:rPr>
      </w:pPr>
    </w:p>
    <w:p w14:paraId="652D6207" w14:textId="77777777" w:rsidR="0016254A" w:rsidRPr="00493DDD" w:rsidRDefault="0016254A" w:rsidP="0082498B">
      <w:pPr>
        <w:keepNext/>
        <w:keepLines/>
        <w:spacing w:line="276" w:lineRule="auto"/>
        <w:rPr>
          <w:rFonts w:cs="Times New Roman"/>
          <w:b/>
          <w:szCs w:val="24"/>
        </w:rPr>
      </w:pPr>
      <w:r w:rsidRPr="00493DDD">
        <w:rPr>
          <w:rFonts w:cs="Times New Roman"/>
          <w:b/>
          <w:szCs w:val="24"/>
        </w:rPr>
        <w:t>ACKNOWLEDGMENTS</w:t>
      </w:r>
    </w:p>
    <w:p w14:paraId="7CB4197E" w14:textId="1391F44D" w:rsidR="007A6462" w:rsidRDefault="0016254A" w:rsidP="0082498B">
      <w:pPr>
        <w:keepNext/>
        <w:keepLines/>
        <w:spacing w:line="276" w:lineRule="auto"/>
        <w:jc w:val="both"/>
        <w:rPr>
          <w:szCs w:val="24"/>
        </w:rPr>
      </w:pPr>
      <w:r w:rsidRPr="00493DDD">
        <w:rPr>
          <w:rFonts w:cs="Times New Roman"/>
          <w:szCs w:val="24"/>
        </w:rPr>
        <w:t>This research was partially supported by the U.S. Department of Transportation through the Data-Supported Transportation Operations and Planning (D-STOP) Tier 1 University Transportation Center (Grant No. DTRT13GUTC58). The authors are grateful to Lisa Macias for her help in formatting this document</w:t>
      </w:r>
      <w:r w:rsidRPr="005A70F5">
        <w:rPr>
          <w:rFonts w:cs="Times New Roman"/>
          <w:szCs w:val="24"/>
        </w:rPr>
        <w:t>.</w:t>
      </w:r>
      <w:bookmarkStart w:id="10" w:name="_Hlk44595882"/>
      <w:r w:rsidR="005A70F5" w:rsidRPr="005A70F5">
        <w:rPr>
          <w:rFonts w:cs="Times New Roman"/>
          <w:szCs w:val="24"/>
        </w:rPr>
        <w:t xml:space="preserve"> </w:t>
      </w:r>
      <w:r w:rsidR="005A70F5">
        <w:rPr>
          <w:rFonts w:cs="Times New Roman"/>
          <w:szCs w:val="24"/>
        </w:rPr>
        <w:t>The authors are also grateful to the t</w:t>
      </w:r>
      <w:r w:rsidR="005A70F5" w:rsidRPr="005A70F5">
        <w:rPr>
          <w:rFonts w:cs="Times New Roman"/>
          <w:szCs w:val="24"/>
        </w:rPr>
        <w:t xml:space="preserve">wo anonymous reviewers </w:t>
      </w:r>
      <w:r w:rsidR="005A70F5">
        <w:rPr>
          <w:rFonts w:cs="Times New Roman"/>
          <w:szCs w:val="24"/>
        </w:rPr>
        <w:t xml:space="preserve">who </w:t>
      </w:r>
      <w:r w:rsidR="005A70F5" w:rsidRPr="005A70F5">
        <w:rPr>
          <w:rFonts w:cs="Times New Roman"/>
          <w:szCs w:val="24"/>
        </w:rPr>
        <w:t>provided useful comments on an earlier version of this paper.</w:t>
      </w:r>
    </w:p>
    <w:p w14:paraId="35ED3EE2" w14:textId="77777777" w:rsidR="007A6462" w:rsidRDefault="007A6462" w:rsidP="007A6462">
      <w:pPr>
        <w:spacing w:line="276" w:lineRule="auto"/>
        <w:jc w:val="both"/>
        <w:rPr>
          <w:rFonts w:cs="Times New Roman"/>
          <w:b/>
          <w:bCs/>
          <w:szCs w:val="24"/>
        </w:rPr>
      </w:pPr>
    </w:p>
    <w:p w14:paraId="67E6569A" w14:textId="2442E8E4" w:rsidR="00DF5476" w:rsidRPr="007A6462" w:rsidRDefault="00E25F92" w:rsidP="003C58B0">
      <w:pPr>
        <w:jc w:val="both"/>
        <w:rPr>
          <w:szCs w:val="24"/>
        </w:rPr>
      </w:pPr>
      <w:r w:rsidRPr="00264E6C">
        <w:rPr>
          <w:rFonts w:cs="Times New Roman"/>
          <w:b/>
          <w:bCs/>
          <w:szCs w:val="24"/>
        </w:rPr>
        <w:t>REFERENCES</w:t>
      </w:r>
    </w:p>
    <w:p w14:paraId="4230F1A1" w14:textId="77777777" w:rsidR="003B328E" w:rsidRPr="002617E3" w:rsidRDefault="003B328E" w:rsidP="003B328E">
      <w:pPr>
        <w:ind w:left="540" w:hanging="540"/>
        <w:jc w:val="both"/>
        <w:rPr>
          <w:rFonts w:cs="Times New Roman"/>
          <w:szCs w:val="24"/>
          <w:shd w:val="clear" w:color="auto" w:fill="FFFFFF"/>
        </w:rPr>
      </w:pPr>
      <w:bookmarkStart w:id="11" w:name="_Hlk46148936"/>
      <w:bookmarkEnd w:id="10"/>
      <w:r w:rsidRPr="002617E3">
        <w:rPr>
          <w:rFonts w:cs="Times New Roman"/>
          <w:color w:val="222222"/>
          <w:szCs w:val="24"/>
          <w:shd w:val="clear" w:color="auto" w:fill="FFFFFF"/>
        </w:rPr>
        <w:t>Abraham, H., Lee, C., Brady, S., Fitzgerald, C., Mehler, B., Reimer, B., and Coughlin, J. F., 2016. Autonomous vehicles, trust, and driving alternatives: A survey of consumer preferences. </w:t>
      </w:r>
      <w:r w:rsidRPr="002617E3">
        <w:rPr>
          <w:rFonts w:cs="Times New Roman"/>
          <w:iCs/>
          <w:color w:val="222222"/>
          <w:szCs w:val="24"/>
          <w:shd w:val="clear" w:color="auto" w:fill="FFFFFF"/>
        </w:rPr>
        <w:t xml:space="preserve"> MIT AgeLab, </w:t>
      </w:r>
      <w:r w:rsidRPr="002617E3">
        <w:rPr>
          <w:rFonts w:cs="Times New Roman"/>
          <w:szCs w:val="24"/>
          <w:shd w:val="clear" w:color="auto" w:fill="FFFFFF"/>
        </w:rPr>
        <w:t>Massachusetts Institute of Technology</w:t>
      </w:r>
      <w:r w:rsidRPr="002617E3">
        <w:rPr>
          <w:rFonts w:cs="Times New Roman"/>
          <w:iCs/>
          <w:color w:val="222222"/>
          <w:szCs w:val="24"/>
          <w:shd w:val="clear" w:color="auto" w:fill="FFFFFF"/>
        </w:rPr>
        <w:t>, Cambridge</w:t>
      </w:r>
      <w:r w:rsidRPr="002617E3">
        <w:rPr>
          <w:rFonts w:cs="Times New Roman"/>
          <w:color w:val="222222"/>
          <w:szCs w:val="24"/>
          <w:shd w:val="clear" w:color="auto" w:fill="FFFFFF"/>
        </w:rPr>
        <w:t>, MA.</w:t>
      </w:r>
    </w:p>
    <w:p w14:paraId="6AB29051" w14:textId="77777777" w:rsidR="003B328E" w:rsidRPr="002617E3" w:rsidRDefault="003B328E" w:rsidP="003B328E">
      <w:pPr>
        <w:ind w:left="540" w:hanging="540"/>
        <w:jc w:val="both"/>
        <w:rPr>
          <w:rFonts w:cs="Times New Roman"/>
          <w:color w:val="222222"/>
          <w:szCs w:val="24"/>
          <w:shd w:val="clear" w:color="auto" w:fill="FFFFFF"/>
        </w:rPr>
      </w:pPr>
      <w:r w:rsidRPr="002617E3">
        <w:rPr>
          <w:rFonts w:cs="Times New Roman"/>
          <w:color w:val="222222"/>
          <w:szCs w:val="24"/>
          <w:shd w:val="clear" w:color="auto" w:fill="FFFFFF"/>
        </w:rPr>
        <w:t>Acheampong, R. A., and Cugurullo, F., 2019. Capturing the behavioural determinants behind the adoption of autonomous vehicles: Conceptual frameworks and measurement models to predict public transport, sharing and ownership trends of self-driving cars. </w:t>
      </w:r>
      <w:r w:rsidRPr="002617E3">
        <w:rPr>
          <w:rFonts w:cs="Times New Roman"/>
          <w:i/>
          <w:iCs/>
          <w:color w:val="222222"/>
          <w:szCs w:val="24"/>
          <w:shd w:val="clear" w:color="auto" w:fill="FFFFFF"/>
        </w:rPr>
        <w:t>Transportation Research Part F</w:t>
      </w:r>
      <w:r w:rsidRPr="002617E3">
        <w:rPr>
          <w:rFonts w:cs="Times New Roman"/>
          <w:color w:val="222222"/>
          <w:szCs w:val="24"/>
          <w:shd w:val="clear" w:color="auto" w:fill="FFFFFF"/>
        </w:rPr>
        <w:t>, </w:t>
      </w:r>
      <w:r w:rsidRPr="002617E3">
        <w:rPr>
          <w:rFonts w:cs="Times New Roman"/>
          <w:iCs/>
          <w:color w:val="222222"/>
          <w:szCs w:val="24"/>
          <w:shd w:val="clear" w:color="auto" w:fill="FFFFFF"/>
        </w:rPr>
        <w:t>62</w:t>
      </w:r>
      <w:r w:rsidRPr="002617E3">
        <w:rPr>
          <w:rFonts w:cs="Times New Roman"/>
          <w:color w:val="222222"/>
          <w:szCs w:val="24"/>
          <w:shd w:val="clear" w:color="auto" w:fill="FFFFFF"/>
        </w:rPr>
        <w:t>, 349-375.</w:t>
      </w:r>
    </w:p>
    <w:p w14:paraId="5F5763AB" w14:textId="77777777" w:rsidR="003B328E" w:rsidRPr="002617E3" w:rsidRDefault="003B328E" w:rsidP="003B328E">
      <w:pPr>
        <w:tabs>
          <w:tab w:val="left" w:pos="3720"/>
        </w:tabs>
        <w:ind w:left="540" w:hanging="540"/>
        <w:jc w:val="both"/>
        <w:rPr>
          <w:rFonts w:cs="Times New Roman"/>
          <w:color w:val="222222"/>
          <w:szCs w:val="24"/>
          <w:shd w:val="clear" w:color="auto" w:fill="FFFFFF"/>
        </w:rPr>
      </w:pPr>
      <w:r w:rsidRPr="002617E3">
        <w:rPr>
          <w:rFonts w:cs="Times New Roman"/>
          <w:color w:val="222222"/>
          <w:szCs w:val="24"/>
          <w:shd w:val="clear" w:color="auto" w:fill="FFFFFF"/>
        </w:rPr>
        <w:t>Ajzen, I., 1991. The theory of planned behavior. </w:t>
      </w:r>
      <w:r w:rsidRPr="002617E3">
        <w:rPr>
          <w:rFonts w:cs="Times New Roman"/>
          <w:i/>
          <w:iCs/>
          <w:color w:val="222222"/>
          <w:szCs w:val="24"/>
          <w:shd w:val="clear" w:color="auto" w:fill="FFFFFF"/>
        </w:rPr>
        <w:t>Organizational Behavior and Human Decision Processes</w:t>
      </w:r>
      <w:r w:rsidRPr="002617E3">
        <w:rPr>
          <w:rFonts w:cs="Times New Roman"/>
          <w:color w:val="222222"/>
          <w:szCs w:val="24"/>
          <w:shd w:val="clear" w:color="auto" w:fill="FFFFFF"/>
        </w:rPr>
        <w:t>, </w:t>
      </w:r>
      <w:r w:rsidRPr="002617E3">
        <w:rPr>
          <w:rFonts w:cs="Times New Roman"/>
          <w:iCs/>
          <w:color w:val="222222"/>
          <w:szCs w:val="24"/>
          <w:shd w:val="clear" w:color="auto" w:fill="FFFFFF"/>
        </w:rPr>
        <w:t>50</w:t>
      </w:r>
      <w:r w:rsidRPr="002617E3">
        <w:rPr>
          <w:rFonts w:cs="Times New Roman"/>
          <w:color w:val="222222"/>
          <w:szCs w:val="24"/>
          <w:shd w:val="clear" w:color="auto" w:fill="FFFFFF"/>
        </w:rPr>
        <w:t>(2), 179-211.</w:t>
      </w:r>
    </w:p>
    <w:p w14:paraId="369774B5" w14:textId="77777777" w:rsidR="003B328E" w:rsidRPr="002617E3" w:rsidRDefault="003B328E" w:rsidP="003B328E">
      <w:pPr>
        <w:ind w:left="540" w:hanging="540"/>
        <w:jc w:val="both"/>
        <w:rPr>
          <w:rFonts w:cs="Times New Roman"/>
          <w:color w:val="222222"/>
          <w:szCs w:val="24"/>
          <w:shd w:val="clear" w:color="auto" w:fill="FFFFFF"/>
        </w:rPr>
      </w:pPr>
      <w:r w:rsidRPr="002617E3">
        <w:rPr>
          <w:rFonts w:cs="Times New Roman"/>
          <w:color w:val="222222"/>
          <w:szCs w:val="24"/>
          <w:shd w:val="clear" w:color="auto" w:fill="FFFFFF"/>
        </w:rPr>
        <w:t xml:space="preserve">Alemi, F., Circella, G., Mokhtarian, P., and Handy, S., 2018. </w:t>
      </w:r>
      <w:r w:rsidRPr="002617E3">
        <w:rPr>
          <w:rFonts w:cs="Times New Roman"/>
          <w:iCs/>
          <w:color w:val="222222"/>
          <w:szCs w:val="24"/>
          <w:shd w:val="clear" w:color="auto" w:fill="FFFFFF"/>
        </w:rPr>
        <w:t>On-demand ride services in California: Investigating the factors affecting the frequency of use of Uber/Lyft</w:t>
      </w:r>
      <w:r w:rsidRPr="002617E3">
        <w:rPr>
          <w:rFonts w:cs="Times New Roman"/>
          <w:i/>
          <w:iCs/>
          <w:color w:val="222222"/>
          <w:szCs w:val="24"/>
          <w:shd w:val="clear" w:color="auto" w:fill="FFFFFF"/>
        </w:rPr>
        <w:t>.</w:t>
      </w:r>
      <w:r w:rsidRPr="002617E3">
        <w:rPr>
          <w:rFonts w:cs="Times New Roman"/>
          <w:szCs w:val="24"/>
        </w:rPr>
        <w:t xml:space="preserve"> </w:t>
      </w:r>
      <w:r w:rsidRPr="002617E3">
        <w:rPr>
          <w:rFonts w:cs="Times New Roman"/>
          <w:color w:val="222222"/>
          <w:szCs w:val="24"/>
          <w:shd w:val="clear" w:color="auto" w:fill="FFFFFF"/>
        </w:rPr>
        <w:t xml:space="preserve">Presented at the </w:t>
      </w:r>
      <w:r w:rsidRPr="002617E3">
        <w:rPr>
          <w:rFonts w:cs="Times New Roman"/>
          <w:i/>
          <w:iCs/>
          <w:color w:val="222222"/>
          <w:szCs w:val="24"/>
          <w:shd w:val="clear" w:color="auto" w:fill="FFFFFF"/>
        </w:rPr>
        <w:t>97th Annual Meeting of the Transportation Research Board</w:t>
      </w:r>
      <w:r w:rsidRPr="002617E3">
        <w:rPr>
          <w:rFonts w:cs="Times New Roman"/>
          <w:iCs/>
          <w:color w:val="222222"/>
          <w:szCs w:val="24"/>
          <w:shd w:val="clear" w:color="auto" w:fill="FFFFFF"/>
        </w:rPr>
        <w:t>, Washington D.C.</w:t>
      </w:r>
    </w:p>
    <w:p w14:paraId="6B651892" w14:textId="77777777" w:rsidR="003B328E" w:rsidRPr="003171A4" w:rsidRDefault="003B328E" w:rsidP="003B328E">
      <w:pPr>
        <w:ind w:left="540" w:hanging="540"/>
        <w:jc w:val="both"/>
        <w:rPr>
          <w:rFonts w:cs="Times New Roman"/>
          <w:szCs w:val="24"/>
        </w:rPr>
      </w:pPr>
      <w:r w:rsidRPr="003171A4">
        <w:rPr>
          <w:rFonts w:cs="Times New Roman"/>
          <w:szCs w:val="24"/>
        </w:rPr>
        <w:t xml:space="preserve">Anderson, M., 2020. Surprise! 2020 is not the year for self-driving cars. </w:t>
      </w:r>
      <w:hyperlink r:id="rId27" w:history="1">
        <w:r w:rsidRPr="003171A4">
          <w:rPr>
            <w:rStyle w:val="Hyperlink"/>
            <w:rFonts w:cs="Times New Roman"/>
            <w:szCs w:val="24"/>
          </w:rPr>
          <w:t>https://spectrum.ieee.org/transportation/self-driving/surprise-2020-is-not-the-year-for-selfdriving-cars</w:t>
        </w:r>
      </w:hyperlink>
      <w:r w:rsidRPr="003171A4">
        <w:rPr>
          <w:rFonts w:cs="Times New Roman"/>
          <w:szCs w:val="24"/>
        </w:rPr>
        <w:t xml:space="preserve">. Accessed June 16, 2020. </w:t>
      </w:r>
    </w:p>
    <w:p w14:paraId="206C8A8F" w14:textId="77777777" w:rsidR="003B328E" w:rsidRPr="002617E3" w:rsidRDefault="003B328E" w:rsidP="003B328E">
      <w:pPr>
        <w:ind w:left="540" w:hanging="540"/>
        <w:jc w:val="both"/>
        <w:rPr>
          <w:rFonts w:cs="Times New Roman"/>
          <w:szCs w:val="24"/>
        </w:rPr>
      </w:pPr>
      <w:r w:rsidRPr="002617E3">
        <w:rPr>
          <w:rFonts w:cs="Times New Roman"/>
          <w:szCs w:val="24"/>
        </w:rPr>
        <w:t xml:space="preserve">Angrist, J. D., and Imbens, G. W., 1991. Sources of identifying information in evaluation models. </w:t>
      </w:r>
      <w:r w:rsidRPr="002617E3">
        <w:rPr>
          <w:rFonts w:cs="Times New Roman"/>
          <w:color w:val="000000"/>
          <w:szCs w:val="24"/>
        </w:rPr>
        <w:t>Technical Working Paper No. 117,</w:t>
      </w:r>
      <w:r w:rsidRPr="002617E3">
        <w:rPr>
          <w:rFonts w:cs="Times New Roman"/>
          <w:szCs w:val="24"/>
        </w:rPr>
        <w:t xml:space="preserve"> </w:t>
      </w:r>
      <w:r w:rsidRPr="002617E3">
        <w:rPr>
          <w:rFonts w:cs="Times New Roman"/>
          <w:iCs/>
          <w:szCs w:val="24"/>
        </w:rPr>
        <w:t>National Bureau of Economic Research.</w:t>
      </w:r>
      <w:r w:rsidRPr="002617E3">
        <w:rPr>
          <w:rFonts w:cs="Times New Roman"/>
          <w:szCs w:val="24"/>
        </w:rPr>
        <w:t xml:space="preserve"> </w:t>
      </w:r>
      <w:hyperlink r:id="rId28" w:history="1">
        <w:r w:rsidRPr="002617E3">
          <w:rPr>
            <w:rStyle w:val="Hyperlink"/>
            <w:rFonts w:cs="Times New Roman"/>
            <w:szCs w:val="24"/>
          </w:rPr>
          <w:t>https://doi.org/10.3386/t0117</w:t>
        </w:r>
      </w:hyperlink>
    </w:p>
    <w:p w14:paraId="7F0C4A9D" w14:textId="77777777" w:rsidR="003B328E" w:rsidRPr="002617E3" w:rsidRDefault="003B328E" w:rsidP="003B328E">
      <w:pPr>
        <w:ind w:left="540" w:hanging="540"/>
        <w:jc w:val="both"/>
        <w:rPr>
          <w:rFonts w:cs="Times New Roman"/>
          <w:szCs w:val="24"/>
        </w:rPr>
      </w:pPr>
      <w:r w:rsidRPr="002617E3">
        <w:rPr>
          <w:rFonts w:cs="Times New Roman"/>
          <w:szCs w:val="24"/>
        </w:rPr>
        <w:t xml:space="preserve">Astroza, S., Garikapati, V. M., Bhat, C. R., Pendyala, R. M., Lavieri, P. S., and Dias, F. F., 2017. Analysis of the impact of technology use on multimodality and activity travel characteristics. </w:t>
      </w:r>
      <w:r w:rsidRPr="002617E3">
        <w:rPr>
          <w:rFonts w:cs="Times New Roman"/>
          <w:i/>
          <w:iCs/>
          <w:szCs w:val="24"/>
        </w:rPr>
        <w:t>Transportation Research Record: Journal of the Transportation Research Board</w:t>
      </w:r>
      <w:r w:rsidRPr="002617E3">
        <w:rPr>
          <w:rFonts w:cs="Times New Roman"/>
          <w:iCs/>
          <w:szCs w:val="24"/>
        </w:rPr>
        <w:t>, 2666,</w:t>
      </w:r>
      <w:r w:rsidRPr="002617E3">
        <w:rPr>
          <w:rFonts w:cs="Times New Roman"/>
          <w:szCs w:val="24"/>
        </w:rPr>
        <w:t xml:space="preserve"> 19-28.</w:t>
      </w:r>
    </w:p>
    <w:p w14:paraId="159771DB" w14:textId="77777777" w:rsidR="003B328E" w:rsidRPr="002617E3" w:rsidRDefault="003B328E" w:rsidP="003B328E">
      <w:pPr>
        <w:ind w:left="540" w:hanging="540"/>
        <w:jc w:val="both"/>
        <w:rPr>
          <w:rFonts w:cs="Times New Roman"/>
          <w:szCs w:val="24"/>
        </w:rPr>
      </w:pPr>
      <w:r w:rsidRPr="002617E3">
        <w:rPr>
          <w:rFonts w:cs="Times New Roman"/>
          <w:szCs w:val="24"/>
          <w:shd w:val="clear" w:color="auto" w:fill="FFFFFF"/>
        </w:rPr>
        <w:t xml:space="preserve">Basak, C., Boot, W. R., Voss, M. W., and Kramer, A. F., 2008. Can training in a real-time strategy video game </w:t>
      </w:r>
      <w:r w:rsidRPr="002617E3">
        <w:rPr>
          <w:rFonts w:cs="Times New Roman"/>
          <w:color w:val="222222"/>
          <w:szCs w:val="24"/>
          <w:shd w:val="clear" w:color="auto" w:fill="FFFFFF"/>
        </w:rPr>
        <w:t>attenuate cognitive decline in older adults? </w:t>
      </w:r>
      <w:r w:rsidRPr="002617E3">
        <w:rPr>
          <w:rFonts w:cs="Times New Roman"/>
          <w:i/>
          <w:iCs/>
          <w:color w:val="222222"/>
          <w:szCs w:val="24"/>
          <w:shd w:val="clear" w:color="auto" w:fill="FFFFFF"/>
        </w:rPr>
        <w:t>Psychology and Aging</w:t>
      </w:r>
      <w:r w:rsidRPr="002617E3">
        <w:rPr>
          <w:rFonts w:cs="Times New Roman"/>
          <w:color w:val="222222"/>
          <w:szCs w:val="24"/>
          <w:shd w:val="clear" w:color="auto" w:fill="FFFFFF"/>
        </w:rPr>
        <w:t>, </w:t>
      </w:r>
      <w:r w:rsidRPr="002617E3">
        <w:rPr>
          <w:rFonts w:cs="Times New Roman"/>
          <w:iCs/>
          <w:color w:val="222222"/>
          <w:szCs w:val="24"/>
          <w:shd w:val="clear" w:color="auto" w:fill="FFFFFF"/>
        </w:rPr>
        <w:t>23</w:t>
      </w:r>
      <w:r w:rsidRPr="002617E3">
        <w:rPr>
          <w:rFonts w:cs="Times New Roman"/>
          <w:color w:val="222222"/>
          <w:szCs w:val="24"/>
          <w:shd w:val="clear" w:color="auto" w:fill="FFFFFF"/>
        </w:rPr>
        <w:t>(4), 765.</w:t>
      </w:r>
    </w:p>
    <w:p w14:paraId="6DF7AC1B" w14:textId="77777777" w:rsidR="003B328E" w:rsidRPr="002617E3" w:rsidRDefault="003B328E" w:rsidP="003B328E">
      <w:pPr>
        <w:tabs>
          <w:tab w:val="left" w:pos="3720"/>
        </w:tabs>
        <w:ind w:left="540" w:hanging="540"/>
        <w:jc w:val="both"/>
        <w:rPr>
          <w:rFonts w:cs="Times New Roman"/>
          <w:color w:val="222222"/>
          <w:szCs w:val="24"/>
          <w:shd w:val="clear" w:color="auto" w:fill="FFFFFF"/>
        </w:rPr>
      </w:pPr>
      <w:r w:rsidRPr="002617E3">
        <w:rPr>
          <w:rFonts w:cs="Times New Roman"/>
          <w:color w:val="222222"/>
          <w:szCs w:val="24"/>
          <w:shd w:val="clear" w:color="auto" w:fill="FFFFFF"/>
        </w:rPr>
        <w:t>Berkowsky, R. W., Sharit, J., and Czaja, S. J., 2017. Factors predicting decisions about technology adoption among older adults. </w:t>
      </w:r>
      <w:r w:rsidRPr="002617E3">
        <w:rPr>
          <w:rFonts w:cs="Times New Roman"/>
          <w:i/>
          <w:iCs/>
          <w:color w:val="222222"/>
          <w:szCs w:val="24"/>
          <w:shd w:val="clear" w:color="auto" w:fill="FFFFFF"/>
        </w:rPr>
        <w:t>Innovation in Aging</w:t>
      </w:r>
      <w:r w:rsidRPr="002617E3">
        <w:rPr>
          <w:rFonts w:cs="Times New Roman"/>
          <w:color w:val="222222"/>
          <w:szCs w:val="24"/>
          <w:shd w:val="clear" w:color="auto" w:fill="FFFFFF"/>
        </w:rPr>
        <w:t>, </w:t>
      </w:r>
      <w:r w:rsidRPr="002617E3">
        <w:rPr>
          <w:rFonts w:cs="Times New Roman"/>
          <w:iCs/>
          <w:color w:val="222222"/>
          <w:szCs w:val="24"/>
          <w:shd w:val="clear" w:color="auto" w:fill="FFFFFF"/>
        </w:rPr>
        <w:t>1</w:t>
      </w:r>
      <w:r w:rsidRPr="002617E3">
        <w:rPr>
          <w:rFonts w:cs="Times New Roman"/>
          <w:color w:val="222222"/>
          <w:szCs w:val="24"/>
          <w:shd w:val="clear" w:color="auto" w:fill="FFFFFF"/>
        </w:rPr>
        <w:t>(3).</w:t>
      </w:r>
    </w:p>
    <w:p w14:paraId="519287EF" w14:textId="77777777" w:rsidR="003B328E" w:rsidRPr="002617E3" w:rsidRDefault="003B328E" w:rsidP="003B328E">
      <w:pPr>
        <w:tabs>
          <w:tab w:val="left" w:pos="3720"/>
        </w:tabs>
        <w:ind w:left="540" w:hanging="540"/>
        <w:jc w:val="both"/>
        <w:rPr>
          <w:rFonts w:cs="Times New Roman"/>
          <w:color w:val="222222"/>
          <w:szCs w:val="24"/>
          <w:shd w:val="clear" w:color="auto" w:fill="FFFFFF"/>
        </w:rPr>
      </w:pPr>
      <w:r w:rsidRPr="002617E3">
        <w:rPr>
          <w:rFonts w:cs="Times New Roman"/>
          <w:color w:val="222222"/>
          <w:szCs w:val="24"/>
          <w:shd w:val="clear" w:color="auto" w:fill="FFFFFF"/>
        </w:rPr>
        <w:t>Bernardo, C., Paleti, R., Hoklas, M., and Bhat, C. R., 2015. An empirical investigation into the time-use and activity patterns of dual-earner couples with and without young children. </w:t>
      </w:r>
      <w:r w:rsidRPr="002617E3">
        <w:rPr>
          <w:rFonts w:cs="Times New Roman"/>
          <w:i/>
          <w:iCs/>
          <w:color w:val="222222"/>
          <w:szCs w:val="24"/>
          <w:shd w:val="clear" w:color="auto" w:fill="FFFFFF"/>
        </w:rPr>
        <w:t>Transportation Research Part A</w:t>
      </w:r>
      <w:r w:rsidRPr="002617E3">
        <w:rPr>
          <w:rFonts w:cs="Times New Roman"/>
          <w:color w:val="222222"/>
          <w:szCs w:val="24"/>
          <w:shd w:val="clear" w:color="auto" w:fill="FFFFFF"/>
        </w:rPr>
        <w:t>, </w:t>
      </w:r>
      <w:r w:rsidRPr="002617E3">
        <w:rPr>
          <w:rFonts w:cs="Times New Roman"/>
          <w:iCs/>
          <w:color w:val="222222"/>
          <w:szCs w:val="24"/>
          <w:shd w:val="clear" w:color="auto" w:fill="FFFFFF"/>
        </w:rPr>
        <w:t>76</w:t>
      </w:r>
      <w:r w:rsidRPr="002617E3">
        <w:rPr>
          <w:rFonts w:cs="Times New Roman"/>
          <w:color w:val="222222"/>
          <w:szCs w:val="24"/>
          <w:shd w:val="clear" w:color="auto" w:fill="FFFFFF"/>
        </w:rPr>
        <w:t>, 71-91.</w:t>
      </w:r>
    </w:p>
    <w:p w14:paraId="7D75CD0A" w14:textId="38B3C54A" w:rsidR="003B328E" w:rsidRPr="002617E3" w:rsidRDefault="003B328E" w:rsidP="009D7EF5">
      <w:pPr>
        <w:keepLines/>
        <w:tabs>
          <w:tab w:val="left" w:pos="3720"/>
        </w:tabs>
        <w:ind w:left="547" w:hanging="547"/>
        <w:jc w:val="both"/>
        <w:rPr>
          <w:rFonts w:cs="Times New Roman"/>
          <w:szCs w:val="24"/>
        </w:rPr>
      </w:pPr>
      <w:r w:rsidRPr="002617E3">
        <w:rPr>
          <w:rFonts w:cs="Times New Roman"/>
          <w:szCs w:val="24"/>
        </w:rPr>
        <w:lastRenderedPageBreak/>
        <w:t xml:space="preserve">Bhat, C. R., Mondal, A., Asmussen, K., and Bhat, A. C., 2020. A multiple discrete extreme value choice model with grouped consumption data and unobserved budgets. </w:t>
      </w:r>
      <w:r w:rsidR="00B66FD2" w:rsidRPr="002617E3">
        <w:rPr>
          <w:rFonts w:cs="Times New Roman"/>
          <w:i/>
          <w:iCs/>
          <w:color w:val="222222"/>
          <w:szCs w:val="24"/>
          <w:shd w:val="clear" w:color="auto" w:fill="FFFFFF"/>
        </w:rPr>
        <w:t xml:space="preserve">Transportation Research Part </w:t>
      </w:r>
      <w:r w:rsidR="00B66FD2">
        <w:rPr>
          <w:rFonts w:cs="Times New Roman"/>
          <w:i/>
          <w:iCs/>
          <w:color w:val="222222"/>
          <w:szCs w:val="24"/>
          <w:shd w:val="clear" w:color="auto" w:fill="FFFFFF"/>
        </w:rPr>
        <w:t>B</w:t>
      </w:r>
      <w:r w:rsidR="00B66FD2" w:rsidRPr="002617E3">
        <w:rPr>
          <w:rFonts w:cs="Times New Roman"/>
          <w:color w:val="222222"/>
          <w:szCs w:val="24"/>
          <w:shd w:val="clear" w:color="auto" w:fill="FFFFFF"/>
        </w:rPr>
        <w:t>, </w:t>
      </w:r>
      <w:r w:rsidR="00B66FD2">
        <w:rPr>
          <w:rFonts w:cs="Times New Roman"/>
          <w:color w:val="222222"/>
          <w:szCs w:val="24"/>
          <w:shd w:val="clear" w:color="auto" w:fill="FFFFFF"/>
        </w:rPr>
        <w:t>forthcoming</w:t>
      </w:r>
      <w:r w:rsidRPr="002617E3">
        <w:rPr>
          <w:rFonts w:cs="Times New Roman"/>
          <w:szCs w:val="24"/>
        </w:rPr>
        <w:t xml:space="preserve">. </w:t>
      </w:r>
    </w:p>
    <w:p w14:paraId="2B47E415" w14:textId="77777777" w:rsidR="003B328E" w:rsidRPr="002617E3" w:rsidRDefault="003B328E" w:rsidP="003B328E">
      <w:pPr>
        <w:tabs>
          <w:tab w:val="left" w:pos="3720"/>
        </w:tabs>
        <w:ind w:left="540" w:hanging="540"/>
        <w:jc w:val="both"/>
        <w:rPr>
          <w:rFonts w:cs="Times New Roman"/>
          <w:szCs w:val="24"/>
        </w:rPr>
      </w:pPr>
      <w:r w:rsidRPr="002617E3">
        <w:rPr>
          <w:rFonts w:cs="Times New Roman"/>
          <w:szCs w:val="24"/>
        </w:rPr>
        <w:t xml:space="preserve">Bhat, C. R., Sen, S., and Eluru, N., 2009. The impact of demographics, built environment attributes, vehicle characteristics, and gasoline prices on household vehicle holdings and use.  </w:t>
      </w:r>
      <w:r w:rsidRPr="002617E3">
        <w:rPr>
          <w:rFonts w:cs="Times New Roman"/>
          <w:i/>
          <w:iCs/>
          <w:szCs w:val="24"/>
        </w:rPr>
        <w:t>Transportation Research Part B</w:t>
      </w:r>
      <w:r w:rsidRPr="002617E3">
        <w:rPr>
          <w:rFonts w:cs="Times New Roman"/>
          <w:iCs/>
          <w:szCs w:val="24"/>
        </w:rPr>
        <w:t>,</w:t>
      </w:r>
      <w:r w:rsidRPr="002617E3">
        <w:rPr>
          <w:rFonts w:cs="Times New Roman"/>
          <w:i/>
          <w:iCs/>
          <w:szCs w:val="24"/>
        </w:rPr>
        <w:t xml:space="preserve"> </w:t>
      </w:r>
      <w:r w:rsidRPr="002617E3">
        <w:rPr>
          <w:rFonts w:cs="Times New Roman"/>
          <w:iCs/>
          <w:szCs w:val="24"/>
        </w:rPr>
        <w:t>43</w:t>
      </w:r>
      <w:r w:rsidRPr="002617E3">
        <w:rPr>
          <w:rFonts w:cs="Times New Roman"/>
          <w:szCs w:val="24"/>
        </w:rPr>
        <w:t>(1), 1-18.</w:t>
      </w:r>
    </w:p>
    <w:p w14:paraId="0005BF64" w14:textId="77777777" w:rsidR="003B328E" w:rsidRPr="002617E3" w:rsidRDefault="003B328E" w:rsidP="003B328E">
      <w:pPr>
        <w:tabs>
          <w:tab w:val="left" w:pos="3720"/>
        </w:tabs>
        <w:ind w:left="540" w:hanging="540"/>
        <w:jc w:val="both"/>
        <w:rPr>
          <w:rFonts w:cs="Times New Roman"/>
          <w:szCs w:val="24"/>
        </w:rPr>
      </w:pPr>
      <w:r w:rsidRPr="002617E3">
        <w:t>Bolton, R. N., Parasuraman, A., Hoefnagels, A., Migchels, N., Kabadayi, S., Gruber, T., Komarova Loureiro, Y., and Solnet, D., 2013. Understanding generation Y and their use of social media: A review and research agenda. Journal of Service Management, 24(3), 245-267.</w:t>
      </w:r>
    </w:p>
    <w:p w14:paraId="778C16EC" w14:textId="77777777" w:rsidR="003B328E" w:rsidRPr="002617E3" w:rsidRDefault="003B328E" w:rsidP="003B328E">
      <w:pPr>
        <w:tabs>
          <w:tab w:val="left" w:pos="3720"/>
        </w:tabs>
        <w:ind w:left="540" w:hanging="540"/>
        <w:jc w:val="both"/>
        <w:rPr>
          <w:rFonts w:cs="Times New Roman"/>
          <w:color w:val="222222"/>
          <w:szCs w:val="24"/>
          <w:shd w:val="clear" w:color="auto" w:fill="FFFFFF"/>
        </w:rPr>
      </w:pPr>
      <w:r w:rsidRPr="002617E3">
        <w:rPr>
          <w:rFonts w:cs="Times New Roman"/>
          <w:color w:val="222222"/>
          <w:szCs w:val="24"/>
          <w:shd w:val="clear" w:color="auto" w:fill="FFFFFF"/>
        </w:rPr>
        <w:t xml:space="preserve">Boot, W. R., Champion, M., Blakely, D. P., Wright, T., Souders, D. J., and Charness, N., 2013. Video games as a means to reduce age-related cognitive decline: attitudes, compliance, and effectiveness. </w:t>
      </w:r>
      <w:r w:rsidRPr="002617E3">
        <w:rPr>
          <w:rFonts w:cs="Times New Roman"/>
          <w:i/>
          <w:iCs/>
          <w:color w:val="222222"/>
          <w:szCs w:val="24"/>
          <w:shd w:val="clear" w:color="auto" w:fill="FFFFFF"/>
        </w:rPr>
        <w:t>Frontiers in Psychology</w:t>
      </w:r>
      <w:r w:rsidRPr="002617E3">
        <w:rPr>
          <w:rFonts w:cs="Times New Roman"/>
          <w:iCs/>
          <w:color w:val="222222"/>
          <w:szCs w:val="24"/>
          <w:shd w:val="clear" w:color="auto" w:fill="FFFFFF"/>
        </w:rPr>
        <w:t xml:space="preserve">, 4, </w:t>
      </w:r>
      <w:r w:rsidRPr="002617E3">
        <w:rPr>
          <w:rFonts w:cs="Times New Roman"/>
          <w:color w:val="222222"/>
          <w:szCs w:val="24"/>
          <w:shd w:val="clear" w:color="auto" w:fill="FFFFFF"/>
        </w:rPr>
        <w:t xml:space="preserve">31. </w:t>
      </w:r>
    </w:p>
    <w:p w14:paraId="54585365" w14:textId="77777777" w:rsidR="003B328E" w:rsidRPr="002617E3" w:rsidRDefault="003B328E" w:rsidP="003B328E">
      <w:pPr>
        <w:ind w:left="540" w:hanging="540"/>
        <w:jc w:val="both"/>
        <w:rPr>
          <w:rFonts w:cs="Times New Roman"/>
          <w:szCs w:val="24"/>
        </w:rPr>
      </w:pPr>
      <w:r w:rsidRPr="002617E3">
        <w:rPr>
          <w:rFonts w:cs="Times New Roman"/>
          <w:szCs w:val="24"/>
        </w:rPr>
        <w:t xml:space="preserve">Borg, M., 2018. Is being a control freak a personality disorder? </w:t>
      </w:r>
      <w:r w:rsidRPr="002617E3">
        <w:rPr>
          <w:rFonts w:cs="Times New Roman"/>
          <w:i/>
          <w:iCs/>
          <w:szCs w:val="24"/>
        </w:rPr>
        <w:t>Thriveworks.</w:t>
      </w:r>
      <w:r w:rsidRPr="002617E3">
        <w:rPr>
          <w:rFonts w:cs="Times New Roman"/>
          <w:szCs w:val="24"/>
        </w:rPr>
        <w:t xml:space="preserve"> </w:t>
      </w:r>
      <w:hyperlink r:id="rId29" w:history="1">
        <w:r w:rsidRPr="002617E3">
          <w:rPr>
            <w:rStyle w:val="Hyperlink"/>
            <w:rFonts w:cs="Times New Roman"/>
            <w:szCs w:val="24"/>
          </w:rPr>
          <w:t>https://thriveworks.com/blog/control-freak-personality-disorder/</w:t>
        </w:r>
      </w:hyperlink>
      <w:r w:rsidRPr="002617E3">
        <w:rPr>
          <w:rFonts w:cs="Times New Roman"/>
          <w:szCs w:val="24"/>
        </w:rPr>
        <w:t>. Accessed on July 13, 2020.</w:t>
      </w:r>
    </w:p>
    <w:p w14:paraId="5B843476" w14:textId="77777777" w:rsidR="003B328E" w:rsidRPr="002617E3" w:rsidRDefault="003B328E" w:rsidP="003B328E">
      <w:pPr>
        <w:tabs>
          <w:tab w:val="left" w:pos="3720"/>
        </w:tabs>
        <w:ind w:left="540" w:hanging="540"/>
        <w:jc w:val="both"/>
        <w:rPr>
          <w:rFonts w:cs="Times New Roman"/>
          <w:color w:val="222222"/>
          <w:szCs w:val="24"/>
          <w:shd w:val="clear" w:color="auto" w:fill="FFFFFF"/>
        </w:rPr>
      </w:pPr>
      <w:r w:rsidRPr="002617E3">
        <w:rPr>
          <w:rFonts w:cs="Times New Roman"/>
          <w:color w:val="222222"/>
          <w:szCs w:val="24"/>
          <w:shd w:val="clear" w:color="auto" w:fill="FFFFFF"/>
        </w:rPr>
        <w:t>Borghans, L., Heckman, J. J., Golsteyn, B. H., and Meijers, H., 2009. Gender differences in risk aversion and ambiguity aversion. </w:t>
      </w:r>
      <w:r w:rsidRPr="002617E3">
        <w:rPr>
          <w:rFonts w:cs="Times New Roman"/>
          <w:i/>
          <w:iCs/>
          <w:color w:val="222222"/>
          <w:szCs w:val="24"/>
          <w:shd w:val="clear" w:color="auto" w:fill="FFFFFF"/>
        </w:rPr>
        <w:t>Journal of the European Economic Association</w:t>
      </w:r>
      <w:r w:rsidRPr="002617E3">
        <w:rPr>
          <w:rFonts w:cs="Times New Roman"/>
          <w:color w:val="222222"/>
          <w:szCs w:val="24"/>
          <w:shd w:val="clear" w:color="auto" w:fill="FFFFFF"/>
        </w:rPr>
        <w:t>, </w:t>
      </w:r>
      <w:r w:rsidRPr="002617E3">
        <w:rPr>
          <w:rFonts w:cs="Times New Roman"/>
          <w:iCs/>
          <w:color w:val="222222"/>
          <w:szCs w:val="24"/>
          <w:shd w:val="clear" w:color="auto" w:fill="FFFFFF"/>
        </w:rPr>
        <w:t>7</w:t>
      </w:r>
      <w:r w:rsidRPr="002617E3">
        <w:rPr>
          <w:rFonts w:cs="Times New Roman"/>
          <w:color w:val="222222"/>
          <w:szCs w:val="24"/>
          <w:shd w:val="clear" w:color="auto" w:fill="FFFFFF"/>
        </w:rPr>
        <w:t>(2-3), 649-658.</w:t>
      </w:r>
    </w:p>
    <w:p w14:paraId="79DD8CD9" w14:textId="77777777" w:rsidR="003B328E" w:rsidRPr="002617E3" w:rsidRDefault="003B328E" w:rsidP="003B328E">
      <w:pPr>
        <w:tabs>
          <w:tab w:val="left" w:pos="3720"/>
        </w:tabs>
        <w:ind w:left="540" w:hanging="540"/>
        <w:jc w:val="both"/>
        <w:rPr>
          <w:rFonts w:cs="Times New Roman"/>
          <w:color w:val="222222"/>
          <w:szCs w:val="24"/>
          <w:shd w:val="clear" w:color="auto" w:fill="FFFFFF"/>
        </w:rPr>
      </w:pPr>
      <w:r w:rsidRPr="002617E3">
        <w:rPr>
          <w:rFonts w:cs="Times New Roman"/>
          <w:color w:val="222222"/>
          <w:szCs w:val="24"/>
          <w:shd w:val="clear" w:color="auto" w:fill="FFFFFF"/>
        </w:rPr>
        <w:t>Bösch, P. M., Becker, F., Becker, H., and Axhausen, K. W., 2018. Cost-based analysis of autonomous mobility services. </w:t>
      </w:r>
      <w:r w:rsidRPr="002617E3">
        <w:rPr>
          <w:rFonts w:cs="Times New Roman"/>
          <w:i/>
          <w:iCs/>
          <w:color w:val="222222"/>
          <w:szCs w:val="24"/>
          <w:shd w:val="clear" w:color="auto" w:fill="FFFFFF"/>
        </w:rPr>
        <w:t>Transport Policy</w:t>
      </w:r>
      <w:r w:rsidRPr="002617E3">
        <w:rPr>
          <w:rFonts w:cs="Times New Roman"/>
          <w:color w:val="222222"/>
          <w:szCs w:val="24"/>
          <w:shd w:val="clear" w:color="auto" w:fill="FFFFFF"/>
        </w:rPr>
        <w:t>, </w:t>
      </w:r>
      <w:r w:rsidRPr="002617E3">
        <w:rPr>
          <w:rFonts w:cs="Times New Roman"/>
          <w:iCs/>
          <w:color w:val="222222"/>
          <w:szCs w:val="24"/>
          <w:shd w:val="clear" w:color="auto" w:fill="FFFFFF"/>
        </w:rPr>
        <w:t>64</w:t>
      </w:r>
      <w:r w:rsidRPr="002617E3">
        <w:rPr>
          <w:rFonts w:cs="Times New Roman"/>
          <w:color w:val="222222"/>
          <w:szCs w:val="24"/>
          <w:shd w:val="clear" w:color="auto" w:fill="FFFFFF"/>
        </w:rPr>
        <w:t>, 76-91.</w:t>
      </w:r>
    </w:p>
    <w:p w14:paraId="437155F2" w14:textId="77777777" w:rsidR="003B328E" w:rsidRPr="002617E3" w:rsidRDefault="003B328E" w:rsidP="003B328E">
      <w:pPr>
        <w:ind w:left="540" w:hanging="540"/>
        <w:jc w:val="both"/>
        <w:rPr>
          <w:rFonts w:cs="Times New Roman"/>
          <w:color w:val="222222"/>
          <w:szCs w:val="24"/>
          <w:shd w:val="clear" w:color="auto" w:fill="FFFFFF"/>
        </w:rPr>
      </w:pPr>
      <w:r w:rsidRPr="002617E3">
        <w:rPr>
          <w:rFonts w:cs="Times New Roman"/>
          <w:color w:val="222222"/>
          <w:szCs w:val="24"/>
          <w:shd w:val="clear" w:color="auto" w:fill="FFFFFF"/>
        </w:rPr>
        <w:t>Bulte, E., and Lensink, R., 2019. Women's empowerment and domestic abuse: Experimental evidence from Vietnam. </w:t>
      </w:r>
      <w:r w:rsidRPr="002617E3">
        <w:rPr>
          <w:rFonts w:cs="Times New Roman"/>
          <w:i/>
          <w:iCs/>
          <w:color w:val="222222"/>
          <w:szCs w:val="24"/>
          <w:shd w:val="clear" w:color="auto" w:fill="FFFFFF"/>
        </w:rPr>
        <w:t>European Economic Review</w:t>
      </w:r>
      <w:r w:rsidRPr="002617E3">
        <w:rPr>
          <w:rFonts w:cs="Times New Roman"/>
          <w:color w:val="222222"/>
          <w:szCs w:val="24"/>
          <w:shd w:val="clear" w:color="auto" w:fill="FFFFFF"/>
        </w:rPr>
        <w:t>, </w:t>
      </w:r>
      <w:r w:rsidRPr="002617E3">
        <w:rPr>
          <w:rFonts w:cs="Times New Roman"/>
          <w:iCs/>
          <w:color w:val="222222"/>
          <w:szCs w:val="24"/>
          <w:shd w:val="clear" w:color="auto" w:fill="FFFFFF"/>
        </w:rPr>
        <w:t>115</w:t>
      </w:r>
      <w:r w:rsidRPr="002617E3">
        <w:rPr>
          <w:rFonts w:cs="Times New Roman"/>
          <w:color w:val="222222"/>
          <w:szCs w:val="24"/>
          <w:shd w:val="clear" w:color="auto" w:fill="FFFFFF"/>
        </w:rPr>
        <w:t>, 172-191.</w:t>
      </w:r>
    </w:p>
    <w:p w14:paraId="6DFAFB27" w14:textId="77777777" w:rsidR="003B328E" w:rsidRPr="002617E3" w:rsidRDefault="003B328E" w:rsidP="003B328E">
      <w:pPr>
        <w:tabs>
          <w:tab w:val="left" w:pos="3720"/>
        </w:tabs>
        <w:ind w:left="540" w:hanging="540"/>
        <w:jc w:val="both"/>
        <w:rPr>
          <w:rFonts w:cs="Times New Roman"/>
          <w:color w:val="222222"/>
          <w:szCs w:val="24"/>
          <w:shd w:val="clear" w:color="auto" w:fill="FFFFFF"/>
        </w:rPr>
      </w:pPr>
      <w:r w:rsidRPr="002617E3">
        <w:rPr>
          <w:rFonts w:cs="Times New Roman"/>
          <w:szCs w:val="24"/>
        </w:rPr>
        <w:t>Burtch, G., Greenwood, B. N., and McCullough, J., 2019. Driving me to drink: The relationship between ride-hailing services and alcohol consumption. Available at</w:t>
      </w:r>
      <w:r w:rsidRPr="002617E3">
        <w:rPr>
          <w:rFonts w:cs="Times New Roman"/>
          <w:color w:val="505050"/>
          <w:shd w:val="clear" w:color="auto" w:fill="FFFFFF"/>
        </w:rPr>
        <w:t>: </w:t>
      </w:r>
      <w:hyperlink r:id="rId30" w:history="1">
        <w:r w:rsidRPr="002617E3">
          <w:rPr>
            <w:rStyle w:val="Hyperlink"/>
            <w:rFonts w:cs="Times New Roman"/>
            <w:shd w:val="clear" w:color="auto" w:fill="FFFFFF"/>
          </w:rPr>
          <w:t>https://ssrn.com/abstract=3490803</w:t>
        </w:r>
      </w:hyperlink>
      <w:r w:rsidRPr="002617E3">
        <w:rPr>
          <w:rFonts w:cs="Times New Roman"/>
          <w:szCs w:val="24"/>
        </w:rPr>
        <w:t xml:space="preserve">. </w:t>
      </w:r>
    </w:p>
    <w:p w14:paraId="508209FE" w14:textId="77777777" w:rsidR="003B328E" w:rsidRPr="002617E3" w:rsidRDefault="003B328E" w:rsidP="003B328E">
      <w:pPr>
        <w:ind w:left="540" w:hanging="540"/>
        <w:jc w:val="both"/>
        <w:rPr>
          <w:rFonts w:cs="Times New Roman"/>
          <w:szCs w:val="24"/>
        </w:rPr>
      </w:pPr>
      <w:r w:rsidRPr="002617E3">
        <w:rPr>
          <w:rStyle w:val="Hyperlink"/>
          <w:rFonts w:cs="Times New Roman"/>
          <w:color w:val="auto"/>
          <w:szCs w:val="24"/>
          <w:u w:val="none"/>
        </w:rPr>
        <w:t>Charness, N., Yoon, J. S., Souders, D., Stothart, C. and Yehnert, C., 2018. Predictors of attitudes toward autonomous vehicles: The roles of age, gender, prior knowledge, and personality.</w:t>
      </w:r>
      <w:r w:rsidRPr="002617E3">
        <w:rPr>
          <w:rStyle w:val="Hyperlink"/>
          <w:rFonts w:cs="Times New Roman"/>
          <w:i/>
          <w:iCs/>
          <w:color w:val="auto"/>
          <w:szCs w:val="24"/>
          <w:u w:val="none"/>
        </w:rPr>
        <w:t xml:space="preserve"> Frontiers in Psychology</w:t>
      </w:r>
      <w:r w:rsidRPr="002617E3">
        <w:rPr>
          <w:rStyle w:val="Hyperlink"/>
          <w:rFonts w:cs="Times New Roman"/>
          <w:color w:val="auto"/>
          <w:szCs w:val="24"/>
          <w:u w:val="none"/>
        </w:rPr>
        <w:t>,</w:t>
      </w:r>
      <w:r w:rsidRPr="002617E3">
        <w:rPr>
          <w:rStyle w:val="Hyperlink"/>
          <w:rFonts w:cs="Times New Roman"/>
          <w:i/>
          <w:iCs/>
          <w:color w:val="auto"/>
          <w:szCs w:val="24"/>
          <w:u w:val="none"/>
        </w:rPr>
        <w:t xml:space="preserve"> 9</w:t>
      </w:r>
      <w:r w:rsidRPr="002617E3">
        <w:rPr>
          <w:rStyle w:val="Hyperlink"/>
          <w:rFonts w:cs="Times New Roman"/>
          <w:iCs/>
          <w:color w:val="auto"/>
          <w:szCs w:val="24"/>
          <w:u w:val="none"/>
        </w:rPr>
        <w:t>,</w:t>
      </w:r>
      <w:r w:rsidRPr="002617E3">
        <w:rPr>
          <w:rStyle w:val="Hyperlink"/>
          <w:rFonts w:cs="Times New Roman"/>
          <w:color w:val="auto"/>
          <w:szCs w:val="24"/>
          <w:u w:val="none"/>
        </w:rPr>
        <w:t xml:space="preserve"> 25-89. </w:t>
      </w:r>
    </w:p>
    <w:p w14:paraId="27C634CF" w14:textId="77777777" w:rsidR="003B328E" w:rsidRPr="003171A4" w:rsidRDefault="003B328E" w:rsidP="003B328E">
      <w:pPr>
        <w:ind w:left="540" w:hanging="540"/>
        <w:jc w:val="both"/>
        <w:rPr>
          <w:rFonts w:cs="Times New Roman"/>
          <w:szCs w:val="24"/>
        </w:rPr>
      </w:pPr>
      <w:r w:rsidRPr="003171A4">
        <w:rPr>
          <w:rFonts w:cs="Times New Roman"/>
          <w:szCs w:val="24"/>
        </w:rPr>
        <w:t xml:space="preserve">Childress, S., Nichols, B., Charlton, B., and Coe, S., 2015. Using an activity-based model to explore the potential impacts of automated vehicles. </w:t>
      </w:r>
      <w:r w:rsidRPr="003171A4">
        <w:rPr>
          <w:rFonts w:cs="Times New Roman"/>
          <w:i/>
          <w:iCs/>
          <w:szCs w:val="24"/>
        </w:rPr>
        <w:t>Transportation Research Record: Journal of the Transportation Research Board</w:t>
      </w:r>
      <w:r w:rsidRPr="003171A4">
        <w:rPr>
          <w:rFonts w:cs="Times New Roman"/>
          <w:iCs/>
          <w:szCs w:val="24"/>
        </w:rPr>
        <w:t>,</w:t>
      </w:r>
      <w:r w:rsidRPr="003171A4">
        <w:rPr>
          <w:rFonts w:cs="Times New Roman"/>
          <w:szCs w:val="24"/>
        </w:rPr>
        <w:t xml:space="preserve"> </w:t>
      </w:r>
      <w:r w:rsidRPr="003171A4">
        <w:rPr>
          <w:rFonts w:cs="Times New Roman"/>
          <w:iCs/>
          <w:szCs w:val="24"/>
        </w:rPr>
        <w:t>2493,</w:t>
      </w:r>
      <w:r w:rsidRPr="003171A4">
        <w:rPr>
          <w:rFonts w:cs="Times New Roman"/>
          <w:szCs w:val="24"/>
        </w:rPr>
        <w:t xml:space="preserve"> 99-106.</w:t>
      </w:r>
    </w:p>
    <w:p w14:paraId="79E4B360" w14:textId="77777777" w:rsidR="003B328E" w:rsidRPr="002617E3" w:rsidRDefault="003B328E" w:rsidP="003B328E">
      <w:pPr>
        <w:tabs>
          <w:tab w:val="left" w:pos="3720"/>
        </w:tabs>
        <w:ind w:left="540" w:hanging="540"/>
        <w:jc w:val="both"/>
        <w:rPr>
          <w:rFonts w:cs="Times New Roman"/>
          <w:szCs w:val="24"/>
          <w:shd w:val="clear" w:color="auto" w:fill="FFFFFF"/>
        </w:rPr>
      </w:pPr>
      <w:r w:rsidRPr="002617E3">
        <w:rPr>
          <w:rFonts w:cs="Times New Roman"/>
          <w:szCs w:val="24"/>
          <w:shd w:val="clear" w:color="auto" w:fill="FFFFFF"/>
        </w:rPr>
        <w:t>Ciciolla, L., and Luthar, S. S., 2019. Invisible household labor and ramifications for adjustment: Mothers as captains of households. </w:t>
      </w:r>
      <w:r w:rsidRPr="002617E3">
        <w:rPr>
          <w:rFonts w:cs="Times New Roman"/>
          <w:i/>
          <w:iCs/>
          <w:szCs w:val="24"/>
          <w:shd w:val="clear" w:color="auto" w:fill="FFFFFF"/>
        </w:rPr>
        <w:t>Sex Roles</w:t>
      </w:r>
      <w:r w:rsidRPr="002617E3">
        <w:rPr>
          <w:rFonts w:cs="Times New Roman"/>
          <w:szCs w:val="24"/>
          <w:shd w:val="clear" w:color="auto" w:fill="FFFFFF"/>
        </w:rPr>
        <w:t>, </w:t>
      </w:r>
      <w:r w:rsidRPr="002617E3">
        <w:rPr>
          <w:rFonts w:cs="Times New Roman"/>
          <w:iCs/>
          <w:szCs w:val="24"/>
          <w:shd w:val="clear" w:color="auto" w:fill="FFFFFF"/>
        </w:rPr>
        <w:t>81</w:t>
      </w:r>
      <w:r w:rsidRPr="002617E3">
        <w:rPr>
          <w:rFonts w:cs="Times New Roman"/>
          <w:szCs w:val="24"/>
          <w:shd w:val="clear" w:color="auto" w:fill="FFFFFF"/>
        </w:rPr>
        <w:t>(7-8), 467-486.</w:t>
      </w:r>
    </w:p>
    <w:p w14:paraId="55C26355" w14:textId="77777777" w:rsidR="003B328E" w:rsidRPr="002617E3" w:rsidRDefault="003B328E" w:rsidP="003B328E">
      <w:pPr>
        <w:tabs>
          <w:tab w:val="left" w:pos="3720"/>
        </w:tabs>
        <w:ind w:left="540" w:hanging="540"/>
        <w:jc w:val="both"/>
        <w:rPr>
          <w:rFonts w:cs="Times New Roman"/>
          <w:szCs w:val="24"/>
        </w:rPr>
      </w:pPr>
      <w:r w:rsidRPr="002617E3">
        <w:rPr>
          <w:rFonts w:cs="Times New Roman"/>
          <w:szCs w:val="24"/>
          <w:shd w:val="clear" w:color="auto" w:fill="FFFFFF"/>
        </w:rPr>
        <w:t>Correa, T., Hinsley, A. W., and De Zuniga, H. G., 2010. Who interacts on the web?: The intersection of users’ personality and social media use. </w:t>
      </w:r>
      <w:r w:rsidRPr="002617E3">
        <w:rPr>
          <w:rFonts w:cs="Times New Roman"/>
          <w:i/>
          <w:iCs/>
          <w:szCs w:val="24"/>
          <w:shd w:val="clear" w:color="auto" w:fill="FFFFFF"/>
        </w:rPr>
        <w:t>Computers in Human Behavior</w:t>
      </w:r>
      <w:r w:rsidRPr="002617E3">
        <w:rPr>
          <w:rFonts w:cs="Times New Roman"/>
          <w:szCs w:val="24"/>
          <w:shd w:val="clear" w:color="auto" w:fill="FFFFFF"/>
        </w:rPr>
        <w:t>, </w:t>
      </w:r>
      <w:r w:rsidRPr="002617E3">
        <w:rPr>
          <w:rFonts w:cs="Times New Roman"/>
          <w:iCs/>
          <w:szCs w:val="24"/>
          <w:shd w:val="clear" w:color="auto" w:fill="FFFFFF"/>
        </w:rPr>
        <w:t>26</w:t>
      </w:r>
      <w:r w:rsidRPr="002617E3">
        <w:rPr>
          <w:rFonts w:cs="Times New Roman"/>
          <w:szCs w:val="24"/>
          <w:shd w:val="clear" w:color="auto" w:fill="FFFFFF"/>
        </w:rPr>
        <w:t>(2), 247-253.</w:t>
      </w:r>
    </w:p>
    <w:p w14:paraId="1D699EA7" w14:textId="77777777" w:rsidR="003B328E" w:rsidRPr="002617E3" w:rsidRDefault="003B328E" w:rsidP="003B328E">
      <w:pPr>
        <w:tabs>
          <w:tab w:val="left" w:pos="3720"/>
        </w:tabs>
        <w:ind w:left="540" w:hanging="540"/>
        <w:jc w:val="both"/>
        <w:rPr>
          <w:rFonts w:cs="Times New Roman"/>
          <w:szCs w:val="24"/>
          <w:shd w:val="clear" w:color="auto" w:fill="FFFFFF"/>
        </w:rPr>
      </w:pPr>
      <w:r w:rsidRPr="002617E3">
        <w:rPr>
          <w:rFonts w:cs="Times New Roman"/>
          <w:szCs w:val="24"/>
          <w:shd w:val="clear" w:color="auto" w:fill="FFFFFF"/>
        </w:rPr>
        <w:t>Davis, F. D., 1989. Perceived usefulness, perceived ease of use, and user acceptance of information technology. </w:t>
      </w:r>
      <w:r w:rsidRPr="002617E3">
        <w:rPr>
          <w:rFonts w:cs="Times New Roman"/>
          <w:i/>
          <w:iCs/>
          <w:szCs w:val="24"/>
          <w:shd w:val="clear" w:color="auto" w:fill="FFFFFF"/>
        </w:rPr>
        <w:t>MIS Quarterly</w:t>
      </w:r>
      <w:r w:rsidRPr="002617E3">
        <w:rPr>
          <w:rFonts w:cs="Times New Roman"/>
          <w:szCs w:val="24"/>
          <w:shd w:val="clear" w:color="auto" w:fill="FFFFFF"/>
        </w:rPr>
        <w:t>, 13(3), 319-340.</w:t>
      </w:r>
    </w:p>
    <w:p w14:paraId="77F84049" w14:textId="77777777" w:rsidR="003B328E" w:rsidRPr="002617E3" w:rsidRDefault="003B328E" w:rsidP="003B328E">
      <w:pPr>
        <w:ind w:left="540" w:hanging="540"/>
        <w:jc w:val="both"/>
        <w:rPr>
          <w:rFonts w:cs="Times New Roman"/>
          <w:szCs w:val="24"/>
          <w:shd w:val="clear" w:color="auto" w:fill="FFFFFF"/>
        </w:rPr>
      </w:pPr>
      <w:r w:rsidRPr="002617E3">
        <w:rPr>
          <w:rFonts w:cs="Times New Roman"/>
          <w:szCs w:val="24"/>
          <w:shd w:val="clear" w:color="auto" w:fill="FFFFFF"/>
        </w:rPr>
        <w:t xml:space="preserve">de Miguel, M. Á., Fuchshuber, D., Hussein, A., and Olaverri-Monreal, C., 2019. Perceived pedestrian safety: Public interaction with driverless vehicles. </w:t>
      </w:r>
      <w:r w:rsidRPr="002617E3">
        <w:rPr>
          <w:rFonts w:cs="Times New Roman"/>
          <w:i/>
          <w:iCs/>
          <w:szCs w:val="24"/>
          <w:shd w:val="clear" w:color="auto" w:fill="FFFFFF"/>
        </w:rPr>
        <w:t>2019 IEEE Intelligent Vehicles Symposium (IV)</w:t>
      </w:r>
      <w:r w:rsidRPr="002617E3">
        <w:rPr>
          <w:rFonts w:cs="Times New Roman"/>
          <w:szCs w:val="24"/>
          <w:shd w:val="clear" w:color="auto" w:fill="FFFFFF"/>
        </w:rPr>
        <w:t xml:space="preserve">, Paris, France, 90-95. </w:t>
      </w:r>
      <w:hyperlink r:id="rId31" w:history="1">
        <w:r w:rsidRPr="002617E3">
          <w:rPr>
            <w:rStyle w:val="Hyperlink"/>
            <w:rFonts w:cs="Times New Roman"/>
            <w:szCs w:val="24"/>
            <w:shd w:val="clear" w:color="auto" w:fill="FFFFFF"/>
          </w:rPr>
          <w:t>https://doi.org/10.1109/IVS.2019.8814145</w:t>
        </w:r>
      </w:hyperlink>
      <w:r w:rsidRPr="002617E3">
        <w:rPr>
          <w:rFonts w:cs="Times New Roman"/>
          <w:szCs w:val="24"/>
          <w:shd w:val="clear" w:color="auto" w:fill="FFFFFF"/>
        </w:rPr>
        <w:t xml:space="preserve"> </w:t>
      </w:r>
    </w:p>
    <w:p w14:paraId="09C725A3" w14:textId="77777777" w:rsidR="003B328E" w:rsidRPr="002617E3" w:rsidRDefault="003B328E" w:rsidP="003B328E">
      <w:pPr>
        <w:ind w:left="540" w:hanging="540"/>
        <w:jc w:val="both"/>
        <w:rPr>
          <w:rFonts w:cs="Times New Roman"/>
          <w:szCs w:val="24"/>
        </w:rPr>
      </w:pPr>
      <w:r w:rsidRPr="002617E3">
        <w:rPr>
          <w:rFonts w:cs="Times New Roman"/>
          <w:szCs w:val="24"/>
          <w:shd w:val="clear" w:color="auto" w:fill="FFFFFF"/>
        </w:rPr>
        <w:t>Deary, I. J., Corley, J., Gow, A. J., Harris, S. E., Houlihan, L. M., Marioni, R. E., Penke, L., Rafnsson, S. B., and Starr, J. M., 2009. Age-associated cognitive decline. </w:t>
      </w:r>
      <w:r w:rsidRPr="002617E3">
        <w:rPr>
          <w:rFonts w:cs="Times New Roman"/>
          <w:i/>
          <w:iCs/>
          <w:szCs w:val="24"/>
          <w:shd w:val="clear" w:color="auto" w:fill="FFFFFF"/>
        </w:rPr>
        <w:t>British Medical Bulletin</w:t>
      </w:r>
      <w:r w:rsidRPr="002617E3">
        <w:rPr>
          <w:rFonts w:cs="Times New Roman"/>
          <w:szCs w:val="24"/>
          <w:shd w:val="clear" w:color="auto" w:fill="FFFFFF"/>
        </w:rPr>
        <w:t>, </w:t>
      </w:r>
      <w:r w:rsidRPr="002617E3">
        <w:rPr>
          <w:rFonts w:cs="Times New Roman"/>
          <w:iCs/>
          <w:szCs w:val="24"/>
          <w:shd w:val="clear" w:color="auto" w:fill="FFFFFF"/>
        </w:rPr>
        <w:t>92</w:t>
      </w:r>
      <w:r w:rsidRPr="002617E3">
        <w:rPr>
          <w:rFonts w:cs="Times New Roman"/>
          <w:szCs w:val="24"/>
          <w:shd w:val="clear" w:color="auto" w:fill="FFFFFF"/>
        </w:rPr>
        <w:t>(1), 135-152.</w:t>
      </w:r>
    </w:p>
    <w:p w14:paraId="37FB8E18" w14:textId="77777777" w:rsidR="003B328E" w:rsidRPr="003171A4" w:rsidRDefault="003B328E" w:rsidP="003B328E">
      <w:pPr>
        <w:ind w:left="540" w:hanging="540"/>
        <w:jc w:val="both"/>
        <w:rPr>
          <w:rFonts w:cs="Times New Roman"/>
          <w:szCs w:val="24"/>
        </w:rPr>
      </w:pPr>
      <w:r w:rsidRPr="003171A4">
        <w:rPr>
          <w:rFonts w:cs="Times New Roman"/>
          <w:szCs w:val="24"/>
        </w:rPr>
        <w:lastRenderedPageBreak/>
        <w:t xml:space="preserve">Dias, F. F., Nair, G. S., Ruiz-Juri, N., Bhat, C. R., and Mirzaei, A., 2020. Incorporating autonomous vehicles in the traditional four-step model. </w:t>
      </w:r>
      <w:r w:rsidRPr="003171A4">
        <w:rPr>
          <w:rFonts w:cs="Times New Roman"/>
          <w:i/>
          <w:iCs/>
          <w:szCs w:val="24"/>
        </w:rPr>
        <w:t>Transportation Research Record: Journal of the Transportation Research Board</w:t>
      </w:r>
      <w:r w:rsidRPr="003171A4">
        <w:rPr>
          <w:rFonts w:cs="Times New Roman"/>
          <w:iCs/>
          <w:szCs w:val="24"/>
        </w:rPr>
        <w:t>, 2674(7), 348-360</w:t>
      </w:r>
      <w:r w:rsidRPr="003171A4">
        <w:rPr>
          <w:rFonts w:cs="Times New Roman"/>
          <w:szCs w:val="24"/>
        </w:rPr>
        <w:t>.</w:t>
      </w:r>
    </w:p>
    <w:p w14:paraId="48870B2E" w14:textId="77777777" w:rsidR="003B328E" w:rsidRPr="002617E3" w:rsidRDefault="003B328E" w:rsidP="003B328E">
      <w:pPr>
        <w:tabs>
          <w:tab w:val="left" w:pos="3720"/>
        </w:tabs>
        <w:ind w:left="540" w:hanging="540"/>
        <w:jc w:val="both"/>
        <w:rPr>
          <w:rFonts w:cs="Times New Roman"/>
          <w:szCs w:val="24"/>
        </w:rPr>
      </w:pPr>
      <w:r w:rsidRPr="002617E3">
        <w:rPr>
          <w:rFonts w:cs="Times New Roman"/>
          <w:szCs w:val="24"/>
        </w:rPr>
        <w:t xml:space="preserve">Dias, F. F., Lavieri, P. S., Garikapati, V. M., Astroza, S., Pendyala, R. M., and Bhat, C. R., 2017. A behavioral choice model of the use of car-sharing and ride-sourcing services. </w:t>
      </w:r>
      <w:r w:rsidRPr="002617E3">
        <w:rPr>
          <w:rFonts w:cs="Times New Roman"/>
          <w:i/>
          <w:iCs/>
          <w:szCs w:val="24"/>
        </w:rPr>
        <w:t>Transportation</w:t>
      </w:r>
      <w:r w:rsidRPr="002617E3">
        <w:rPr>
          <w:rFonts w:cs="Times New Roman"/>
          <w:szCs w:val="24"/>
        </w:rPr>
        <w:t xml:space="preserve">, </w:t>
      </w:r>
      <w:r w:rsidRPr="002617E3">
        <w:rPr>
          <w:rFonts w:cs="Times New Roman"/>
          <w:iCs/>
          <w:szCs w:val="24"/>
        </w:rPr>
        <w:t>44</w:t>
      </w:r>
      <w:r w:rsidRPr="002617E3">
        <w:rPr>
          <w:rFonts w:cs="Times New Roman"/>
          <w:szCs w:val="24"/>
        </w:rPr>
        <w:t>(6), 1307-1323.</w:t>
      </w:r>
    </w:p>
    <w:p w14:paraId="7FC4C317" w14:textId="77777777" w:rsidR="003B328E" w:rsidRPr="003171A4" w:rsidRDefault="003B328E" w:rsidP="003B328E">
      <w:pPr>
        <w:ind w:left="540" w:hanging="540"/>
        <w:jc w:val="both"/>
        <w:rPr>
          <w:rFonts w:cs="Times New Roman"/>
          <w:szCs w:val="24"/>
        </w:rPr>
      </w:pPr>
      <w:r w:rsidRPr="003171A4">
        <w:t>Gkartzonikas, C., and Gkritza,</w:t>
      </w:r>
      <w:r w:rsidRPr="003171A4">
        <w:rPr>
          <w:rFonts w:cs="Times New Roman"/>
          <w:szCs w:val="24"/>
        </w:rPr>
        <w:t xml:space="preserve"> K., 2019. What have we learned? A review of stated preference and choice studies on autonomous vehicles. </w:t>
      </w:r>
      <w:r w:rsidRPr="003171A4">
        <w:rPr>
          <w:rFonts w:cs="Times New Roman"/>
          <w:i/>
          <w:iCs/>
          <w:szCs w:val="24"/>
        </w:rPr>
        <w:t>Transportation Research Part C</w:t>
      </w:r>
      <w:r w:rsidRPr="003171A4">
        <w:rPr>
          <w:rFonts w:cs="Times New Roman"/>
          <w:iCs/>
          <w:szCs w:val="24"/>
        </w:rPr>
        <w:t>, 98,</w:t>
      </w:r>
      <w:r w:rsidRPr="003171A4">
        <w:rPr>
          <w:rFonts w:cs="Times New Roman"/>
          <w:i/>
          <w:iCs/>
          <w:szCs w:val="24"/>
        </w:rPr>
        <w:t xml:space="preserve"> </w:t>
      </w:r>
      <w:r w:rsidRPr="003171A4">
        <w:rPr>
          <w:rFonts w:cs="Times New Roman"/>
          <w:szCs w:val="24"/>
        </w:rPr>
        <w:t>323-337.</w:t>
      </w:r>
    </w:p>
    <w:p w14:paraId="3A7D5253" w14:textId="77777777" w:rsidR="003B328E" w:rsidRPr="002617E3" w:rsidRDefault="003B328E" w:rsidP="003B328E">
      <w:pPr>
        <w:autoSpaceDE w:val="0"/>
        <w:autoSpaceDN w:val="0"/>
        <w:adjustRightInd w:val="0"/>
        <w:ind w:left="540" w:hanging="540"/>
        <w:jc w:val="both"/>
        <w:rPr>
          <w:rFonts w:cs="Times New Roman"/>
          <w:noProof/>
          <w:szCs w:val="24"/>
        </w:rPr>
      </w:pPr>
      <w:r w:rsidRPr="002617E3">
        <w:rPr>
          <w:rFonts w:cs="Times New Roman"/>
          <w:noProof/>
          <w:szCs w:val="24"/>
        </w:rPr>
        <w:t xml:space="preserve">González Gutiérrez, J. L., Jiménez, B. M., Hernández, E. G., and Puente, C. P., 2005. Personality and subjective well-being: Big five correlates and demographic variables. </w:t>
      </w:r>
      <w:r w:rsidRPr="002617E3">
        <w:rPr>
          <w:rFonts w:cs="Times New Roman"/>
          <w:i/>
          <w:iCs/>
          <w:noProof/>
          <w:szCs w:val="24"/>
        </w:rPr>
        <w:t>Personality and Individual Differences</w:t>
      </w:r>
      <w:r w:rsidRPr="002617E3">
        <w:rPr>
          <w:rFonts w:cs="Times New Roman"/>
          <w:noProof/>
          <w:szCs w:val="24"/>
        </w:rPr>
        <w:t xml:space="preserve">, </w:t>
      </w:r>
      <w:r w:rsidRPr="002617E3">
        <w:rPr>
          <w:rFonts w:cs="Times New Roman"/>
          <w:iCs/>
          <w:noProof/>
          <w:szCs w:val="24"/>
        </w:rPr>
        <w:t>38</w:t>
      </w:r>
      <w:r w:rsidRPr="002617E3">
        <w:rPr>
          <w:rFonts w:cs="Times New Roman"/>
          <w:noProof/>
          <w:szCs w:val="24"/>
        </w:rPr>
        <w:t xml:space="preserve">(7), 1561-1569. </w:t>
      </w:r>
      <w:hyperlink r:id="rId32" w:history="1">
        <w:r w:rsidRPr="002617E3">
          <w:rPr>
            <w:rStyle w:val="Hyperlink"/>
            <w:rFonts w:cs="Times New Roman"/>
            <w:noProof/>
            <w:szCs w:val="24"/>
          </w:rPr>
          <w:t>https://doi.org/10.1016/j.paid.2004.09.015</w:t>
        </w:r>
      </w:hyperlink>
      <w:r w:rsidRPr="002617E3">
        <w:rPr>
          <w:rFonts w:cs="Times New Roman"/>
          <w:noProof/>
          <w:szCs w:val="24"/>
        </w:rPr>
        <w:t xml:space="preserve"> </w:t>
      </w:r>
    </w:p>
    <w:p w14:paraId="74CC157D" w14:textId="77777777" w:rsidR="003B328E" w:rsidRPr="003171A4" w:rsidRDefault="003B328E" w:rsidP="003B328E">
      <w:pPr>
        <w:ind w:left="540" w:hanging="540"/>
        <w:jc w:val="both"/>
        <w:rPr>
          <w:rFonts w:cs="Times New Roman"/>
          <w:szCs w:val="24"/>
        </w:rPr>
      </w:pPr>
      <w:r w:rsidRPr="003171A4">
        <w:rPr>
          <w:rFonts w:cs="Times New Roman"/>
          <w:szCs w:val="24"/>
        </w:rPr>
        <w:t xml:space="preserve">Guerra, E., 2016. Planning for cars that drive themselves: Metropolitan planning organizations, regional transportation plans, and autonomous vehicles. </w:t>
      </w:r>
      <w:r w:rsidRPr="003171A4">
        <w:rPr>
          <w:rFonts w:cs="Times New Roman"/>
          <w:i/>
          <w:iCs/>
          <w:szCs w:val="24"/>
        </w:rPr>
        <w:t>Journal of Planning Education and Research</w:t>
      </w:r>
      <w:r w:rsidRPr="003171A4">
        <w:rPr>
          <w:rFonts w:cs="Times New Roman"/>
          <w:szCs w:val="24"/>
        </w:rPr>
        <w:t xml:space="preserve">, </w:t>
      </w:r>
      <w:r w:rsidRPr="003171A4">
        <w:rPr>
          <w:rFonts w:cs="Times New Roman"/>
          <w:iCs/>
          <w:szCs w:val="24"/>
        </w:rPr>
        <w:t>36,</w:t>
      </w:r>
      <w:r w:rsidRPr="003171A4">
        <w:rPr>
          <w:rFonts w:cs="Times New Roman"/>
          <w:szCs w:val="24"/>
        </w:rPr>
        <w:t xml:space="preserve"> 210-224.</w:t>
      </w:r>
    </w:p>
    <w:p w14:paraId="5461465C" w14:textId="77777777" w:rsidR="003B328E" w:rsidRPr="003171A4" w:rsidRDefault="003B328E" w:rsidP="003B328E">
      <w:pPr>
        <w:ind w:left="540" w:hanging="540"/>
        <w:jc w:val="both"/>
        <w:rPr>
          <w:rFonts w:cs="Times New Roman"/>
          <w:szCs w:val="24"/>
          <w:shd w:val="clear" w:color="auto" w:fill="FFFFFF"/>
        </w:rPr>
      </w:pPr>
      <w:r w:rsidRPr="003171A4">
        <w:rPr>
          <w:rFonts w:cs="Times New Roman"/>
          <w:szCs w:val="24"/>
          <w:shd w:val="clear" w:color="auto" w:fill="FFFFFF"/>
        </w:rPr>
        <w:t xml:space="preserve">Haboucha, C. J., Ishaq, R., and Shiftan, Y., 2017. User preferences regarding autonomous vehicles. </w:t>
      </w:r>
      <w:r w:rsidRPr="003171A4">
        <w:rPr>
          <w:rFonts w:cs="Times New Roman"/>
          <w:i/>
          <w:iCs/>
          <w:szCs w:val="24"/>
          <w:shd w:val="clear" w:color="auto" w:fill="FFFFFF"/>
        </w:rPr>
        <w:t>Transportation Research Part C</w:t>
      </w:r>
      <w:r w:rsidRPr="003171A4">
        <w:rPr>
          <w:rFonts w:cs="Times New Roman"/>
          <w:iCs/>
          <w:szCs w:val="24"/>
          <w:shd w:val="clear" w:color="auto" w:fill="FFFFFF"/>
        </w:rPr>
        <w:t>,</w:t>
      </w:r>
      <w:r w:rsidRPr="003171A4">
        <w:rPr>
          <w:rFonts w:cs="Times New Roman"/>
          <w:szCs w:val="24"/>
          <w:shd w:val="clear" w:color="auto" w:fill="FFFFFF"/>
        </w:rPr>
        <w:t xml:space="preserve"> </w:t>
      </w:r>
      <w:r w:rsidRPr="003171A4">
        <w:rPr>
          <w:rFonts w:cs="Times New Roman"/>
          <w:iCs/>
          <w:szCs w:val="24"/>
          <w:shd w:val="clear" w:color="auto" w:fill="FFFFFF"/>
        </w:rPr>
        <w:t>78,</w:t>
      </w:r>
      <w:r w:rsidRPr="003171A4">
        <w:rPr>
          <w:rFonts w:cs="Times New Roman"/>
          <w:szCs w:val="24"/>
          <w:shd w:val="clear" w:color="auto" w:fill="FFFFFF"/>
        </w:rPr>
        <w:t xml:space="preserve"> 37-49.</w:t>
      </w:r>
    </w:p>
    <w:p w14:paraId="32D50B45" w14:textId="77777777" w:rsidR="003B328E" w:rsidRPr="002617E3" w:rsidRDefault="003B328E" w:rsidP="003B328E">
      <w:pPr>
        <w:tabs>
          <w:tab w:val="left" w:pos="3720"/>
        </w:tabs>
        <w:ind w:left="540" w:hanging="540"/>
        <w:jc w:val="both"/>
        <w:rPr>
          <w:rFonts w:cs="Times New Roman"/>
          <w:szCs w:val="24"/>
        </w:rPr>
      </w:pPr>
      <w:r w:rsidRPr="002617E3">
        <w:rPr>
          <w:rFonts w:cs="Times New Roman"/>
          <w:szCs w:val="24"/>
        </w:rPr>
        <w:t xml:space="preserve">Hamid, N. R. A., and Cheng, A. Y., 2013. A risk perception analysis on the use of electronic payment systems by young adult. </w:t>
      </w:r>
      <w:r w:rsidRPr="002617E3">
        <w:rPr>
          <w:rFonts w:cs="Times New Roman"/>
          <w:i/>
          <w:iCs/>
          <w:szCs w:val="24"/>
        </w:rPr>
        <w:t>WSEAS Transactions on Information Science and Applications</w:t>
      </w:r>
      <w:r w:rsidRPr="002617E3">
        <w:rPr>
          <w:rFonts w:cs="Times New Roman"/>
          <w:iCs/>
          <w:szCs w:val="24"/>
        </w:rPr>
        <w:t>, 10(1),</w:t>
      </w:r>
      <w:r w:rsidRPr="002617E3">
        <w:rPr>
          <w:rFonts w:cs="Times New Roman"/>
          <w:szCs w:val="24"/>
        </w:rPr>
        <w:t xml:space="preserve"> 26-35.</w:t>
      </w:r>
    </w:p>
    <w:p w14:paraId="321E135C" w14:textId="77777777" w:rsidR="003B328E" w:rsidRPr="003171A4" w:rsidRDefault="003B328E" w:rsidP="003B328E">
      <w:pPr>
        <w:ind w:left="540" w:hanging="540"/>
        <w:jc w:val="both"/>
        <w:rPr>
          <w:rFonts w:cs="Times New Roman"/>
          <w:szCs w:val="24"/>
          <w:shd w:val="clear" w:color="auto" w:fill="FFFFFF"/>
        </w:rPr>
      </w:pPr>
      <w:r w:rsidRPr="003171A4">
        <w:rPr>
          <w:rFonts w:cs="Times New Roman"/>
          <w:szCs w:val="24"/>
          <w:shd w:val="clear" w:color="auto" w:fill="FFFFFF"/>
        </w:rPr>
        <w:t>Hawkins, J., and Nurul Habib, K., 2019. Integrated models of land use and transportation for the autonomous vehicle revolution. </w:t>
      </w:r>
      <w:r w:rsidRPr="003171A4">
        <w:rPr>
          <w:rFonts w:cs="Times New Roman"/>
          <w:i/>
          <w:iCs/>
          <w:szCs w:val="24"/>
          <w:shd w:val="clear" w:color="auto" w:fill="FFFFFF"/>
        </w:rPr>
        <w:t>Transport Reviews</w:t>
      </w:r>
      <w:r w:rsidRPr="003171A4">
        <w:rPr>
          <w:rFonts w:cs="Times New Roman"/>
          <w:szCs w:val="24"/>
          <w:shd w:val="clear" w:color="auto" w:fill="FFFFFF"/>
        </w:rPr>
        <w:t>,</w:t>
      </w:r>
      <w:r w:rsidRPr="003171A4">
        <w:rPr>
          <w:rFonts w:cs="Times New Roman"/>
          <w:i/>
          <w:iCs/>
          <w:szCs w:val="24"/>
          <w:shd w:val="clear" w:color="auto" w:fill="FFFFFF"/>
        </w:rPr>
        <w:t> </w:t>
      </w:r>
      <w:r w:rsidRPr="003171A4">
        <w:rPr>
          <w:rFonts w:cs="Times New Roman"/>
          <w:iCs/>
          <w:szCs w:val="24"/>
          <w:shd w:val="clear" w:color="auto" w:fill="FFFFFF"/>
        </w:rPr>
        <w:t>39</w:t>
      </w:r>
      <w:r w:rsidRPr="003171A4">
        <w:rPr>
          <w:rFonts w:cs="Times New Roman"/>
          <w:szCs w:val="24"/>
          <w:shd w:val="clear" w:color="auto" w:fill="FFFFFF"/>
        </w:rPr>
        <w:t>, 66-83.</w:t>
      </w:r>
    </w:p>
    <w:p w14:paraId="46D97A3A" w14:textId="77777777" w:rsidR="003B328E" w:rsidRPr="002617E3" w:rsidRDefault="003B328E" w:rsidP="003B328E">
      <w:pPr>
        <w:ind w:left="540" w:hanging="540"/>
        <w:jc w:val="both"/>
        <w:rPr>
          <w:rFonts w:cs="Times New Roman"/>
          <w:szCs w:val="24"/>
        </w:rPr>
      </w:pPr>
      <w:r w:rsidRPr="002617E3">
        <w:rPr>
          <w:rFonts w:cs="Times New Roman"/>
          <w:szCs w:val="24"/>
        </w:rPr>
        <w:t xml:space="preserve">Heckman, J. J., and Vytlacil, E. J., 2000. The relationship between treatment parameters within a latent variable framework. </w:t>
      </w:r>
      <w:r w:rsidRPr="002617E3">
        <w:rPr>
          <w:rFonts w:cs="Times New Roman"/>
          <w:i/>
          <w:iCs/>
          <w:szCs w:val="24"/>
        </w:rPr>
        <w:t xml:space="preserve">Economics </w:t>
      </w:r>
      <w:r w:rsidRPr="002617E3">
        <w:rPr>
          <w:rFonts w:cs="Times New Roman"/>
          <w:i/>
          <w:szCs w:val="24"/>
        </w:rPr>
        <w:t>Letters</w:t>
      </w:r>
      <w:r w:rsidRPr="002617E3">
        <w:rPr>
          <w:rFonts w:cs="Times New Roman"/>
          <w:iCs/>
          <w:szCs w:val="24"/>
        </w:rPr>
        <w:t>,</w:t>
      </w:r>
      <w:r w:rsidRPr="002617E3">
        <w:rPr>
          <w:rFonts w:cs="Times New Roman"/>
          <w:i/>
          <w:iCs/>
          <w:szCs w:val="24"/>
        </w:rPr>
        <w:t xml:space="preserve"> </w:t>
      </w:r>
      <w:r w:rsidRPr="002617E3">
        <w:rPr>
          <w:rFonts w:cs="Times New Roman"/>
          <w:iCs/>
          <w:szCs w:val="24"/>
        </w:rPr>
        <w:t>66(1)</w:t>
      </w:r>
      <w:r w:rsidRPr="002617E3">
        <w:rPr>
          <w:rFonts w:cs="Times New Roman"/>
          <w:szCs w:val="24"/>
        </w:rPr>
        <w:t xml:space="preserve">, 33-39. </w:t>
      </w:r>
    </w:p>
    <w:p w14:paraId="2032D9B1" w14:textId="77777777" w:rsidR="003B328E" w:rsidRPr="002617E3" w:rsidRDefault="003B328E" w:rsidP="003B328E">
      <w:pPr>
        <w:tabs>
          <w:tab w:val="left" w:pos="3720"/>
        </w:tabs>
        <w:ind w:left="540" w:hanging="540"/>
        <w:jc w:val="both"/>
        <w:rPr>
          <w:rFonts w:cs="Times New Roman"/>
          <w:szCs w:val="24"/>
        </w:rPr>
      </w:pPr>
      <w:r w:rsidRPr="002617E3">
        <w:rPr>
          <w:rFonts w:cs="Times New Roman"/>
          <w:szCs w:val="24"/>
        </w:rPr>
        <w:t xml:space="preserve">Helsper, E. J., and Eynon, R., 2010. Digital natives: Where is the evidence? </w:t>
      </w:r>
      <w:r w:rsidRPr="002617E3">
        <w:rPr>
          <w:rFonts w:cs="Times New Roman"/>
          <w:i/>
          <w:iCs/>
          <w:szCs w:val="24"/>
        </w:rPr>
        <w:t>British Educational Research Journal</w:t>
      </w:r>
      <w:r w:rsidRPr="002617E3">
        <w:rPr>
          <w:rFonts w:cs="Times New Roman"/>
          <w:iCs/>
          <w:szCs w:val="24"/>
        </w:rPr>
        <w:t>, 36(</w:t>
      </w:r>
      <w:r w:rsidRPr="002617E3">
        <w:rPr>
          <w:rFonts w:cs="Times New Roman"/>
          <w:szCs w:val="24"/>
        </w:rPr>
        <w:t>3), 503-520.</w:t>
      </w:r>
    </w:p>
    <w:p w14:paraId="59D60DE0" w14:textId="77777777" w:rsidR="003B328E" w:rsidRPr="003171A4" w:rsidRDefault="003B328E" w:rsidP="003B328E">
      <w:pPr>
        <w:tabs>
          <w:tab w:val="left" w:pos="8052"/>
        </w:tabs>
        <w:ind w:left="540" w:hanging="540"/>
        <w:jc w:val="both"/>
        <w:rPr>
          <w:rStyle w:val="Hyperlink"/>
          <w:rFonts w:cs="Times New Roman"/>
          <w:color w:val="auto"/>
          <w:szCs w:val="24"/>
          <w:u w:val="none"/>
        </w:rPr>
      </w:pPr>
      <w:r w:rsidRPr="003171A4">
        <w:rPr>
          <w:rFonts w:cs="Times New Roman"/>
          <w:szCs w:val="24"/>
        </w:rPr>
        <w:t xml:space="preserve">Henaghan, J., 2018. Preparing communities for autonomous vehicles. American Planning Association. </w:t>
      </w:r>
      <w:hyperlink r:id="rId33" w:history="1">
        <w:r w:rsidRPr="003171A4">
          <w:rPr>
            <w:rStyle w:val="Hyperlink"/>
            <w:rFonts w:cs="Times New Roman"/>
            <w:sz w:val="23"/>
            <w:szCs w:val="23"/>
          </w:rPr>
          <w:t>https://planning-org-uploaded-media.s3.amazonaws.com/document/Autonomous-Vehicles-Symposium-Report.pdf</w:t>
        </w:r>
      </w:hyperlink>
      <w:r w:rsidRPr="003171A4">
        <w:rPr>
          <w:rStyle w:val="Hyperlink"/>
          <w:rFonts w:cs="Times New Roman"/>
          <w:color w:val="auto"/>
          <w:szCs w:val="24"/>
          <w:u w:val="none"/>
        </w:rPr>
        <w:t>. Accessed June 10, 2020.</w:t>
      </w:r>
    </w:p>
    <w:p w14:paraId="03DF3B85" w14:textId="77777777" w:rsidR="003B328E" w:rsidRPr="003171A4" w:rsidRDefault="003B328E" w:rsidP="003B328E">
      <w:pPr>
        <w:ind w:left="540" w:hanging="540"/>
        <w:jc w:val="both"/>
        <w:rPr>
          <w:rFonts w:cs="Times New Roman"/>
          <w:szCs w:val="24"/>
        </w:rPr>
      </w:pPr>
      <w:r w:rsidRPr="003171A4">
        <w:rPr>
          <w:rFonts w:cs="Times New Roman"/>
          <w:szCs w:val="24"/>
        </w:rPr>
        <w:t xml:space="preserve">Howard, D., and Dai, D., 2014. Public perceptions of self-driving cars: The case of Berkeley, California. Presented at the </w:t>
      </w:r>
      <w:r w:rsidRPr="003171A4">
        <w:rPr>
          <w:rFonts w:cs="Times New Roman"/>
          <w:i/>
          <w:iCs/>
          <w:szCs w:val="24"/>
        </w:rPr>
        <w:t>93rd Annual Meeting of the Transportation Research Board</w:t>
      </w:r>
      <w:r w:rsidRPr="003171A4">
        <w:rPr>
          <w:rFonts w:cs="Times New Roman"/>
          <w:iCs/>
          <w:szCs w:val="24"/>
        </w:rPr>
        <w:t xml:space="preserve">, </w:t>
      </w:r>
      <w:r w:rsidRPr="003171A4">
        <w:rPr>
          <w:rFonts w:cs="Times New Roman"/>
          <w:iCs/>
          <w:color w:val="222222"/>
          <w:szCs w:val="24"/>
          <w:shd w:val="clear" w:color="auto" w:fill="FFFFFF"/>
        </w:rPr>
        <w:t>Washington D.C.</w:t>
      </w:r>
    </w:p>
    <w:p w14:paraId="25FB1B6F" w14:textId="77777777" w:rsidR="003B328E" w:rsidRPr="002617E3" w:rsidRDefault="003B328E" w:rsidP="003B328E">
      <w:pPr>
        <w:tabs>
          <w:tab w:val="left" w:pos="3720"/>
        </w:tabs>
        <w:ind w:left="540" w:hanging="540"/>
        <w:jc w:val="both"/>
        <w:rPr>
          <w:rFonts w:cs="Times New Roman"/>
          <w:szCs w:val="24"/>
          <w:shd w:val="clear" w:color="auto" w:fill="FFFFFF"/>
        </w:rPr>
      </w:pPr>
      <w:r w:rsidRPr="002617E3">
        <w:rPr>
          <w:rFonts w:cs="Times New Roman"/>
          <w:szCs w:val="24"/>
          <w:shd w:val="clear" w:color="auto" w:fill="FFFFFF"/>
        </w:rPr>
        <w:t>Kalba, K., 2008. The adoption of mobile phones in emerging markets: Global diffusion and the rural challenge. </w:t>
      </w:r>
      <w:r w:rsidRPr="002617E3">
        <w:rPr>
          <w:rFonts w:cs="Times New Roman"/>
          <w:i/>
          <w:iCs/>
          <w:szCs w:val="24"/>
          <w:shd w:val="clear" w:color="auto" w:fill="FFFFFF"/>
        </w:rPr>
        <w:t>International Journal of Communication</w:t>
      </w:r>
      <w:r w:rsidRPr="002617E3">
        <w:rPr>
          <w:rFonts w:cs="Times New Roman"/>
          <w:szCs w:val="24"/>
          <w:shd w:val="clear" w:color="auto" w:fill="FFFFFF"/>
        </w:rPr>
        <w:t>, </w:t>
      </w:r>
      <w:r w:rsidRPr="002617E3">
        <w:rPr>
          <w:rFonts w:cs="Times New Roman"/>
          <w:iCs/>
          <w:szCs w:val="24"/>
          <w:shd w:val="clear" w:color="auto" w:fill="FFFFFF"/>
        </w:rPr>
        <w:t>2</w:t>
      </w:r>
      <w:r w:rsidRPr="002617E3">
        <w:rPr>
          <w:rFonts w:cs="Times New Roman"/>
          <w:szCs w:val="24"/>
          <w:shd w:val="clear" w:color="auto" w:fill="FFFFFF"/>
        </w:rPr>
        <w:t>, 631-661.</w:t>
      </w:r>
    </w:p>
    <w:p w14:paraId="2D583B0E" w14:textId="77777777" w:rsidR="003B328E" w:rsidRPr="002617E3" w:rsidRDefault="003B328E" w:rsidP="003B328E">
      <w:pPr>
        <w:tabs>
          <w:tab w:val="left" w:pos="3720"/>
        </w:tabs>
        <w:ind w:left="540" w:hanging="540"/>
        <w:jc w:val="both"/>
        <w:rPr>
          <w:rFonts w:cs="Times New Roman"/>
          <w:szCs w:val="24"/>
        </w:rPr>
      </w:pPr>
      <w:r w:rsidRPr="002617E3">
        <w:rPr>
          <w:rStyle w:val="hlfld-contribauthor"/>
          <w:rFonts w:cs="Times New Roman"/>
          <w:szCs w:val="24"/>
        </w:rPr>
        <w:t>Kaur, </w:t>
      </w:r>
      <w:r w:rsidRPr="002617E3">
        <w:rPr>
          <w:rStyle w:val="nlmgiven-names"/>
          <w:rFonts w:cs="Times New Roman"/>
          <w:szCs w:val="24"/>
        </w:rPr>
        <w:t>K.</w:t>
      </w:r>
      <w:r w:rsidRPr="002617E3">
        <w:rPr>
          <w:rFonts w:cs="Times New Roman"/>
          <w:szCs w:val="24"/>
        </w:rPr>
        <w:t xml:space="preserve">, and </w:t>
      </w:r>
      <w:r w:rsidRPr="002617E3">
        <w:rPr>
          <w:rStyle w:val="hlfld-contribauthor"/>
          <w:rFonts w:cs="Times New Roman"/>
          <w:szCs w:val="24"/>
        </w:rPr>
        <w:t xml:space="preserve">Rampersad, G., </w:t>
      </w:r>
      <w:r w:rsidRPr="002617E3">
        <w:rPr>
          <w:rStyle w:val="nlmyear"/>
          <w:rFonts w:cs="Times New Roman"/>
          <w:szCs w:val="24"/>
        </w:rPr>
        <w:t>2018</w:t>
      </w:r>
      <w:r w:rsidRPr="002617E3">
        <w:rPr>
          <w:rFonts w:cs="Times New Roman"/>
          <w:szCs w:val="24"/>
        </w:rPr>
        <w:t xml:space="preserve">. </w:t>
      </w:r>
      <w:r w:rsidRPr="002617E3">
        <w:rPr>
          <w:rStyle w:val="nlmarticle-title"/>
          <w:rFonts w:cs="Times New Roman"/>
          <w:szCs w:val="24"/>
        </w:rPr>
        <w:t>Trust in driverless cars: Investigating key factors influencing the adoption of driverless cars</w:t>
      </w:r>
      <w:r w:rsidRPr="002617E3">
        <w:rPr>
          <w:rFonts w:cs="Times New Roman"/>
          <w:szCs w:val="24"/>
        </w:rPr>
        <w:t>. </w:t>
      </w:r>
      <w:r w:rsidRPr="002617E3">
        <w:rPr>
          <w:rFonts w:cs="Times New Roman"/>
          <w:i/>
          <w:iCs/>
          <w:szCs w:val="24"/>
        </w:rPr>
        <w:t>Journal of Engineering and Technology Management</w:t>
      </w:r>
      <w:r w:rsidRPr="002617E3">
        <w:rPr>
          <w:rFonts w:cs="Times New Roman"/>
          <w:szCs w:val="24"/>
        </w:rPr>
        <w:t>, 48, </w:t>
      </w:r>
      <w:r w:rsidRPr="002617E3">
        <w:rPr>
          <w:rStyle w:val="nlmfpage"/>
          <w:rFonts w:cs="Times New Roman"/>
          <w:szCs w:val="24"/>
        </w:rPr>
        <w:t>87</w:t>
      </w:r>
      <w:r w:rsidRPr="002617E3">
        <w:rPr>
          <w:rFonts w:cs="Times New Roman"/>
          <w:szCs w:val="24"/>
        </w:rPr>
        <w:t>-</w:t>
      </w:r>
      <w:r w:rsidRPr="002617E3">
        <w:rPr>
          <w:rStyle w:val="nlmlpage"/>
          <w:rFonts w:cs="Times New Roman"/>
          <w:szCs w:val="24"/>
        </w:rPr>
        <w:t>96</w:t>
      </w:r>
      <w:r w:rsidRPr="002617E3">
        <w:rPr>
          <w:rFonts w:cs="Times New Roman"/>
          <w:szCs w:val="24"/>
        </w:rPr>
        <w:t>.</w:t>
      </w:r>
    </w:p>
    <w:p w14:paraId="2CDE57BC" w14:textId="77777777" w:rsidR="003B328E" w:rsidRPr="002617E3" w:rsidRDefault="003B328E" w:rsidP="003B328E">
      <w:pPr>
        <w:tabs>
          <w:tab w:val="left" w:pos="3720"/>
        </w:tabs>
        <w:ind w:left="540" w:hanging="540"/>
        <w:jc w:val="both"/>
        <w:rPr>
          <w:rFonts w:cs="Times New Roman"/>
          <w:szCs w:val="24"/>
          <w:shd w:val="clear" w:color="auto" w:fill="FFFFFF"/>
        </w:rPr>
      </w:pPr>
      <w:r w:rsidRPr="002617E3">
        <w:rPr>
          <w:rFonts w:cs="Times New Roman"/>
          <w:szCs w:val="24"/>
          <w:shd w:val="clear" w:color="auto" w:fill="FFFFFF"/>
        </w:rPr>
        <w:t xml:space="preserve">Kesharwani, A., 2020. Do (how) digital natives adopt a new technology differently than digital immigrants? A longitudinal study. </w:t>
      </w:r>
      <w:r w:rsidRPr="002617E3">
        <w:rPr>
          <w:rFonts w:cs="Times New Roman"/>
          <w:i/>
          <w:iCs/>
          <w:szCs w:val="24"/>
          <w:shd w:val="clear" w:color="auto" w:fill="FFFFFF"/>
        </w:rPr>
        <w:t>Information &amp; Management</w:t>
      </w:r>
      <w:r w:rsidRPr="002617E3">
        <w:rPr>
          <w:rFonts w:cs="Times New Roman"/>
          <w:szCs w:val="24"/>
          <w:shd w:val="clear" w:color="auto" w:fill="FFFFFF"/>
        </w:rPr>
        <w:t xml:space="preserve">, </w:t>
      </w:r>
      <w:r w:rsidRPr="002617E3">
        <w:rPr>
          <w:rFonts w:cs="Times New Roman"/>
          <w:iCs/>
          <w:szCs w:val="24"/>
          <w:shd w:val="clear" w:color="auto" w:fill="FFFFFF"/>
        </w:rPr>
        <w:t>57(2), 103170</w:t>
      </w:r>
      <w:r w:rsidRPr="002617E3">
        <w:rPr>
          <w:rFonts w:cs="Times New Roman"/>
          <w:szCs w:val="24"/>
          <w:shd w:val="clear" w:color="auto" w:fill="FFFFFF"/>
        </w:rPr>
        <w:t>.</w:t>
      </w:r>
    </w:p>
    <w:p w14:paraId="68D8A45B" w14:textId="77777777" w:rsidR="003B328E" w:rsidRPr="002617E3" w:rsidRDefault="003B328E" w:rsidP="003B328E">
      <w:pPr>
        <w:autoSpaceDE w:val="0"/>
        <w:autoSpaceDN w:val="0"/>
        <w:adjustRightInd w:val="0"/>
        <w:ind w:left="540" w:hanging="540"/>
        <w:jc w:val="both"/>
        <w:rPr>
          <w:rFonts w:cs="Times New Roman"/>
          <w:noProof/>
          <w:szCs w:val="24"/>
        </w:rPr>
      </w:pPr>
      <w:r w:rsidRPr="002617E3">
        <w:rPr>
          <w:rFonts w:cs="Times New Roman"/>
          <w:noProof/>
          <w:szCs w:val="24"/>
        </w:rPr>
        <w:t xml:space="preserve">Kessler, E. M., 2009. Experience enlargement: Age differences and development chances across adulthood and old age. </w:t>
      </w:r>
      <w:r w:rsidRPr="002617E3">
        <w:rPr>
          <w:rFonts w:cs="Times New Roman"/>
          <w:i/>
          <w:iCs/>
          <w:noProof/>
          <w:szCs w:val="24"/>
        </w:rPr>
        <w:t>Produktivität in Alternden Gesellschaften (Altern in Deutschland Bd. 4). Nova Acta Leopoldina NF Bd</w:t>
      </w:r>
      <w:r w:rsidRPr="002617E3">
        <w:rPr>
          <w:rFonts w:cs="Times New Roman"/>
          <w:noProof/>
          <w:szCs w:val="24"/>
        </w:rPr>
        <w:t xml:space="preserve">, </w:t>
      </w:r>
      <w:r w:rsidRPr="002617E3">
        <w:rPr>
          <w:rFonts w:cs="Times New Roman"/>
          <w:iCs/>
          <w:noProof/>
          <w:szCs w:val="24"/>
        </w:rPr>
        <w:t>102</w:t>
      </w:r>
      <w:r w:rsidRPr="002617E3">
        <w:rPr>
          <w:rFonts w:cs="Times New Roman"/>
          <w:noProof/>
          <w:szCs w:val="24"/>
        </w:rPr>
        <w:t>, 105-129.</w:t>
      </w:r>
    </w:p>
    <w:p w14:paraId="5A2627D3" w14:textId="77777777" w:rsidR="003B328E" w:rsidRPr="003171A4" w:rsidRDefault="003B328E" w:rsidP="003B328E">
      <w:pPr>
        <w:ind w:left="540" w:hanging="540"/>
        <w:jc w:val="both"/>
        <w:rPr>
          <w:rFonts w:cs="Times New Roman"/>
          <w:szCs w:val="24"/>
        </w:rPr>
      </w:pPr>
      <w:r w:rsidRPr="003171A4">
        <w:rPr>
          <w:rFonts w:cs="Times New Roman"/>
          <w:szCs w:val="24"/>
        </w:rPr>
        <w:t xml:space="preserve">Kröger, L., Kuhnimhof, T., and Trommer, S., 2016. Modelling the impact of automated driving–private autonomous vehicle scenarios for Germany and the US. Presented at the </w:t>
      </w:r>
      <w:r w:rsidRPr="003171A4">
        <w:rPr>
          <w:rFonts w:cs="Times New Roman"/>
          <w:i/>
          <w:iCs/>
          <w:szCs w:val="24"/>
        </w:rPr>
        <w:t>European Transport Conference 2016</w:t>
      </w:r>
      <w:r w:rsidRPr="003171A4">
        <w:rPr>
          <w:rFonts w:cs="Times New Roman"/>
          <w:szCs w:val="24"/>
        </w:rPr>
        <w:t>, Barcelona, Spain.</w:t>
      </w:r>
    </w:p>
    <w:p w14:paraId="04D2B1A8" w14:textId="77777777" w:rsidR="003B328E" w:rsidRPr="002617E3" w:rsidRDefault="003B328E" w:rsidP="003B328E">
      <w:pPr>
        <w:ind w:left="540" w:hanging="540"/>
        <w:jc w:val="both"/>
        <w:rPr>
          <w:rFonts w:cs="Times New Roman"/>
          <w:szCs w:val="24"/>
          <w:shd w:val="clear" w:color="auto" w:fill="FFFFFF"/>
        </w:rPr>
      </w:pPr>
      <w:r w:rsidRPr="002617E3">
        <w:rPr>
          <w:rFonts w:cs="Times New Roman"/>
          <w:szCs w:val="24"/>
          <w:shd w:val="clear" w:color="auto" w:fill="FFFFFF"/>
        </w:rPr>
        <w:lastRenderedPageBreak/>
        <w:t xml:space="preserve">Lavieri, P. S., and Bhat, C. R., 2019a. </w:t>
      </w:r>
      <w:r w:rsidRPr="002617E3">
        <w:rPr>
          <w:rFonts w:cs="Times New Roman"/>
          <w:szCs w:val="24"/>
        </w:rPr>
        <w:t xml:space="preserve"> </w:t>
      </w:r>
      <w:r w:rsidRPr="002617E3">
        <w:rPr>
          <w:rFonts w:cs="Times New Roman"/>
          <w:szCs w:val="24"/>
          <w:shd w:val="clear" w:color="auto" w:fill="FFFFFF"/>
        </w:rPr>
        <w:t xml:space="preserve">Investigating objective and subjective factors influencing the adoption, frequency, and characteristics of ride-hailing trips. </w:t>
      </w:r>
      <w:r w:rsidRPr="002617E3">
        <w:rPr>
          <w:rFonts w:cs="Times New Roman"/>
          <w:i/>
          <w:iCs/>
          <w:szCs w:val="24"/>
          <w:shd w:val="clear" w:color="auto" w:fill="FFFFFF"/>
        </w:rPr>
        <w:t>Transportation Research Part C</w:t>
      </w:r>
      <w:r w:rsidRPr="002617E3">
        <w:rPr>
          <w:rFonts w:cs="Times New Roman"/>
          <w:iCs/>
          <w:szCs w:val="24"/>
          <w:shd w:val="clear" w:color="auto" w:fill="FFFFFF"/>
        </w:rPr>
        <w:t>, 105,</w:t>
      </w:r>
      <w:r w:rsidRPr="002617E3">
        <w:rPr>
          <w:rFonts w:cs="Times New Roman"/>
          <w:szCs w:val="24"/>
          <w:shd w:val="clear" w:color="auto" w:fill="FFFFFF"/>
        </w:rPr>
        <w:t xml:space="preserve"> 100-125.</w:t>
      </w:r>
    </w:p>
    <w:p w14:paraId="21F63201" w14:textId="77777777" w:rsidR="003B328E" w:rsidRPr="002617E3" w:rsidRDefault="003B328E" w:rsidP="003B328E">
      <w:pPr>
        <w:ind w:left="540" w:hanging="540"/>
        <w:jc w:val="both"/>
        <w:rPr>
          <w:rFonts w:cs="Times New Roman"/>
          <w:szCs w:val="24"/>
          <w:shd w:val="clear" w:color="auto" w:fill="FFFFFF"/>
        </w:rPr>
      </w:pPr>
      <w:r w:rsidRPr="002617E3">
        <w:rPr>
          <w:rFonts w:cs="Times New Roman"/>
          <w:szCs w:val="24"/>
          <w:shd w:val="clear" w:color="auto" w:fill="FFFFFF"/>
        </w:rPr>
        <w:t xml:space="preserve">Lavieri, P. S., and Bhat, C. R., 2019b. Modeling individuals' willingness to share trips with strangers in an autonomous vehicle future. </w:t>
      </w:r>
      <w:r w:rsidRPr="002617E3">
        <w:rPr>
          <w:rFonts w:cs="Times New Roman"/>
          <w:i/>
          <w:iCs/>
          <w:szCs w:val="24"/>
          <w:shd w:val="clear" w:color="auto" w:fill="FFFFFF"/>
        </w:rPr>
        <w:t>Transportation Research Part A</w:t>
      </w:r>
      <w:r w:rsidRPr="002617E3">
        <w:rPr>
          <w:rFonts w:cs="Times New Roman"/>
          <w:szCs w:val="24"/>
          <w:shd w:val="clear" w:color="auto" w:fill="FFFFFF"/>
        </w:rPr>
        <w:t xml:space="preserve">, </w:t>
      </w:r>
      <w:r w:rsidRPr="002617E3">
        <w:rPr>
          <w:rFonts w:cs="Times New Roman"/>
          <w:iCs/>
          <w:szCs w:val="24"/>
          <w:shd w:val="clear" w:color="auto" w:fill="FFFFFF"/>
        </w:rPr>
        <w:t>124,</w:t>
      </w:r>
      <w:r w:rsidRPr="002617E3">
        <w:rPr>
          <w:rFonts w:cs="Times New Roman"/>
          <w:szCs w:val="24"/>
          <w:shd w:val="clear" w:color="auto" w:fill="FFFFFF"/>
        </w:rPr>
        <w:t xml:space="preserve"> 242-261.</w:t>
      </w:r>
    </w:p>
    <w:p w14:paraId="7CE91E23" w14:textId="77777777" w:rsidR="003B328E" w:rsidRPr="002617E3" w:rsidRDefault="003B328E" w:rsidP="003B328E">
      <w:pPr>
        <w:ind w:left="540" w:hanging="540"/>
        <w:jc w:val="both"/>
        <w:rPr>
          <w:rFonts w:cs="Times New Roman"/>
          <w:szCs w:val="24"/>
          <w:shd w:val="clear" w:color="auto" w:fill="FFFFFF"/>
        </w:rPr>
      </w:pPr>
      <w:r w:rsidRPr="002617E3">
        <w:rPr>
          <w:rFonts w:cs="Times New Roman"/>
          <w:szCs w:val="24"/>
          <w:shd w:val="clear" w:color="auto" w:fill="FFFFFF"/>
        </w:rPr>
        <w:t xml:space="preserve">Lavieri, P. S., Garikapati, V. M., Bhat, C. R., Pendyala, R. M., Astroza, S., and Dias, F. F., 2017. Modeling individual preferences for ownership and sharing of autonomous vehicle technologies. </w:t>
      </w:r>
      <w:r w:rsidRPr="002617E3">
        <w:rPr>
          <w:rFonts w:cs="Times New Roman"/>
          <w:i/>
          <w:iCs/>
          <w:szCs w:val="24"/>
        </w:rPr>
        <w:t>Transportation Research Record: Journal of the Transportation Research Board</w:t>
      </w:r>
      <w:r w:rsidRPr="002617E3">
        <w:rPr>
          <w:rFonts w:cs="Times New Roman"/>
          <w:iCs/>
          <w:szCs w:val="24"/>
          <w:shd w:val="clear" w:color="auto" w:fill="FFFFFF"/>
        </w:rPr>
        <w:t>,</w:t>
      </w:r>
      <w:r w:rsidRPr="002617E3">
        <w:rPr>
          <w:rFonts w:cs="Times New Roman"/>
          <w:i/>
          <w:iCs/>
          <w:szCs w:val="24"/>
          <w:shd w:val="clear" w:color="auto" w:fill="FFFFFF"/>
        </w:rPr>
        <w:t xml:space="preserve"> </w:t>
      </w:r>
      <w:r w:rsidRPr="002617E3">
        <w:rPr>
          <w:rFonts w:cs="Times New Roman"/>
          <w:iCs/>
          <w:szCs w:val="24"/>
          <w:shd w:val="clear" w:color="auto" w:fill="FFFFFF"/>
        </w:rPr>
        <w:t>2665</w:t>
      </w:r>
      <w:r w:rsidRPr="002617E3">
        <w:rPr>
          <w:rFonts w:cs="Times New Roman"/>
          <w:szCs w:val="24"/>
          <w:shd w:val="clear" w:color="auto" w:fill="FFFFFF"/>
        </w:rPr>
        <w:t>, 1-10.</w:t>
      </w:r>
    </w:p>
    <w:p w14:paraId="16361363" w14:textId="77777777" w:rsidR="003B328E" w:rsidRPr="002617E3" w:rsidRDefault="003B328E" w:rsidP="003B328E">
      <w:pPr>
        <w:ind w:left="450" w:hanging="450"/>
        <w:jc w:val="both"/>
        <w:rPr>
          <w:rFonts w:cs="Times New Roman"/>
          <w:color w:val="222222"/>
          <w:szCs w:val="24"/>
          <w:shd w:val="clear" w:color="auto" w:fill="FFFFFF"/>
        </w:rPr>
      </w:pPr>
      <w:r w:rsidRPr="002617E3">
        <w:rPr>
          <w:rFonts w:cs="Times New Roman"/>
          <w:color w:val="222222"/>
          <w:szCs w:val="24"/>
          <w:shd w:val="clear" w:color="auto" w:fill="FFFFFF"/>
        </w:rPr>
        <w:t>Lee, Y. C., and Mirman, J. H., 2018. Parents’ perspectives on using autonomous vehicles to enhance children’s mobility. </w:t>
      </w:r>
      <w:r w:rsidRPr="002617E3">
        <w:rPr>
          <w:rFonts w:cs="Times New Roman"/>
          <w:i/>
          <w:iCs/>
          <w:color w:val="222222"/>
          <w:szCs w:val="24"/>
          <w:shd w:val="clear" w:color="auto" w:fill="FFFFFF"/>
        </w:rPr>
        <w:t>Transportation Research Part C</w:t>
      </w:r>
      <w:r w:rsidRPr="002617E3">
        <w:rPr>
          <w:rFonts w:cs="Times New Roman"/>
          <w:color w:val="222222"/>
          <w:szCs w:val="24"/>
          <w:shd w:val="clear" w:color="auto" w:fill="FFFFFF"/>
        </w:rPr>
        <w:t>, </w:t>
      </w:r>
      <w:r w:rsidRPr="002617E3">
        <w:rPr>
          <w:rFonts w:cs="Times New Roman"/>
          <w:iCs/>
          <w:color w:val="222222"/>
          <w:szCs w:val="24"/>
          <w:shd w:val="clear" w:color="auto" w:fill="FFFFFF"/>
        </w:rPr>
        <w:t>96</w:t>
      </w:r>
      <w:r w:rsidRPr="002617E3">
        <w:rPr>
          <w:rFonts w:cs="Times New Roman"/>
          <w:color w:val="222222"/>
          <w:szCs w:val="24"/>
          <w:shd w:val="clear" w:color="auto" w:fill="FFFFFF"/>
        </w:rPr>
        <w:t>, 415-431.</w:t>
      </w:r>
    </w:p>
    <w:p w14:paraId="33927B62" w14:textId="77777777" w:rsidR="003B328E" w:rsidRPr="00EC64C3" w:rsidRDefault="003B328E" w:rsidP="003B328E">
      <w:pPr>
        <w:ind w:left="540" w:hanging="540"/>
        <w:jc w:val="both"/>
        <w:rPr>
          <w:rFonts w:cs="Times New Roman"/>
          <w:szCs w:val="24"/>
          <w:shd w:val="clear" w:color="auto" w:fill="FFFFFF"/>
        </w:rPr>
      </w:pPr>
      <w:r w:rsidRPr="00EC64C3">
        <w:rPr>
          <w:rFonts w:cs="Times New Roman"/>
          <w:szCs w:val="24"/>
          <w:shd w:val="clear" w:color="auto" w:fill="FFFFFF"/>
        </w:rPr>
        <w:t>Leung, E., Paolacci, G., and Puntoni, S., 2018. Man versus machine: Resisting automation in identity-based consumer behavior. </w:t>
      </w:r>
      <w:r w:rsidRPr="00EC64C3">
        <w:rPr>
          <w:rFonts w:cs="Times New Roman"/>
          <w:i/>
          <w:iCs/>
          <w:szCs w:val="24"/>
          <w:shd w:val="clear" w:color="auto" w:fill="FFFFFF"/>
        </w:rPr>
        <w:t>Journal of Marketing Research</w:t>
      </w:r>
      <w:r w:rsidRPr="00EC64C3">
        <w:rPr>
          <w:rFonts w:cs="Times New Roman"/>
          <w:szCs w:val="24"/>
          <w:shd w:val="clear" w:color="auto" w:fill="FFFFFF"/>
        </w:rPr>
        <w:t>, </w:t>
      </w:r>
      <w:r w:rsidRPr="00EC64C3">
        <w:rPr>
          <w:rFonts w:cs="Times New Roman"/>
          <w:iCs/>
          <w:szCs w:val="24"/>
          <w:shd w:val="clear" w:color="auto" w:fill="FFFFFF"/>
        </w:rPr>
        <w:t>55</w:t>
      </w:r>
      <w:r w:rsidRPr="00EC64C3">
        <w:rPr>
          <w:rFonts w:cs="Times New Roman"/>
          <w:szCs w:val="24"/>
          <w:shd w:val="clear" w:color="auto" w:fill="FFFFFF"/>
        </w:rPr>
        <w:t>(6), 818-831.</w:t>
      </w:r>
    </w:p>
    <w:p w14:paraId="15941DD8" w14:textId="77777777" w:rsidR="003B328E" w:rsidRPr="00EC64C3" w:rsidRDefault="003B328E" w:rsidP="003B328E">
      <w:pPr>
        <w:ind w:left="540" w:hanging="540"/>
        <w:jc w:val="both"/>
        <w:rPr>
          <w:rFonts w:cs="Times New Roman"/>
          <w:color w:val="222222"/>
          <w:szCs w:val="24"/>
          <w:shd w:val="clear" w:color="auto" w:fill="FFFFFF"/>
        </w:rPr>
      </w:pPr>
      <w:r w:rsidRPr="00EC64C3">
        <w:rPr>
          <w:rFonts w:cs="Times New Roman"/>
          <w:szCs w:val="24"/>
          <w:shd w:val="clear" w:color="auto" w:fill="FFFFFF"/>
        </w:rPr>
        <w:t>Levy, V., 2020. Travel trends.</w:t>
      </w:r>
      <w:r w:rsidRPr="00EC64C3">
        <w:rPr>
          <w:rFonts w:cs="Times New Roman"/>
          <w:i/>
          <w:iCs/>
          <w:szCs w:val="24"/>
          <w:shd w:val="clear" w:color="auto" w:fill="FFFFFF"/>
        </w:rPr>
        <w:t xml:space="preserve"> AARP Research. </w:t>
      </w:r>
      <w:hyperlink r:id="rId34" w:history="1">
        <w:r w:rsidRPr="00EC64C3">
          <w:rPr>
            <w:rStyle w:val="Hyperlink"/>
            <w:rFonts w:cs="Times New Roman"/>
            <w:szCs w:val="24"/>
          </w:rPr>
          <w:t>https://www.aarp.org/content/dam/aarp/research/surveys_statistics/life-leisure/2019/2020-travel-trends.doi.10.26419-2Fres.00359.001.pdf</w:t>
        </w:r>
      </w:hyperlink>
      <w:r w:rsidRPr="00EC64C3">
        <w:rPr>
          <w:rFonts w:cs="Times New Roman"/>
          <w:szCs w:val="24"/>
        </w:rPr>
        <w:t>. Accessed July 20, 2020.</w:t>
      </w:r>
    </w:p>
    <w:p w14:paraId="6E49A6A1" w14:textId="77777777" w:rsidR="003B328E" w:rsidRPr="00EC64C3" w:rsidRDefault="003B328E" w:rsidP="003B328E">
      <w:pPr>
        <w:ind w:left="540" w:hanging="540"/>
        <w:jc w:val="both"/>
        <w:rPr>
          <w:rFonts w:cs="Times New Roman"/>
          <w:color w:val="222222"/>
          <w:szCs w:val="24"/>
          <w:shd w:val="clear" w:color="auto" w:fill="FFFFFF"/>
        </w:rPr>
      </w:pPr>
      <w:r w:rsidRPr="00EC64C3">
        <w:rPr>
          <w:rFonts w:cs="Times New Roman"/>
          <w:color w:val="222222"/>
          <w:szCs w:val="24"/>
          <w:shd w:val="clear" w:color="auto" w:fill="FFFFFF"/>
        </w:rPr>
        <w:t>Liljamo, T., Liimatainen, H., and Pöllänen, M., 2018. Attitudes and concerns on automated vehicles. </w:t>
      </w:r>
      <w:r w:rsidRPr="00EC64C3">
        <w:rPr>
          <w:rFonts w:cs="Times New Roman"/>
          <w:i/>
          <w:iCs/>
          <w:color w:val="222222"/>
          <w:szCs w:val="24"/>
          <w:shd w:val="clear" w:color="auto" w:fill="FFFFFF"/>
        </w:rPr>
        <w:t>Transportation Research Part F</w:t>
      </w:r>
      <w:r w:rsidRPr="00EC64C3">
        <w:rPr>
          <w:rFonts w:cs="Times New Roman"/>
          <w:color w:val="222222"/>
          <w:szCs w:val="24"/>
          <w:shd w:val="clear" w:color="auto" w:fill="FFFFFF"/>
        </w:rPr>
        <w:t>, </w:t>
      </w:r>
      <w:r w:rsidRPr="00EC64C3">
        <w:rPr>
          <w:rFonts w:cs="Times New Roman"/>
          <w:iCs/>
          <w:color w:val="222222"/>
          <w:szCs w:val="24"/>
          <w:shd w:val="clear" w:color="auto" w:fill="FFFFFF"/>
        </w:rPr>
        <w:t>59</w:t>
      </w:r>
      <w:r w:rsidRPr="00EC64C3">
        <w:rPr>
          <w:rFonts w:cs="Times New Roman"/>
          <w:color w:val="222222"/>
          <w:szCs w:val="24"/>
          <w:shd w:val="clear" w:color="auto" w:fill="FFFFFF"/>
        </w:rPr>
        <w:t>, 24-44.</w:t>
      </w:r>
    </w:p>
    <w:p w14:paraId="1A8A736A" w14:textId="77777777" w:rsidR="003B328E" w:rsidRPr="003171A4" w:rsidRDefault="003B328E" w:rsidP="003B328E">
      <w:pPr>
        <w:ind w:left="540" w:hanging="540"/>
        <w:jc w:val="both"/>
        <w:rPr>
          <w:rFonts w:cs="Times New Roman"/>
          <w:szCs w:val="24"/>
          <w:shd w:val="clear" w:color="auto" w:fill="FFFFFF"/>
        </w:rPr>
      </w:pPr>
      <w:r w:rsidRPr="003171A4">
        <w:rPr>
          <w:rFonts w:cs="Times New Roman"/>
          <w:szCs w:val="24"/>
          <w:shd w:val="clear" w:color="auto" w:fill="FFFFFF"/>
        </w:rPr>
        <w:t xml:space="preserve">Litman, T., 2020. Autonomous vehicle implementation predictions: Implications for transport planning. </w:t>
      </w:r>
      <w:r w:rsidRPr="003171A4">
        <w:rPr>
          <w:rFonts w:cs="Times New Roman"/>
          <w:iCs/>
          <w:szCs w:val="24"/>
          <w:shd w:val="clear" w:color="auto" w:fill="FFFFFF"/>
        </w:rPr>
        <w:t>Victoria Transport Policy Institute</w:t>
      </w:r>
      <w:r w:rsidRPr="003171A4">
        <w:rPr>
          <w:rFonts w:cs="Times New Roman"/>
          <w:szCs w:val="24"/>
          <w:shd w:val="clear" w:color="auto" w:fill="FFFFFF"/>
        </w:rPr>
        <w:t>. Available at:</w:t>
      </w:r>
      <w:r w:rsidRPr="003171A4">
        <w:t xml:space="preserve"> </w:t>
      </w:r>
      <w:hyperlink r:id="rId35" w:history="1">
        <w:r w:rsidRPr="003171A4">
          <w:rPr>
            <w:rStyle w:val="Hyperlink"/>
          </w:rPr>
          <w:t>https://www.vtpi.org/avip.pdf</w:t>
        </w:r>
      </w:hyperlink>
      <w:r w:rsidRPr="003171A4">
        <w:t>.</w:t>
      </w:r>
    </w:p>
    <w:p w14:paraId="4C7A65F9" w14:textId="77777777" w:rsidR="003B328E" w:rsidRPr="00EC64C3" w:rsidRDefault="003B328E" w:rsidP="003B328E">
      <w:pPr>
        <w:tabs>
          <w:tab w:val="left" w:pos="3720"/>
        </w:tabs>
        <w:ind w:left="540" w:hanging="540"/>
        <w:jc w:val="both"/>
        <w:rPr>
          <w:rFonts w:cs="Times New Roman"/>
          <w:szCs w:val="24"/>
        </w:rPr>
      </w:pPr>
      <w:r w:rsidRPr="00EC64C3">
        <w:rPr>
          <w:rFonts w:cs="Times New Roman"/>
          <w:szCs w:val="24"/>
        </w:rPr>
        <w:t xml:space="preserve">Liu, N., and Yu, R., 2017. Identifying design feature factors critical to acceptance and usage behavior of smartphones. </w:t>
      </w:r>
      <w:r w:rsidRPr="00EC64C3">
        <w:rPr>
          <w:rFonts w:cs="Times New Roman"/>
          <w:i/>
          <w:iCs/>
          <w:szCs w:val="24"/>
        </w:rPr>
        <w:t>Computers in Human Behavior</w:t>
      </w:r>
      <w:r w:rsidRPr="00EC64C3">
        <w:rPr>
          <w:rFonts w:cs="Times New Roman"/>
          <w:szCs w:val="24"/>
        </w:rPr>
        <w:t>,</w:t>
      </w:r>
      <w:r w:rsidRPr="00EC64C3">
        <w:rPr>
          <w:rFonts w:cs="Times New Roman"/>
          <w:i/>
          <w:iCs/>
          <w:szCs w:val="24"/>
        </w:rPr>
        <w:t xml:space="preserve"> 70</w:t>
      </w:r>
      <w:r w:rsidRPr="00EC64C3">
        <w:rPr>
          <w:rFonts w:cs="Times New Roman"/>
          <w:iCs/>
          <w:szCs w:val="24"/>
        </w:rPr>
        <w:t>,</w:t>
      </w:r>
      <w:r w:rsidRPr="00EC64C3">
        <w:rPr>
          <w:rFonts w:cs="Times New Roman"/>
          <w:szCs w:val="24"/>
        </w:rPr>
        <w:t xml:space="preserve"> 131-142.</w:t>
      </w:r>
    </w:p>
    <w:p w14:paraId="0EA6F1B4" w14:textId="77777777" w:rsidR="003B328E" w:rsidRPr="00EC64C3" w:rsidRDefault="003B328E" w:rsidP="003B328E">
      <w:pPr>
        <w:ind w:left="540" w:hanging="540"/>
        <w:jc w:val="both"/>
        <w:rPr>
          <w:rFonts w:cs="Times New Roman"/>
          <w:szCs w:val="24"/>
        </w:rPr>
      </w:pPr>
      <w:r w:rsidRPr="00EC64C3">
        <w:rPr>
          <w:rFonts w:cs="Times New Roman"/>
          <w:szCs w:val="24"/>
        </w:rPr>
        <w:t xml:space="preserve">Luce, R. D., and Suppes, P., 1965. Preference, utility, and subjective probability. In R.D. Luce, R. R. Bush, and E. Galanter (Eds.), </w:t>
      </w:r>
      <w:r w:rsidRPr="00EC64C3">
        <w:rPr>
          <w:rFonts w:cs="Times New Roman"/>
          <w:i/>
          <w:szCs w:val="24"/>
        </w:rPr>
        <w:t>Handbook of Mathematical Psychology</w:t>
      </w:r>
      <w:r w:rsidRPr="00EC64C3">
        <w:rPr>
          <w:rFonts w:cs="Times New Roman"/>
          <w:szCs w:val="24"/>
        </w:rPr>
        <w:t>, Volume 3, Chapter 19, John Wiley and Sons, Inc., 249-410.</w:t>
      </w:r>
    </w:p>
    <w:p w14:paraId="35933D9D" w14:textId="77777777" w:rsidR="003B328E" w:rsidRPr="003171A4" w:rsidRDefault="003B328E" w:rsidP="003B328E">
      <w:pPr>
        <w:ind w:left="540" w:hanging="540"/>
        <w:jc w:val="both"/>
        <w:rPr>
          <w:rFonts w:cs="Times New Roman"/>
          <w:szCs w:val="24"/>
        </w:rPr>
      </w:pPr>
      <w:r w:rsidRPr="003171A4">
        <w:rPr>
          <w:rFonts w:cs="Times New Roman"/>
          <w:szCs w:val="24"/>
        </w:rPr>
        <w:t xml:space="preserve">Mahmassani, H. S., Elfar, A., Shladover, S. E., and Huang, Z., 2018. </w:t>
      </w:r>
      <w:r w:rsidRPr="003171A4">
        <w:rPr>
          <w:rFonts w:cs="Times New Roman"/>
          <w:iCs/>
          <w:szCs w:val="24"/>
        </w:rPr>
        <w:t>Development of an analysis/modeling/simulation (AMS) framework for V2I and connected/automated vehicle environment. Report No. FHWA-JPO-18-725</w:t>
      </w:r>
      <w:r w:rsidRPr="003171A4">
        <w:t xml:space="preserve">, </w:t>
      </w:r>
      <w:r w:rsidRPr="003171A4">
        <w:rPr>
          <w:rFonts w:cs="Times New Roman"/>
          <w:iCs/>
          <w:szCs w:val="24"/>
        </w:rPr>
        <w:t xml:space="preserve">U.S. </w:t>
      </w:r>
      <w:r w:rsidRPr="003171A4">
        <w:rPr>
          <w:rFonts w:cs="Times New Roman"/>
          <w:szCs w:val="24"/>
        </w:rPr>
        <w:t>Department of Transportation.</w:t>
      </w:r>
    </w:p>
    <w:p w14:paraId="6CAF84DA" w14:textId="77777777" w:rsidR="003B328E" w:rsidRPr="00EC64C3" w:rsidRDefault="003B328E" w:rsidP="003B328E">
      <w:pPr>
        <w:ind w:left="540" w:hanging="540"/>
        <w:jc w:val="both"/>
        <w:rPr>
          <w:rFonts w:cs="Times New Roman"/>
          <w:szCs w:val="24"/>
        </w:rPr>
      </w:pPr>
      <w:r w:rsidRPr="00EC64C3">
        <w:rPr>
          <w:rFonts w:cs="Times New Roman"/>
          <w:szCs w:val="24"/>
        </w:rPr>
        <w:t xml:space="preserve">Marikyan, D., Papagiannidis, S., and Alamanos, E., 2019. A systematic review of the smart home literature: A user perspective. </w:t>
      </w:r>
      <w:r w:rsidRPr="00EC64C3">
        <w:rPr>
          <w:rFonts w:cs="Times New Roman"/>
          <w:i/>
          <w:iCs/>
          <w:szCs w:val="24"/>
        </w:rPr>
        <w:t>Technological Forecasting and Social Change</w:t>
      </w:r>
      <w:r w:rsidRPr="00EC64C3">
        <w:rPr>
          <w:rFonts w:cs="Times New Roman"/>
          <w:iCs/>
          <w:szCs w:val="24"/>
        </w:rPr>
        <w:t>, 138,</w:t>
      </w:r>
      <w:r w:rsidRPr="00EC64C3">
        <w:rPr>
          <w:rFonts w:cs="Times New Roman"/>
          <w:szCs w:val="24"/>
        </w:rPr>
        <w:t xml:space="preserve"> 139-154.</w:t>
      </w:r>
    </w:p>
    <w:p w14:paraId="248890B7" w14:textId="77777777" w:rsidR="003B328E" w:rsidRPr="00EC64C3" w:rsidRDefault="003B328E" w:rsidP="003B328E">
      <w:pPr>
        <w:tabs>
          <w:tab w:val="left" w:pos="3720"/>
        </w:tabs>
        <w:ind w:left="540" w:hanging="540"/>
        <w:jc w:val="both"/>
        <w:rPr>
          <w:rFonts w:cs="Times New Roman"/>
          <w:szCs w:val="24"/>
          <w:shd w:val="clear" w:color="auto" w:fill="FFFFFF"/>
        </w:rPr>
      </w:pPr>
      <w:r w:rsidRPr="00EC64C3">
        <w:rPr>
          <w:rFonts w:cs="Times New Roman"/>
          <w:szCs w:val="24"/>
          <w:shd w:val="clear" w:color="auto" w:fill="FFFFFF"/>
        </w:rPr>
        <w:t>Meier-Pesti, K., and Penz, E., 2008. Sex or gender? Expanding the sex-based view by introducing masculinity and femininity as predictors of financial risk taking. </w:t>
      </w:r>
      <w:r w:rsidRPr="00EC64C3">
        <w:rPr>
          <w:rFonts w:cs="Times New Roman"/>
          <w:i/>
          <w:iCs/>
          <w:szCs w:val="24"/>
          <w:shd w:val="clear" w:color="auto" w:fill="FFFFFF"/>
        </w:rPr>
        <w:t>Journal of Economic Psychology</w:t>
      </w:r>
      <w:r w:rsidRPr="00EC64C3">
        <w:rPr>
          <w:rFonts w:cs="Times New Roman"/>
          <w:szCs w:val="24"/>
          <w:shd w:val="clear" w:color="auto" w:fill="FFFFFF"/>
        </w:rPr>
        <w:t>, </w:t>
      </w:r>
      <w:r w:rsidRPr="00EC64C3">
        <w:rPr>
          <w:rFonts w:cs="Times New Roman"/>
          <w:iCs/>
          <w:szCs w:val="24"/>
          <w:shd w:val="clear" w:color="auto" w:fill="FFFFFF"/>
        </w:rPr>
        <w:t>29</w:t>
      </w:r>
      <w:r w:rsidRPr="00EC64C3">
        <w:rPr>
          <w:rFonts w:cs="Times New Roman"/>
          <w:szCs w:val="24"/>
          <w:shd w:val="clear" w:color="auto" w:fill="FFFFFF"/>
        </w:rPr>
        <w:t>(2), 180-196.</w:t>
      </w:r>
    </w:p>
    <w:p w14:paraId="26247727" w14:textId="2D777AB0" w:rsidR="003B328E" w:rsidRPr="003171A4" w:rsidRDefault="003B328E" w:rsidP="003B328E">
      <w:pPr>
        <w:ind w:left="540" w:hanging="540"/>
        <w:jc w:val="both"/>
        <w:rPr>
          <w:rFonts w:cs="Times New Roman"/>
          <w:szCs w:val="24"/>
        </w:rPr>
      </w:pPr>
      <w:r w:rsidRPr="003171A4">
        <w:rPr>
          <w:rFonts w:cs="Times New Roman"/>
          <w:szCs w:val="24"/>
        </w:rPr>
        <w:t xml:space="preserve">Meyer, J., Becker, H., </w:t>
      </w:r>
      <w:proofErr w:type="spellStart"/>
      <w:r w:rsidRPr="003171A4">
        <w:rPr>
          <w:rFonts w:cs="Times New Roman"/>
          <w:szCs w:val="24"/>
        </w:rPr>
        <w:t>B</w:t>
      </w:r>
      <w:r w:rsidR="00482543" w:rsidRPr="002617E3">
        <w:rPr>
          <w:rFonts w:cs="Times New Roman"/>
          <w:color w:val="222222"/>
          <w:szCs w:val="24"/>
          <w:shd w:val="clear" w:color="auto" w:fill="FFFFFF"/>
        </w:rPr>
        <w:t>ö</w:t>
      </w:r>
      <w:r w:rsidRPr="003171A4">
        <w:rPr>
          <w:rFonts w:cs="Times New Roman"/>
          <w:szCs w:val="24"/>
        </w:rPr>
        <w:t>sch</w:t>
      </w:r>
      <w:proofErr w:type="spellEnd"/>
      <w:r w:rsidRPr="003171A4">
        <w:rPr>
          <w:rFonts w:cs="Times New Roman"/>
          <w:szCs w:val="24"/>
        </w:rPr>
        <w:t xml:space="preserve"> P., and Axhausen, K. W., 2017. Autonomous vehicles: The next jump in accessibilities? </w:t>
      </w:r>
      <w:r w:rsidRPr="003171A4">
        <w:rPr>
          <w:rFonts w:cs="Times New Roman"/>
          <w:i/>
          <w:iCs/>
          <w:szCs w:val="24"/>
        </w:rPr>
        <w:t>Research in Transportation Economics</w:t>
      </w:r>
      <w:r w:rsidRPr="003171A4">
        <w:rPr>
          <w:rFonts w:cs="Times New Roman"/>
          <w:szCs w:val="24"/>
        </w:rPr>
        <w:t xml:space="preserve">, </w:t>
      </w:r>
      <w:r w:rsidRPr="003171A4">
        <w:rPr>
          <w:rFonts w:cs="Times New Roman"/>
          <w:iCs/>
          <w:szCs w:val="24"/>
        </w:rPr>
        <w:t>62,</w:t>
      </w:r>
      <w:r w:rsidRPr="003171A4">
        <w:rPr>
          <w:rFonts w:cs="Times New Roman"/>
          <w:szCs w:val="24"/>
        </w:rPr>
        <w:t xml:space="preserve"> 80-91.</w:t>
      </w:r>
    </w:p>
    <w:p w14:paraId="5FFBCF42" w14:textId="77777777" w:rsidR="003B328E" w:rsidRPr="00EC64C3" w:rsidRDefault="003B328E" w:rsidP="003B328E">
      <w:pPr>
        <w:tabs>
          <w:tab w:val="left" w:pos="3720"/>
        </w:tabs>
        <w:ind w:left="540" w:hanging="540"/>
        <w:jc w:val="both"/>
        <w:rPr>
          <w:rFonts w:cs="Times New Roman"/>
          <w:szCs w:val="24"/>
        </w:rPr>
      </w:pPr>
      <w:r w:rsidRPr="00EC64C3">
        <w:rPr>
          <w:rFonts w:cs="Times New Roman"/>
          <w:szCs w:val="24"/>
          <w:shd w:val="clear" w:color="auto" w:fill="FFFFFF"/>
        </w:rPr>
        <w:t>Moody, J., Bailey, N., and Zhao, J., 2020. Public perceptions of autonomous vehicle safety: An international comparison. </w:t>
      </w:r>
      <w:r w:rsidRPr="00EC64C3">
        <w:rPr>
          <w:rFonts w:cs="Times New Roman"/>
          <w:i/>
          <w:iCs/>
          <w:szCs w:val="24"/>
          <w:shd w:val="clear" w:color="auto" w:fill="FFFFFF"/>
        </w:rPr>
        <w:t>Safety Science</w:t>
      </w:r>
      <w:r w:rsidRPr="00EC64C3">
        <w:rPr>
          <w:rFonts w:cs="Times New Roman"/>
          <w:szCs w:val="24"/>
          <w:shd w:val="clear" w:color="auto" w:fill="FFFFFF"/>
        </w:rPr>
        <w:t>, </w:t>
      </w:r>
      <w:r w:rsidRPr="00EC64C3">
        <w:rPr>
          <w:rFonts w:cs="Times New Roman"/>
          <w:iCs/>
          <w:szCs w:val="24"/>
          <w:shd w:val="clear" w:color="auto" w:fill="FFFFFF"/>
        </w:rPr>
        <w:t>121</w:t>
      </w:r>
      <w:r w:rsidRPr="00EC64C3">
        <w:rPr>
          <w:rFonts w:cs="Times New Roman"/>
          <w:szCs w:val="24"/>
          <w:shd w:val="clear" w:color="auto" w:fill="FFFFFF"/>
        </w:rPr>
        <w:t>, 634-650.</w:t>
      </w:r>
    </w:p>
    <w:p w14:paraId="5A4B0ABD" w14:textId="77777777" w:rsidR="003B328E" w:rsidRPr="003171A4" w:rsidRDefault="003B328E" w:rsidP="003B328E">
      <w:pPr>
        <w:ind w:left="540" w:hanging="540"/>
        <w:jc w:val="both"/>
        <w:rPr>
          <w:rFonts w:cs="Times New Roman"/>
          <w:szCs w:val="24"/>
        </w:rPr>
      </w:pPr>
      <w:r w:rsidRPr="003171A4">
        <w:rPr>
          <w:rFonts w:cs="Times New Roman"/>
          <w:szCs w:val="24"/>
        </w:rPr>
        <w:t xml:space="preserve">Moore, M. A., Lavieri, P. S., Dias, F. F., and Bhat, C. R., 2020. On investigating the potential effects of private autonomous vehicle use on home/work relocations and commute times. </w:t>
      </w:r>
      <w:r w:rsidRPr="003171A4">
        <w:rPr>
          <w:rFonts w:cs="Times New Roman"/>
          <w:i/>
          <w:iCs/>
          <w:szCs w:val="24"/>
        </w:rPr>
        <w:t>Transportation Research Part C</w:t>
      </w:r>
      <w:r w:rsidRPr="003171A4">
        <w:rPr>
          <w:rFonts w:cs="Times New Roman"/>
          <w:szCs w:val="24"/>
        </w:rPr>
        <w:t xml:space="preserve">, </w:t>
      </w:r>
      <w:r w:rsidRPr="003171A4">
        <w:rPr>
          <w:rFonts w:cs="Times New Roman"/>
          <w:iCs/>
          <w:szCs w:val="24"/>
        </w:rPr>
        <w:t>110,</w:t>
      </w:r>
      <w:r w:rsidRPr="003171A4">
        <w:rPr>
          <w:rFonts w:cs="Times New Roman"/>
          <w:szCs w:val="24"/>
        </w:rPr>
        <w:t xml:space="preserve"> 166-185.</w:t>
      </w:r>
    </w:p>
    <w:p w14:paraId="0BE7E6DB" w14:textId="77777777" w:rsidR="003B328E" w:rsidRPr="00EC64C3" w:rsidRDefault="003B328E" w:rsidP="003B328E">
      <w:pPr>
        <w:tabs>
          <w:tab w:val="left" w:pos="3720"/>
        </w:tabs>
        <w:ind w:left="540" w:hanging="540"/>
        <w:jc w:val="both"/>
        <w:rPr>
          <w:rFonts w:cs="Times New Roman"/>
          <w:iCs/>
          <w:szCs w:val="24"/>
          <w:shd w:val="clear" w:color="auto" w:fill="FFFFFF"/>
        </w:rPr>
      </w:pPr>
      <w:r w:rsidRPr="00EC64C3">
        <w:rPr>
          <w:rFonts w:cs="Times New Roman"/>
          <w:szCs w:val="24"/>
          <w:shd w:val="clear" w:color="auto" w:fill="FFFFFF"/>
        </w:rPr>
        <w:t xml:space="preserve">Mueller, A. S., Cicchino, J. B. and Zuby, D. S., 2020. What humanlike errors do autonomous vehicles need to avoid to maximize safety? </w:t>
      </w:r>
      <w:r w:rsidRPr="00EC64C3">
        <w:rPr>
          <w:rFonts w:cs="Times New Roman"/>
          <w:iCs/>
          <w:szCs w:val="24"/>
          <w:shd w:val="clear" w:color="auto" w:fill="FFFFFF"/>
        </w:rPr>
        <w:t>Insurance Institute for Highway Safety, Arlington, VA.</w:t>
      </w:r>
    </w:p>
    <w:p w14:paraId="5A900C24" w14:textId="77777777" w:rsidR="003B328E" w:rsidRPr="00EC64C3" w:rsidRDefault="003B328E" w:rsidP="003B328E">
      <w:pPr>
        <w:ind w:left="540" w:hanging="540"/>
        <w:jc w:val="both"/>
        <w:rPr>
          <w:rFonts w:cs="Times New Roman"/>
          <w:szCs w:val="24"/>
        </w:rPr>
      </w:pPr>
      <w:r w:rsidRPr="00EC64C3">
        <w:rPr>
          <w:rFonts w:cs="Times New Roman"/>
          <w:szCs w:val="24"/>
        </w:rPr>
        <w:t xml:space="preserve">Mushtaq, T., and Riyaz, S., 2020. The gender digital divide: An exploratory research of University of Kashmir. </w:t>
      </w:r>
      <w:r w:rsidRPr="00EC64C3">
        <w:rPr>
          <w:rFonts w:cs="Times New Roman"/>
          <w:i/>
          <w:iCs/>
          <w:szCs w:val="24"/>
        </w:rPr>
        <w:t>Global Academic Journal of Humanities and Social Sciences</w:t>
      </w:r>
      <w:r w:rsidRPr="00EC64C3">
        <w:rPr>
          <w:rFonts w:cs="Times New Roman"/>
          <w:szCs w:val="24"/>
        </w:rPr>
        <w:t xml:space="preserve">, </w:t>
      </w:r>
      <w:r w:rsidRPr="00EC64C3">
        <w:rPr>
          <w:rFonts w:cs="Times New Roman"/>
          <w:iCs/>
          <w:szCs w:val="24"/>
        </w:rPr>
        <w:t>2(2),</w:t>
      </w:r>
      <w:r w:rsidRPr="00EC64C3">
        <w:rPr>
          <w:rFonts w:cs="Times New Roman"/>
          <w:szCs w:val="24"/>
        </w:rPr>
        <w:t xml:space="preserve"> 18-21.</w:t>
      </w:r>
    </w:p>
    <w:p w14:paraId="632E9DD6" w14:textId="77777777" w:rsidR="003B328E" w:rsidRPr="00EC64C3" w:rsidRDefault="003B328E" w:rsidP="003B328E">
      <w:pPr>
        <w:tabs>
          <w:tab w:val="left" w:pos="3720"/>
        </w:tabs>
        <w:ind w:left="540" w:hanging="540"/>
        <w:jc w:val="both"/>
        <w:rPr>
          <w:rFonts w:cs="Times New Roman"/>
          <w:szCs w:val="24"/>
          <w:shd w:val="clear" w:color="auto" w:fill="FFFFFF"/>
        </w:rPr>
      </w:pPr>
      <w:r w:rsidRPr="00EC64C3">
        <w:rPr>
          <w:rFonts w:cs="Times New Roman"/>
          <w:szCs w:val="24"/>
          <w:shd w:val="clear" w:color="auto" w:fill="FFFFFF"/>
        </w:rPr>
        <w:lastRenderedPageBreak/>
        <w:t xml:space="preserve">Musselwhite, C., 2019. Older people’s mobility, new transport technologies and user-centered innovation. In </w:t>
      </w:r>
      <w:r w:rsidRPr="00EC64C3">
        <w:rPr>
          <w:rFonts w:cs="Times New Roman"/>
          <w:spacing w:val="4"/>
          <w:szCs w:val="24"/>
          <w:shd w:val="clear" w:color="auto" w:fill="FFFFFF"/>
        </w:rPr>
        <w:t xml:space="preserve">Müller B., Meyer G. (eds), </w:t>
      </w:r>
      <w:r w:rsidRPr="00EC64C3">
        <w:rPr>
          <w:rFonts w:cs="Times New Roman"/>
          <w:i/>
          <w:iCs/>
          <w:szCs w:val="24"/>
          <w:shd w:val="clear" w:color="auto" w:fill="FFFFFF"/>
        </w:rPr>
        <w:t>Towards User-Centric Transport in Europe</w:t>
      </w:r>
      <w:r w:rsidRPr="00EC64C3">
        <w:rPr>
          <w:rFonts w:cs="Times New Roman"/>
          <w:szCs w:val="24"/>
          <w:shd w:val="clear" w:color="auto" w:fill="FFFFFF"/>
        </w:rPr>
        <w:t xml:space="preserve">, 87-103. </w:t>
      </w:r>
      <w:r w:rsidRPr="00EC64C3">
        <w:rPr>
          <w:rFonts w:cs="Times New Roman"/>
          <w:spacing w:val="4"/>
          <w:szCs w:val="24"/>
          <w:shd w:val="clear" w:color="auto" w:fill="FFFFFF"/>
        </w:rPr>
        <w:t>Lecture Notes in Mobility</w:t>
      </w:r>
      <w:r w:rsidRPr="00EC64C3">
        <w:rPr>
          <w:rFonts w:cs="Times New Roman"/>
          <w:szCs w:val="24"/>
          <w:shd w:val="clear" w:color="auto" w:fill="FFFFFF"/>
        </w:rPr>
        <w:t>. Springer, Cham.</w:t>
      </w:r>
    </w:p>
    <w:p w14:paraId="0E6A1601" w14:textId="081E8CCE" w:rsidR="003B328E" w:rsidRPr="00EC64C3" w:rsidRDefault="003B328E" w:rsidP="003B328E">
      <w:pPr>
        <w:ind w:left="540" w:hanging="540"/>
        <w:jc w:val="both"/>
        <w:rPr>
          <w:rFonts w:cs="Times New Roman"/>
          <w:szCs w:val="24"/>
        </w:rPr>
      </w:pPr>
      <w:r w:rsidRPr="00EC64C3">
        <w:rPr>
          <w:rFonts w:cs="Times New Roman"/>
          <w:szCs w:val="24"/>
        </w:rPr>
        <w:t xml:space="preserve">Nair, G. S., and Bhat, C. R., 2020. Sharing the road with autonomous vehicles: Perceived safety and regulatory preferences. </w:t>
      </w:r>
      <w:r w:rsidRPr="00EC64C3">
        <w:rPr>
          <w:rFonts w:cs="Times New Roman"/>
          <w:iCs/>
          <w:szCs w:val="24"/>
        </w:rPr>
        <w:t>Technical paper</w:t>
      </w:r>
      <w:r w:rsidRPr="00EC64C3">
        <w:rPr>
          <w:rFonts w:cs="Times New Roman"/>
          <w:szCs w:val="24"/>
        </w:rPr>
        <w:t>, Department of Civil, Architectural and Environmental Engineering, The University of Texas at Austin.</w:t>
      </w:r>
      <w:r w:rsidR="00BC1652">
        <w:rPr>
          <w:rFonts w:cs="Times New Roman"/>
          <w:szCs w:val="24"/>
        </w:rPr>
        <w:t xml:space="preserve"> </w:t>
      </w:r>
      <w:hyperlink r:id="rId36" w:history="1">
        <w:r w:rsidR="00BC1652" w:rsidRPr="002A1082">
          <w:rPr>
            <w:rStyle w:val="Hyperlink"/>
            <w:rFonts w:cs="Times New Roman"/>
            <w:szCs w:val="24"/>
          </w:rPr>
          <w:t>https://www.caee.utexas.edu/prof/bhat/TechAV.html</w:t>
        </w:r>
      </w:hyperlink>
      <w:r w:rsidR="00BC1652">
        <w:rPr>
          <w:rFonts w:cs="Times New Roman"/>
          <w:szCs w:val="24"/>
        </w:rPr>
        <w:t xml:space="preserve">   </w:t>
      </w:r>
    </w:p>
    <w:p w14:paraId="16DAD020" w14:textId="77777777" w:rsidR="003B328E" w:rsidRPr="00EC64C3" w:rsidRDefault="003B328E" w:rsidP="003B328E">
      <w:pPr>
        <w:ind w:left="540" w:hanging="540"/>
        <w:jc w:val="both"/>
        <w:rPr>
          <w:rFonts w:cs="Times New Roman"/>
          <w:szCs w:val="24"/>
        </w:rPr>
      </w:pPr>
      <w:r w:rsidRPr="00EC64C3">
        <w:rPr>
          <w:rFonts w:cs="Times New Roman"/>
          <w:szCs w:val="24"/>
        </w:rPr>
        <w:t xml:space="preserve">Nair, G. S., Bhat, C. R., Pendyala, R. M., Loo, B. P. Y., and Lam, W. H. K., 2019. On the use of probit-based models for ranking data analysis. </w:t>
      </w:r>
      <w:r w:rsidRPr="00EC64C3">
        <w:rPr>
          <w:rFonts w:cs="Times New Roman"/>
          <w:i/>
          <w:iCs/>
          <w:szCs w:val="24"/>
        </w:rPr>
        <w:t>Transportation Research Record: Journal of the Transportation Research Board</w:t>
      </w:r>
      <w:r w:rsidRPr="00EC64C3">
        <w:rPr>
          <w:rFonts w:cs="Times New Roman"/>
          <w:szCs w:val="24"/>
        </w:rPr>
        <w:t xml:space="preserve">, </w:t>
      </w:r>
      <w:r w:rsidRPr="00EC64C3">
        <w:rPr>
          <w:rFonts w:cs="Times New Roman"/>
          <w:iCs/>
          <w:szCs w:val="24"/>
        </w:rPr>
        <w:t>2673</w:t>
      </w:r>
      <w:r w:rsidRPr="00EC64C3">
        <w:rPr>
          <w:rFonts w:cs="Times New Roman"/>
          <w:szCs w:val="24"/>
        </w:rPr>
        <w:t>(4), 229-240.</w:t>
      </w:r>
    </w:p>
    <w:p w14:paraId="636F1219" w14:textId="77777777" w:rsidR="003B328E" w:rsidRPr="00EC64C3" w:rsidRDefault="003B328E" w:rsidP="003B328E">
      <w:pPr>
        <w:ind w:left="540" w:hanging="540"/>
        <w:jc w:val="both"/>
        <w:rPr>
          <w:rFonts w:cs="Times New Roman"/>
          <w:szCs w:val="24"/>
        </w:rPr>
      </w:pPr>
      <w:r w:rsidRPr="00EC64C3">
        <w:rPr>
          <w:rFonts w:cs="Times New Roman"/>
          <w:szCs w:val="24"/>
        </w:rPr>
        <w:t xml:space="preserve">Nair, G. S., Astroza, S., Bhat, C. R., Khoeini, S., and Pendyala, R. M., 2018. An application of a rank ordered probit modeling approach to understanding level of interest in autonomous vehicles. </w:t>
      </w:r>
      <w:r w:rsidRPr="00EC64C3">
        <w:rPr>
          <w:rFonts w:cs="Times New Roman"/>
          <w:i/>
          <w:iCs/>
          <w:szCs w:val="24"/>
        </w:rPr>
        <w:t>Transportation</w:t>
      </w:r>
      <w:r w:rsidRPr="00EC64C3">
        <w:rPr>
          <w:rFonts w:cs="Times New Roman"/>
          <w:iCs/>
          <w:szCs w:val="24"/>
        </w:rPr>
        <w:t>,</w:t>
      </w:r>
      <w:r w:rsidRPr="00EC64C3">
        <w:rPr>
          <w:rFonts w:cs="Times New Roman"/>
          <w:szCs w:val="24"/>
        </w:rPr>
        <w:t xml:space="preserve"> </w:t>
      </w:r>
      <w:r w:rsidRPr="00EC64C3">
        <w:rPr>
          <w:rFonts w:cs="Times New Roman"/>
          <w:iCs/>
          <w:szCs w:val="24"/>
        </w:rPr>
        <w:t>45(6)</w:t>
      </w:r>
      <w:r w:rsidRPr="00EC64C3">
        <w:rPr>
          <w:rFonts w:cs="Times New Roman"/>
          <w:szCs w:val="24"/>
        </w:rPr>
        <w:t>, 1623-1637.</w:t>
      </w:r>
    </w:p>
    <w:p w14:paraId="371624F2" w14:textId="77777777" w:rsidR="003B328E" w:rsidRPr="00EC64C3" w:rsidRDefault="003B328E" w:rsidP="003B328E">
      <w:pPr>
        <w:ind w:left="540" w:hanging="540"/>
        <w:jc w:val="both"/>
        <w:rPr>
          <w:rFonts w:cs="Times New Roman"/>
          <w:szCs w:val="24"/>
        </w:rPr>
      </w:pPr>
      <w:r w:rsidRPr="00EC64C3">
        <w:rPr>
          <w:rFonts w:cs="Times New Roman"/>
          <w:szCs w:val="24"/>
          <w:shd w:val="clear" w:color="auto" w:fill="FFFFFF"/>
        </w:rPr>
        <w:t>Narayanan, S., Chaniotakis, E., and Antoniou, C., 2020. Shared autonomous vehicle services: A comprehensive review. </w:t>
      </w:r>
      <w:r w:rsidRPr="00EC64C3">
        <w:rPr>
          <w:rFonts w:cs="Times New Roman"/>
          <w:i/>
          <w:iCs/>
          <w:szCs w:val="24"/>
          <w:shd w:val="clear" w:color="auto" w:fill="FFFFFF"/>
        </w:rPr>
        <w:t>Transportation Research Part C</w:t>
      </w:r>
      <w:r w:rsidRPr="00EC64C3">
        <w:rPr>
          <w:rFonts w:cs="Times New Roman"/>
          <w:szCs w:val="24"/>
          <w:shd w:val="clear" w:color="auto" w:fill="FFFFFF"/>
        </w:rPr>
        <w:t>, </w:t>
      </w:r>
      <w:r w:rsidRPr="00EC64C3">
        <w:rPr>
          <w:rFonts w:cs="Times New Roman"/>
          <w:iCs/>
          <w:szCs w:val="24"/>
          <w:shd w:val="clear" w:color="auto" w:fill="FFFFFF"/>
        </w:rPr>
        <w:t>111</w:t>
      </w:r>
      <w:r w:rsidRPr="00EC64C3">
        <w:rPr>
          <w:rFonts w:cs="Times New Roman"/>
          <w:szCs w:val="24"/>
          <w:shd w:val="clear" w:color="auto" w:fill="FFFFFF"/>
        </w:rPr>
        <w:t>, 255-293.</w:t>
      </w:r>
    </w:p>
    <w:p w14:paraId="679425EA" w14:textId="77777777" w:rsidR="003B328E" w:rsidRPr="00EC64C3" w:rsidRDefault="003B328E" w:rsidP="003B328E">
      <w:pPr>
        <w:tabs>
          <w:tab w:val="left" w:pos="3720"/>
        </w:tabs>
        <w:ind w:left="540" w:hanging="540"/>
        <w:jc w:val="both"/>
        <w:rPr>
          <w:rFonts w:cs="Times New Roman"/>
          <w:szCs w:val="24"/>
        </w:rPr>
      </w:pPr>
      <w:r w:rsidRPr="00EC64C3">
        <w:rPr>
          <w:rFonts w:cs="Times New Roman"/>
          <w:szCs w:val="24"/>
        </w:rPr>
        <w:t xml:space="preserve">Nikitas, A., Avineri, E., and Parkhurst, G., 2018. Understanding the public acceptability of road pricing and the roles of older age, social norms, pro-social values and trust for urban policy-making: The case of Bristol. </w:t>
      </w:r>
      <w:r w:rsidRPr="00EC64C3">
        <w:rPr>
          <w:rFonts w:cs="Times New Roman"/>
          <w:i/>
          <w:iCs/>
          <w:szCs w:val="24"/>
        </w:rPr>
        <w:t>Cities</w:t>
      </w:r>
      <w:r w:rsidRPr="00EC64C3">
        <w:rPr>
          <w:rFonts w:cs="Times New Roman"/>
          <w:szCs w:val="24"/>
        </w:rPr>
        <w:t xml:space="preserve">, </w:t>
      </w:r>
      <w:r w:rsidRPr="00EC64C3">
        <w:rPr>
          <w:rFonts w:cs="Times New Roman"/>
          <w:iCs/>
          <w:szCs w:val="24"/>
        </w:rPr>
        <w:t>79</w:t>
      </w:r>
      <w:r w:rsidRPr="00EC64C3">
        <w:rPr>
          <w:rFonts w:cs="Times New Roman"/>
          <w:szCs w:val="24"/>
        </w:rPr>
        <w:t>, 78-91.</w:t>
      </w:r>
    </w:p>
    <w:p w14:paraId="397F5F38" w14:textId="77777777" w:rsidR="003B328E" w:rsidRPr="00EC64C3" w:rsidRDefault="003B328E" w:rsidP="003B328E">
      <w:pPr>
        <w:tabs>
          <w:tab w:val="left" w:pos="3720"/>
        </w:tabs>
        <w:ind w:left="540" w:hanging="540"/>
        <w:jc w:val="both"/>
        <w:rPr>
          <w:rFonts w:cs="Times New Roman"/>
          <w:szCs w:val="24"/>
          <w:shd w:val="clear" w:color="auto" w:fill="FFFFFF"/>
        </w:rPr>
      </w:pPr>
      <w:r w:rsidRPr="00EC64C3">
        <w:rPr>
          <w:rFonts w:cs="Times New Roman"/>
          <w:szCs w:val="24"/>
          <w:shd w:val="clear" w:color="auto" w:fill="FFFFFF"/>
        </w:rPr>
        <w:t>Nordhoff, S., Van Arem, B., and Happee, R., 2016. Conceptual model to explain, predict, and improve user acceptance of driverless podlike vehicles. </w:t>
      </w:r>
      <w:r w:rsidRPr="00EC64C3">
        <w:rPr>
          <w:rFonts w:cs="Times New Roman"/>
          <w:i/>
          <w:iCs/>
          <w:szCs w:val="24"/>
        </w:rPr>
        <w:t>Transportation Research Record: Journal of the Transportation Research Board</w:t>
      </w:r>
      <w:r w:rsidRPr="00EC64C3">
        <w:rPr>
          <w:rFonts w:cs="Times New Roman"/>
          <w:szCs w:val="24"/>
          <w:shd w:val="clear" w:color="auto" w:fill="FFFFFF"/>
        </w:rPr>
        <w:t>, </w:t>
      </w:r>
      <w:r w:rsidRPr="00EC64C3">
        <w:rPr>
          <w:rFonts w:cs="Times New Roman"/>
          <w:iCs/>
          <w:szCs w:val="24"/>
          <w:shd w:val="clear" w:color="auto" w:fill="FFFFFF"/>
        </w:rPr>
        <w:t>2602</w:t>
      </w:r>
      <w:r w:rsidRPr="00EC64C3">
        <w:rPr>
          <w:rFonts w:cs="Times New Roman"/>
          <w:szCs w:val="24"/>
          <w:shd w:val="clear" w:color="auto" w:fill="FFFFFF"/>
        </w:rPr>
        <w:t>(1), 60-67.</w:t>
      </w:r>
    </w:p>
    <w:p w14:paraId="6674BFAF" w14:textId="77777777" w:rsidR="003B328E" w:rsidRPr="00EC64C3" w:rsidRDefault="003B328E" w:rsidP="003B328E">
      <w:pPr>
        <w:tabs>
          <w:tab w:val="left" w:pos="3720"/>
        </w:tabs>
        <w:ind w:left="540" w:hanging="540"/>
        <w:jc w:val="both"/>
        <w:rPr>
          <w:rFonts w:cs="Times New Roman"/>
          <w:color w:val="222222"/>
          <w:szCs w:val="24"/>
          <w:shd w:val="clear" w:color="auto" w:fill="FFFFFF"/>
        </w:rPr>
      </w:pPr>
      <w:r w:rsidRPr="00EC64C3">
        <w:rPr>
          <w:rFonts w:cs="Times New Roman"/>
          <w:szCs w:val="24"/>
          <w:shd w:val="clear" w:color="auto" w:fill="FFFFFF"/>
        </w:rPr>
        <w:t>Nouchi, R., Taki, Y., Takeuchi, H., Hashizume, H., Akitsuki, Y., Shigemune, Y., Sekiguchi</w:t>
      </w:r>
      <w:r w:rsidRPr="00EC64C3">
        <w:rPr>
          <w:rFonts w:cs="Times New Roman"/>
          <w:color w:val="222222"/>
          <w:szCs w:val="24"/>
          <w:shd w:val="clear" w:color="auto" w:fill="FFFFFF"/>
        </w:rPr>
        <w:t>, A., Kotozaki, Y., Tsukiura, T., Yomogida, Y., and Kawashima, R., 2012. Brain training game improves executive functions and processing speed in the elderly: a randomized controlled trial. </w:t>
      </w:r>
      <w:r w:rsidRPr="00EC64C3">
        <w:rPr>
          <w:rFonts w:cs="Times New Roman"/>
          <w:i/>
          <w:iCs/>
          <w:color w:val="222222"/>
          <w:szCs w:val="24"/>
          <w:shd w:val="clear" w:color="auto" w:fill="FFFFFF"/>
        </w:rPr>
        <w:t>PloS One</w:t>
      </w:r>
      <w:r w:rsidRPr="00EC64C3">
        <w:rPr>
          <w:rFonts w:cs="Times New Roman"/>
          <w:color w:val="222222"/>
          <w:szCs w:val="24"/>
          <w:shd w:val="clear" w:color="auto" w:fill="FFFFFF"/>
        </w:rPr>
        <w:t>, </w:t>
      </w:r>
      <w:r w:rsidRPr="00EC64C3">
        <w:rPr>
          <w:rFonts w:cs="Times New Roman"/>
          <w:iCs/>
          <w:color w:val="222222"/>
          <w:szCs w:val="24"/>
          <w:shd w:val="clear" w:color="auto" w:fill="FFFFFF"/>
        </w:rPr>
        <w:t>7</w:t>
      </w:r>
      <w:r w:rsidRPr="00EC64C3">
        <w:rPr>
          <w:rFonts w:cs="Times New Roman"/>
          <w:color w:val="222222"/>
          <w:szCs w:val="24"/>
          <w:shd w:val="clear" w:color="auto" w:fill="FFFFFF"/>
        </w:rPr>
        <w:t>(1).</w:t>
      </w:r>
    </w:p>
    <w:p w14:paraId="27EA7C56" w14:textId="77777777" w:rsidR="003B328E" w:rsidRPr="00EC64C3" w:rsidRDefault="003B328E" w:rsidP="003B328E">
      <w:pPr>
        <w:tabs>
          <w:tab w:val="left" w:pos="3720"/>
        </w:tabs>
        <w:ind w:left="540" w:hanging="540"/>
        <w:jc w:val="both"/>
        <w:rPr>
          <w:rFonts w:cs="Times New Roman"/>
          <w:szCs w:val="24"/>
        </w:rPr>
      </w:pPr>
      <w:r w:rsidRPr="00EC64C3">
        <w:rPr>
          <w:rFonts w:cs="Times New Roman"/>
          <w:szCs w:val="24"/>
        </w:rPr>
        <w:t xml:space="preserve">Oliveira, E., and Baldi, V., 2019. Perception of risk and precautionary behavior in cybersecurity: Hints for future research. </w:t>
      </w:r>
      <w:r w:rsidRPr="00EC64C3">
        <w:rPr>
          <w:rFonts w:cs="Times New Roman"/>
          <w:i/>
          <w:iCs/>
          <w:szCs w:val="24"/>
        </w:rPr>
        <w:t>Proceedings of the Digital Privacy and Security Conference 2019</w:t>
      </w:r>
      <w:r w:rsidRPr="00EC64C3">
        <w:rPr>
          <w:rFonts w:cs="Times New Roman"/>
          <w:szCs w:val="24"/>
        </w:rPr>
        <w:t>, 28-38.</w:t>
      </w:r>
    </w:p>
    <w:p w14:paraId="69B0A7F6" w14:textId="77777777" w:rsidR="003B328E" w:rsidRPr="00EC64C3" w:rsidRDefault="003B328E" w:rsidP="003B328E">
      <w:pPr>
        <w:tabs>
          <w:tab w:val="left" w:pos="3720"/>
        </w:tabs>
        <w:ind w:left="540" w:hanging="540"/>
        <w:jc w:val="both"/>
        <w:rPr>
          <w:rFonts w:cs="Times New Roman"/>
          <w:szCs w:val="24"/>
        </w:rPr>
      </w:pPr>
      <w:r w:rsidRPr="00EC64C3">
        <w:rPr>
          <w:rFonts w:cs="Times New Roman"/>
          <w:szCs w:val="24"/>
        </w:rPr>
        <w:t xml:space="preserve">Paillard-Borg, S., Wang, H., Winblad, B., and Fratiglioni, L., 2009. Pattern of participation in leisure activities among older people in relation to their health conditions and contextual factors: A survey in a Swedish urban area. </w:t>
      </w:r>
      <w:r w:rsidRPr="00EC64C3">
        <w:rPr>
          <w:rFonts w:cs="Times New Roman"/>
          <w:i/>
          <w:iCs/>
          <w:szCs w:val="24"/>
        </w:rPr>
        <w:t>Ageing and Society</w:t>
      </w:r>
      <w:r w:rsidRPr="00EC64C3">
        <w:rPr>
          <w:rFonts w:cs="Times New Roman"/>
          <w:iCs/>
          <w:szCs w:val="24"/>
        </w:rPr>
        <w:t>,</w:t>
      </w:r>
      <w:r w:rsidRPr="00EC64C3">
        <w:rPr>
          <w:rFonts w:cs="Times New Roman"/>
          <w:i/>
          <w:iCs/>
          <w:szCs w:val="24"/>
        </w:rPr>
        <w:t xml:space="preserve"> </w:t>
      </w:r>
      <w:r w:rsidRPr="00EC64C3">
        <w:rPr>
          <w:rFonts w:cs="Times New Roman"/>
          <w:iCs/>
          <w:szCs w:val="24"/>
        </w:rPr>
        <w:t>29</w:t>
      </w:r>
      <w:r w:rsidRPr="00EC64C3">
        <w:rPr>
          <w:rFonts w:cs="Times New Roman"/>
          <w:szCs w:val="24"/>
        </w:rPr>
        <w:t>(5), 803-821.</w:t>
      </w:r>
    </w:p>
    <w:p w14:paraId="39287577" w14:textId="77777777" w:rsidR="003B328E" w:rsidRPr="00EC64C3" w:rsidRDefault="003B328E" w:rsidP="003B328E">
      <w:pPr>
        <w:tabs>
          <w:tab w:val="left" w:pos="3720"/>
        </w:tabs>
        <w:ind w:left="540" w:hanging="540"/>
        <w:jc w:val="both"/>
        <w:rPr>
          <w:rFonts w:cs="Times New Roman"/>
          <w:szCs w:val="24"/>
          <w:shd w:val="clear" w:color="auto" w:fill="FFFFFF"/>
        </w:rPr>
      </w:pPr>
      <w:r w:rsidRPr="00EC64C3">
        <w:rPr>
          <w:rFonts w:cs="Times New Roman"/>
          <w:szCs w:val="24"/>
          <w:shd w:val="clear" w:color="auto" w:fill="FFFFFF"/>
        </w:rPr>
        <w:t>Panagiotopoulos, I., and Dimitrakopoulos, G., 2018. An empirical investigation on consumers’ intentions towards autonomous driving. </w:t>
      </w:r>
      <w:r w:rsidRPr="00EC64C3">
        <w:rPr>
          <w:rFonts w:cs="Times New Roman"/>
          <w:i/>
          <w:iCs/>
          <w:szCs w:val="24"/>
          <w:shd w:val="clear" w:color="auto" w:fill="FFFFFF"/>
        </w:rPr>
        <w:t>Transportation Research Part C</w:t>
      </w:r>
      <w:r w:rsidRPr="00EC64C3">
        <w:rPr>
          <w:rFonts w:cs="Times New Roman"/>
          <w:iCs/>
          <w:szCs w:val="24"/>
          <w:shd w:val="clear" w:color="auto" w:fill="FFFFFF"/>
        </w:rPr>
        <w:t>,</w:t>
      </w:r>
      <w:r w:rsidRPr="00EC64C3">
        <w:rPr>
          <w:rFonts w:cs="Times New Roman"/>
          <w:i/>
          <w:iCs/>
          <w:szCs w:val="24"/>
          <w:shd w:val="clear" w:color="auto" w:fill="FFFFFF"/>
        </w:rPr>
        <w:t xml:space="preserve"> </w:t>
      </w:r>
      <w:r w:rsidRPr="00EC64C3">
        <w:rPr>
          <w:rFonts w:cs="Times New Roman"/>
          <w:iCs/>
          <w:szCs w:val="24"/>
          <w:shd w:val="clear" w:color="auto" w:fill="FFFFFF"/>
        </w:rPr>
        <w:t>95</w:t>
      </w:r>
      <w:r w:rsidRPr="00EC64C3">
        <w:rPr>
          <w:rFonts w:cs="Times New Roman"/>
          <w:szCs w:val="24"/>
          <w:shd w:val="clear" w:color="auto" w:fill="FFFFFF"/>
        </w:rPr>
        <w:t>, 773-784.</w:t>
      </w:r>
    </w:p>
    <w:p w14:paraId="602F1BB0" w14:textId="77777777" w:rsidR="003B328E" w:rsidRPr="00EC64C3" w:rsidRDefault="003B328E" w:rsidP="003B328E">
      <w:pPr>
        <w:ind w:left="540" w:hanging="540"/>
        <w:jc w:val="both"/>
        <w:rPr>
          <w:rFonts w:cs="Times New Roman"/>
          <w:szCs w:val="24"/>
        </w:rPr>
      </w:pPr>
      <w:r w:rsidRPr="00EC64C3">
        <w:rPr>
          <w:rFonts w:cs="Times New Roman"/>
          <w:szCs w:val="24"/>
        </w:rPr>
        <w:t xml:space="preserve">Payre, W., Cestac, J. and Delhomme, P., 2014. Intention to use a fully automated car: Attitudes and a priori acceptability. </w:t>
      </w:r>
      <w:r w:rsidRPr="00EC64C3">
        <w:rPr>
          <w:rFonts w:cs="Times New Roman"/>
          <w:i/>
          <w:iCs/>
          <w:szCs w:val="24"/>
        </w:rPr>
        <w:t>Transportation Research Part F</w:t>
      </w:r>
      <w:r w:rsidRPr="00EC64C3">
        <w:rPr>
          <w:rFonts w:cs="Times New Roman"/>
          <w:szCs w:val="24"/>
        </w:rPr>
        <w:t xml:space="preserve">, </w:t>
      </w:r>
      <w:r w:rsidRPr="00EC64C3">
        <w:rPr>
          <w:rFonts w:cs="Times New Roman"/>
          <w:iCs/>
          <w:szCs w:val="24"/>
        </w:rPr>
        <w:t>27</w:t>
      </w:r>
      <w:r w:rsidRPr="00EC64C3">
        <w:rPr>
          <w:rFonts w:cs="Times New Roman"/>
          <w:szCs w:val="24"/>
        </w:rPr>
        <w:t>, 252-263.</w:t>
      </w:r>
    </w:p>
    <w:p w14:paraId="0A461764" w14:textId="77777777" w:rsidR="003B328E" w:rsidRPr="00EC64C3" w:rsidRDefault="003B328E" w:rsidP="003B328E">
      <w:pPr>
        <w:ind w:left="540" w:hanging="540"/>
        <w:jc w:val="both"/>
        <w:rPr>
          <w:rFonts w:cs="Times New Roman"/>
          <w:szCs w:val="24"/>
        </w:rPr>
      </w:pPr>
      <w:r w:rsidRPr="00EC64C3">
        <w:rPr>
          <w:rFonts w:cs="Times New Roman"/>
          <w:color w:val="222222"/>
          <w:szCs w:val="24"/>
          <w:shd w:val="clear" w:color="auto" w:fill="FFFFFF"/>
        </w:rPr>
        <w:t>Pearce, C., 2008. The truth about baby boomer gamers: A study of over-forty computer game players. </w:t>
      </w:r>
      <w:r w:rsidRPr="00EC64C3">
        <w:rPr>
          <w:rFonts w:cs="Times New Roman"/>
          <w:i/>
          <w:iCs/>
          <w:color w:val="222222"/>
          <w:szCs w:val="24"/>
          <w:shd w:val="clear" w:color="auto" w:fill="FFFFFF"/>
        </w:rPr>
        <w:t>Games and Culture</w:t>
      </w:r>
      <w:r w:rsidRPr="00EC64C3">
        <w:rPr>
          <w:rFonts w:cs="Times New Roman"/>
          <w:color w:val="222222"/>
          <w:szCs w:val="24"/>
          <w:shd w:val="clear" w:color="auto" w:fill="FFFFFF"/>
        </w:rPr>
        <w:t>, </w:t>
      </w:r>
      <w:r w:rsidRPr="00EC64C3">
        <w:rPr>
          <w:rFonts w:cs="Times New Roman"/>
          <w:iCs/>
          <w:color w:val="222222"/>
          <w:szCs w:val="24"/>
          <w:shd w:val="clear" w:color="auto" w:fill="FFFFFF"/>
        </w:rPr>
        <w:t>3</w:t>
      </w:r>
      <w:r w:rsidRPr="00EC64C3">
        <w:rPr>
          <w:rFonts w:cs="Times New Roman"/>
          <w:color w:val="222222"/>
          <w:szCs w:val="24"/>
          <w:shd w:val="clear" w:color="auto" w:fill="FFFFFF"/>
        </w:rPr>
        <w:t>(2), 142-174.</w:t>
      </w:r>
    </w:p>
    <w:p w14:paraId="3DFC12BF" w14:textId="77777777" w:rsidR="003B328E" w:rsidRPr="00EC64C3" w:rsidRDefault="003B328E" w:rsidP="003B328E">
      <w:pPr>
        <w:tabs>
          <w:tab w:val="left" w:pos="3720"/>
        </w:tabs>
        <w:ind w:left="540" w:hanging="540"/>
        <w:jc w:val="both"/>
        <w:rPr>
          <w:rFonts w:cs="Times New Roman"/>
          <w:color w:val="222222"/>
          <w:szCs w:val="24"/>
          <w:shd w:val="clear" w:color="auto" w:fill="FFFFFF"/>
        </w:rPr>
      </w:pPr>
      <w:r w:rsidRPr="00EC64C3">
        <w:rPr>
          <w:rFonts w:cs="Times New Roman"/>
          <w:color w:val="222222"/>
          <w:szCs w:val="24"/>
          <w:shd w:val="clear" w:color="auto" w:fill="FFFFFF"/>
        </w:rPr>
        <w:t>Piao, J., McDonald, M., Hounsell, N., Graindorge, M., Graindorge, T., and Malhene, N., 2016. Public views towards implementation of automated vehicles in urban areas. </w:t>
      </w:r>
      <w:r w:rsidRPr="00EC64C3">
        <w:rPr>
          <w:rFonts w:cs="Times New Roman"/>
          <w:i/>
          <w:iCs/>
          <w:color w:val="222222"/>
          <w:szCs w:val="24"/>
          <w:shd w:val="clear" w:color="auto" w:fill="FFFFFF"/>
        </w:rPr>
        <w:t>Transportation Research Procedia</w:t>
      </w:r>
      <w:r w:rsidRPr="00EC64C3">
        <w:rPr>
          <w:rFonts w:cs="Times New Roman"/>
          <w:color w:val="222222"/>
          <w:szCs w:val="24"/>
          <w:shd w:val="clear" w:color="auto" w:fill="FFFFFF"/>
        </w:rPr>
        <w:t>, </w:t>
      </w:r>
      <w:r w:rsidRPr="00EC64C3">
        <w:rPr>
          <w:rFonts w:cs="Times New Roman"/>
          <w:iCs/>
          <w:color w:val="222222"/>
          <w:szCs w:val="24"/>
          <w:shd w:val="clear" w:color="auto" w:fill="FFFFFF"/>
        </w:rPr>
        <w:t>14</w:t>
      </w:r>
      <w:r w:rsidRPr="00EC64C3">
        <w:rPr>
          <w:rFonts w:cs="Times New Roman"/>
          <w:color w:val="222222"/>
          <w:szCs w:val="24"/>
          <w:shd w:val="clear" w:color="auto" w:fill="FFFFFF"/>
        </w:rPr>
        <w:t>, 2168-2177.</w:t>
      </w:r>
    </w:p>
    <w:p w14:paraId="0A6804CE" w14:textId="77777777" w:rsidR="003B328E" w:rsidRPr="00EC64C3" w:rsidRDefault="003B328E" w:rsidP="003B328E">
      <w:pPr>
        <w:tabs>
          <w:tab w:val="left" w:pos="3720"/>
        </w:tabs>
        <w:ind w:left="540" w:hanging="540"/>
        <w:jc w:val="both"/>
        <w:rPr>
          <w:rFonts w:cs="Times New Roman"/>
          <w:color w:val="222222"/>
          <w:szCs w:val="24"/>
          <w:shd w:val="clear" w:color="auto" w:fill="FFFFFF"/>
        </w:rPr>
      </w:pPr>
      <w:r w:rsidRPr="00EC64C3">
        <w:rPr>
          <w:rFonts w:cs="Times New Roman"/>
          <w:color w:val="222222"/>
          <w:szCs w:val="24"/>
          <w:shd w:val="clear" w:color="auto" w:fill="FFFFFF"/>
        </w:rPr>
        <w:t>Rahman, M. M., Lesch, M. F., Horrey, W. J., and Strawderman, L., 2017. Assessing the utility of TAM, TPB, and UTAUT for advanced driver assistance systems. </w:t>
      </w:r>
      <w:r w:rsidRPr="00EC64C3">
        <w:rPr>
          <w:rFonts w:cs="Times New Roman"/>
          <w:i/>
          <w:iCs/>
          <w:color w:val="222222"/>
          <w:szCs w:val="24"/>
          <w:shd w:val="clear" w:color="auto" w:fill="FFFFFF"/>
        </w:rPr>
        <w:t>Accident Analysis &amp; Prevention</w:t>
      </w:r>
      <w:r w:rsidRPr="00EC64C3">
        <w:rPr>
          <w:rFonts w:cs="Times New Roman"/>
          <w:color w:val="222222"/>
          <w:szCs w:val="24"/>
          <w:shd w:val="clear" w:color="auto" w:fill="FFFFFF"/>
        </w:rPr>
        <w:t>, </w:t>
      </w:r>
      <w:r w:rsidRPr="00EC64C3">
        <w:rPr>
          <w:rFonts w:cs="Times New Roman"/>
          <w:iCs/>
          <w:color w:val="222222"/>
          <w:szCs w:val="24"/>
          <w:shd w:val="clear" w:color="auto" w:fill="FFFFFF"/>
        </w:rPr>
        <w:t>108</w:t>
      </w:r>
      <w:r w:rsidRPr="00EC64C3">
        <w:rPr>
          <w:rFonts w:cs="Times New Roman"/>
          <w:color w:val="222222"/>
          <w:szCs w:val="24"/>
          <w:shd w:val="clear" w:color="auto" w:fill="FFFFFF"/>
        </w:rPr>
        <w:t>, 361-373.</w:t>
      </w:r>
    </w:p>
    <w:p w14:paraId="538CF707" w14:textId="77777777" w:rsidR="003B328E" w:rsidRPr="003171A4" w:rsidRDefault="003B328E" w:rsidP="003B328E">
      <w:pPr>
        <w:ind w:left="540" w:hanging="540"/>
        <w:jc w:val="both"/>
        <w:rPr>
          <w:rFonts w:cs="Times New Roman"/>
          <w:szCs w:val="24"/>
          <w:shd w:val="clear" w:color="auto" w:fill="FFFFFF"/>
        </w:rPr>
      </w:pPr>
      <w:r w:rsidRPr="003171A4">
        <w:rPr>
          <w:rFonts w:cs="Times New Roman"/>
          <w:szCs w:val="24"/>
          <w:shd w:val="clear" w:color="auto" w:fill="FFFFFF"/>
        </w:rPr>
        <w:t>Rasouli, A., and Tsotsos, J. K., 2020. Autonomous vehicles that interact with pedestrians: A survey of theory and practice. </w:t>
      </w:r>
      <w:r w:rsidRPr="003171A4">
        <w:rPr>
          <w:rFonts w:cs="Times New Roman"/>
          <w:i/>
          <w:iCs/>
          <w:szCs w:val="24"/>
          <w:shd w:val="clear" w:color="auto" w:fill="FFFFFF"/>
        </w:rPr>
        <w:t>IEEE Transactions on Intelligent Transportation Systems</w:t>
      </w:r>
      <w:r w:rsidRPr="003171A4">
        <w:rPr>
          <w:rFonts w:cs="Times New Roman"/>
          <w:szCs w:val="24"/>
          <w:shd w:val="clear" w:color="auto" w:fill="FFFFFF"/>
        </w:rPr>
        <w:t>, </w:t>
      </w:r>
      <w:r w:rsidRPr="003171A4">
        <w:rPr>
          <w:rFonts w:cs="Times New Roman"/>
          <w:iCs/>
          <w:szCs w:val="24"/>
          <w:shd w:val="clear" w:color="auto" w:fill="FFFFFF"/>
        </w:rPr>
        <w:t>21(3)</w:t>
      </w:r>
      <w:r w:rsidRPr="003171A4">
        <w:rPr>
          <w:rFonts w:cs="Times New Roman"/>
          <w:szCs w:val="24"/>
          <w:shd w:val="clear" w:color="auto" w:fill="FFFFFF"/>
        </w:rPr>
        <w:t>, 900-918.</w:t>
      </w:r>
    </w:p>
    <w:p w14:paraId="61ED971D" w14:textId="77777777" w:rsidR="003B328E" w:rsidRPr="00EC64C3" w:rsidRDefault="003B328E" w:rsidP="003B328E">
      <w:pPr>
        <w:tabs>
          <w:tab w:val="left" w:pos="3720"/>
        </w:tabs>
        <w:ind w:left="540" w:hanging="540"/>
        <w:jc w:val="both"/>
        <w:rPr>
          <w:rFonts w:cs="Times New Roman"/>
          <w:color w:val="222222"/>
          <w:szCs w:val="24"/>
          <w:shd w:val="clear" w:color="auto" w:fill="FFFFFF"/>
        </w:rPr>
      </w:pPr>
      <w:r w:rsidRPr="00EC64C3">
        <w:rPr>
          <w:rFonts w:cs="Times New Roman"/>
          <w:color w:val="222222"/>
          <w:szCs w:val="24"/>
          <w:shd w:val="clear" w:color="auto" w:fill="FFFFFF"/>
        </w:rPr>
        <w:lastRenderedPageBreak/>
        <w:t>Rogers, W. A., and Mitzner, T. L., 2017. Envisioning the future for older adults: Autonomy, health, well-being, and social connectedness with technology support. </w:t>
      </w:r>
      <w:r w:rsidRPr="00EC64C3">
        <w:rPr>
          <w:rFonts w:cs="Times New Roman"/>
          <w:i/>
          <w:iCs/>
          <w:color w:val="222222"/>
          <w:szCs w:val="24"/>
          <w:shd w:val="clear" w:color="auto" w:fill="FFFFFF"/>
        </w:rPr>
        <w:t>Futures</w:t>
      </w:r>
      <w:r w:rsidRPr="00EC64C3">
        <w:rPr>
          <w:rFonts w:cs="Times New Roman"/>
          <w:color w:val="222222"/>
          <w:szCs w:val="24"/>
          <w:shd w:val="clear" w:color="auto" w:fill="FFFFFF"/>
        </w:rPr>
        <w:t>, </w:t>
      </w:r>
      <w:r w:rsidRPr="00EC64C3">
        <w:rPr>
          <w:rFonts w:cs="Times New Roman"/>
          <w:iCs/>
          <w:color w:val="222222"/>
          <w:szCs w:val="24"/>
          <w:shd w:val="clear" w:color="auto" w:fill="FFFFFF"/>
        </w:rPr>
        <w:t>87</w:t>
      </w:r>
      <w:r w:rsidRPr="00EC64C3">
        <w:rPr>
          <w:rFonts w:cs="Times New Roman"/>
          <w:color w:val="222222"/>
          <w:szCs w:val="24"/>
          <w:shd w:val="clear" w:color="auto" w:fill="FFFFFF"/>
        </w:rPr>
        <w:t>, 133-139.</w:t>
      </w:r>
    </w:p>
    <w:p w14:paraId="72CB2FFD" w14:textId="77777777" w:rsidR="003B328E" w:rsidRPr="00EC64C3" w:rsidRDefault="003B328E" w:rsidP="003B328E">
      <w:pPr>
        <w:tabs>
          <w:tab w:val="left" w:pos="3720"/>
        </w:tabs>
        <w:ind w:left="540" w:hanging="540"/>
        <w:jc w:val="both"/>
        <w:rPr>
          <w:rFonts w:cs="Times New Roman"/>
          <w:szCs w:val="24"/>
        </w:rPr>
      </w:pPr>
      <w:r w:rsidRPr="00EC64C3">
        <w:rPr>
          <w:rFonts w:cs="Times New Roman"/>
          <w:szCs w:val="24"/>
        </w:rPr>
        <w:t xml:space="preserve">Ryder, P., 2019. A new sound; A new sensation: A cultural and literary reconsideration of the motorcar in modernity. </w:t>
      </w:r>
      <w:r w:rsidRPr="00EC64C3">
        <w:rPr>
          <w:rFonts w:cs="Times New Roman"/>
          <w:i/>
          <w:iCs/>
          <w:szCs w:val="24"/>
        </w:rPr>
        <w:t>Southern Semiotic Review</w:t>
      </w:r>
      <w:r w:rsidRPr="00EC64C3">
        <w:rPr>
          <w:rFonts w:cs="Times New Roman"/>
          <w:iCs/>
          <w:szCs w:val="24"/>
        </w:rPr>
        <w:t>, 11.</w:t>
      </w:r>
    </w:p>
    <w:p w14:paraId="77FCF1CC" w14:textId="77777777" w:rsidR="003B328E" w:rsidRPr="00EC64C3" w:rsidRDefault="003B328E" w:rsidP="003B328E">
      <w:pPr>
        <w:tabs>
          <w:tab w:val="left" w:pos="3720"/>
        </w:tabs>
        <w:ind w:left="540" w:hanging="540"/>
        <w:jc w:val="both"/>
        <w:rPr>
          <w:rFonts w:cs="Times New Roman"/>
          <w:szCs w:val="24"/>
        </w:rPr>
      </w:pPr>
      <w:r w:rsidRPr="00EC64C3">
        <w:rPr>
          <w:rFonts w:cs="Times New Roman"/>
          <w:szCs w:val="24"/>
        </w:rPr>
        <w:t xml:space="preserve">Schmid, B., and Axhausen, K. W., 2019. In-store or online shopping of search and experience goods: A hybrid choice approach. </w:t>
      </w:r>
      <w:r w:rsidRPr="00EC64C3">
        <w:rPr>
          <w:rFonts w:cs="Times New Roman"/>
          <w:i/>
          <w:iCs/>
          <w:szCs w:val="24"/>
        </w:rPr>
        <w:t>Journal of Choice Modelling</w:t>
      </w:r>
      <w:r w:rsidRPr="00EC64C3">
        <w:rPr>
          <w:rFonts w:cs="Times New Roman"/>
          <w:iCs/>
          <w:szCs w:val="24"/>
        </w:rPr>
        <w:t>,</w:t>
      </w:r>
      <w:r w:rsidRPr="00EC64C3">
        <w:rPr>
          <w:rFonts w:cs="Times New Roman"/>
          <w:i/>
          <w:iCs/>
          <w:szCs w:val="24"/>
        </w:rPr>
        <w:t xml:space="preserve"> </w:t>
      </w:r>
      <w:r w:rsidRPr="00EC64C3">
        <w:rPr>
          <w:rFonts w:cs="Times New Roman"/>
          <w:iCs/>
          <w:szCs w:val="24"/>
        </w:rPr>
        <w:t>31</w:t>
      </w:r>
      <w:r w:rsidRPr="00EC64C3">
        <w:rPr>
          <w:rFonts w:cs="Times New Roman"/>
          <w:szCs w:val="24"/>
        </w:rPr>
        <w:t>, 156-180.</w:t>
      </w:r>
    </w:p>
    <w:p w14:paraId="3DD506BC" w14:textId="77777777" w:rsidR="003B328E" w:rsidRPr="00EC64C3" w:rsidRDefault="003B328E" w:rsidP="003B328E">
      <w:pPr>
        <w:ind w:left="540" w:hanging="540"/>
        <w:jc w:val="both"/>
        <w:rPr>
          <w:rFonts w:cs="Times New Roman"/>
          <w:szCs w:val="24"/>
          <w:shd w:val="clear" w:color="auto" w:fill="FFFFFF"/>
        </w:rPr>
      </w:pPr>
      <w:r w:rsidRPr="00EC64C3">
        <w:rPr>
          <w:rFonts w:cs="Times New Roman"/>
          <w:szCs w:val="24"/>
          <w:shd w:val="clear" w:color="auto" w:fill="FFFFFF"/>
        </w:rPr>
        <w:t xml:space="preserve">Schoettle, B., and Sivak, M., 2014. Public opinion about self-driving vehicles in China, India, Japan, The U.S., The U.K., and Australia. Report No. </w:t>
      </w:r>
      <w:r w:rsidRPr="00EC64C3">
        <w:t>UMTRI-2014-30</w:t>
      </w:r>
      <w:r w:rsidRPr="00EC64C3">
        <w:rPr>
          <w:rFonts w:cs="Times New Roman"/>
          <w:szCs w:val="24"/>
        </w:rPr>
        <w:t xml:space="preserve">, </w:t>
      </w:r>
      <w:r w:rsidRPr="00EC64C3">
        <w:t>Transportation Research Institute</w:t>
      </w:r>
      <w:r w:rsidRPr="00EC64C3">
        <w:rPr>
          <w:rFonts w:cs="Times New Roman"/>
          <w:szCs w:val="24"/>
        </w:rPr>
        <w:t xml:space="preserve">, The University of Michigan. </w:t>
      </w:r>
    </w:p>
    <w:p w14:paraId="30703C3B" w14:textId="77777777" w:rsidR="003B328E" w:rsidRPr="00EC64C3" w:rsidRDefault="003B328E" w:rsidP="003B328E">
      <w:pPr>
        <w:tabs>
          <w:tab w:val="left" w:pos="3720"/>
        </w:tabs>
        <w:ind w:left="540" w:hanging="540"/>
        <w:jc w:val="both"/>
        <w:rPr>
          <w:rFonts w:cs="Times New Roman"/>
          <w:color w:val="222222"/>
          <w:szCs w:val="24"/>
          <w:shd w:val="clear" w:color="auto" w:fill="FFFFFF"/>
        </w:rPr>
      </w:pPr>
      <w:r w:rsidRPr="00EC64C3">
        <w:rPr>
          <w:rFonts w:cs="Times New Roman"/>
          <w:color w:val="222222"/>
          <w:szCs w:val="24"/>
          <w:shd w:val="clear" w:color="auto" w:fill="FFFFFF"/>
        </w:rPr>
        <w:t>Schwartz, S. H., 1992. Universals in the content and structure of values: Theoretical advances and empirical tests in 20 countries. </w:t>
      </w:r>
      <w:r w:rsidRPr="00EC64C3">
        <w:rPr>
          <w:rFonts w:cs="Times New Roman"/>
          <w:i/>
          <w:iCs/>
          <w:color w:val="222222"/>
          <w:szCs w:val="24"/>
          <w:shd w:val="clear" w:color="auto" w:fill="FFFFFF"/>
        </w:rPr>
        <w:t>Advances in Experimental Social Psychology</w:t>
      </w:r>
      <w:r w:rsidRPr="00EC64C3">
        <w:rPr>
          <w:rFonts w:cs="Times New Roman"/>
          <w:color w:val="222222"/>
          <w:szCs w:val="24"/>
          <w:shd w:val="clear" w:color="auto" w:fill="FFFFFF"/>
        </w:rPr>
        <w:t>, </w:t>
      </w:r>
      <w:r w:rsidRPr="00EC64C3">
        <w:rPr>
          <w:rFonts w:cs="Times New Roman"/>
          <w:iCs/>
          <w:color w:val="222222"/>
          <w:szCs w:val="24"/>
          <w:shd w:val="clear" w:color="auto" w:fill="FFFFFF"/>
        </w:rPr>
        <w:t>25</w:t>
      </w:r>
      <w:r w:rsidRPr="00EC64C3">
        <w:rPr>
          <w:rFonts w:cs="Times New Roman"/>
          <w:color w:val="222222"/>
          <w:szCs w:val="24"/>
          <w:shd w:val="clear" w:color="auto" w:fill="FFFFFF"/>
        </w:rPr>
        <w:t>(1), 1-65.</w:t>
      </w:r>
    </w:p>
    <w:p w14:paraId="5CC3666B" w14:textId="77777777" w:rsidR="003B328E" w:rsidRPr="00EC64C3" w:rsidRDefault="003B328E" w:rsidP="003B328E">
      <w:pPr>
        <w:tabs>
          <w:tab w:val="left" w:pos="3720"/>
        </w:tabs>
        <w:ind w:left="540" w:hanging="540"/>
        <w:jc w:val="both"/>
        <w:rPr>
          <w:rFonts w:cs="Times New Roman"/>
          <w:color w:val="222222"/>
          <w:szCs w:val="24"/>
          <w:shd w:val="clear" w:color="auto" w:fill="FFFFFF"/>
        </w:rPr>
      </w:pPr>
      <w:r w:rsidRPr="00EC64C3">
        <w:rPr>
          <w:rFonts w:cs="Times New Roman"/>
          <w:color w:val="222222"/>
          <w:szCs w:val="24"/>
          <w:shd w:val="clear" w:color="auto" w:fill="FFFFFF"/>
        </w:rPr>
        <w:t>Schwartz, S. H., and Rubel, T., 2005. Sex differences in value priorities: Cross-cultural and multimethod studies. </w:t>
      </w:r>
      <w:r w:rsidRPr="00EC64C3">
        <w:rPr>
          <w:rFonts w:cs="Times New Roman"/>
          <w:i/>
          <w:iCs/>
          <w:color w:val="222222"/>
          <w:szCs w:val="24"/>
          <w:shd w:val="clear" w:color="auto" w:fill="FFFFFF"/>
        </w:rPr>
        <w:t>Journal of Personality and Social Psychology</w:t>
      </w:r>
      <w:r w:rsidRPr="00EC64C3">
        <w:rPr>
          <w:rFonts w:cs="Times New Roman"/>
          <w:color w:val="222222"/>
          <w:szCs w:val="24"/>
          <w:shd w:val="clear" w:color="auto" w:fill="FFFFFF"/>
        </w:rPr>
        <w:t>, </w:t>
      </w:r>
      <w:r w:rsidRPr="00EC64C3">
        <w:rPr>
          <w:rFonts w:cs="Times New Roman"/>
          <w:iCs/>
          <w:color w:val="222222"/>
          <w:szCs w:val="24"/>
          <w:shd w:val="clear" w:color="auto" w:fill="FFFFFF"/>
        </w:rPr>
        <w:t>89</w:t>
      </w:r>
      <w:r w:rsidRPr="00EC64C3">
        <w:rPr>
          <w:rFonts w:cs="Times New Roman"/>
          <w:color w:val="222222"/>
          <w:szCs w:val="24"/>
          <w:shd w:val="clear" w:color="auto" w:fill="FFFFFF"/>
        </w:rPr>
        <w:t>(6), 1010.</w:t>
      </w:r>
    </w:p>
    <w:p w14:paraId="4F3CFF8C" w14:textId="77777777" w:rsidR="003B328E" w:rsidRPr="00EC64C3" w:rsidRDefault="003B328E" w:rsidP="003B328E">
      <w:pPr>
        <w:ind w:left="540" w:hanging="540"/>
        <w:jc w:val="both"/>
        <w:rPr>
          <w:rFonts w:cs="Times New Roman"/>
          <w:color w:val="222222"/>
          <w:szCs w:val="24"/>
          <w:shd w:val="clear" w:color="auto" w:fill="FFFFFF"/>
        </w:rPr>
      </w:pPr>
      <w:r w:rsidRPr="00EC64C3">
        <w:rPr>
          <w:rFonts w:cs="Times New Roman"/>
          <w:color w:val="222222"/>
          <w:szCs w:val="24"/>
          <w:shd w:val="clear" w:color="auto" w:fill="FFFFFF"/>
        </w:rPr>
        <w:t>Shin, J., Bhat, C. R., You, D., Garikapati, V. M., and Pendyala, R. M., 2015. Consumer preferences and willingness to pay for advanced vehicle technology options and fuel types. </w:t>
      </w:r>
      <w:r w:rsidRPr="00EC64C3">
        <w:rPr>
          <w:rFonts w:cs="Times New Roman"/>
          <w:i/>
          <w:iCs/>
          <w:color w:val="222222"/>
          <w:szCs w:val="24"/>
          <w:shd w:val="clear" w:color="auto" w:fill="FFFFFF"/>
        </w:rPr>
        <w:t>Transportation Research Part C</w:t>
      </w:r>
      <w:r w:rsidRPr="00EC64C3">
        <w:rPr>
          <w:rFonts w:cs="Times New Roman"/>
          <w:color w:val="222222"/>
          <w:szCs w:val="24"/>
          <w:shd w:val="clear" w:color="auto" w:fill="FFFFFF"/>
        </w:rPr>
        <w:t>, </w:t>
      </w:r>
      <w:r w:rsidRPr="00EC64C3">
        <w:rPr>
          <w:rFonts w:cs="Times New Roman"/>
          <w:iCs/>
          <w:color w:val="222222"/>
          <w:szCs w:val="24"/>
          <w:shd w:val="clear" w:color="auto" w:fill="FFFFFF"/>
        </w:rPr>
        <w:t>60</w:t>
      </w:r>
      <w:r w:rsidRPr="00EC64C3">
        <w:rPr>
          <w:rFonts w:cs="Times New Roman"/>
          <w:color w:val="222222"/>
          <w:szCs w:val="24"/>
          <w:shd w:val="clear" w:color="auto" w:fill="FFFFFF"/>
        </w:rPr>
        <w:t>, 511-524.</w:t>
      </w:r>
    </w:p>
    <w:p w14:paraId="72246E2E" w14:textId="77777777" w:rsidR="003B328E" w:rsidRPr="003171A4" w:rsidRDefault="003B328E" w:rsidP="003B328E">
      <w:pPr>
        <w:keepLines/>
        <w:ind w:left="547" w:hanging="547"/>
        <w:jc w:val="both"/>
        <w:rPr>
          <w:rFonts w:cs="Times New Roman"/>
          <w:szCs w:val="24"/>
          <w:shd w:val="clear" w:color="auto" w:fill="FFFFFF"/>
        </w:rPr>
      </w:pPr>
      <w:r w:rsidRPr="003171A4">
        <w:rPr>
          <w:rFonts w:cs="Times New Roman"/>
          <w:szCs w:val="24"/>
          <w:shd w:val="clear" w:color="auto" w:fill="FFFFFF"/>
        </w:rPr>
        <w:t xml:space="preserve">Silberg, G., Manassa, M., Everhart, K., Subramanian, D., Corley, M., Fraser, H., and Sinha, V., 2013. Self-driving cars: Are we ready? KPMG, New York, </w:t>
      </w:r>
      <w:hyperlink r:id="rId37" w:history="1">
        <w:r w:rsidRPr="003171A4">
          <w:rPr>
            <w:rStyle w:val="Hyperlink"/>
            <w:szCs w:val="24"/>
          </w:rPr>
          <w:t>https://assets.kpmg/content/dam/kpmg/pdf/2013/10/self-driving-cars-are-we-ready.pdf</w:t>
        </w:r>
      </w:hyperlink>
      <w:r w:rsidRPr="003171A4">
        <w:rPr>
          <w:rFonts w:cs="Times New Roman"/>
          <w:szCs w:val="24"/>
          <w:shd w:val="clear" w:color="auto" w:fill="FFFFFF"/>
        </w:rPr>
        <w:t xml:space="preserve">. Accessed June 16, 2020. </w:t>
      </w:r>
    </w:p>
    <w:p w14:paraId="7AA3D01F" w14:textId="77777777" w:rsidR="003B328E" w:rsidRPr="003171A4" w:rsidRDefault="003B328E" w:rsidP="003B328E">
      <w:pPr>
        <w:ind w:left="540" w:hanging="540"/>
        <w:jc w:val="both"/>
        <w:rPr>
          <w:rFonts w:cs="Times New Roman"/>
          <w:szCs w:val="24"/>
          <w:shd w:val="clear" w:color="auto" w:fill="FFFFFF"/>
        </w:rPr>
      </w:pPr>
      <w:r w:rsidRPr="003171A4">
        <w:rPr>
          <w:rFonts w:cs="Times New Roman"/>
          <w:szCs w:val="24"/>
          <w:shd w:val="clear" w:color="auto" w:fill="FFFFFF"/>
        </w:rPr>
        <w:t xml:space="preserve">Simko, J. D., 2016. Increasing road infrastructure capacity through the use of autonomous vehicles. Master’s </w:t>
      </w:r>
      <w:r w:rsidRPr="003171A4">
        <w:rPr>
          <w:rFonts w:cs="Times New Roman"/>
          <w:iCs/>
          <w:szCs w:val="24"/>
          <w:shd w:val="clear" w:color="auto" w:fill="FFFFFF"/>
        </w:rPr>
        <w:t>Thesis,</w:t>
      </w:r>
      <w:r w:rsidRPr="003171A4">
        <w:rPr>
          <w:rFonts w:cs="Times New Roman"/>
          <w:szCs w:val="24"/>
          <w:shd w:val="clear" w:color="auto" w:fill="FFFFFF"/>
        </w:rPr>
        <w:t xml:space="preserve"> Naval Postgraduate School, Monterey, California. </w:t>
      </w:r>
    </w:p>
    <w:p w14:paraId="79742760" w14:textId="77777777" w:rsidR="003B328E" w:rsidRPr="003C44B3" w:rsidRDefault="003B328E" w:rsidP="003B328E">
      <w:pPr>
        <w:ind w:left="540" w:hanging="540"/>
        <w:jc w:val="both"/>
        <w:rPr>
          <w:rFonts w:cs="Times New Roman"/>
          <w:color w:val="222222"/>
          <w:szCs w:val="24"/>
          <w:shd w:val="clear" w:color="auto" w:fill="FFFFFF"/>
        </w:rPr>
      </w:pPr>
      <w:r w:rsidRPr="003C44B3">
        <w:rPr>
          <w:rFonts w:cs="Times New Roman"/>
          <w:color w:val="222222"/>
          <w:szCs w:val="24"/>
          <w:shd w:val="clear" w:color="auto" w:fill="FFFFFF"/>
        </w:rPr>
        <w:t>Skuladottir, H., and Halldorsdottir, S., 2008. Women in chronic pain: Sense of control and encounters with health professionals. </w:t>
      </w:r>
      <w:r w:rsidRPr="003C44B3">
        <w:rPr>
          <w:rFonts w:cs="Times New Roman"/>
          <w:i/>
          <w:iCs/>
          <w:color w:val="222222"/>
          <w:szCs w:val="24"/>
          <w:shd w:val="clear" w:color="auto" w:fill="FFFFFF"/>
        </w:rPr>
        <w:t>Qualitative Health Research</w:t>
      </w:r>
      <w:r w:rsidRPr="003C44B3">
        <w:rPr>
          <w:rFonts w:cs="Times New Roman"/>
          <w:color w:val="222222"/>
          <w:szCs w:val="24"/>
          <w:shd w:val="clear" w:color="auto" w:fill="FFFFFF"/>
        </w:rPr>
        <w:t>, </w:t>
      </w:r>
      <w:r w:rsidRPr="003C44B3">
        <w:rPr>
          <w:rFonts w:cs="Times New Roman"/>
          <w:iCs/>
          <w:color w:val="222222"/>
          <w:szCs w:val="24"/>
          <w:shd w:val="clear" w:color="auto" w:fill="FFFFFF"/>
        </w:rPr>
        <w:t>18</w:t>
      </w:r>
      <w:r w:rsidRPr="003C44B3">
        <w:rPr>
          <w:rFonts w:cs="Times New Roman"/>
          <w:color w:val="222222"/>
          <w:szCs w:val="24"/>
          <w:shd w:val="clear" w:color="auto" w:fill="FFFFFF"/>
        </w:rPr>
        <w:t>(7), 891-901.</w:t>
      </w:r>
    </w:p>
    <w:p w14:paraId="7817804A" w14:textId="77777777" w:rsidR="003B328E" w:rsidRPr="003171A4" w:rsidRDefault="003B328E" w:rsidP="003B328E">
      <w:pPr>
        <w:ind w:left="540" w:hanging="540"/>
        <w:jc w:val="both"/>
        <w:rPr>
          <w:rFonts w:cs="Times New Roman"/>
          <w:szCs w:val="24"/>
        </w:rPr>
      </w:pPr>
      <w:r w:rsidRPr="003171A4">
        <w:rPr>
          <w:rFonts w:cs="Times New Roman"/>
          <w:szCs w:val="24"/>
        </w:rPr>
        <w:t xml:space="preserve">Society of Automotive Engineers (SAE), 2018. SAE International Releases Updated Visual Chart for Its “Levels of Driving Automation” Standard for Self-Driving Vehicles. </w:t>
      </w:r>
      <w:hyperlink r:id="rId38" w:history="1">
        <w:r w:rsidRPr="003171A4">
          <w:rPr>
            <w:rStyle w:val="Hyperlink"/>
            <w:rFonts w:cs="Times New Roman"/>
            <w:szCs w:val="24"/>
          </w:rPr>
          <w:t>https://www.sae.org/news/press-room/2018/12/sae-international-releases-updated-visual-chart-for-its-%E2%80%9Clevels-of-driving-automation%E2%80%9D-standard-for-self-driving-vehicles</w:t>
        </w:r>
      </w:hyperlink>
      <w:r w:rsidRPr="003171A4">
        <w:rPr>
          <w:rFonts w:cs="Times New Roman"/>
          <w:szCs w:val="24"/>
        </w:rPr>
        <w:t>. Accessed October 5, 2020.</w:t>
      </w:r>
    </w:p>
    <w:p w14:paraId="38A17ECF" w14:textId="77777777" w:rsidR="003B328E" w:rsidRPr="003C44B3" w:rsidRDefault="003B328E" w:rsidP="003B328E">
      <w:pPr>
        <w:tabs>
          <w:tab w:val="left" w:pos="3720"/>
        </w:tabs>
        <w:ind w:left="540" w:hanging="540"/>
        <w:jc w:val="both"/>
        <w:rPr>
          <w:rFonts w:cs="Times New Roman"/>
          <w:color w:val="222222"/>
          <w:szCs w:val="24"/>
          <w:shd w:val="clear" w:color="auto" w:fill="FFFFFF"/>
        </w:rPr>
      </w:pPr>
      <w:r w:rsidRPr="003C44B3">
        <w:rPr>
          <w:rFonts w:cs="Times New Roman"/>
          <w:color w:val="222222"/>
          <w:szCs w:val="24"/>
          <w:shd w:val="clear" w:color="auto" w:fill="FFFFFF"/>
        </w:rPr>
        <w:t xml:space="preserve">Solon, G., Haider, S. J., and Wooldridge, J. M., 2015. What are we weighting for? </w:t>
      </w:r>
      <w:r w:rsidRPr="003C44B3">
        <w:rPr>
          <w:rFonts w:cs="Times New Roman"/>
          <w:i/>
          <w:iCs/>
          <w:color w:val="222222"/>
          <w:szCs w:val="24"/>
          <w:shd w:val="clear" w:color="auto" w:fill="FFFFFF"/>
        </w:rPr>
        <w:t>Journal of Human Resources</w:t>
      </w:r>
      <w:r w:rsidRPr="003C44B3">
        <w:rPr>
          <w:rFonts w:cs="Times New Roman"/>
          <w:color w:val="222222"/>
          <w:szCs w:val="24"/>
          <w:shd w:val="clear" w:color="auto" w:fill="FFFFFF"/>
        </w:rPr>
        <w:t>, </w:t>
      </w:r>
      <w:r w:rsidRPr="003C44B3">
        <w:rPr>
          <w:rFonts w:cs="Times New Roman"/>
          <w:iCs/>
          <w:color w:val="222222"/>
          <w:szCs w:val="24"/>
          <w:shd w:val="clear" w:color="auto" w:fill="FFFFFF"/>
        </w:rPr>
        <w:t>50</w:t>
      </w:r>
      <w:r w:rsidRPr="003C44B3">
        <w:rPr>
          <w:rFonts w:cs="Times New Roman"/>
          <w:color w:val="222222"/>
          <w:szCs w:val="24"/>
          <w:shd w:val="clear" w:color="auto" w:fill="FFFFFF"/>
        </w:rPr>
        <w:t>(2), 301-316.</w:t>
      </w:r>
    </w:p>
    <w:p w14:paraId="268AA2A4" w14:textId="77777777" w:rsidR="003B328E" w:rsidRPr="003171A4" w:rsidRDefault="003B328E" w:rsidP="003B328E">
      <w:pPr>
        <w:ind w:left="540" w:hanging="540"/>
        <w:jc w:val="both"/>
        <w:rPr>
          <w:rFonts w:cs="Times New Roman"/>
          <w:color w:val="222222"/>
          <w:szCs w:val="24"/>
          <w:shd w:val="clear" w:color="auto" w:fill="FFFFFF"/>
        </w:rPr>
      </w:pPr>
      <w:r w:rsidRPr="003171A4">
        <w:rPr>
          <w:rFonts w:cs="Times New Roman"/>
          <w:color w:val="222222"/>
          <w:szCs w:val="24"/>
          <w:shd w:val="clear" w:color="auto" w:fill="FFFFFF"/>
        </w:rPr>
        <w:t>Soteropoulos, A., Berger, M., and Ciari, F., 2019. Impacts of automated vehicles on travel behaviour and land use: An international review of modelling studies. </w:t>
      </w:r>
      <w:r w:rsidRPr="003171A4">
        <w:rPr>
          <w:rFonts w:cs="Times New Roman"/>
          <w:i/>
          <w:iCs/>
          <w:color w:val="222222"/>
          <w:szCs w:val="24"/>
          <w:shd w:val="clear" w:color="auto" w:fill="FFFFFF"/>
        </w:rPr>
        <w:t>Transport Reviews</w:t>
      </w:r>
      <w:r w:rsidRPr="003171A4">
        <w:rPr>
          <w:rFonts w:cs="Times New Roman"/>
          <w:iCs/>
          <w:color w:val="222222"/>
          <w:szCs w:val="24"/>
          <w:shd w:val="clear" w:color="auto" w:fill="FFFFFF"/>
        </w:rPr>
        <w:t>,</w:t>
      </w:r>
      <w:r w:rsidRPr="003171A4">
        <w:rPr>
          <w:rFonts w:cs="Times New Roman"/>
          <w:i/>
          <w:iCs/>
          <w:color w:val="222222"/>
          <w:szCs w:val="24"/>
          <w:shd w:val="clear" w:color="auto" w:fill="FFFFFF"/>
        </w:rPr>
        <w:t> </w:t>
      </w:r>
      <w:r w:rsidRPr="003171A4">
        <w:rPr>
          <w:rFonts w:cs="Times New Roman"/>
          <w:iCs/>
          <w:color w:val="222222"/>
          <w:szCs w:val="24"/>
          <w:shd w:val="clear" w:color="auto" w:fill="FFFFFF"/>
        </w:rPr>
        <w:t>39(1),</w:t>
      </w:r>
      <w:r w:rsidRPr="003171A4">
        <w:rPr>
          <w:rFonts w:cs="Times New Roman"/>
          <w:color w:val="222222"/>
          <w:szCs w:val="24"/>
          <w:shd w:val="clear" w:color="auto" w:fill="FFFFFF"/>
        </w:rPr>
        <w:t xml:space="preserve"> 29-49.</w:t>
      </w:r>
    </w:p>
    <w:p w14:paraId="2F8E4672" w14:textId="77777777" w:rsidR="003B328E" w:rsidRPr="003C44B3" w:rsidRDefault="003B328E" w:rsidP="003B328E">
      <w:pPr>
        <w:ind w:left="540" w:hanging="540"/>
        <w:jc w:val="both"/>
        <w:rPr>
          <w:rFonts w:cs="Times New Roman"/>
          <w:i/>
          <w:iCs/>
          <w:szCs w:val="24"/>
        </w:rPr>
      </w:pPr>
      <w:r w:rsidRPr="003C44B3">
        <w:rPr>
          <w:rFonts w:cs="Times New Roman"/>
          <w:szCs w:val="24"/>
        </w:rPr>
        <w:t xml:space="preserve">UCLA Labor Center, 2018. More than a gig: A survey of ride-hailing drivers in Los Angeles. </w:t>
      </w:r>
      <w:r w:rsidRPr="003C44B3">
        <w:rPr>
          <w:rFonts w:cs="Times New Roman"/>
          <w:i/>
          <w:iCs/>
          <w:szCs w:val="24"/>
        </w:rPr>
        <w:t xml:space="preserve">UCLA Institute for Research on Labor and Employment. </w:t>
      </w:r>
      <w:hyperlink r:id="rId39" w:history="1">
        <w:r w:rsidRPr="003C44B3">
          <w:rPr>
            <w:rStyle w:val="Hyperlink"/>
            <w:rFonts w:cs="Times New Roman"/>
            <w:szCs w:val="24"/>
          </w:rPr>
          <w:t>https://irle.ucla.edu/wp-content/uploads/2018/05/Final-Report.-UCLA-More-than-a-Gig.pdf</w:t>
        </w:r>
      </w:hyperlink>
      <w:r w:rsidRPr="003C44B3">
        <w:rPr>
          <w:rFonts w:cs="Times New Roman"/>
          <w:szCs w:val="24"/>
        </w:rPr>
        <w:t>. Accessed July 20, 2020.</w:t>
      </w:r>
    </w:p>
    <w:p w14:paraId="0031473A" w14:textId="77777777" w:rsidR="003B328E" w:rsidRPr="003C44B3" w:rsidRDefault="003B328E" w:rsidP="003B328E">
      <w:pPr>
        <w:tabs>
          <w:tab w:val="left" w:pos="3720"/>
        </w:tabs>
        <w:ind w:left="540" w:hanging="540"/>
        <w:jc w:val="both"/>
        <w:rPr>
          <w:rFonts w:cs="Times New Roman"/>
          <w:color w:val="333333"/>
          <w:szCs w:val="24"/>
          <w:shd w:val="clear" w:color="auto" w:fill="FFFFFF"/>
        </w:rPr>
      </w:pPr>
      <w:r w:rsidRPr="003C44B3">
        <w:rPr>
          <w:rFonts w:cs="Times New Roman"/>
          <w:szCs w:val="24"/>
          <w:shd w:val="clear" w:color="auto" w:fill="FFFFFF"/>
        </w:rPr>
        <w:t>U.S. Bureau of Labor Statistics, 2018. Consumer Expenditures - 2018</w:t>
      </w:r>
      <w:r w:rsidRPr="003C44B3">
        <w:rPr>
          <w:rFonts w:cs="Times New Roman"/>
          <w:color w:val="333333"/>
          <w:szCs w:val="24"/>
          <w:shd w:val="clear" w:color="auto" w:fill="FFFFFF"/>
        </w:rPr>
        <w:t xml:space="preserve">. U.S. Department of Labor.  </w:t>
      </w:r>
      <w:hyperlink r:id="rId40" w:history="1">
        <w:r w:rsidRPr="003C44B3">
          <w:rPr>
            <w:rStyle w:val="Hyperlink"/>
            <w:rFonts w:cs="Times New Roman"/>
            <w:szCs w:val="24"/>
          </w:rPr>
          <w:t>https://www.bls.gov/news.release/pdf/cesan.pdf</w:t>
        </w:r>
      </w:hyperlink>
      <w:r w:rsidRPr="003C44B3">
        <w:rPr>
          <w:rFonts w:cs="Times New Roman"/>
          <w:color w:val="333333"/>
          <w:szCs w:val="24"/>
          <w:shd w:val="clear" w:color="auto" w:fill="FFFFFF"/>
        </w:rPr>
        <w:t>. Accessed July 12, 2020.</w:t>
      </w:r>
    </w:p>
    <w:p w14:paraId="7D863E4E" w14:textId="77777777" w:rsidR="003B328E" w:rsidRPr="003C44B3" w:rsidRDefault="003B328E" w:rsidP="003B328E">
      <w:pPr>
        <w:tabs>
          <w:tab w:val="left" w:pos="3720"/>
        </w:tabs>
        <w:ind w:left="540" w:hanging="540"/>
        <w:jc w:val="both"/>
        <w:rPr>
          <w:rFonts w:cs="Times New Roman"/>
          <w:szCs w:val="24"/>
        </w:rPr>
      </w:pPr>
      <w:r w:rsidRPr="003C44B3">
        <w:rPr>
          <w:rFonts w:cs="Times New Roman"/>
          <w:szCs w:val="24"/>
        </w:rPr>
        <w:t xml:space="preserve">U.S. Census Bureau, 2018. American Community Survey 1-year estimates. </w:t>
      </w:r>
      <w:r w:rsidRPr="003C44B3">
        <w:rPr>
          <w:rFonts w:cs="Times New Roman"/>
          <w:i/>
          <w:iCs/>
          <w:szCs w:val="24"/>
        </w:rPr>
        <w:t>Census Reporter Profile page for Austin-Round Rock, TX Metro Area.</w:t>
      </w:r>
      <w:r w:rsidRPr="003C44B3">
        <w:rPr>
          <w:rFonts w:cs="Times New Roman"/>
          <w:szCs w:val="24"/>
        </w:rPr>
        <w:t xml:space="preserve"> </w:t>
      </w:r>
      <w:hyperlink r:id="rId41" w:history="1">
        <w:r w:rsidRPr="003C44B3">
          <w:rPr>
            <w:rStyle w:val="Hyperlink"/>
            <w:rFonts w:cs="Times New Roman"/>
            <w:szCs w:val="24"/>
          </w:rPr>
          <w:t>https://censusreporter.org/profiles/31000US12420-austin-round-rock-tx-metro-area/</w:t>
        </w:r>
      </w:hyperlink>
      <w:r w:rsidRPr="003C44B3">
        <w:rPr>
          <w:rFonts w:cs="Times New Roman"/>
          <w:szCs w:val="24"/>
        </w:rPr>
        <w:t>. Accessed June 20, 2020.</w:t>
      </w:r>
    </w:p>
    <w:p w14:paraId="2211260F" w14:textId="77777777" w:rsidR="003B328E" w:rsidRPr="003C44B3" w:rsidRDefault="003B328E" w:rsidP="003B328E">
      <w:pPr>
        <w:ind w:left="540" w:hanging="540"/>
        <w:jc w:val="both"/>
        <w:rPr>
          <w:rFonts w:cs="Times New Roman"/>
          <w:szCs w:val="24"/>
          <w:shd w:val="clear" w:color="auto" w:fill="FFFFFF"/>
        </w:rPr>
      </w:pPr>
      <w:r w:rsidRPr="003C44B3">
        <w:rPr>
          <w:rFonts w:cs="Times New Roman"/>
          <w:szCs w:val="24"/>
          <w:shd w:val="clear" w:color="auto" w:fill="FFFFFF"/>
        </w:rPr>
        <w:lastRenderedPageBreak/>
        <w:t xml:space="preserve">Vallet, M., 2013. Survey: Drivers ready to trust robot cars? </w:t>
      </w:r>
      <w:r w:rsidRPr="003C44B3">
        <w:rPr>
          <w:rFonts w:cs="Times New Roman"/>
          <w:i/>
          <w:iCs/>
          <w:color w:val="323232"/>
          <w:szCs w:val="24"/>
        </w:rPr>
        <w:t>Technical Report</w:t>
      </w:r>
      <w:r w:rsidRPr="003C44B3">
        <w:rPr>
          <w:rFonts w:cs="Times New Roman"/>
          <w:color w:val="323232"/>
          <w:szCs w:val="24"/>
        </w:rPr>
        <w:t xml:space="preserve"> for CarInsurance.com. </w:t>
      </w:r>
      <w:hyperlink r:id="rId42" w:history="1">
        <w:r w:rsidRPr="003C44B3">
          <w:rPr>
            <w:rStyle w:val="Hyperlink"/>
            <w:rFonts w:cs="Times New Roman"/>
            <w:szCs w:val="24"/>
            <w:shd w:val="clear" w:color="auto" w:fill="FFFFFF"/>
          </w:rPr>
          <w:t>http://www.carinsurance.com/Articles/autonomous-cars-ready.aspx</w:t>
        </w:r>
      </w:hyperlink>
      <w:r w:rsidRPr="003C44B3">
        <w:rPr>
          <w:rFonts w:cs="Times New Roman"/>
          <w:szCs w:val="24"/>
          <w:shd w:val="clear" w:color="auto" w:fill="FFFFFF"/>
        </w:rPr>
        <w:t>. Accessed July 13, 2020.</w:t>
      </w:r>
    </w:p>
    <w:p w14:paraId="06EDC8B9" w14:textId="77777777" w:rsidR="003B328E" w:rsidRPr="003C44B3" w:rsidRDefault="003B328E" w:rsidP="003B328E">
      <w:pPr>
        <w:tabs>
          <w:tab w:val="left" w:pos="3720"/>
        </w:tabs>
        <w:ind w:left="540" w:hanging="540"/>
        <w:jc w:val="both"/>
        <w:rPr>
          <w:rFonts w:cs="Times New Roman"/>
          <w:szCs w:val="24"/>
        </w:rPr>
      </w:pPr>
      <w:r w:rsidRPr="003C44B3">
        <w:rPr>
          <w:rFonts w:cs="Times New Roman"/>
          <w:color w:val="222222"/>
          <w:szCs w:val="24"/>
          <w:shd w:val="clear" w:color="auto" w:fill="FFFFFF"/>
        </w:rPr>
        <w:t>van Laar, E., Van Deursen, A. J., Van Dijk, J. A., and De Haan, J., 2017. The relation between 21st-century skills and digital skills: A systematic literature review. </w:t>
      </w:r>
      <w:r w:rsidRPr="003C44B3">
        <w:rPr>
          <w:rFonts w:cs="Times New Roman"/>
          <w:i/>
          <w:iCs/>
          <w:color w:val="222222"/>
          <w:szCs w:val="24"/>
          <w:shd w:val="clear" w:color="auto" w:fill="FFFFFF"/>
        </w:rPr>
        <w:t>Computers in Human Behavior</w:t>
      </w:r>
      <w:r w:rsidRPr="003C44B3">
        <w:rPr>
          <w:rFonts w:cs="Times New Roman"/>
          <w:color w:val="222222"/>
          <w:szCs w:val="24"/>
          <w:shd w:val="clear" w:color="auto" w:fill="FFFFFF"/>
        </w:rPr>
        <w:t>, </w:t>
      </w:r>
      <w:r w:rsidRPr="003C44B3">
        <w:rPr>
          <w:rFonts w:cs="Times New Roman"/>
          <w:iCs/>
          <w:color w:val="222222"/>
          <w:szCs w:val="24"/>
          <w:shd w:val="clear" w:color="auto" w:fill="FFFFFF"/>
        </w:rPr>
        <w:t>72</w:t>
      </w:r>
      <w:r w:rsidRPr="003C44B3">
        <w:rPr>
          <w:rFonts w:cs="Times New Roman"/>
          <w:color w:val="222222"/>
          <w:szCs w:val="24"/>
          <w:shd w:val="clear" w:color="auto" w:fill="FFFFFF"/>
        </w:rPr>
        <w:t>, 577-588.</w:t>
      </w:r>
    </w:p>
    <w:p w14:paraId="6B3A0851" w14:textId="77777777" w:rsidR="003B328E" w:rsidRPr="003C44B3" w:rsidRDefault="003B328E" w:rsidP="003B328E">
      <w:pPr>
        <w:tabs>
          <w:tab w:val="left" w:pos="3720"/>
        </w:tabs>
        <w:ind w:left="540" w:hanging="540"/>
        <w:jc w:val="both"/>
        <w:rPr>
          <w:rFonts w:cs="Times New Roman"/>
          <w:color w:val="222222"/>
          <w:szCs w:val="24"/>
          <w:shd w:val="clear" w:color="auto" w:fill="FFFFFF"/>
        </w:rPr>
      </w:pPr>
      <w:r w:rsidRPr="003C44B3">
        <w:rPr>
          <w:rFonts w:cs="Times New Roman"/>
          <w:color w:val="222222"/>
          <w:szCs w:val="24"/>
          <w:shd w:val="clear" w:color="auto" w:fill="FFFFFF"/>
        </w:rPr>
        <w:t>Venkatesh, V., and Davis, F. D., 2000. A theoretical extension of the technology acceptance model: Four longitudinal field studies. </w:t>
      </w:r>
      <w:r w:rsidRPr="003C44B3">
        <w:rPr>
          <w:rFonts w:cs="Times New Roman"/>
          <w:i/>
          <w:iCs/>
          <w:color w:val="222222"/>
          <w:szCs w:val="24"/>
          <w:shd w:val="clear" w:color="auto" w:fill="FFFFFF"/>
        </w:rPr>
        <w:t>Management Science</w:t>
      </w:r>
      <w:r w:rsidRPr="003C44B3">
        <w:rPr>
          <w:rFonts w:cs="Times New Roman"/>
          <w:color w:val="222222"/>
          <w:szCs w:val="24"/>
          <w:shd w:val="clear" w:color="auto" w:fill="FFFFFF"/>
        </w:rPr>
        <w:t>, </w:t>
      </w:r>
      <w:r w:rsidRPr="003C44B3">
        <w:rPr>
          <w:rFonts w:cs="Times New Roman"/>
          <w:iCs/>
          <w:color w:val="222222"/>
          <w:szCs w:val="24"/>
          <w:shd w:val="clear" w:color="auto" w:fill="FFFFFF"/>
        </w:rPr>
        <w:t>46</w:t>
      </w:r>
      <w:r w:rsidRPr="003C44B3">
        <w:rPr>
          <w:rFonts w:cs="Times New Roman"/>
          <w:color w:val="222222"/>
          <w:szCs w:val="24"/>
          <w:shd w:val="clear" w:color="auto" w:fill="FFFFFF"/>
        </w:rPr>
        <w:t>(2), 186-204.</w:t>
      </w:r>
    </w:p>
    <w:p w14:paraId="2C5E0496" w14:textId="77777777" w:rsidR="003B328E" w:rsidRPr="003C44B3" w:rsidRDefault="003B328E" w:rsidP="003B328E">
      <w:pPr>
        <w:tabs>
          <w:tab w:val="left" w:pos="3720"/>
        </w:tabs>
        <w:ind w:left="540" w:hanging="540"/>
        <w:jc w:val="both"/>
        <w:rPr>
          <w:rFonts w:cs="Times New Roman"/>
          <w:color w:val="222222"/>
          <w:szCs w:val="24"/>
          <w:shd w:val="clear" w:color="auto" w:fill="FFFFFF"/>
        </w:rPr>
      </w:pPr>
      <w:r w:rsidRPr="003C44B3">
        <w:rPr>
          <w:rFonts w:cs="Times New Roman"/>
          <w:color w:val="222222"/>
          <w:szCs w:val="24"/>
          <w:shd w:val="clear" w:color="auto" w:fill="FFFFFF"/>
        </w:rPr>
        <w:t>Vianello, M., Schnabel, K., Sriram, N., and Nosek, B., 2013. Gender differences in implicit and explicit personality traits. </w:t>
      </w:r>
      <w:r w:rsidRPr="003C44B3">
        <w:rPr>
          <w:rFonts w:cs="Times New Roman"/>
          <w:i/>
          <w:iCs/>
          <w:color w:val="222222"/>
          <w:szCs w:val="24"/>
          <w:shd w:val="clear" w:color="auto" w:fill="FFFFFF"/>
        </w:rPr>
        <w:t>Personality and Individual Differences</w:t>
      </w:r>
      <w:r w:rsidRPr="003C44B3">
        <w:rPr>
          <w:rFonts w:cs="Times New Roman"/>
          <w:color w:val="222222"/>
          <w:szCs w:val="24"/>
          <w:shd w:val="clear" w:color="auto" w:fill="FFFFFF"/>
        </w:rPr>
        <w:t>, </w:t>
      </w:r>
      <w:r w:rsidRPr="003C44B3">
        <w:rPr>
          <w:rFonts w:cs="Times New Roman"/>
          <w:iCs/>
          <w:color w:val="222222"/>
          <w:szCs w:val="24"/>
          <w:shd w:val="clear" w:color="auto" w:fill="FFFFFF"/>
        </w:rPr>
        <w:t>55</w:t>
      </w:r>
      <w:r w:rsidRPr="003C44B3">
        <w:rPr>
          <w:rFonts w:cs="Times New Roman"/>
          <w:color w:val="222222"/>
          <w:szCs w:val="24"/>
          <w:shd w:val="clear" w:color="auto" w:fill="FFFFFF"/>
        </w:rPr>
        <w:t>(8), 994-999.</w:t>
      </w:r>
    </w:p>
    <w:p w14:paraId="2DE2BD65" w14:textId="77777777" w:rsidR="003B328E" w:rsidRPr="003C44B3" w:rsidRDefault="003B328E" w:rsidP="003B328E">
      <w:pPr>
        <w:ind w:left="540" w:hanging="540"/>
        <w:jc w:val="both"/>
        <w:rPr>
          <w:rFonts w:cs="Times New Roman"/>
          <w:color w:val="222222"/>
          <w:szCs w:val="24"/>
          <w:shd w:val="clear" w:color="auto" w:fill="FFFFFF"/>
        </w:rPr>
      </w:pPr>
      <w:r w:rsidRPr="003C44B3">
        <w:rPr>
          <w:rFonts w:cs="Times New Roman"/>
          <w:color w:val="222222"/>
          <w:szCs w:val="24"/>
          <w:shd w:val="clear" w:color="auto" w:fill="FFFFFF"/>
        </w:rPr>
        <w:t>Voinescu, A., Morgan, P. L., Alford, C., and Caleb-Solly, P., 2020. The utility of psychological measures in evaluating perceived usability of automated vehicle interfaces–A study with older adults. </w:t>
      </w:r>
      <w:r w:rsidRPr="003C44B3">
        <w:rPr>
          <w:rFonts w:cs="Times New Roman"/>
          <w:i/>
          <w:iCs/>
          <w:color w:val="222222"/>
          <w:szCs w:val="24"/>
          <w:shd w:val="clear" w:color="auto" w:fill="FFFFFF"/>
        </w:rPr>
        <w:t>Transportation Research Part F</w:t>
      </w:r>
      <w:r w:rsidRPr="003C44B3">
        <w:rPr>
          <w:rFonts w:cs="Times New Roman"/>
          <w:color w:val="222222"/>
          <w:szCs w:val="24"/>
          <w:shd w:val="clear" w:color="auto" w:fill="FFFFFF"/>
        </w:rPr>
        <w:t>, </w:t>
      </w:r>
      <w:r w:rsidRPr="003C44B3">
        <w:rPr>
          <w:rFonts w:cs="Times New Roman"/>
          <w:iCs/>
          <w:color w:val="222222"/>
          <w:szCs w:val="24"/>
          <w:shd w:val="clear" w:color="auto" w:fill="FFFFFF"/>
        </w:rPr>
        <w:t>72</w:t>
      </w:r>
      <w:r w:rsidRPr="003C44B3">
        <w:rPr>
          <w:rFonts w:cs="Times New Roman"/>
          <w:color w:val="222222"/>
          <w:szCs w:val="24"/>
          <w:shd w:val="clear" w:color="auto" w:fill="FFFFFF"/>
        </w:rPr>
        <w:t>, 244-263.</w:t>
      </w:r>
    </w:p>
    <w:p w14:paraId="6E88896E" w14:textId="77777777" w:rsidR="003B328E" w:rsidRPr="003C44B3" w:rsidRDefault="003B328E" w:rsidP="003B328E">
      <w:pPr>
        <w:autoSpaceDE w:val="0"/>
        <w:autoSpaceDN w:val="0"/>
        <w:adjustRightInd w:val="0"/>
        <w:ind w:left="540" w:hanging="540"/>
        <w:jc w:val="both"/>
        <w:rPr>
          <w:rFonts w:cs="Times New Roman"/>
          <w:noProof/>
          <w:szCs w:val="24"/>
        </w:rPr>
      </w:pPr>
      <w:r w:rsidRPr="003C44B3">
        <w:rPr>
          <w:rFonts w:cs="Times New Roman"/>
          <w:noProof/>
          <w:szCs w:val="24"/>
        </w:rPr>
        <w:t>Ward, C., Raue, M., Lee, C., D’Ambrosio, L., and Coughlin, J. F., 2017. Acceptance of automated driving across generations: The role of risk and benefit perception, knowledge, and trust.</w:t>
      </w:r>
      <w:r w:rsidRPr="003C44B3">
        <w:rPr>
          <w:rFonts w:cs="Times New Roman"/>
          <w:spacing w:val="4"/>
          <w:szCs w:val="24"/>
          <w:shd w:val="clear" w:color="auto" w:fill="FCFCFC"/>
        </w:rPr>
        <w:t xml:space="preserve"> In Kurosu M. (eds) </w:t>
      </w:r>
      <w:r w:rsidRPr="003C44B3">
        <w:rPr>
          <w:rFonts w:cs="Times New Roman"/>
          <w:i/>
          <w:spacing w:val="4"/>
          <w:szCs w:val="24"/>
          <w:shd w:val="clear" w:color="auto" w:fill="FCFCFC"/>
        </w:rPr>
        <w:t>Human-Computer Interaction. User Interface Design, Development and Multimodality</w:t>
      </w:r>
      <w:r w:rsidRPr="003C44B3">
        <w:rPr>
          <w:rFonts w:cs="Times New Roman"/>
          <w:spacing w:val="4"/>
          <w:szCs w:val="24"/>
          <w:shd w:val="clear" w:color="auto" w:fill="FCFCFC"/>
        </w:rPr>
        <w:t>. HCI 2017. Lecture Notes in Computer Science, vol 10271. Springer, Cham</w:t>
      </w:r>
      <w:r w:rsidRPr="003C44B3">
        <w:rPr>
          <w:rFonts w:cs="Times New Roman"/>
          <w:noProof/>
          <w:szCs w:val="24"/>
        </w:rPr>
        <w:t xml:space="preserve">. </w:t>
      </w:r>
      <w:hyperlink r:id="rId43" w:history="1">
        <w:r w:rsidRPr="003C44B3">
          <w:rPr>
            <w:rStyle w:val="Hyperlink"/>
            <w:rFonts w:cs="Times New Roman"/>
            <w:noProof/>
            <w:szCs w:val="24"/>
          </w:rPr>
          <w:t>https://doi.org/10.1007/978-3-319-58071-5_20</w:t>
        </w:r>
      </w:hyperlink>
      <w:r w:rsidRPr="003C44B3">
        <w:rPr>
          <w:rFonts w:cs="Times New Roman"/>
          <w:noProof/>
          <w:szCs w:val="24"/>
        </w:rPr>
        <w:t xml:space="preserve"> </w:t>
      </w:r>
    </w:p>
    <w:p w14:paraId="070D3494" w14:textId="77777777" w:rsidR="003B328E" w:rsidRPr="003C44B3" w:rsidRDefault="003B328E" w:rsidP="003B328E">
      <w:pPr>
        <w:tabs>
          <w:tab w:val="left" w:pos="3720"/>
        </w:tabs>
        <w:ind w:left="540" w:hanging="540"/>
        <w:jc w:val="both"/>
        <w:rPr>
          <w:rFonts w:cs="Times New Roman"/>
          <w:szCs w:val="24"/>
        </w:rPr>
      </w:pPr>
      <w:r w:rsidRPr="003C44B3">
        <w:rPr>
          <w:rFonts w:cs="Times New Roman"/>
          <w:szCs w:val="24"/>
        </w:rPr>
        <w:t xml:space="preserve">Wooldridge, J. M., 1995. Selection corrections for panel data models under conditional mean independence assumptions. </w:t>
      </w:r>
      <w:r w:rsidRPr="003C44B3">
        <w:rPr>
          <w:rFonts w:cs="Times New Roman"/>
          <w:i/>
          <w:iCs/>
          <w:szCs w:val="24"/>
        </w:rPr>
        <w:t>Journal of Econometrics</w:t>
      </w:r>
      <w:r w:rsidRPr="003C44B3">
        <w:rPr>
          <w:rFonts w:cs="Times New Roman"/>
          <w:iCs/>
          <w:szCs w:val="24"/>
        </w:rPr>
        <w:t>,</w:t>
      </w:r>
      <w:r w:rsidRPr="003C44B3">
        <w:rPr>
          <w:rFonts w:cs="Times New Roman"/>
          <w:i/>
          <w:iCs/>
          <w:szCs w:val="24"/>
        </w:rPr>
        <w:t xml:space="preserve"> </w:t>
      </w:r>
      <w:r w:rsidRPr="003C44B3">
        <w:rPr>
          <w:rFonts w:cs="Times New Roman"/>
          <w:iCs/>
          <w:szCs w:val="24"/>
        </w:rPr>
        <w:t>68,</w:t>
      </w:r>
      <w:r w:rsidRPr="003C44B3">
        <w:rPr>
          <w:rFonts w:cs="Times New Roman"/>
          <w:szCs w:val="24"/>
        </w:rPr>
        <w:t xml:space="preserve"> 115-132.</w:t>
      </w:r>
    </w:p>
    <w:p w14:paraId="20A6CFBC" w14:textId="77777777" w:rsidR="003B328E" w:rsidRPr="003171A4" w:rsidRDefault="003B328E" w:rsidP="003B328E">
      <w:pPr>
        <w:ind w:left="540" w:hanging="540"/>
        <w:jc w:val="both"/>
        <w:rPr>
          <w:rFonts w:cs="Times New Roman"/>
          <w:color w:val="222222"/>
          <w:szCs w:val="24"/>
          <w:shd w:val="clear" w:color="auto" w:fill="FFFFFF"/>
        </w:rPr>
      </w:pPr>
      <w:r w:rsidRPr="003171A4">
        <w:rPr>
          <w:rFonts w:cs="Times New Roman"/>
          <w:color w:val="222222"/>
          <w:szCs w:val="24"/>
          <w:shd w:val="clear" w:color="auto" w:fill="FFFFFF"/>
        </w:rPr>
        <w:t>Zhang, W., and Guhathakurta, S., 2018. Residential location choice in the era of shared autonomous vehicles. </w:t>
      </w:r>
      <w:r w:rsidRPr="003171A4">
        <w:rPr>
          <w:rFonts w:cs="Times New Roman"/>
          <w:i/>
          <w:iCs/>
          <w:color w:val="222222"/>
          <w:szCs w:val="24"/>
          <w:shd w:val="clear" w:color="auto" w:fill="FFFFFF"/>
        </w:rPr>
        <w:t>Journal of Planning Education and Research</w:t>
      </w:r>
      <w:r w:rsidRPr="003171A4">
        <w:rPr>
          <w:rFonts w:cs="Times New Roman"/>
          <w:color w:val="222222"/>
          <w:szCs w:val="24"/>
          <w:shd w:val="clear" w:color="auto" w:fill="FFFFFF"/>
        </w:rPr>
        <w:t xml:space="preserve">. </w:t>
      </w:r>
      <w:hyperlink r:id="rId44" w:history="1">
        <w:r w:rsidRPr="003171A4">
          <w:rPr>
            <w:rStyle w:val="Hyperlink"/>
            <w:rFonts w:cs="Times New Roman"/>
            <w:szCs w:val="24"/>
            <w:shd w:val="clear" w:color="auto" w:fill="FFFFFF"/>
          </w:rPr>
          <w:t>https://doi.org/10.1177/0739456X18776062</w:t>
        </w:r>
      </w:hyperlink>
      <w:r w:rsidRPr="003171A4">
        <w:rPr>
          <w:rFonts w:cs="Times New Roman"/>
          <w:szCs w:val="24"/>
          <w:shd w:val="clear" w:color="auto" w:fill="FFFFFF"/>
        </w:rPr>
        <w:t xml:space="preserve">. </w:t>
      </w:r>
    </w:p>
    <w:p w14:paraId="3A7C1B17" w14:textId="77777777" w:rsidR="003B328E" w:rsidRPr="003171A4" w:rsidRDefault="003B328E" w:rsidP="003B328E">
      <w:pPr>
        <w:ind w:left="540" w:hanging="540"/>
        <w:jc w:val="both"/>
        <w:rPr>
          <w:rFonts w:cs="Times New Roman"/>
          <w:color w:val="222222"/>
          <w:szCs w:val="24"/>
          <w:shd w:val="clear" w:color="auto" w:fill="FFFFFF"/>
        </w:rPr>
      </w:pPr>
      <w:r w:rsidRPr="003171A4">
        <w:rPr>
          <w:rFonts w:cs="Times New Roman"/>
          <w:color w:val="222222"/>
          <w:szCs w:val="24"/>
          <w:shd w:val="clear" w:color="auto" w:fill="FFFFFF"/>
        </w:rPr>
        <w:t>Zhang, W., Guhathakurta, S., Fang, J., and Zhang, G., 2015. Exploring the impact of shared autonomous vehicles on urban parking demand: An agent-based simulation approach. </w:t>
      </w:r>
      <w:r w:rsidRPr="003171A4">
        <w:rPr>
          <w:rFonts w:cs="Times New Roman"/>
          <w:i/>
          <w:iCs/>
          <w:color w:val="222222"/>
          <w:szCs w:val="24"/>
          <w:shd w:val="clear" w:color="auto" w:fill="FFFFFF"/>
        </w:rPr>
        <w:t>Sustainable Cities and Society</w:t>
      </w:r>
      <w:r w:rsidRPr="003171A4">
        <w:rPr>
          <w:rFonts w:cs="Times New Roman"/>
          <w:color w:val="222222"/>
          <w:szCs w:val="24"/>
          <w:shd w:val="clear" w:color="auto" w:fill="FFFFFF"/>
        </w:rPr>
        <w:t>, </w:t>
      </w:r>
      <w:r w:rsidRPr="003171A4">
        <w:rPr>
          <w:rFonts w:cs="Times New Roman"/>
          <w:iCs/>
          <w:color w:val="222222"/>
          <w:szCs w:val="24"/>
          <w:shd w:val="clear" w:color="auto" w:fill="FFFFFF"/>
        </w:rPr>
        <w:t>19</w:t>
      </w:r>
      <w:r w:rsidRPr="003171A4">
        <w:rPr>
          <w:rFonts w:cs="Times New Roman"/>
          <w:color w:val="222222"/>
          <w:szCs w:val="24"/>
          <w:shd w:val="clear" w:color="auto" w:fill="FFFFFF"/>
        </w:rPr>
        <w:t>, 34-45.</w:t>
      </w:r>
    </w:p>
    <w:p w14:paraId="4628193F" w14:textId="77777777" w:rsidR="003B328E" w:rsidRPr="003C44B3" w:rsidRDefault="003B328E" w:rsidP="003B328E">
      <w:pPr>
        <w:ind w:left="540" w:hanging="540"/>
        <w:jc w:val="both"/>
        <w:rPr>
          <w:rFonts w:cs="Times New Roman"/>
          <w:szCs w:val="24"/>
        </w:rPr>
      </w:pPr>
      <w:r w:rsidRPr="003C44B3">
        <w:rPr>
          <w:rFonts w:cs="Times New Roman"/>
          <w:szCs w:val="24"/>
        </w:rPr>
        <w:t xml:space="preserve">Zmud, J. P., Sener, I. N., and Wagner, J., 2016. Consumer acceptance and travel behavior impacts of automated vehicles. </w:t>
      </w:r>
      <w:r w:rsidRPr="003C44B3">
        <w:rPr>
          <w:rFonts w:cs="Times New Roman"/>
          <w:iCs/>
          <w:szCs w:val="24"/>
        </w:rPr>
        <w:t>Report PRC 15-49 F,</w:t>
      </w:r>
      <w:r w:rsidRPr="003C44B3">
        <w:rPr>
          <w:rFonts w:cs="Times New Roman"/>
          <w:szCs w:val="24"/>
        </w:rPr>
        <w:t xml:space="preserve"> Transportation Policy Research Center, Texas A&amp;M Transportation Institute.</w:t>
      </w:r>
    </w:p>
    <w:p w14:paraId="0B5D6234" w14:textId="77777777" w:rsidR="003B328E" w:rsidRPr="003C44B3" w:rsidRDefault="003B328E" w:rsidP="003B328E">
      <w:pPr>
        <w:ind w:left="540" w:hanging="540"/>
        <w:jc w:val="both"/>
        <w:rPr>
          <w:rFonts w:cs="Times New Roman"/>
          <w:color w:val="222222"/>
          <w:szCs w:val="24"/>
          <w:shd w:val="clear" w:color="auto" w:fill="FFFFFF"/>
        </w:rPr>
      </w:pPr>
      <w:r w:rsidRPr="003C44B3">
        <w:rPr>
          <w:rFonts w:cs="Times New Roman"/>
          <w:color w:val="222222"/>
          <w:szCs w:val="24"/>
          <w:shd w:val="clear" w:color="auto" w:fill="FFFFFF"/>
        </w:rPr>
        <w:t>Zmud, J. P., and Sener, I. N., 2017. Towards an understanding of the travel behavior impact of autonomous vehicles. </w:t>
      </w:r>
      <w:r w:rsidRPr="003C44B3">
        <w:rPr>
          <w:rFonts w:cs="Times New Roman"/>
          <w:i/>
          <w:iCs/>
          <w:color w:val="222222"/>
          <w:szCs w:val="24"/>
          <w:shd w:val="clear" w:color="auto" w:fill="FFFFFF"/>
        </w:rPr>
        <w:t>Transportation Research Procedia</w:t>
      </w:r>
      <w:r w:rsidRPr="003C44B3">
        <w:rPr>
          <w:rFonts w:cs="Times New Roman"/>
          <w:color w:val="222222"/>
          <w:szCs w:val="24"/>
          <w:shd w:val="clear" w:color="auto" w:fill="FFFFFF"/>
        </w:rPr>
        <w:t>, </w:t>
      </w:r>
      <w:r w:rsidRPr="003C44B3">
        <w:rPr>
          <w:rFonts w:cs="Times New Roman"/>
          <w:iCs/>
          <w:color w:val="222222"/>
          <w:szCs w:val="24"/>
          <w:shd w:val="clear" w:color="auto" w:fill="FFFFFF"/>
        </w:rPr>
        <w:t>25,</w:t>
      </w:r>
      <w:r w:rsidRPr="003C44B3">
        <w:rPr>
          <w:rFonts w:cs="Times New Roman"/>
          <w:color w:val="222222"/>
          <w:szCs w:val="24"/>
          <w:shd w:val="clear" w:color="auto" w:fill="FFFFFF"/>
        </w:rPr>
        <w:t xml:space="preserve"> 2500-2519.</w:t>
      </w:r>
    </w:p>
    <w:p w14:paraId="59BFC35F" w14:textId="77777777" w:rsidR="0004204C" w:rsidRPr="002D5B91" w:rsidRDefault="0004204C" w:rsidP="0004204C">
      <w:pPr>
        <w:rPr>
          <w:rFonts w:cs="Times New Roman"/>
          <w:b/>
          <w:bCs/>
          <w:szCs w:val="24"/>
        </w:rPr>
      </w:pPr>
    </w:p>
    <w:p w14:paraId="53FF15C8" w14:textId="77777777" w:rsidR="00D47D34" w:rsidRDefault="00D47D34" w:rsidP="0004204C">
      <w:pPr>
        <w:rPr>
          <w:rFonts w:cs="Times New Roman"/>
          <w:b/>
          <w:bCs/>
          <w:szCs w:val="24"/>
        </w:rPr>
      </w:pPr>
      <w:r>
        <w:rPr>
          <w:rFonts w:cs="Times New Roman"/>
          <w:b/>
          <w:bCs/>
          <w:szCs w:val="24"/>
        </w:rPr>
        <w:br w:type="page"/>
      </w:r>
    </w:p>
    <w:bookmarkEnd w:id="11"/>
    <w:p w14:paraId="3F12A072" w14:textId="5DF49F1C" w:rsidR="00D47D34" w:rsidRDefault="00782AC8" w:rsidP="00D47D34">
      <w:pPr>
        <w:jc w:val="center"/>
        <w:rPr>
          <w:rFonts w:cs="Times New Roman"/>
        </w:rPr>
      </w:pPr>
      <w:r>
        <w:rPr>
          <w:rFonts w:cs="Times New Roman"/>
          <w:noProof/>
        </w:rPr>
        <w:lastRenderedPageBreak/>
        <w:drawing>
          <wp:inline distT="0" distB="0" distL="0" distR="0" wp14:anchorId="78914E43" wp14:editId="44FE53AD">
            <wp:extent cx="5901589" cy="461795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918983" cy="4631561"/>
                    </a:xfrm>
                    <a:prstGeom prst="rect">
                      <a:avLst/>
                    </a:prstGeom>
                    <a:noFill/>
                  </pic:spPr>
                </pic:pic>
              </a:graphicData>
            </a:graphic>
          </wp:inline>
        </w:drawing>
      </w:r>
    </w:p>
    <w:p w14:paraId="036901D3" w14:textId="77777777" w:rsidR="00AB20AD" w:rsidRDefault="00AB20AD" w:rsidP="00D47D34">
      <w:pPr>
        <w:jc w:val="center"/>
        <w:rPr>
          <w:rFonts w:cs="Times New Roman"/>
          <w:b/>
          <w:bCs/>
          <w:szCs w:val="24"/>
        </w:rPr>
      </w:pPr>
    </w:p>
    <w:p w14:paraId="48A21B3E" w14:textId="461DE1B7" w:rsidR="00D47D34" w:rsidRDefault="00D47D34" w:rsidP="00D47D34">
      <w:pPr>
        <w:jc w:val="center"/>
        <w:rPr>
          <w:rFonts w:cs="Times New Roman"/>
          <w:b/>
          <w:bCs/>
          <w:szCs w:val="24"/>
        </w:rPr>
      </w:pPr>
      <w:r w:rsidRPr="00A266EC">
        <w:rPr>
          <w:rFonts w:cs="Times New Roman"/>
          <w:b/>
          <w:bCs/>
          <w:szCs w:val="24"/>
        </w:rPr>
        <w:t xml:space="preserve">Figure 1. </w:t>
      </w:r>
      <w:r>
        <w:rPr>
          <w:rFonts w:cs="Times New Roman"/>
          <w:b/>
          <w:bCs/>
          <w:szCs w:val="24"/>
        </w:rPr>
        <w:t>Analytic</w:t>
      </w:r>
      <w:r w:rsidRPr="00A266EC">
        <w:rPr>
          <w:rFonts w:cs="Times New Roman"/>
          <w:b/>
          <w:bCs/>
          <w:szCs w:val="24"/>
        </w:rPr>
        <w:t xml:space="preserve"> Framework</w:t>
      </w:r>
    </w:p>
    <w:p w14:paraId="48C1BCDB" w14:textId="67DBE3D6" w:rsidR="00D47D34" w:rsidRDefault="00D47D34">
      <w:pPr>
        <w:rPr>
          <w:rFonts w:cs="Times New Roman"/>
          <w:b/>
          <w:bCs/>
          <w:szCs w:val="24"/>
        </w:rPr>
      </w:pPr>
    </w:p>
    <w:p w14:paraId="5DF20EB7" w14:textId="0DB77922" w:rsidR="00D47D34" w:rsidRDefault="00D47D34">
      <w:pPr>
        <w:rPr>
          <w:rFonts w:cs="Times New Roman"/>
          <w:b/>
          <w:bCs/>
          <w:szCs w:val="24"/>
        </w:rPr>
        <w:sectPr w:rsidR="00D47D34" w:rsidSect="0091464C">
          <w:footerReference w:type="default" r:id="rId46"/>
          <w:pgSz w:w="12240" w:h="15840"/>
          <w:pgMar w:top="1440" w:right="1440" w:bottom="1440" w:left="1440" w:header="720" w:footer="720" w:gutter="0"/>
          <w:pgNumType w:start="1"/>
          <w:cols w:space="720"/>
          <w:docGrid w:linePitch="360"/>
        </w:sectPr>
      </w:pPr>
    </w:p>
    <w:p w14:paraId="49C4720B" w14:textId="43F7780F" w:rsidR="00306A43" w:rsidRDefault="00306A43" w:rsidP="00AB20AD">
      <w:pPr>
        <w:jc w:val="both"/>
        <w:rPr>
          <w:b/>
          <w:bCs/>
          <w:szCs w:val="24"/>
        </w:rPr>
      </w:pPr>
    </w:p>
    <w:p w14:paraId="630F9F4B" w14:textId="5A93C2A4" w:rsidR="00D47D34" w:rsidRDefault="00D47D34" w:rsidP="00306A43">
      <w:pPr>
        <w:spacing w:after="120"/>
        <w:jc w:val="both"/>
        <w:rPr>
          <w:b/>
          <w:bCs/>
          <w:szCs w:val="24"/>
        </w:rPr>
      </w:pPr>
      <w:r w:rsidRPr="00A266EC">
        <w:rPr>
          <w:b/>
          <w:bCs/>
          <w:szCs w:val="24"/>
        </w:rPr>
        <w:t xml:space="preserve">Table </w:t>
      </w:r>
      <w:r w:rsidR="006B3123">
        <w:rPr>
          <w:b/>
          <w:bCs/>
          <w:szCs w:val="24"/>
        </w:rPr>
        <w:t>1</w:t>
      </w:r>
      <w:r w:rsidRPr="00A266EC">
        <w:rPr>
          <w:b/>
          <w:bCs/>
          <w:szCs w:val="24"/>
        </w:rPr>
        <w:t>. Ranking of Next Vehicle-Type Purchase</w:t>
      </w:r>
    </w:p>
    <w:tbl>
      <w:tblPr>
        <w:tblStyle w:val="TableGrid"/>
        <w:tblW w:w="12225" w:type="dxa"/>
        <w:tblLook w:val="04A0" w:firstRow="1" w:lastRow="0" w:firstColumn="1" w:lastColumn="0" w:noHBand="0" w:noVBand="1"/>
      </w:tblPr>
      <w:tblGrid>
        <w:gridCol w:w="2865"/>
        <w:gridCol w:w="1080"/>
        <w:gridCol w:w="900"/>
        <w:gridCol w:w="3150"/>
        <w:gridCol w:w="1260"/>
        <w:gridCol w:w="1440"/>
        <w:gridCol w:w="1530"/>
      </w:tblGrid>
      <w:tr w:rsidR="00306A43" w:rsidRPr="00A266EC" w14:paraId="1FE30CC0" w14:textId="77777777" w:rsidTr="00FA69D9">
        <w:trPr>
          <w:trHeight w:val="403"/>
        </w:trPr>
        <w:tc>
          <w:tcPr>
            <w:tcW w:w="2865" w:type="dxa"/>
            <w:tcBorders>
              <w:top w:val="double" w:sz="4" w:space="0" w:color="auto"/>
              <w:left w:val="double" w:sz="4" w:space="0" w:color="auto"/>
              <w:bottom w:val="double" w:sz="4" w:space="0" w:color="auto"/>
              <w:right w:val="double" w:sz="4" w:space="0" w:color="auto"/>
            </w:tcBorders>
            <w:vAlign w:val="bottom"/>
            <w:hideMark/>
          </w:tcPr>
          <w:p w14:paraId="214F3CD5" w14:textId="77777777" w:rsidR="00306A43" w:rsidRPr="00A266EC" w:rsidRDefault="00306A43" w:rsidP="00306A43">
            <w:pPr>
              <w:jc w:val="center"/>
              <w:textAlignment w:val="bottom"/>
              <w:rPr>
                <w:rFonts w:eastAsia="Times New Roman" w:cs="Times New Roman"/>
                <w:szCs w:val="24"/>
              </w:rPr>
            </w:pPr>
            <w:r>
              <w:rPr>
                <w:rFonts w:eastAsia="Times New Roman" w:cs="Times New Roman"/>
                <w:kern w:val="24"/>
                <w:szCs w:val="24"/>
              </w:rPr>
              <w:t>First-rank choice</w:t>
            </w:r>
          </w:p>
        </w:tc>
        <w:tc>
          <w:tcPr>
            <w:tcW w:w="1080" w:type="dxa"/>
            <w:tcBorders>
              <w:top w:val="double" w:sz="4" w:space="0" w:color="auto"/>
              <w:left w:val="double" w:sz="4" w:space="0" w:color="auto"/>
              <w:bottom w:val="double" w:sz="4" w:space="0" w:color="auto"/>
              <w:right w:val="nil"/>
            </w:tcBorders>
            <w:vAlign w:val="bottom"/>
            <w:hideMark/>
          </w:tcPr>
          <w:p w14:paraId="77DD7185" w14:textId="77777777" w:rsidR="00306A43" w:rsidRPr="00A266EC" w:rsidRDefault="00306A43" w:rsidP="008B0FD2">
            <w:pPr>
              <w:jc w:val="center"/>
              <w:textAlignment w:val="bottom"/>
              <w:rPr>
                <w:rFonts w:eastAsia="Times New Roman" w:cs="Times New Roman"/>
                <w:kern w:val="24"/>
                <w:szCs w:val="24"/>
              </w:rPr>
            </w:pPr>
            <w:r w:rsidRPr="00A266EC">
              <w:rPr>
                <w:rFonts w:eastAsia="Times New Roman" w:cs="Times New Roman"/>
                <w:kern w:val="24"/>
                <w:szCs w:val="24"/>
              </w:rPr>
              <w:t>Count</w:t>
            </w:r>
          </w:p>
        </w:tc>
        <w:tc>
          <w:tcPr>
            <w:tcW w:w="900" w:type="dxa"/>
            <w:tcBorders>
              <w:top w:val="double" w:sz="4" w:space="0" w:color="auto"/>
              <w:left w:val="nil"/>
              <w:bottom w:val="double" w:sz="4" w:space="0" w:color="auto"/>
              <w:right w:val="double" w:sz="4" w:space="0" w:color="auto"/>
            </w:tcBorders>
            <w:vAlign w:val="bottom"/>
          </w:tcPr>
          <w:p w14:paraId="0558F9B9"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kern w:val="24"/>
                <w:szCs w:val="24"/>
              </w:rPr>
              <w:t>%</w:t>
            </w:r>
          </w:p>
        </w:tc>
        <w:tc>
          <w:tcPr>
            <w:tcW w:w="3150" w:type="dxa"/>
            <w:tcBorders>
              <w:top w:val="double" w:sz="4" w:space="0" w:color="auto"/>
              <w:left w:val="double" w:sz="4" w:space="0" w:color="auto"/>
              <w:bottom w:val="double" w:sz="4" w:space="0" w:color="auto"/>
              <w:right w:val="double" w:sz="4" w:space="0" w:color="auto"/>
            </w:tcBorders>
            <w:vAlign w:val="bottom"/>
            <w:hideMark/>
          </w:tcPr>
          <w:p w14:paraId="4170F22B" w14:textId="77777777" w:rsidR="00306A43" w:rsidRPr="00A266EC" w:rsidRDefault="00306A43" w:rsidP="00306A43">
            <w:pPr>
              <w:jc w:val="center"/>
              <w:textAlignment w:val="bottom"/>
              <w:rPr>
                <w:rFonts w:eastAsia="Times New Roman" w:cs="Times New Roman"/>
                <w:szCs w:val="24"/>
              </w:rPr>
            </w:pPr>
            <w:r w:rsidRPr="00A266EC">
              <w:rPr>
                <w:rFonts w:eastAsia="Times New Roman" w:cs="Times New Roman"/>
                <w:kern w:val="24"/>
                <w:szCs w:val="24"/>
              </w:rPr>
              <w:t>Second</w:t>
            </w:r>
            <w:r>
              <w:rPr>
                <w:rFonts w:eastAsia="Times New Roman" w:cs="Times New Roman"/>
                <w:kern w:val="24"/>
                <w:szCs w:val="24"/>
              </w:rPr>
              <w:t>-rank</w:t>
            </w:r>
            <w:r w:rsidRPr="00A266EC">
              <w:rPr>
                <w:rFonts w:eastAsia="Times New Roman" w:cs="Times New Roman"/>
                <w:kern w:val="24"/>
                <w:szCs w:val="24"/>
              </w:rPr>
              <w:t xml:space="preserve"> Choice</w:t>
            </w:r>
          </w:p>
        </w:tc>
        <w:tc>
          <w:tcPr>
            <w:tcW w:w="1260" w:type="dxa"/>
            <w:tcBorders>
              <w:top w:val="double" w:sz="4" w:space="0" w:color="auto"/>
              <w:left w:val="double" w:sz="4" w:space="0" w:color="auto"/>
              <w:bottom w:val="double" w:sz="4" w:space="0" w:color="auto"/>
              <w:right w:val="nil"/>
            </w:tcBorders>
            <w:vAlign w:val="bottom"/>
            <w:hideMark/>
          </w:tcPr>
          <w:p w14:paraId="25072BCC"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szCs w:val="24"/>
              </w:rPr>
              <w:t>Count</w:t>
            </w:r>
          </w:p>
        </w:tc>
        <w:tc>
          <w:tcPr>
            <w:tcW w:w="1440" w:type="dxa"/>
            <w:tcBorders>
              <w:top w:val="double" w:sz="4" w:space="0" w:color="auto"/>
              <w:left w:val="nil"/>
              <w:bottom w:val="double" w:sz="4" w:space="0" w:color="auto"/>
              <w:right w:val="nil"/>
            </w:tcBorders>
            <w:vAlign w:val="bottom"/>
            <w:hideMark/>
          </w:tcPr>
          <w:p w14:paraId="1F27F239"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szCs w:val="24"/>
              </w:rPr>
              <w:t xml:space="preserve">% </w:t>
            </w:r>
            <w:r w:rsidRPr="00A266EC">
              <w:rPr>
                <w:rFonts w:eastAsia="Times New Roman" w:cs="Times New Roman"/>
                <w:kern w:val="24"/>
                <w:szCs w:val="24"/>
              </w:rPr>
              <w:t>Based on</w:t>
            </w:r>
            <w:r>
              <w:rPr>
                <w:rFonts w:eastAsia="Times New Roman" w:cs="Times New Roman"/>
                <w:kern w:val="24"/>
                <w:szCs w:val="24"/>
              </w:rPr>
              <w:t xml:space="preserve"> First-choice</w:t>
            </w:r>
          </w:p>
        </w:tc>
        <w:tc>
          <w:tcPr>
            <w:tcW w:w="1530" w:type="dxa"/>
            <w:tcBorders>
              <w:top w:val="double" w:sz="4" w:space="0" w:color="auto"/>
              <w:left w:val="nil"/>
              <w:bottom w:val="double" w:sz="4" w:space="0" w:color="auto"/>
              <w:right w:val="double" w:sz="4" w:space="0" w:color="auto"/>
            </w:tcBorders>
            <w:vAlign w:val="bottom"/>
            <w:hideMark/>
          </w:tcPr>
          <w:p w14:paraId="5A8448A0"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kern w:val="24"/>
                <w:szCs w:val="24"/>
              </w:rPr>
              <w:t>% Based on Total</w:t>
            </w:r>
          </w:p>
        </w:tc>
      </w:tr>
      <w:tr w:rsidR="00306A43" w:rsidRPr="00A266EC" w14:paraId="451E6F92" w14:textId="77777777" w:rsidTr="00FA69D9">
        <w:trPr>
          <w:trHeight w:val="403"/>
        </w:trPr>
        <w:tc>
          <w:tcPr>
            <w:tcW w:w="2865" w:type="dxa"/>
            <w:vMerge w:val="restart"/>
            <w:tcBorders>
              <w:top w:val="double" w:sz="4" w:space="0" w:color="auto"/>
              <w:left w:val="double" w:sz="4" w:space="0" w:color="auto"/>
              <w:right w:val="double" w:sz="4" w:space="0" w:color="auto"/>
            </w:tcBorders>
            <w:vAlign w:val="center"/>
            <w:hideMark/>
          </w:tcPr>
          <w:p w14:paraId="646CE76E" w14:textId="77777777" w:rsidR="00306A43" w:rsidRPr="00A266EC" w:rsidRDefault="00306A43" w:rsidP="008B0FD2">
            <w:pPr>
              <w:jc w:val="right"/>
              <w:textAlignment w:val="bottom"/>
              <w:rPr>
                <w:rFonts w:eastAsia="Times New Roman" w:cs="Times New Roman"/>
                <w:szCs w:val="24"/>
              </w:rPr>
            </w:pPr>
            <w:r w:rsidRPr="00A266EC">
              <w:rPr>
                <w:rFonts w:eastAsia="Times New Roman" w:cs="Times New Roman"/>
                <w:kern w:val="24"/>
                <w:szCs w:val="24"/>
              </w:rPr>
              <w:t>Regular Vehicle</w:t>
            </w:r>
            <w:r>
              <w:rPr>
                <w:rFonts w:eastAsia="Times New Roman" w:cs="Times New Roman"/>
                <w:kern w:val="24"/>
                <w:szCs w:val="24"/>
              </w:rPr>
              <w:t xml:space="preserve"> (RV)</w:t>
            </w:r>
          </w:p>
        </w:tc>
        <w:tc>
          <w:tcPr>
            <w:tcW w:w="1080" w:type="dxa"/>
            <w:vMerge w:val="restart"/>
            <w:tcBorders>
              <w:top w:val="double" w:sz="4" w:space="0" w:color="auto"/>
              <w:left w:val="double" w:sz="4" w:space="0" w:color="auto"/>
              <w:bottom w:val="nil"/>
              <w:right w:val="nil"/>
            </w:tcBorders>
            <w:vAlign w:val="center"/>
            <w:hideMark/>
          </w:tcPr>
          <w:p w14:paraId="40F76451" w14:textId="77777777" w:rsidR="00306A43" w:rsidRPr="00A266EC" w:rsidRDefault="00306A43" w:rsidP="008B0FD2">
            <w:pPr>
              <w:jc w:val="center"/>
              <w:textAlignment w:val="bottom"/>
              <w:rPr>
                <w:rFonts w:eastAsia="Times New Roman" w:cs="Times New Roman"/>
                <w:kern w:val="24"/>
                <w:szCs w:val="24"/>
              </w:rPr>
            </w:pPr>
            <w:r w:rsidRPr="00A266EC">
              <w:rPr>
                <w:rFonts w:eastAsia="Times New Roman" w:cs="Times New Roman"/>
                <w:kern w:val="24"/>
                <w:szCs w:val="24"/>
              </w:rPr>
              <w:t>938</w:t>
            </w:r>
          </w:p>
        </w:tc>
        <w:tc>
          <w:tcPr>
            <w:tcW w:w="900" w:type="dxa"/>
            <w:vMerge w:val="restart"/>
            <w:tcBorders>
              <w:top w:val="double" w:sz="4" w:space="0" w:color="auto"/>
              <w:left w:val="nil"/>
              <w:bottom w:val="nil"/>
              <w:right w:val="double" w:sz="4" w:space="0" w:color="auto"/>
            </w:tcBorders>
            <w:vAlign w:val="center"/>
          </w:tcPr>
          <w:p w14:paraId="6DD04CD7" w14:textId="77777777" w:rsidR="00306A43" w:rsidRPr="00A266EC" w:rsidRDefault="00306A43" w:rsidP="008B0FD2">
            <w:pPr>
              <w:jc w:val="center"/>
              <w:textAlignment w:val="bottom"/>
              <w:rPr>
                <w:rFonts w:eastAsia="Times New Roman" w:cs="Times New Roman"/>
                <w:szCs w:val="24"/>
              </w:rPr>
            </w:pPr>
            <w:r>
              <w:rPr>
                <w:rFonts w:eastAsia="Times New Roman" w:cs="Times New Roman"/>
                <w:kern w:val="24"/>
                <w:szCs w:val="24"/>
              </w:rPr>
              <w:t xml:space="preserve">  </w:t>
            </w:r>
            <w:r w:rsidRPr="00A266EC">
              <w:rPr>
                <w:rFonts w:eastAsia="Times New Roman" w:cs="Times New Roman"/>
                <w:kern w:val="24"/>
                <w:szCs w:val="24"/>
              </w:rPr>
              <w:t>45.9</w:t>
            </w:r>
          </w:p>
        </w:tc>
        <w:tc>
          <w:tcPr>
            <w:tcW w:w="3150" w:type="dxa"/>
            <w:tcBorders>
              <w:top w:val="double" w:sz="4" w:space="0" w:color="auto"/>
              <w:left w:val="double" w:sz="4" w:space="0" w:color="auto"/>
              <w:bottom w:val="dashSmallGap" w:sz="4" w:space="0" w:color="auto"/>
              <w:right w:val="double" w:sz="4" w:space="0" w:color="auto"/>
            </w:tcBorders>
            <w:vAlign w:val="center"/>
            <w:hideMark/>
          </w:tcPr>
          <w:p w14:paraId="6B20D701" w14:textId="77777777" w:rsidR="00306A43" w:rsidRPr="00A266EC" w:rsidRDefault="00306A43" w:rsidP="008B0FD2">
            <w:pPr>
              <w:jc w:val="right"/>
              <w:textAlignment w:val="bottom"/>
              <w:rPr>
                <w:rFonts w:eastAsia="Times New Roman" w:cs="Times New Roman"/>
                <w:szCs w:val="24"/>
              </w:rPr>
            </w:pPr>
            <w:r w:rsidRPr="00A266EC">
              <w:rPr>
                <w:rFonts w:eastAsia="Times New Roman" w:cs="Times New Roman"/>
                <w:kern w:val="24"/>
                <w:szCs w:val="24"/>
              </w:rPr>
              <w:t>Autonomous Vehicle</w:t>
            </w:r>
            <w:r>
              <w:rPr>
                <w:rFonts w:eastAsia="Times New Roman" w:cs="Times New Roman"/>
                <w:kern w:val="24"/>
                <w:szCs w:val="24"/>
              </w:rPr>
              <w:t xml:space="preserve"> (AV)</w:t>
            </w:r>
          </w:p>
        </w:tc>
        <w:tc>
          <w:tcPr>
            <w:tcW w:w="1260" w:type="dxa"/>
            <w:tcBorders>
              <w:top w:val="nil"/>
              <w:left w:val="double" w:sz="4" w:space="0" w:color="auto"/>
              <w:bottom w:val="dashSmallGap" w:sz="4" w:space="0" w:color="auto"/>
              <w:right w:val="nil"/>
            </w:tcBorders>
            <w:vAlign w:val="center"/>
          </w:tcPr>
          <w:p w14:paraId="65E527CA"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szCs w:val="24"/>
              </w:rPr>
              <w:t>648</w:t>
            </w:r>
          </w:p>
        </w:tc>
        <w:tc>
          <w:tcPr>
            <w:tcW w:w="1440" w:type="dxa"/>
            <w:tcBorders>
              <w:top w:val="nil"/>
              <w:left w:val="nil"/>
              <w:bottom w:val="dashSmallGap" w:sz="4" w:space="0" w:color="auto"/>
              <w:right w:val="nil"/>
            </w:tcBorders>
            <w:vAlign w:val="center"/>
            <w:hideMark/>
          </w:tcPr>
          <w:p w14:paraId="233455EA"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kern w:val="24"/>
                <w:szCs w:val="24"/>
              </w:rPr>
              <w:t>69.1</w:t>
            </w:r>
          </w:p>
        </w:tc>
        <w:tc>
          <w:tcPr>
            <w:tcW w:w="1530" w:type="dxa"/>
            <w:tcBorders>
              <w:top w:val="nil"/>
              <w:left w:val="nil"/>
              <w:bottom w:val="dashSmallGap" w:sz="4" w:space="0" w:color="auto"/>
              <w:right w:val="double" w:sz="4" w:space="0" w:color="auto"/>
            </w:tcBorders>
            <w:vAlign w:val="center"/>
            <w:hideMark/>
          </w:tcPr>
          <w:p w14:paraId="29D0AA35"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kern w:val="24"/>
                <w:szCs w:val="24"/>
              </w:rPr>
              <w:t>31.7</w:t>
            </w:r>
          </w:p>
        </w:tc>
      </w:tr>
      <w:tr w:rsidR="00306A43" w:rsidRPr="00A266EC" w14:paraId="23AC142D" w14:textId="77777777" w:rsidTr="00FA69D9">
        <w:trPr>
          <w:trHeight w:val="403"/>
        </w:trPr>
        <w:tc>
          <w:tcPr>
            <w:tcW w:w="2865" w:type="dxa"/>
            <w:vMerge/>
            <w:tcBorders>
              <w:left w:val="double" w:sz="4" w:space="0" w:color="auto"/>
              <w:bottom w:val="double" w:sz="4" w:space="0" w:color="auto"/>
              <w:right w:val="double" w:sz="4" w:space="0" w:color="auto"/>
            </w:tcBorders>
            <w:vAlign w:val="center"/>
            <w:hideMark/>
          </w:tcPr>
          <w:p w14:paraId="3BAB1658" w14:textId="77777777" w:rsidR="00306A43" w:rsidRPr="00A266EC" w:rsidRDefault="00306A43" w:rsidP="008B0FD2">
            <w:pPr>
              <w:jc w:val="right"/>
              <w:rPr>
                <w:rFonts w:eastAsia="Times New Roman" w:cs="Times New Roman"/>
                <w:szCs w:val="24"/>
              </w:rPr>
            </w:pPr>
          </w:p>
        </w:tc>
        <w:tc>
          <w:tcPr>
            <w:tcW w:w="1080" w:type="dxa"/>
            <w:vMerge/>
            <w:tcBorders>
              <w:top w:val="nil"/>
              <w:left w:val="double" w:sz="4" w:space="0" w:color="auto"/>
              <w:bottom w:val="double" w:sz="4" w:space="0" w:color="auto"/>
              <w:right w:val="nil"/>
            </w:tcBorders>
            <w:vAlign w:val="center"/>
            <w:hideMark/>
          </w:tcPr>
          <w:p w14:paraId="2D8513CC" w14:textId="77777777" w:rsidR="00306A43" w:rsidRPr="00A266EC" w:rsidRDefault="00306A43" w:rsidP="008B0FD2">
            <w:pPr>
              <w:jc w:val="center"/>
              <w:rPr>
                <w:rFonts w:eastAsia="Times New Roman" w:cs="Times New Roman"/>
                <w:szCs w:val="24"/>
              </w:rPr>
            </w:pPr>
          </w:p>
        </w:tc>
        <w:tc>
          <w:tcPr>
            <w:tcW w:w="900" w:type="dxa"/>
            <w:vMerge/>
            <w:tcBorders>
              <w:top w:val="nil"/>
              <w:left w:val="nil"/>
              <w:bottom w:val="double" w:sz="4" w:space="0" w:color="auto"/>
              <w:right w:val="double" w:sz="4" w:space="0" w:color="auto"/>
            </w:tcBorders>
            <w:vAlign w:val="center"/>
          </w:tcPr>
          <w:p w14:paraId="65554D2D" w14:textId="77777777" w:rsidR="00306A43" w:rsidRPr="00A266EC" w:rsidRDefault="00306A43" w:rsidP="008B0FD2">
            <w:pPr>
              <w:jc w:val="center"/>
              <w:rPr>
                <w:rFonts w:eastAsia="Times New Roman" w:cs="Times New Roman"/>
                <w:szCs w:val="24"/>
              </w:rPr>
            </w:pPr>
          </w:p>
        </w:tc>
        <w:tc>
          <w:tcPr>
            <w:tcW w:w="3150" w:type="dxa"/>
            <w:tcBorders>
              <w:top w:val="dashSmallGap" w:sz="4" w:space="0" w:color="auto"/>
              <w:left w:val="double" w:sz="4" w:space="0" w:color="auto"/>
              <w:bottom w:val="double" w:sz="4" w:space="0" w:color="auto"/>
              <w:right w:val="double" w:sz="4" w:space="0" w:color="auto"/>
            </w:tcBorders>
            <w:vAlign w:val="center"/>
            <w:hideMark/>
          </w:tcPr>
          <w:p w14:paraId="147EAFE9" w14:textId="77777777" w:rsidR="00306A43" w:rsidRPr="00A266EC" w:rsidRDefault="00306A43" w:rsidP="008B0FD2">
            <w:pPr>
              <w:jc w:val="right"/>
              <w:textAlignment w:val="bottom"/>
              <w:rPr>
                <w:rFonts w:eastAsia="Times New Roman" w:cs="Times New Roman"/>
                <w:szCs w:val="24"/>
              </w:rPr>
            </w:pPr>
            <w:r>
              <w:rPr>
                <w:rFonts w:eastAsia="Times New Roman" w:cs="Times New Roman"/>
                <w:kern w:val="24"/>
                <w:szCs w:val="24"/>
              </w:rPr>
              <w:t>Shared AV (SAV)</w:t>
            </w:r>
          </w:p>
        </w:tc>
        <w:tc>
          <w:tcPr>
            <w:tcW w:w="1260" w:type="dxa"/>
            <w:tcBorders>
              <w:top w:val="dashSmallGap" w:sz="4" w:space="0" w:color="auto"/>
              <w:left w:val="double" w:sz="4" w:space="0" w:color="auto"/>
              <w:bottom w:val="double" w:sz="4" w:space="0" w:color="auto"/>
              <w:right w:val="nil"/>
            </w:tcBorders>
            <w:vAlign w:val="center"/>
          </w:tcPr>
          <w:p w14:paraId="5B2F3B16"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szCs w:val="24"/>
              </w:rPr>
              <w:t>290</w:t>
            </w:r>
          </w:p>
        </w:tc>
        <w:tc>
          <w:tcPr>
            <w:tcW w:w="1440" w:type="dxa"/>
            <w:tcBorders>
              <w:top w:val="dashSmallGap" w:sz="4" w:space="0" w:color="auto"/>
              <w:left w:val="nil"/>
              <w:bottom w:val="double" w:sz="4" w:space="0" w:color="auto"/>
              <w:right w:val="nil"/>
            </w:tcBorders>
            <w:vAlign w:val="center"/>
            <w:hideMark/>
          </w:tcPr>
          <w:p w14:paraId="3DFA92BC"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kern w:val="24"/>
                <w:szCs w:val="24"/>
              </w:rPr>
              <w:t>30.9</w:t>
            </w:r>
          </w:p>
        </w:tc>
        <w:tc>
          <w:tcPr>
            <w:tcW w:w="1530" w:type="dxa"/>
            <w:tcBorders>
              <w:top w:val="dashSmallGap" w:sz="4" w:space="0" w:color="auto"/>
              <w:left w:val="nil"/>
              <w:bottom w:val="double" w:sz="4" w:space="0" w:color="auto"/>
              <w:right w:val="double" w:sz="4" w:space="0" w:color="auto"/>
            </w:tcBorders>
            <w:vAlign w:val="center"/>
            <w:hideMark/>
          </w:tcPr>
          <w:p w14:paraId="50DC04AC"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kern w:val="24"/>
                <w:szCs w:val="24"/>
              </w:rPr>
              <w:t>14.2</w:t>
            </w:r>
          </w:p>
        </w:tc>
      </w:tr>
      <w:tr w:rsidR="00306A43" w:rsidRPr="00A266EC" w14:paraId="7B8AC906" w14:textId="77777777" w:rsidTr="00FA69D9">
        <w:trPr>
          <w:trHeight w:val="403"/>
        </w:trPr>
        <w:tc>
          <w:tcPr>
            <w:tcW w:w="2865" w:type="dxa"/>
            <w:vMerge w:val="restart"/>
            <w:tcBorders>
              <w:top w:val="double" w:sz="4" w:space="0" w:color="auto"/>
              <w:left w:val="double" w:sz="4" w:space="0" w:color="auto"/>
              <w:right w:val="double" w:sz="4" w:space="0" w:color="auto"/>
            </w:tcBorders>
            <w:vAlign w:val="center"/>
            <w:hideMark/>
          </w:tcPr>
          <w:p w14:paraId="1B8EC616" w14:textId="77777777" w:rsidR="00306A43" w:rsidRPr="00A266EC" w:rsidRDefault="00306A43" w:rsidP="008B0FD2">
            <w:pPr>
              <w:jc w:val="right"/>
              <w:textAlignment w:val="bottom"/>
              <w:rPr>
                <w:rFonts w:eastAsia="Times New Roman" w:cs="Times New Roman"/>
                <w:szCs w:val="24"/>
              </w:rPr>
            </w:pPr>
            <w:r w:rsidRPr="00A266EC">
              <w:rPr>
                <w:rFonts w:eastAsia="Times New Roman" w:cs="Times New Roman"/>
                <w:kern w:val="24"/>
                <w:szCs w:val="24"/>
              </w:rPr>
              <w:t>Autonomous Vehicle</w:t>
            </w:r>
            <w:r>
              <w:rPr>
                <w:rFonts w:eastAsia="Times New Roman" w:cs="Times New Roman"/>
                <w:kern w:val="24"/>
                <w:szCs w:val="24"/>
              </w:rPr>
              <w:t xml:space="preserve"> (AV)</w:t>
            </w:r>
          </w:p>
        </w:tc>
        <w:tc>
          <w:tcPr>
            <w:tcW w:w="1080" w:type="dxa"/>
            <w:vMerge w:val="restart"/>
            <w:tcBorders>
              <w:top w:val="double" w:sz="4" w:space="0" w:color="auto"/>
              <w:left w:val="double" w:sz="4" w:space="0" w:color="auto"/>
              <w:bottom w:val="nil"/>
              <w:right w:val="nil"/>
            </w:tcBorders>
            <w:vAlign w:val="center"/>
            <w:hideMark/>
          </w:tcPr>
          <w:p w14:paraId="4F51F543" w14:textId="77777777" w:rsidR="00306A43" w:rsidRPr="00A266EC" w:rsidRDefault="00306A43" w:rsidP="008B0FD2">
            <w:pPr>
              <w:jc w:val="center"/>
              <w:textAlignment w:val="bottom"/>
              <w:rPr>
                <w:rFonts w:eastAsia="Times New Roman" w:cs="Times New Roman"/>
                <w:kern w:val="24"/>
                <w:szCs w:val="24"/>
              </w:rPr>
            </w:pPr>
            <w:r w:rsidRPr="00A266EC">
              <w:rPr>
                <w:rFonts w:eastAsia="Times New Roman" w:cs="Times New Roman"/>
                <w:kern w:val="24"/>
                <w:szCs w:val="24"/>
              </w:rPr>
              <w:t>836</w:t>
            </w:r>
          </w:p>
        </w:tc>
        <w:tc>
          <w:tcPr>
            <w:tcW w:w="900" w:type="dxa"/>
            <w:vMerge w:val="restart"/>
            <w:tcBorders>
              <w:top w:val="double" w:sz="4" w:space="0" w:color="auto"/>
              <w:left w:val="nil"/>
              <w:bottom w:val="nil"/>
              <w:right w:val="double" w:sz="4" w:space="0" w:color="auto"/>
            </w:tcBorders>
            <w:vAlign w:val="center"/>
          </w:tcPr>
          <w:p w14:paraId="163AD8D2" w14:textId="77777777" w:rsidR="00306A43" w:rsidRPr="00A266EC" w:rsidRDefault="00306A43" w:rsidP="008B0FD2">
            <w:pPr>
              <w:jc w:val="center"/>
              <w:textAlignment w:val="bottom"/>
              <w:rPr>
                <w:rFonts w:eastAsia="Times New Roman" w:cs="Times New Roman"/>
                <w:szCs w:val="24"/>
              </w:rPr>
            </w:pPr>
            <w:r>
              <w:rPr>
                <w:rFonts w:eastAsia="Times New Roman" w:cs="Times New Roman"/>
                <w:kern w:val="24"/>
                <w:szCs w:val="24"/>
              </w:rPr>
              <w:t xml:space="preserve">  </w:t>
            </w:r>
            <w:r w:rsidRPr="00A266EC">
              <w:rPr>
                <w:rFonts w:eastAsia="Times New Roman" w:cs="Times New Roman"/>
                <w:kern w:val="24"/>
                <w:szCs w:val="24"/>
              </w:rPr>
              <w:t>40.9</w:t>
            </w:r>
          </w:p>
        </w:tc>
        <w:tc>
          <w:tcPr>
            <w:tcW w:w="3150" w:type="dxa"/>
            <w:tcBorders>
              <w:top w:val="double" w:sz="4" w:space="0" w:color="auto"/>
              <w:left w:val="double" w:sz="4" w:space="0" w:color="auto"/>
              <w:bottom w:val="dashSmallGap" w:sz="4" w:space="0" w:color="auto"/>
              <w:right w:val="double" w:sz="4" w:space="0" w:color="auto"/>
            </w:tcBorders>
            <w:vAlign w:val="center"/>
            <w:hideMark/>
          </w:tcPr>
          <w:p w14:paraId="6A9C9CB8" w14:textId="77777777" w:rsidR="00306A43" w:rsidRPr="00A266EC" w:rsidRDefault="00306A43" w:rsidP="008B0FD2">
            <w:pPr>
              <w:jc w:val="right"/>
              <w:textAlignment w:val="bottom"/>
              <w:rPr>
                <w:rFonts w:eastAsia="Times New Roman" w:cs="Times New Roman"/>
                <w:szCs w:val="24"/>
              </w:rPr>
            </w:pPr>
            <w:r w:rsidRPr="00A266EC">
              <w:rPr>
                <w:rFonts w:eastAsia="Times New Roman" w:cs="Times New Roman"/>
                <w:kern w:val="24"/>
                <w:szCs w:val="24"/>
              </w:rPr>
              <w:t>Regular Vehicle</w:t>
            </w:r>
            <w:r>
              <w:rPr>
                <w:rFonts w:eastAsia="Times New Roman" w:cs="Times New Roman"/>
                <w:kern w:val="24"/>
                <w:szCs w:val="24"/>
              </w:rPr>
              <w:t xml:space="preserve"> (RV)</w:t>
            </w:r>
          </w:p>
        </w:tc>
        <w:tc>
          <w:tcPr>
            <w:tcW w:w="1260" w:type="dxa"/>
            <w:tcBorders>
              <w:top w:val="double" w:sz="4" w:space="0" w:color="auto"/>
              <w:left w:val="double" w:sz="4" w:space="0" w:color="auto"/>
              <w:bottom w:val="dashSmallGap" w:sz="4" w:space="0" w:color="auto"/>
              <w:right w:val="nil"/>
            </w:tcBorders>
            <w:vAlign w:val="center"/>
          </w:tcPr>
          <w:p w14:paraId="15353409"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szCs w:val="24"/>
              </w:rPr>
              <w:t>677</w:t>
            </w:r>
          </w:p>
        </w:tc>
        <w:tc>
          <w:tcPr>
            <w:tcW w:w="1440" w:type="dxa"/>
            <w:tcBorders>
              <w:top w:val="double" w:sz="4" w:space="0" w:color="auto"/>
              <w:left w:val="nil"/>
              <w:bottom w:val="dashSmallGap" w:sz="4" w:space="0" w:color="auto"/>
              <w:right w:val="nil"/>
            </w:tcBorders>
            <w:vAlign w:val="center"/>
            <w:hideMark/>
          </w:tcPr>
          <w:p w14:paraId="3519F40B"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kern w:val="24"/>
                <w:szCs w:val="24"/>
              </w:rPr>
              <w:t>81.0</w:t>
            </w:r>
          </w:p>
        </w:tc>
        <w:tc>
          <w:tcPr>
            <w:tcW w:w="1530" w:type="dxa"/>
            <w:tcBorders>
              <w:top w:val="double" w:sz="4" w:space="0" w:color="auto"/>
              <w:left w:val="nil"/>
              <w:bottom w:val="dashSmallGap" w:sz="4" w:space="0" w:color="auto"/>
              <w:right w:val="double" w:sz="4" w:space="0" w:color="auto"/>
            </w:tcBorders>
            <w:vAlign w:val="center"/>
            <w:hideMark/>
          </w:tcPr>
          <w:p w14:paraId="3FB41B5E"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kern w:val="24"/>
                <w:szCs w:val="24"/>
              </w:rPr>
              <w:t>33.2</w:t>
            </w:r>
          </w:p>
        </w:tc>
      </w:tr>
      <w:tr w:rsidR="00306A43" w:rsidRPr="00A266EC" w14:paraId="08495130" w14:textId="77777777" w:rsidTr="00FA69D9">
        <w:trPr>
          <w:trHeight w:val="403"/>
        </w:trPr>
        <w:tc>
          <w:tcPr>
            <w:tcW w:w="2865" w:type="dxa"/>
            <w:vMerge/>
            <w:tcBorders>
              <w:left w:val="double" w:sz="4" w:space="0" w:color="auto"/>
              <w:bottom w:val="double" w:sz="4" w:space="0" w:color="auto"/>
              <w:right w:val="double" w:sz="4" w:space="0" w:color="auto"/>
            </w:tcBorders>
            <w:vAlign w:val="center"/>
            <w:hideMark/>
          </w:tcPr>
          <w:p w14:paraId="164EF041" w14:textId="77777777" w:rsidR="00306A43" w:rsidRPr="00A266EC" w:rsidRDefault="00306A43" w:rsidP="008B0FD2">
            <w:pPr>
              <w:jc w:val="right"/>
              <w:rPr>
                <w:rFonts w:eastAsia="Times New Roman" w:cs="Times New Roman"/>
                <w:szCs w:val="24"/>
              </w:rPr>
            </w:pPr>
          </w:p>
        </w:tc>
        <w:tc>
          <w:tcPr>
            <w:tcW w:w="1080" w:type="dxa"/>
            <w:vMerge/>
            <w:tcBorders>
              <w:top w:val="nil"/>
              <w:left w:val="double" w:sz="4" w:space="0" w:color="auto"/>
              <w:bottom w:val="double" w:sz="4" w:space="0" w:color="auto"/>
              <w:right w:val="nil"/>
            </w:tcBorders>
            <w:vAlign w:val="center"/>
            <w:hideMark/>
          </w:tcPr>
          <w:p w14:paraId="6D63B7DD" w14:textId="77777777" w:rsidR="00306A43" w:rsidRPr="00A266EC" w:rsidRDefault="00306A43" w:rsidP="008B0FD2">
            <w:pPr>
              <w:jc w:val="center"/>
              <w:rPr>
                <w:rFonts w:eastAsia="Times New Roman" w:cs="Times New Roman"/>
                <w:szCs w:val="24"/>
              </w:rPr>
            </w:pPr>
          </w:p>
        </w:tc>
        <w:tc>
          <w:tcPr>
            <w:tcW w:w="900" w:type="dxa"/>
            <w:vMerge/>
            <w:tcBorders>
              <w:top w:val="nil"/>
              <w:left w:val="nil"/>
              <w:bottom w:val="double" w:sz="4" w:space="0" w:color="auto"/>
              <w:right w:val="double" w:sz="4" w:space="0" w:color="auto"/>
            </w:tcBorders>
            <w:vAlign w:val="center"/>
          </w:tcPr>
          <w:p w14:paraId="259199B7" w14:textId="77777777" w:rsidR="00306A43" w:rsidRPr="00A266EC" w:rsidRDefault="00306A43" w:rsidP="008B0FD2">
            <w:pPr>
              <w:jc w:val="center"/>
              <w:rPr>
                <w:rFonts w:eastAsia="Times New Roman" w:cs="Times New Roman"/>
                <w:szCs w:val="24"/>
              </w:rPr>
            </w:pPr>
          </w:p>
        </w:tc>
        <w:tc>
          <w:tcPr>
            <w:tcW w:w="3150" w:type="dxa"/>
            <w:tcBorders>
              <w:top w:val="dashSmallGap" w:sz="4" w:space="0" w:color="auto"/>
              <w:left w:val="double" w:sz="4" w:space="0" w:color="auto"/>
              <w:bottom w:val="double" w:sz="4" w:space="0" w:color="auto"/>
              <w:right w:val="double" w:sz="4" w:space="0" w:color="auto"/>
            </w:tcBorders>
            <w:vAlign w:val="center"/>
            <w:hideMark/>
          </w:tcPr>
          <w:p w14:paraId="5DC2C1D8" w14:textId="77777777" w:rsidR="00306A43" w:rsidRPr="00A266EC" w:rsidRDefault="00306A43" w:rsidP="008B0FD2">
            <w:pPr>
              <w:jc w:val="right"/>
              <w:textAlignment w:val="bottom"/>
              <w:rPr>
                <w:rFonts w:eastAsia="Times New Roman" w:cs="Times New Roman"/>
                <w:szCs w:val="24"/>
              </w:rPr>
            </w:pPr>
            <w:r>
              <w:rPr>
                <w:rFonts w:eastAsia="Times New Roman" w:cs="Times New Roman"/>
                <w:kern w:val="24"/>
                <w:szCs w:val="24"/>
              </w:rPr>
              <w:t>Shared AV (SAV)</w:t>
            </w:r>
          </w:p>
        </w:tc>
        <w:tc>
          <w:tcPr>
            <w:tcW w:w="1260" w:type="dxa"/>
            <w:tcBorders>
              <w:top w:val="dashSmallGap" w:sz="4" w:space="0" w:color="auto"/>
              <w:left w:val="double" w:sz="4" w:space="0" w:color="auto"/>
              <w:bottom w:val="double" w:sz="4" w:space="0" w:color="auto"/>
              <w:right w:val="nil"/>
            </w:tcBorders>
            <w:vAlign w:val="center"/>
          </w:tcPr>
          <w:p w14:paraId="1393566F"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szCs w:val="24"/>
              </w:rPr>
              <w:t>159</w:t>
            </w:r>
          </w:p>
        </w:tc>
        <w:tc>
          <w:tcPr>
            <w:tcW w:w="1440" w:type="dxa"/>
            <w:tcBorders>
              <w:top w:val="dashSmallGap" w:sz="4" w:space="0" w:color="auto"/>
              <w:left w:val="nil"/>
              <w:bottom w:val="double" w:sz="4" w:space="0" w:color="auto"/>
              <w:right w:val="nil"/>
            </w:tcBorders>
            <w:vAlign w:val="center"/>
            <w:hideMark/>
          </w:tcPr>
          <w:p w14:paraId="1667A76F"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kern w:val="24"/>
                <w:szCs w:val="24"/>
              </w:rPr>
              <w:t>19.0</w:t>
            </w:r>
          </w:p>
        </w:tc>
        <w:tc>
          <w:tcPr>
            <w:tcW w:w="1530" w:type="dxa"/>
            <w:tcBorders>
              <w:top w:val="dashSmallGap" w:sz="4" w:space="0" w:color="auto"/>
              <w:left w:val="nil"/>
              <w:bottom w:val="double" w:sz="4" w:space="0" w:color="auto"/>
              <w:right w:val="double" w:sz="4" w:space="0" w:color="auto"/>
            </w:tcBorders>
            <w:vAlign w:val="center"/>
            <w:hideMark/>
          </w:tcPr>
          <w:p w14:paraId="218F0F43" w14:textId="77777777" w:rsidR="00306A43" w:rsidRPr="00A266EC" w:rsidRDefault="00306A43" w:rsidP="008B0FD2">
            <w:pPr>
              <w:jc w:val="center"/>
              <w:textAlignment w:val="bottom"/>
              <w:rPr>
                <w:rFonts w:eastAsia="Times New Roman" w:cs="Times New Roman"/>
                <w:szCs w:val="24"/>
              </w:rPr>
            </w:pPr>
            <w:r>
              <w:rPr>
                <w:rFonts w:eastAsia="Times New Roman" w:cs="Times New Roman"/>
                <w:kern w:val="24"/>
                <w:szCs w:val="24"/>
              </w:rPr>
              <w:t xml:space="preserve">  </w:t>
            </w:r>
            <w:r w:rsidRPr="00A266EC">
              <w:rPr>
                <w:rFonts w:eastAsia="Times New Roman" w:cs="Times New Roman"/>
                <w:kern w:val="24"/>
                <w:szCs w:val="24"/>
              </w:rPr>
              <w:t>7.8</w:t>
            </w:r>
          </w:p>
        </w:tc>
      </w:tr>
      <w:tr w:rsidR="00306A43" w:rsidRPr="00A266EC" w14:paraId="18B6B2F5" w14:textId="77777777" w:rsidTr="00FA69D9">
        <w:trPr>
          <w:trHeight w:val="403"/>
        </w:trPr>
        <w:tc>
          <w:tcPr>
            <w:tcW w:w="2865" w:type="dxa"/>
            <w:vMerge w:val="restart"/>
            <w:tcBorders>
              <w:top w:val="double" w:sz="4" w:space="0" w:color="auto"/>
              <w:left w:val="double" w:sz="4" w:space="0" w:color="auto"/>
              <w:right w:val="double" w:sz="4" w:space="0" w:color="auto"/>
            </w:tcBorders>
            <w:vAlign w:val="center"/>
            <w:hideMark/>
          </w:tcPr>
          <w:p w14:paraId="7FBC5BBA" w14:textId="77777777" w:rsidR="00306A43" w:rsidRPr="00A266EC" w:rsidRDefault="00306A43" w:rsidP="008B0FD2">
            <w:pPr>
              <w:jc w:val="right"/>
              <w:textAlignment w:val="bottom"/>
              <w:rPr>
                <w:rFonts w:eastAsia="Times New Roman" w:cs="Times New Roman"/>
                <w:szCs w:val="24"/>
              </w:rPr>
            </w:pPr>
            <w:r>
              <w:rPr>
                <w:rFonts w:eastAsia="Times New Roman" w:cs="Times New Roman"/>
                <w:kern w:val="24"/>
                <w:szCs w:val="24"/>
              </w:rPr>
              <w:t>Shared AV (SAV)</w:t>
            </w:r>
          </w:p>
        </w:tc>
        <w:tc>
          <w:tcPr>
            <w:tcW w:w="1080" w:type="dxa"/>
            <w:vMerge w:val="restart"/>
            <w:tcBorders>
              <w:top w:val="nil"/>
              <w:left w:val="double" w:sz="4" w:space="0" w:color="auto"/>
              <w:bottom w:val="nil"/>
              <w:right w:val="nil"/>
            </w:tcBorders>
            <w:vAlign w:val="center"/>
            <w:hideMark/>
          </w:tcPr>
          <w:p w14:paraId="7817DEBC" w14:textId="77777777" w:rsidR="00306A43" w:rsidRPr="00A266EC" w:rsidRDefault="00306A43" w:rsidP="008B0FD2">
            <w:pPr>
              <w:jc w:val="center"/>
              <w:textAlignment w:val="bottom"/>
              <w:rPr>
                <w:rFonts w:eastAsia="Times New Roman" w:cs="Times New Roman"/>
                <w:kern w:val="24"/>
                <w:szCs w:val="24"/>
              </w:rPr>
            </w:pPr>
            <w:r w:rsidRPr="00A266EC">
              <w:rPr>
                <w:rFonts w:eastAsia="Times New Roman" w:cs="Times New Roman"/>
                <w:kern w:val="24"/>
                <w:szCs w:val="24"/>
              </w:rPr>
              <w:t>268</w:t>
            </w:r>
          </w:p>
        </w:tc>
        <w:tc>
          <w:tcPr>
            <w:tcW w:w="900" w:type="dxa"/>
            <w:vMerge w:val="restart"/>
            <w:tcBorders>
              <w:top w:val="nil"/>
              <w:left w:val="nil"/>
              <w:bottom w:val="nil"/>
              <w:right w:val="double" w:sz="4" w:space="0" w:color="auto"/>
            </w:tcBorders>
            <w:vAlign w:val="center"/>
          </w:tcPr>
          <w:p w14:paraId="46C8CF5A" w14:textId="77777777" w:rsidR="00306A43" w:rsidRPr="00A266EC" w:rsidRDefault="00306A43" w:rsidP="008B0FD2">
            <w:pPr>
              <w:jc w:val="center"/>
              <w:textAlignment w:val="bottom"/>
              <w:rPr>
                <w:rFonts w:eastAsia="Times New Roman" w:cs="Times New Roman"/>
                <w:szCs w:val="24"/>
              </w:rPr>
            </w:pPr>
            <w:r>
              <w:rPr>
                <w:rFonts w:eastAsia="Times New Roman" w:cs="Times New Roman"/>
                <w:kern w:val="24"/>
                <w:szCs w:val="24"/>
              </w:rPr>
              <w:t xml:space="preserve">  </w:t>
            </w:r>
            <w:r w:rsidRPr="00A266EC">
              <w:rPr>
                <w:rFonts w:eastAsia="Times New Roman" w:cs="Times New Roman"/>
                <w:kern w:val="24"/>
                <w:szCs w:val="24"/>
              </w:rPr>
              <w:t>13.2</w:t>
            </w:r>
          </w:p>
        </w:tc>
        <w:tc>
          <w:tcPr>
            <w:tcW w:w="3150" w:type="dxa"/>
            <w:tcBorders>
              <w:top w:val="double" w:sz="4" w:space="0" w:color="auto"/>
              <w:left w:val="double" w:sz="4" w:space="0" w:color="auto"/>
              <w:bottom w:val="dashSmallGap" w:sz="4" w:space="0" w:color="auto"/>
              <w:right w:val="double" w:sz="4" w:space="0" w:color="auto"/>
            </w:tcBorders>
            <w:vAlign w:val="center"/>
            <w:hideMark/>
          </w:tcPr>
          <w:p w14:paraId="20C78FAE" w14:textId="77777777" w:rsidR="00306A43" w:rsidRPr="00A266EC" w:rsidRDefault="00306A43" w:rsidP="008B0FD2">
            <w:pPr>
              <w:jc w:val="right"/>
              <w:textAlignment w:val="bottom"/>
              <w:rPr>
                <w:rFonts w:eastAsia="Times New Roman" w:cs="Times New Roman"/>
                <w:szCs w:val="24"/>
              </w:rPr>
            </w:pPr>
            <w:r w:rsidRPr="00A266EC">
              <w:rPr>
                <w:rFonts w:eastAsia="Times New Roman" w:cs="Times New Roman"/>
                <w:kern w:val="24"/>
                <w:szCs w:val="24"/>
              </w:rPr>
              <w:t>Regular Vehicle</w:t>
            </w:r>
            <w:r>
              <w:rPr>
                <w:rFonts w:eastAsia="Times New Roman" w:cs="Times New Roman"/>
                <w:kern w:val="24"/>
                <w:szCs w:val="24"/>
              </w:rPr>
              <w:t xml:space="preserve"> (RV)</w:t>
            </w:r>
          </w:p>
        </w:tc>
        <w:tc>
          <w:tcPr>
            <w:tcW w:w="1260" w:type="dxa"/>
            <w:tcBorders>
              <w:top w:val="nil"/>
              <w:left w:val="double" w:sz="4" w:space="0" w:color="auto"/>
              <w:bottom w:val="dashSmallGap" w:sz="4" w:space="0" w:color="auto"/>
              <w:right w:val="nil"/>
            </w:tcBorders>
            <w:vAlign w:val="center"/>
          </w:tcPr>
          <w:p w14:paraId="22DFD3D7"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szCs w:val="24"/>
              </w:rPr>
              <w:t>108</w:t>
            </w:r>
          </w:p>
        </w:tc>
        <w:tc>
          <w:tcPr>
            <w:tcW w:w="1440" w:type="dxa"/>
            <w:tcBorders>
              <w:top w:val="nil"/>
              <w:left w:val="nil"/>
              <w:bottom w:val="dashSmallGap" w:sz="4" w:space="0" w:color="auto"/>
              <w:right w:val="nil"/>
            </w:tcBorders>
            <w:vAlign w:val="center"/>
            <w:hideMark/>
          </w:tcPr>
          <w:p w14:paraId="7FCE9979"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kern w:val="24"/>
                <w:szCs w:val="24"/>
              </w:rPr>
              <w:t>40.3</w:t>
            </w:r>
          </w:p>
        </w:tc>
        <w:tc>
          <w:tcPr>
            <w:tcW w:w="1530" w:type="dxa"/>
            <w:tcBorders>
              <w:top w:val="nil"/>
              <w:left w:val="nil"/>
              <w:bottom w:val="dashSmallGap" w:sz="4" w:space="0" w:color="auto"/>
              <w:right w:val="double" w:sz="4" w:space="0" w:color="auto"/>
            </w:tcBorders>
            <w:vAlign w:val="center"/>
            <w:hideMark/>
          </w:tcPr>
          <w:p w14:paraId="33E2A3E7" w14:textId="77777777" w:rsidR="00306A43" w:rsidRPr="00A266EC" w:rsidRDefault="00306A43" w:rsidP="008B0FD2">
            <w:pPr>
              <w:jc w:val="center"/>
              <w:textAlignment w:val="bottom"/>
              <w:rPr>
                <w:rFonts w:eastAsia="Times New Roman" w:cs="Times New Roman"/>
                <w:szCs w:val="24"/>
              </w:rPr>
            </w:pPr>
            <w:r>
              <w:rPr>
                <w:rFonts w:eastAsia="Times New Roman" w:cs="Times New Roman"/>
                <w:kern w:val="24"/>
                <w:szCs w:val="24"/>
              </w:rPr>
              <w:t xml:space="preserve">  </w:t>
            </w:r>
            <w:r w:rsidRPr="00A266EC">
              <w:rPr>
                <w:rFonts w:eastAsia="Times New Roman" w:cs="Times New Roman"/>
                <w:kern w:val="24"/>
                <w:szCs w:val="24"/>
              </w:rPr>
              <w:t>5.3</w:t>
            </w:r>
          </w:p>
        </w:tc>
      </w:tr>
      <w:tr w:rsidR="00306A43" w:rsidRPr="00A266EC" w14:paraId="3026A11D" w14:textId="77777777" w:rsidTr="00FA69D9">
        <w:trPr>
          <w:trHeight w:val="403"/>
        </w:trPr>
        <w:tc>
          <w:tcPr>
            <w:tcW w:w="2865" w:type="dxa"/>
            <w:vMerge/>
            <w:tcBorders>
              <w:left w:val="double" w:sz="4" w:space="0" w:color="auto"/>
              <w:bottom w:val="double" w:sz="4" w:space="0" w:color="auto"/>
              <w:right w:val="double" w:sz="4" w:space="0" w:color="auto"/>
            </w:tcBorders>
            <w:hideMark/>
          </w:tcPr>
          <w:p w14:paraId="33FC12E8" w14:textId="77777777" w:rsidR="00306A43" w:rsidRPr="00A266EC" w:rsidRDefault="00306A43" w:rsidP="008B0FD2">
            <w:pPr>
              <w:jc w:val="both"/>
              <w:rPr>
                <w:rFonts w:eastAsia="Times New Roman" w:cs="Times New Roman"/>
                <w:szCs w:val="24"/>
              </w:rPr>
            </w:pPr>
          </w:p>
        </w:tc>
        <w:tc>
          <w:tcPr>
            <w:tcW w:w="1080" w:type="dxa"/>
            <w:vMerge/>
            <w:tcBorders>
              <w:top w:val="nil"/>
              <w:left w:val="double" w:sz="4" w:space="0" w:color="auto"/>
              <w:bottom w:val="double" w:sz="4" w:space="0" w:color="auto"/>
              <w:right w:val="nil"/>
            </w:tcBorders>
            <w:hideMark/>
          </w:tcPr>
          <w:p w14:paraId="686E2712" w14:textId="77777777" w:rsidR="00306A43" w:rsidRPr="00A266EC" w:rsidRDefault="00306A43" w:rsidP="008B0FD2">
            <w:pPr>
              <w:jc w:val="both"/>
              <w:rPr>
                <w:rFonts w:eastAsia="Times New Roman" w:cs="Times New Roman"/>
                <w:szCs w:val="24"/>
              </w:rPr>
            </w:pPr>
          </w:p>
        </w:tc>
        <w:tc>
          <w:tcPr>
            <w:tcW w:w="900" w:type="dxa"/>
            <w:vMerge/>
            <w:tcBorders>
              <w:top w:val="nil"/>
              <w:left w:val="nil"/>
              <w:bottom w:val="double" w:sz="4" w:space="0" w:color="auto"/>
              <w:right w:val="double" w:sz="4" w:space="0" w:color="auto"/>
            </w:tcBorders>
          </w:tcPr>
          <w:p w14:paraId="64DDC0BE" w14:textId="77777777" w:rsidR="00306A43" w:rsidRPr="00A266EC" w:rsidRDefault="00306A43" w:rsidP="008B0FD2">
            <w:pPr>
              <w:jc w:val="both"/>
              <w:rPr>
                <w:rFonts w:eastAsia="Times New Roman" w:cs="Times New Roman"/>
                <w:szCs w:val="24"/>
              </w:rPr>
            </w:pPr>
          </w:p>
        </w:tc>
        <w:tc>
          <w:tcPr>
            <w:tcW w:w="3150" w:type="dxa"/>
            <w:tcBorders>
              <w:top w:val="dashSmallGap" w:sz="4" w:space="0" w:color="auto"/>
              <w:left w:val="double" w:sz="4" w:space="0" w:color="auto"/>
              <w:bottom w:val="double" w:sz="4" w:space="0" w:color="auto"/>
              <w:right w:val="double" w:sz="4" w:space="0" w:color="auto"/>
            </w:tcBorders>
            <w:vAlign w:val="center"/>
            <w:hideMark/>
          </w:tcPr>
          <w:p w14:paraId="2A3825BF" w14:textId="77777777" w:rsidR="00306A43" w:rsidRPr="00A266EC" w:rsidRDefault="00306A43" w:rsidP="008B0FD2">
            <w:pPr>
              <w:jc w:val="right"/>
              <w:textAlignment w:val="bottom"/>
              <w:rPr>
                <w:rFonts w:eastAsia="Times New Roman" w:cs="Times New Roman"/>
                <w:szCs w:val="24"/>
              </w:rPr>
            </w:pPr>
            <w:r w:rsidRPr="00A266EC">
              <w:rPr>
                <w:rFonts w:eastAsia="Times New Roman" w:cs="Times New Roman"/>
                <w:kern w:val="24"/>
                <w:szCs w:val="24"/>
              </w:rPr>
              <w:t>Autonomous Vehicle</w:t>
            </w:r>
            <w:r>
              <w:rPr>
                <w:rFonts w:eastAsia="Times New Roman" w:cs="Times New Roman"/>
                <w:kern w:val="24"/>
                <w:szCs w:val="24"/>
              </w:rPr>
              <w:t xml:space="preserve"> (AV)</w:t>
            </w:r>
          </w:p>
        </w:tc>
        <w:tc>
          <w:tcPr>
            <w:tcW w:w="1260" w:type="dxa"/>
            <w:tcBorders>
              <w:top w:val="dashSmallGap" w:sz="4" w:space="0" w:color="auto"/>
              <w:left w:val="double" w:sz="4" w:space="0" w:color="auto"/>
              <w:bottom w:val="double" w:sz="4" w:space="0" w:color="auto"/>
              <w:right w:val="nil"/>
            </w:tcBorders>
            <w:vAlign w:val="center"/>
          </w:tcPr>
          <w:p w14:paraId="470CD95E"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szCs w:val="24"/>
              </w:rPr>
              <w:t>160</w:t>
            </w:r>
          </w:p>
        </w:tc>
        <w:tc>
          <w:tcPr>
            <w:tcW w:w="1440" w:type="dxa"/>
            <w:tcBorders>
              <w:top w:val="dashSmallGap" w:sz="4" w:space="0" w:color="auto"/>
              <w:left w:val="nil"/>
              <w:bottom w:val="double" w:sz="4" w:space="0" w:color="auto"/>
              <w:right w:val="nil"/>
            </w:tcBorders>
            <w:vAlign w:val="center"/>
            <w:hideMark/>
          </w:tcPr>
          <w:p w14:paraId="52FBC1D7" w14:textId="77777777" w:rsidR="00306A43" w:rsidRPr="00A266EC" w:rsidRDefault="00306A43" w:rsidP="008B0FD2">
            <w:pPr>
              <w:jc w:val="center"/>
              <w:textAlignment w:val="bottom"/>
              <w:rPr>
                <w:rFonts w:eastAsia="Times New Roman" w:cs="Times New Roman"/>
                <w:szCs w:val="24"/>
              </w:rPr>
            </w:pPr>
            <w:r w:rsidRPr="00A266EC">
              <w:rPr>
                <w:rFonts w:eastAsia="Times New Roman" w:cs="Times New Roman"/>
                <w:kern w:val="24"/>
                <w:szCs w:val="24"/>
              </w:rPr>
              <w:t>59.7</w:t>
            </w:r>
          </w:p>
        </w:tc>
        <w:tc>
          <w:tcPr>
            <w:tcW w:w="1530" w:type="dxa"/>
            <w:tcBorders>
              <w:top w:val="dashSmallGap" w:sz="4" w:space="0" w:color="auto"/>
              <w:left w:val="nil"/>
              <w:bottom w:val="double" w:sz="4" w:space="0" w:color="auto"/>
              <w:right w:val="double" w:sz="4" w:space="0" w:color="auto"/>
            </w:tcBorders>
            <w:vAlign w:val="center"/>
            <w:hideMark/>
          </w:tcPr>
          <w:p w14:paraId="1F483504" w14:textId="77777777" w:rsidR="00306A43" w:rsidRPr="00A266EC" w:rsidRDefault="00306A43" w:rsidP="008B0FD2">
            <w:pPr>
              <w:jc w:val="center"/>
              <w:textAlignment w:val="bottom"/>
              <w:rPr>
                <w:rFonts w:eastAsia="Times New Roman" w:cs="Times New Roman"/>
                <w:szCs w:val="24"/>
              </w:rPr>
            </w:pPr>
            <w:r>
              <w:rPr>
                <w:rFonts w:eastAsia="Times New Roman" w:cs="Times New Roman"/>
                <w:kern w:val="24"/>
                <w:szCs w:val="24"/>
              </w:rPr>
              <w:t xml:space="preserve">  </w:t>
            </w:r>
            <w:r w:rsidRPr="00A266EC">
              <w:rPr>
                <w:rFonts w:eastAsia="Times New Roman" w:cs="Times New Roman"/>
                <w:kern w:val="24"/>
                <w:szCs w:val="24"/>
              </w:rPr>
              <w:t>7.8</w:t>
            </w:r>
          </w:p>
        </w:tc>
      </w:tr>
      <w:tr w:rsidR="00306A43" w:rsidRPr="00A266EC" w14:paraId="44AEA359" w14:textId="77777777" w:rsidTr="00FA69D9">
        <w:trPr>
          <w:trHeight w:val="403"/>
        </w:trPr>
        <w:tc>
          <w:tcPr>
            <w:tcW w:w="2865" w:type="dxa"/>
            <w:tcBorders>
              <w:top w:val="double" w:sz="4" w:space="0" w:color="auto"/>
              <w:left w:val="double" w:sz="4" w:space="0" w:color="auto"/>
              <w:bottom w:val="double" w:sz="4" w:space="0" w:color="auto"/>
              <w:right w:val="double" w:sz="4" w:space="0" w:color="auto"/>
            </w:tcBorders>
            <w:vAlign w:val="center"/>
            <w:hideMark/>
          </w:tcPr>
          <w:p w14:paraId="54FF9406" w14:textId="77777777" w:rsidR="00306A43" w:rsidRPr="00A266EC" w:rsidRDefault="00306A43" w:rsidP="008B0FD2">
            <w:pPr>
              <w:jc w:val="both"/>
              <w:textAlignment w:val="bottom"/>
              <w:rPr>
                <w:rFonts w:eastAsia="Times New Roman" w:cs="Times New Roman"/>
                <w:szCs w:val="24"/>
              </w:rPr>
            </w:pPr>
            <w:r w:rsidRPr="00A266EC">
              <w:rPr>
                <w:rFonts w:eastAsia="Times New Roman" w:cs="Times New Roman"/>
                <w:kern w:val="24"/>
                <w:szCs w:val="24"/>
              </w:rPr>
              <w:t>Total</w:t>
            </w:r>
          </w:p>
        </w:tc>
        <w:tc>
          <w:tcPr>
            <w:tcW w:w="1080" w:type="dxa"/>
            <w:tcBorders>
              <w:top w:val="double" w:sz="4" w:space="0" w:color="auto"/>
              <w:left w:val="double" w:sz="4" w:space="0" w:color="auto"/>
              <w:bottom w:val="double" w:sz="4" w:space="0" w:color="auto"/>
              <w:right w:val="single" w:sz="4" w:space="0" w:color="FFFFFF" w:themeColor="background1"/>
            </w:tcBorders>
            <w:vAlign w:val="center"/>
            <w:hideMark/>
          </w:tcPr>
          <w:p w14:paraId="6BDE96C0" w14:textId="77777777" w:rsidR="00306A43" w:rsidRPr="00A266EC" w:rsidRDefault="00306A43" w:rsidP="008B0FD2">
            <w:pPr>
              <w:jc w:val="center"/>
              <w:textAlignment w:val="bottom"/>
              <w:rPr>
                <w:rFonts w:eastAsia="Times New Roman" w:cs="Times New Roman"/>
                <w:kern w:val="24"/>
                <w:szCs w:val="24"/>
              </w:rPr>
            </w:pPr>
            <w:r w:rsidRPr="00A266EC">
              <w:rPr>
                <w:rFonts w:eastAsia="Times New Roman" w:cs="Times New Roman"/>
                <w:kern w:val="24"/>
                <w:szCs w:val="24"/>
              </w:rPr>
              <w:t>2042</w:t>
            </w:r>
          </w:p>
        </w:tc>
        <w:tc>
          <w:tcPr>
            <w:tcW w:w="900" w:type="dxa"/>
            <w:tcBorders>
              <w:top w:val="double" w:sz="4" w:space="0" w:color="auto"/>
              <w:left w:val="single" w:sz="4" w:space="0" w:color="FFFFFF" w:themeColor="background1"/>
              <w:bottom w:val="double" w:sz="4" w:space="0" w:color="auto"/>
              <w:right w:val="dashSmallGap" w:sz="4" w:space="0" w:color="FFFFFF" w:themeColor="background1"/>
            </w:tcBorders>
            <w:vAlign w:val="center"/>
          </w:tcPr>
          <w:p w14:paraId="554A2528" w14:textId="77777777" w:rsidR="00306A43" w:rsidRPr="00A266EC" w:rsidRDefault="00306A43" w:rsidP="008B0FD2">
            <w:pPr>
              <w:jc w:val="center"/>
              <w:textAlignment w:val="bottom"/>
              <w:rPr>
                <w:rFonts w:eastAsia="Times New Roman" w:cs="Times New Roman"/>
                <w:kern w:val="24"/>
                <w:szCs w:val="24"/>
              </w:rPr>
            </w:pPr>
            <w:r w:rsidRPr="00A266EC">
              <w:rPr>
                <w:rFonts w:eastAsia="Times New Roman" w:cs="Times New Roman"/>
                <w:kern w:val="24"/>
                <w:szCs w:val="24"/>
              </w:rPr>
              <w:t>100.0</w:t>
            </w:r>
          </w:p>
        </w:tc>
        <w:tc>
          <w:tcPr>
            <w:tcW w:w="3150" w:type="dxa"/>
            <w:tcBorders>
              <w:top w:val="double" w:sz="4" w:space="0" w:color="auto"/>
              <w:left w:val="dashSmallGap" w:sz="4" w:space="0" w:color="FFFFFF" w:themeColor="background1"/>
              <w:bottom w:val="double" w:sz="4" w:space="0" w:color="auto"/>
              <w:right w:val="dashSmallGap" w:sz="4" w:space="0" w:color="FFFFFF" w:themeColor="background1"/>
            </w:tcBorders>
            <w:hideMark/>
          </w:tcPr>
          <w:p w14:paraId="18804E78" w14:textId="77777777" w:rsidR="00306A43" w:rsidRPr="00A266EC" w:rsidRDefault="00306A43" w:rsidP="008B0FD2">
            <w:pPr>
              <w:jc w:val="both"/>
              <w:rPr>
                <w:rFonts w:eastAsia="Times New Roman" w:cs="Times New Roman"/>
                <w:szCs w:val="24"/>
              </w:rPr>
            </w:pPr>
          </w:p>
        </w:tc>
        <w:tc>
          <w:tcPr>
            <w:tcW w:w="1260" w:type="dxa"/>
            <w:tcBorders>
              <w:top w:val="nil"/>
              <w:left w:val="dashSmallGap" w:sz="4" w:space="0" w:color="FFFFFF" w:themeColor="background1"/>
              <w:bottom w:val="double" w:sz="4" w:space="0" w:color="auto"/>
              <w:right w:val="dashSmallGap" w:sz="4" w:space="0" w:color="FFFFFF" w:themeColor="background1"/>
            </w:tcBorders>
            <w:vAlign w:val="center"/>
            <w:hideMark/>
          </w:tcPr>
          <w:p w14:paraId="0D4F0A65" w14:textId="77777777" w:rsidR="00306A43" w:rsidRPr="00A266EC" w:rsidRDefault="00306A43" w:rsidP="008B0FD2">
            <w:pPr>
              <w:jc w:val="both"/>
              <w:rPr>
                <w:rFonts w:eastAsia="Times New Roman" w:cs="Times New Roman"/>
                <w:szCs w:val="24"/>
              </w:rPr>
            </w:pPr>
          </w:p>
        </w:tc>
        <w:tc>
          <w:tcPr>
            <w:tcW w:w="1440" w:type="dxa"/>
            <w:tcBorders>
              <w:top w:val="nil"/>
              <w:left w:val="dashSmallGap" w:sz="4" w:space="0" w:color="FFFFFF" w:themeColor="background1"/>
              <w:bottom w:val="double" w:sz="4" w:space="0" w:color="auto"/>
              <w:right w:val="dashSmallGap" w:sz="4" w:space="0" w:color="FFFFFF" w:themeColor="background1"/>
            </w:tcBorders>
            <w:hideMark/>
          </w:tcPr>
          <w:p w14:paraId="2C4E6C08" w14:textId="77777777" w:rsidR="00306A43" w:rsidRPr="00A266EC" w:rsidRDefault="00306A43" w:rsidP="008B0FD2">
            <w:pPr>
              <w:jc w:val="both"/>
              <w:rPr>
                <w:rFonts w:eastAsia="Times New Roman" w:cs="Times New Roman"/>
                <w:szCs w:val="24"/>
              </w:rPr>
            </w:pPr>
          </w:p>
        </w:tc>
        <w:tc>
          <w:tcPr>
            <w:tcW w:w="1530" w:type="dxa"/>
            <w:tcBorders>
              <w:top w:val="nil"/>
              <w:left w:val="dashSmallGap" w:sz="4" w:space="0" w:color="FFFFFF" w:themeColor="background1"/>
              <w:bottom w:val="double" w:sz="4" w:space="0" w:color="auto"/>
              <w:right w:val="double" w:sz="4" w:space="0" w:color="auto"/>
            </w:tcBorders>
            <w:hideMark/>
          </w:tcPr>
          <w:p w14:paraId="5793303E" w14:textId="77777777" w:rsidR="00306A43" w:rsidRPr="00A266EC" w:rsidRDefault="00306A43" w:rsidP="008B0FD2">
            <w:pPr>
              <w:jc w:val="both"/>
              <w:rPr>
                <w:rFonts w:eastAsia="Times New Roman" w:cs="Times New Roman"/>
                <w:szCs w:val="24"/>
              </w:rPr>
            </w:pPr>
          </w:p>
        </w:tc>
      </w:tr>
    </w:tbl>
    <w:p w14:paraId="586A3A02" w14:textId="7E404E11" w:rsidR="00306A43" w:rsidRDefault="00306A43" w:rsidP="00AB20AD">
      <w:pPr>
        <w:jc w:val="both"/>
        <w:rPr>
          <w:b/>
          <w:bCs/>
          <w:szCs w:val="24"/>
        </w:rPr>
      </w:pPr>
    </w:p>
    <w:p w14:paraId="229B720C" w14:textId="77777777" w:rsidR="00306A43" w:rsidRDefault="00306A43" w:rsidP="00052432">
      <w:pPr>
        <w:spacing w:after="120"/>
        <w:jc w:val="both"/>
        <w:rPr>
          <w:b/>
          <w:bCs/>
          <w:szCs w:val="24"/>
        </w:rPr>
      </w:pPr>
    </w:p>
    <w:p w14:paraId="695EE7DF" w14:textId="795DF708" w:rsidR="00D47D34" w:rsidRPr="00A266EC" w:rsidRDefault="00D47D34" w:rsidP="00306A43">
      <w:pPr>
        <w:spacing w:after="120"/>
        <w:jc w:val="both"/>
        <w:rPr>
          <w:b/>
          <w:bCs/>
          <w:szCs w:val="24"/>
        </w:rPr>
      </w:pPr>
      <w:r w:rsidRPr="00A266EC">
        <w:rPr>
          <w:b/>
          <w:bCs/>
          <w:szCs w:val="24"/>
        </w:rPr>
        <w:t xml:space="preserve">Table </w:t>
      </w:r>
      <w:r w:rsidR="006B3123">
        <w:rPr>
          <w:b/>
          <w:bCs/>
          <w:szCs w:val="24"/>
        </w:rPr>
        <w:t>2</w:t>
      </w:r>
      <w:r w:rsidRPr="00A266EC">
        <w:rPr>
          <w:b/>
          <w:bCs/>
          <w:szCs w:val="24"/>
        </w:rPr>
        <w:t xml:space="preserve">. </w:t>
      </w:r>
      <w:r>
        <w:rPr>
          <w:b/>
          <w:bCs/>
          <w:szCs w:val="24"/>
        </w:rPr>
        <w:t>Distribution of First Ranked Choice</w:t>
      </w:r>
      <w:r w:rsidRPr="00A266EC">
        <w:rPr>
          <w:b/>
          <w:bCs/>
          <w:szCs w:val="24"/>
        </w:rPr>
        <w:t xml:space="preserve"> of Next Vehicle Purchase by Timing of AV Purchase</w:t>
      </w:r>
    </w:p>
    <w:tbl>
      <w:tblPr>
        <w:tblStyle w:val="TableGrid"/>
        <w:tblW w:w="12229" w:type="dxa"/>
        <w:tblLook w:val="04A0" w:firstRow="1" w:lastRow="0" w:firstColumn="1" w:lastColumn="0" w:noHBand="0" w:noVBand="1"/>
      </w:tblPr>
      <w:tblGrid>
        <w:gridCol w:w="2775"/>
        <w:gridCol w:w="2070"/>
        <w:gridCol w:w="2520"/>
        <w:gridCol w:w="2970"/>
        <w:gridCol w:w="1894"/>
      </w:tblGrid>
      <w:tr w:rsidR="009E5A2B" w:rsidRPr="00A266EC" w14:paraId="71E0E07F" w14:textId="77777777" w:rsidTr="009E5A2B">
        <w:trPr>
          <w:trHeight w:val="432"/>
        </w:trPr>
        <w:tc>
          <w:tcPr>
            <w:tcW w:w="2775" w:type="dxa"/>
            <w:vMerge w:val="restart"/>
            <w:tcBorders>
              <w:top w:val="double" w:sz="4" w:space="0" w:color="auto"/>
              <w:left w:val="double" w:sz="4" w:space="0" w:color="auto"/>
              <w:bottom w:val="double" w:sz="4" w:space="0" w:color="auto"/>
              <w:right w:val="double" w:sz="4" w:space="0" w:color="auto"/>
            </w:tcBorders>
            <w:vAlign w:val="bottom"/>
            <w:hideMark/>
          </w:tcPr>
          <w:p w14:paraId="78F237DD" w14:textId="77777777" w:rsidR="009E5A2B" w:rsidRPr="00A266EC" w:rsidRDefault="009E5A2B" w:rsidP="00AB20AD">
            <w:pPr>
              <w:jc w:val="center"/>
              <w:rPr>
                <w:rFonts w:cs="Times New Roman"/>
                <w:szCs w:val="24"/>
              </w:rPr>
            </w:pPr>
            <w:bookmarkStart w:id="12" w:name="_Hlk43314102"/>
            <w:r>
              <w:rPr>
                <w:rFonts w:cs="Times New Roman"/>
                <w:szCs w:val="24"/>
              </w:rPr>
              <w:t>First-choice</w:t>
            </w:r>
          </w:p>
        </w:tc>
        <w:tc>
          <w:tcPr>
            <w:tcW w:w="7560" w:type="dxa"/>
            <w:gridSpan w:val="3"/>
            <w:tcBorders>
              <w:top w:val="double" w:sz="4" w:space="0" w:color="auto"/>
              <w:left w:val="double" w:sz="4" w:space="0" w:color="auto"/>
              <w:bottom w:val="double" w:sz="4" w:space="0" w:color="auto"/>
              <w:right w:val="double" w:sz="4" w:space="0" w:color="auto"/>
            </w:tcBorders>
            <w:vAlign w:val="center"/>
            <w:hideMark/>
          </w:tcPr>
          <w:p w14:paraId="7F562207" w14:textId="77777777" w:rsidR="009E5A2B" w:rsidRPr="00A266EC" w:rsidRDefault="009E5A2B" w:rsidP="00AB20AD">
            <w:pPr>
              <w:jc w:val="center"/>
              <w:rPr>
                <w:rFonts w:cs="Times New Roman"/>
                <w:szCs w:val="24"/>
              </w:rPr>
            </w:pPr>
            <w:r w:rsidRPr="00A266EC">
              <w:rPr>
                <w:rFonts w:cs="Times New Roman"/>
                <w:szCs w:val="24"/>
              </w:rPr>
              <w:t>Response Category (%)</w:t>
            </w:r>
          </w:p>
        </w:tc>
        <w:tc>
          <w:tcPr>
            <w:tcW w:w="1894" w:type="dxa"/>
            <w:vMerge w:val="restart"/>
            <w:tcBorders>
              <w:top w:val="double" w:sz="4" w:space="0" w:color="auto"/>
              <w:left w:val="double" w:sz="4" w:space="0" w:color="auto"/>
              <w:right w:val="double" w:sz="4" w:space="0" w:color="auto"/>
            </w:tcBorders>
            <w:vAlign w:val="bottom"/>
            <w:hideMark/>
          </w:tcPr>
          <w:p w14:paraId="2664536A" w14:textId="77777777" w:rsidR="009E5A2B" w:rsidRPr="00A266EC" w:rsidRDefault="009E5A2B" w:rsidP="00AB20AD">
            <w:pPr>
              <w:jc w:val="center"/>
              <w:rPr>
                <w:rFonts w:cs="Times New Roman"/>
                <w:i/>
                <w:iCs/>
                <w:szCs w:val="24"/>
              </w:rPr>
            </w:pPr>
            <w:r w:rsidRPr="00A266EC">
              <w:rPr>
                <w:rFonts w:cs="Times New Roman"/>
                <w:i/>
                <w:iCs/>
                <w:szCs w:val="24"/>
              </w:rPr>
              <w:t>Total (%)</w:t>
            </w:r>
          </w:p>
        </w:tc>
      </w:tr>
      <w:tr w:rsidR="009E5A2B" w:rsidRPr="00A266EC" w14:paraId="60B79FA1" w14:textId="77777777" w:rsidTr="009E5A2B">
        <w:trPr>
          <w:trHeight w:val="895"/>
        </w:trPr>
        <w:tc>
          <w:tcPr>
            <w:tcW w:w="2775" w:type="dxa"/>
            <w:vMerge/>
            <w:tcBorders>
              <w:top w:val="double" w:sz="4" w:space="0" w:color="auto"/>
              <w:left w:val="double" w:sz="4" w:space="0" w:color="auto"/>
              <w:bottom w:val="double" w:sz="4" w:space="0" w:color="auto"/>
              <w:right w:val="double" w:sz="4" w:space="0" w:color="auto"/>
            </w:tcBorders>
            <w:vAlign w:val="center"/>
            <w:hideMark/>
          </w:tcPr>
          <w:p w14:paraId="5B1163EB" w14:textId="77777777" w:rsidR="009E5A2B" w:rsidRPr="00A266EC" w:rsidRDefault="009E5A2B" w:rsidP="00AB20AD">
            <w:pPr>
              <w:jc w:val="both"/>
              <w:rPr>
                <w:rFonts w:cs="Times New Roman"/>
                <w:szCs w:val="24"/>
              </w:rPr>
            </w:pPr>
          </w:p>
        </w:tc>
        <w:tc>
          <w:tcPr>
            <w:tcW w:w="2070" w:type="dxa"/>
            <w:tcBorders>
              <w:top w:val="double" w:sz="4" w:space="0" w:color="auto"/>
              <w:left w:val="double" w:sz="4" w:space="0" w:color="auto"/>
              <w:bottom w:val="double" w:sz="4" w:space="0" w:color="auto"/>
              <w:right w:val="double" w:sz="4" w:space="0" w:color="auto"/>
            </w:tcBorders>
            <w:vAlign w:val="center"/>
            <w:hideMark/>
          </w:tcPr>
          <w:p w14:paraId="45330AE8" w14:textId="77777777" w:rsidR="009E5A2B" w:rsidRPr="00A266EC" w:rsidRDefault="009E5A2B" w:rsidP="00AB20AD">
            <w:pPr>
              <w:jc w:val="center"/>
              <w:rPr>
                <w:rFonts w:cs="Times New Roman"/>
                <w:szCs w:val="24"/>
              </w:rPr>
            </w:pPr>
            <w:r w:rsidRPr="00A266EC">
              <w:rPr>
                <w:rFonts w:cs="Times New Roman"/>
                <w:szCs w:val="24"/>
              </w:rPr>
              <w:t>I will never buy an AV</w:t>
            </w:r>
            <w:r>
              <w:rPr>
                <w:rFonts w:cs="Times New Roman"/>
                <w:szCs w:val="24"/>
              </w:rPr>
              <w:t xml:space="preserve"> (NB)</w:t>
            </w:r>
          </w:p>
        </w:tc>
        <w:tc>
          <w:tcPr>
            <w:tcW w:w="2520" w:type="dxa"/>
            <w:tcBorders>
              <w:top w:val="double" w:sz="4" w:space="0" w:color="auto"/>
              <w:left w:val="double" w:sz="4" w:space="0" w:color="auto"/>
              <w:bottom w:val="double" w:sz="4" w:space="0" w:color="auto"/>
              <w:right w:val="double" w:sz="4" w:space="0" w:color="auto"/>
            </w:tcBorders>
            <w:vAlign w:val="center"/>
            <w:hideMark/>
          </w:tcPr>
          <w:p w14:paraId="52364CA2" w14:textId="77777777" w:rsidR="009E5A2B" w:rsidRDefault="009E5A2B" w:rsidP="00AB20AD">
            <w:pPr>
              <w:jc w:val="center"/>
              <w:rPr>
                <w:rFonts w:cs="Times New Roman"/>
                <w:szCs w:val="24"/>
              </w:rPr>
            </w:pPr>
            <w:r w:rsidRPr="00A266EC">
              <w:rPr>
                <w:rFonts w:cs="Times New Roman"/>
                <w:szCs w:val="24"/>
              </w:rPr>
              <w:t>I will be one of the first people to buy an AV</w:t>
            </w:r>
          </w:p>
          <w:p w14:paraId="0826C157" w14:textId="77777777" w:rsidR="009E5A2B" w:rsidRPr="00A266EC" w:rsidRDefault="009E5A2B" w:rsidP="00AB20AD">
            <w:pPr>
              <w:jc w:val="center"/>
              <w:rPr>
                <w:rFonts w:cs="Times New Roman"/>
                <w:szCs w:val="24"/>
              </w:rPr>
            </w:pPr>
            <w:r>
              <w:rPr>
                <w:rFonts w:cs="Times New Roman"/>
                <w:szCs w:val="24"/>
              </w:rPr>
              <w:t>(FB)</w:t>
            </w:r>
          </w:p>
        </w:tc>
        <w:tc>
          <w:tcPr>
            <w:tcW w:w="2970" w:type="dxa"/>
            <w:tcBorders>
              <w:top w:val="double" w:sz="4" w:space="0" w:color="auto"/>
              <w:left w:val="double" w:sz="4" w:space="0" w:color="auto"/>
              <w:bottom w:val="double" w:sz="4" w:space="0" w:color="auto"/>
              <w:right w:val="double" w:sz="4" w:space="0" w:color="auto"/>
            </w:tcBorders>
            <w:vAlign w:val="center"/>
            <w:hideMark/>
          </w:tcPr>
          <w:p w14:paraId="51D3DBF4" w14:textId="77777777" w:rsidR="009E5A2B" w:rsidRPr="00A266EC" w:rsidRDefault="009E5A2B" w:rsidP="00AB20AD">
            <w:pPr>
              <w:jc w:val="center"/>
              <w:rPr>
                <w:rFonts w:cs="Times New Roman"/>
                <w:szCs w:val="24"/>
              </w:rPr>
            </w:pPr>
            <w:r w:rsidRPr="00A266EC">
              <w:rPr>
                <w:rFonts w:cs="Times New Roman"/>
                <w:szCs w:val="24"/>
              </w:rPr>
              <w:t>I will eventually buy an AV, but only after these vehicles are in common use</w:t>
            </w:r>
            <w:r>
              <w:rPr>
                <w:rFonts w:cs="Times New Roman"/>
                <w:szCs w:val="24"/>
              </w:rPr>
              <w:t xml:space="preserve"> (EB)</w:t>
            </w:r>
          </w:p>
        </w:tc>
        <w:tc>
          <w:tcPr>
            <w:tcW w:w="1894" w:type="dxa"/>
            <w:vMerge/>
            <w:tcBorders>
              <w:left w:val="double" w:sz="4" w:space="0" w:color="auto"/>
              <w:bottom w:val="double" w:sz="4" w:space="0" w:color="auto"/>
              <w:right w:val="double" w:sz="4" w:space="0" w:color="auto"/>
            </w:tcBorders>
            <w:vAlign w:val="center"/>
            <w:hideMark/>
          </w:tcPr>
          <w:p w14:paraId="47AA0611" w14:textId="77777777" w:rsidR="009E5A2B" w:rsidRPr="00A266EC" w:rsidRDefault="009E5A2B" w:rsidP="00AB20AD">
            <w:pPr>
              <w:jc w:val="both"/>
              <w:rPr>
                <w:rFonts w:cs="Times New Roman"/>
                <w:i/>
                <w:iCs/>
                <w:szCs w:val="24"/>
              </w:rPr>
            </w:pPr>
          </w:p>
        </w:tc>
      </w:tr>
      <w:tr w:rsidR="00D47D34" w:rsidRPr="00A266EC" w14:paraId="00DE24FA" w14:textId="77777777" w:rsidTr="00052432">
        <w:trPr>
          <w:trHeight w:val="576"/>
        </w:trPr>
        <w:tc>
          <w:tcPr>
            <w:tcW w:w="2775" w:type="dxa"/>
            <w:tcBorders>
              <w:top w:val="single" w:sz="4" w:space="0" w:color="auto"/>
              <w:left w:val="double" w:sz="4" w:space="0" w:color="auto"/>
              <w:bottom w:val="single" w:sz="4" w:space="0" w:color="auto"/>
              <w:right w:val="double" w:sz="4" w:space="0" w:color="auto"/>
            </w:tcBorders>
            <w:vAlign w:val="center"/>
            <w:hideMark/>
          </w:tcPr>
          <w:p w14:paraId="7F73BB13" w14:textId="77777777" w:rsidR="00D47D34" w:rsidRPr="00A266EC" w:rsidRDefault="00D47D34" w:rsidP="00AB20AD">
            <w:pPr>
              <w:jc w:val="right"/>
              <w:rPr>
                <w:rFonts w:eastAsia="Times New Roman" w:cs="Times New Roman"/>
                <w:kern w:val="24"/>
                <w:szCs w:val="24"/>
              </w:rPr>
            </w:pPr>
            <w:r w:rsidRPr="00A266EC">
              <w:rPr>
                <w:rFonts w:eastAsia="Times New Roman" w:cs="Times New Roman"/>
                <w:kern w:val="24"/>
                <w:szCs w:val="24"/>
              </w:rPr>
              <w:t>Regular Vehicle</w:t>
            </w:r>
            <w:r>
              <w:rPr>
                <w:rFonts w:eastAsia="Times New Roman" w:cs="Times New Roman"/>
                <w:kern w:val="24"/>
                <w:szCs w:val="24"/>
              </w:rPr>
              <w:t xml:space="preserve"> (RV)</w:t>
            </w:r>
          </w:p>
        </w:tc>
        <w:tc>
          <w:tcPr>
            <w:tcW w:w="2070" w:type="dxa"/>
            <w:tcBorders>
              <w:top w:val="single" w:sz="4" w:space="0" w:color="auto"/>
              <w:left w:val="double" w:sz="4" w:space="0" w:color="auto"/>
              <w:bottom w:val="single" w:sz="4" w:space="0" w:color="auto"/>
              <w:right w:val="double" w:sz="4" w:space="0" w:color="auto"/>
            </w:tcBorders>
            <w:vAlign w:val="center"/>
            <w:hideMark/>
          </w:tcPr>
          <w:p w14:paraId="58A42828" w14:textId="289C8F4E" w:rsidR="00D47D34" w:rsidRPr="00A266EC" w:rsidRDefault="00D47D34" w:rsidP="009E5A2B">
            <w:pPr>
              <w:tabs>
                <w:tab w:val="decimal" w:pos="343"/>
              </w:tabs>
              <w:jc w:val="center"/>
              <w:rPr>
                <w:rFonts w:cs="Times New Roman"/>
                <w:szCs w:val="24"/>
              </w:rPr>
            </w:pPr>
            <w:r w:rsidRPr="00A266EC">
              <w:rPr>
                <w:rFonts w:cs="Times New Roman"/>
                <w:szCs w:val="24"/>
              </w:rPr>
              <w:t>425</w:t>
            </w:r>
            <w:r w:rsidR="009E5A2B">
              <w:rPr>
                <w:rFonts w:cs="Times New Roman"/>
                <w:szCs w:val="24"/>
              </w:rPr>
              <w:t xml:space="preserve"> </w:t>
            </w:r>
            <w:r w:rsidRPr="00A266EC">
              <w:rPr>
                <w:rFonts w:cs="Times New Roman"/>
                <w:szCs w:val="24"/>
              </w:rPr>
              <w:t>(77.7)</w:t>
            </w:r>
          </w:p>
        </w:tc>
        <w:tc>
          <w:tcPr>
            <w:tcW w:w="2520" w:type="dxa"/>
            <w:tcBorders>
              <w:top w:val="single" w:sz="4" w:space="0" w:color="auto"/>
              <w:left w:val="double" w:sz="4" w:space="0" w:color="auto"/>
              <w:bottom w:val="single" w:sz="4" w:space="0" w:color="auto"/>
              <w:right w:val="double" w:sz="4" w:space="0" w:color="auto"/>
            </w:tcBorders>
            <w:vAlign w:val="center"/>
            <w:hideMark/>
          </w:tcPr>
          <w:p w14:paraId="082A40D2" w14:textId="631F93DA" w:rsidR="00D47D34" w:rsidRPr="00A266EC" w:rsidRDefault="00D47D34" w:rsidP="009E5A2B">
            <w:pPr>
              <w:jc w:val="center"/>
              <w:rPr>
                <w:rFonts w:cs="Times New Roman"/>
                <w:szCs w:val="24"/>
              </w:rPr>
            </w:pPr>
            <w:r w:rsidRPr="00A266EC">
              <w:rPr>
                <w:rFonts w:cs="Times New Roman"/>
                <w:szCs w:val="24"/>
              </w:rPr>
              <w:t>22</w:t>
            </w:r>
            <w:r w:rsidR="009E5A2B">
              <w:rPr>
                <w:rFonts w:cs="Times New Roman"/>
                <w:szCs w:val="24"/>
              </w:rPr>
              <w:t xml:space="preserve"> </w:t>
            </w:r>
            <w:r w:rsidRPr="00A266EC">
              <w:rPr>
                <w:rFonts w:cs="Times New Roman"/>
                <w:szCs w:val="24"/>
              </w:rPr>
              <w:t>(22.5)</w:t>
            </w:r>
          </w:p>
        </w:tc>
        <w:tc>
          <w:tcPr>
            <w:tcW w:w="2970" w:type="dxa"/>
            <w:tcBorders>
              <w:top w:val="single" w:sz="4" w:space="0" w:color="auto"/>
              <w:left w:val="double" w:sz="4" w:space="0" w:color="auto"/>
              <w:bottom w:val="single" w:sz="4" w:space="0" w:color="auto"/>
              <w:right w:val="double" w:sz="4" w:space="0" w:color="auto"/>
            </w:tcBorders>
            <w:vAlign w:val="center"/>
            <w:hideMark/>
          </w:tcPr>
          <w:p w14:paraId="43E5B06E" w14:textId="7933E172" w:rsidR="00D47D34" w:rsidRPr="00A266EC" w:rsidRDefault="00D47D34" w:rsidP="009E5A2B">
            <w:pPr>
              <w:tabs>
                <w:tab w:val="decimal" w:pos="613"/>
              </w:tabs>
              <w:jc w:val="center"/>
              <w:rPr>
                <w:rFonts w:cs="Times New Roman"/>
                <w:szCs w:val="24"/>
              </w:rPr>
            </w:pPr>
            <w:r w:rsidRPr="00A266EC">
              <w:rPr>
                <w:rFonts w:cs="Times New Roman"/>
                <w:szCs w:val="24"/>
              </w:rPr>
              <w:t>491</w:t>
            </w:r>
            <w:r w:rsidR="009E5A2B">
              <w:rPr>
                <w:rFonts w:cs="Times New Roman"/>
                <w:szCs w:val="24"/>
              </w:rPr>
              <w:t xml:space="preserve"> </w:t>
            </w:r>
            <w:r w:rsidRPr="00A266EC">
              <w:rPr>
                <w:rFonts w:cs="Times New Roman"/>
                <w:szCs w:val="24"/>
              </w:rPr>
              <w:t>(35.1)</w:t>
            </w:r>
          </w:p>
        </w:tc>
        <w:tc>
          <w:tcPr>
            <w:tcW w:w="1894" w:type="dxa"/>
            <w:tcBorders>
              <w:top w:val="single" w:sz="4" w:space="0" w:color="auto"/>
              <w:left w:val="double" w:sz="4" w:space="0" w:color="auto"/>
              <w:bottom w:val="single" w:sz="4" w:space="0" w:color="auto"/>
              <w:right w:val="double" w:sz="4" w:space="0" w:color="auto"/>
            </w:tcBorders>
            <w:vAlign w:val="center"/>
            <w:hideMark/>
          </w:tcPr>
          <w:p w14:paraId="5DAE401B" w14:textId="77777777" w:rsidR="00D47D34" w:rsidRPr="00A266EC" w:rsidRDefault="00D47D34" w:rsidP="009E5A2B">
            <w:pPr>
              <w:tabs>
                <w:tab w:val="decimal" w:pos="523"/>
              </w:tabs>
              <w:jc w:val="center"/>
              <w:rPr>
                <w:rFonts w:cs="Times New Roman"/>
                <w:i/>
                <w:iCs/>
                <w:szCs w:val="24"/>
              </w:rPr>
            </w:pPr>
            <w:r w:rsidRPr="00A266EC">
              <w:rPr>
                <w:rFonts w:cs="Times New Roman"/>
                <w:i/>
                <w:iCs/>
                <w:szCs w:val="24"/>
              </w:rPr>
              <w:t>938 (45.9)</w:t>
            </w:r>
          </w:p>
        </w:tc>
      </w:tr>
      <w:tr w:rsidR="00D47D34" w:rsidRPr="00A266EC" w14:paraId="2BC733D2" w14:textId="77777777" w:rsidTr="00052432">
        <w:trPr>
          <w:trHeight w:val="576"/>
        </w:trPr>
        <w:tc>
          <w:tcPr>
            <w:tcW w:w="2775" w:type="dxa"/>
            <w:tcBorders>
              <w:top w:val="single" w:sz="4" w:space="0" w:color="auto"/>
              <w:left w:val="double" w:sz="4" w:space="0" w:color="auto"/>
              <w:bottom w:val="single" w:sz="4" w:space="0" w:color="auto"/>
              <w:right w:val="double" w:sz="4" w:space="0" w:color="auto"/>
            </w:tcBorders>
            <w:vAlign w:val="center"/>
            <w:hideMark/>
          </w:tcPr>
          <w:p w14:paraId="653D4423" w14:textId="77777777" w:rsidR="00D47D34" w:rsidRPr="00A266EC" w:rsidRDefault="00D47D34" w:rsidP="00AB20AD">
            <w:pPr>
              <w:jc w:val="right"/>
              <w:rPr>
                <w:rFonts w:cs="Times New Roman"/>
                <w:szCs w:val="24"/>
              </w:rPr>
            </w:pPr>
            <w:r w:rsidRPr="00A266EC">
              <w:rPr>
                <w:rFonts w:eastAsia="Times New Roman" w:cs="Times New Roman"/>
                <w:kern w:val="24"/>
                <w:szCs w:val="24"/>
              </w:rPr>
              <w:t>Autonomous Vehicle</w:t>
            </w:r>
            <w:r>
              <w:rPr>
                <w:rFonts w:eastAsia="Times New Roman" w:cs="Times New Roman"/>
                <w:kern w:val="24"/>
                <w:szCs w:val="24"/>
              </w:rPr>
              <w:t xml:space="preserve"> (AV)</w:t>
            </w:r>
          </w:p>
        </w:tc>
        <w:tc>
          <w:tcPr>
            <w:tcW w:w="2070" w:type="dxa"/>
            <w:tcBorders>
              <w:top w:val="single" w:sz="4" w:space="0" w:color="auto"/>
              <w:left w:val="double" w:sz="4" w:space="0" w:color="auto"/>
              <w:bottom w:val="single" w:sz="4" w:space="0" w:color="auto"/>
              <w:right w:val="double" w:sz="4" w:space="0" w:color="auto"/>
            </w:tcBorders>
            <w:vAlign w:val="center"/>
            <w:hideMark/>
          </w:tcPr>
          <w:p w14:paraId="14A70F1E" w14:textId="2949D8C9" w:rsidR="00D47D34" w:rsidRPr="00A266EC" w:rsidRDefault="00D47D34" w:rsidP="009E5A2B">
            <w:pPr>
              <w:tabs>
                <w:tab w:val="decimal" w:pos="343"/>
              </w:tabs>
              <w:jc w:val="center"/>
              <w:rPr>
                <w:rFonts w:cs="Times New Roman"/>
                <w:szCs w:val="24"/>
              </w:rPr>
            </w:pPr>
            <w:r w:rsidRPr="00A266EC">
              <w:rPr>
                <w:rFonts w:cs="Times New Roman"/>
                <w:szCs w:val="24"/>
              </w:rPr>
              <w:t>62</w:t>
            </w:r>
            <w:r w:rsidR="009E5A2B">
              <w:rPr>
                <w:rFonts w:cs="Times New Roman"/>
                <w:szCs w:val="24"/>
              </w:rPr>
              <w:t xml:space="preserve"> </w:t>
            </w:r>
            <w:r w:rsidRPr="00A266EC">
              <w:rPr>
                <w:rFonts w:cs="Times New Roman"/>
                <w:szCs w:val="24"/>
              </w:rPr>
              <w:t>(11.3)</w:t>
            </w:r>
          </w:p>
        </w:tc>
        <w:tc>
          <w:tcPr>
            <w:tcW w:w="2520" w:type="dxa"/>
            <w:tcBorders>
              <w:top w:val="single" w:sz="4" w:space="0" w:color="auto"/>
              <w:left w:val="double" w:sz="4" w:space="0" w:color="auto"/>
              <w:bottom w:val="single" w:sz="4" w:space="0" w:color="auto"/>
              <w:right w:val="double" w:sz="4" w:space="0" w:color="auto"/>
            </w:tcBorders>
            <w:vAlign w:val="center"/>
            <w:hideMark/>
          </w:tcPr>
          <w:p w14:paraId="355B212C" w14:textId="61703CAD" w:rsidR="00D47D34" w:rsidRPr="00A266EC" w:rsidRDefault="00D47D34" w:rsidP="009E5A2B">
            <w:pPr>
              <w:jc w:val="center"/>
              <w:rPr>
                <w:rFonts w:cs="Times New Roman"/>
                <w:szCs w:val="24"/>
              </w:rPr>
            </w:pPr>
            <w:r w:rsidRPr="00A266EC">
              <w:rPr>
                <w:rFonts w:cs="Times New Roman"/>
                <w:szCs w:val="24"/>
              </w:rPr>
              <w:t>65</w:t>
            </w:r>
            <w:r w:rsidR="009E5A2B">
              <w:rPr>
                <w:rFonts w:cs="Times New Roman"/>
                <w:szCs w:val="24"/>
              </w:rPr>
              <w:t xml:space="preserve"> </w:t>
            </w:r>
            <w:r w:rsidRPr="00A266EC">
              <w:rPr>
                <w:rFonts w:cs="Times New Roman"/>
                <w:szCs w:val="24"/>
              </w:rPr>
              <w:t>(66.3)</w:t>
            </w:r>
          </w:p>
        </w:tc>
        <w:tc>
          <w:tcPr>
            <w:tcW w:w="2970" w:type="dxa"/>
            <w:tcBorders>
              <w:top w:val="single" w:sz="4" w:space="0" w:color="auto"/>
              <w:left w:val="double" w:sz="4" w:space="0" w:color="auto"/>
              <w:bottom w:val="single" w:sz="4" w:space="0" w:color="auto"/>
              <w:right w:val="double" w:sz="4" w:space="0" w:color="auto"/>
            </w:tcBorders>
            <w:vAlign w:val="center"/>
            <w:hideMark/>
          </w:tcPr>
          <w:p w14:paraId="159D861B" w14:textId="338B614F" w:rsidR="00D47D34" w:rsidRPr="00A266EC" w:rsidRDefault="00D47D34" w:rsidP="009E5A2B">
            <w:pPr>
              <w:tabs>
                <w:tab w:val="decimal" w:pos="613"/>
              </w:tabs>
              <w:jc w:val="center"/>
              <w:rPr>
                <w:rFonts w:cs="Times New Roman"/>
                <w:szCs w:val="24"/>
              </w:rPr>
            </w:pPr>
            <w:r w:rsidRPr="00A266EC">
              <w:rPr>
                <w:rFonts w:cs="Times New Roman"/>
                <w:szCs w:val="24"/>
              </w:rPr>
              <w:t>709</w:t>
            </w:r>
            <w:r w:rsidR="009E5A2B">
              <w:rPr>
                <w:rFonts w:cs="Times New Roman"/>
                <w:szCs w:val="24"/>
              </w:rPr>
              <w:t xml:space="preserve"> </w:t>
            </w:r>
            <w:r w:rsidRPr="00A266EC">
              <w:rPr>
                <w:rFonts w:cs="Times New Roman"/>
                <w:szCs w:val="24"/>
              </w:rPr>
              <w:t>(50.8)</w:t>
            </w:r>
          </w:p>
        </w:tc>
        <w:tc>
          <w:tcPr>
            <w:tcW w:w="1894" w:type="dxa"/>
            <w:tcBorders>
              <w:top w:val="single" w:sz="4" w:space="0" w:color="auto"/>
              <w:left w:val="double" w:sz="4" w:space="0" w:color="auto"/>
              <w:bottom w:val="single" w:sz="4" w:space="0" w:color="auto"/>
              <w:right w:val="double" w:sz="4" w:space="0" w:color="auto"/>
            </w:tcBorders>
            <w:vAlign w:val="center"/>
            <w:hideMark/>
          </w:tcPr>
          <w:p w14:paraId="572E718E" w14:textId="77777777" w:rsidR="00D47D34" w:rsidRPr="00A266EC" w:rsidRDefault="00D47D34" w:rsidP="009E5A2B">
            <w:pPr>
              <w:tabs>
                <w:tab w:val="decimal" w:pos="523"/>
              </w:tabs>
              <w:jc w:val="center"/>
              <w:rPr>
                <w:rFonts w:cs="Times New Roman"/>
                <w:i/>
                <w:iCs/>
                <w:szCs w:val="24"/>
              </w:rPr>
            </w:pPr>
            <w:r w:rsidRPr="00A266EC">
              <w:rPr>
                <w:rFonts w:cs="Times New Roman"/>
                <w:i/>
                <w:iCs/>
                <w:szCs w:val="24"/>
              </w:rPr>
              <w:t>836 (40.9)</w:t>
            </w:r>
          </w:p>
        </w:tc>
      </w:tr>
      <w:tr w:rsidR="00D47D34" w:rsidRPr="00A266EC" w14:paraId="52494D19" w14:textId="50C9CFC1" w:rsidTr="00052432">
        <w:trPr>
          <w:trHeight w:val="576"/>
        </w:trPr>
        <w:tc>
          <w:tcPr>
            <w:tcW w:w="2775" w:type="dxa"/>
            <w:tcBorders>
              <w:top w:val="single" w:sz="4" w:space="0" w:color="auto"/>
              <w:left w:val="double" w:sz="4" w:space="0" w:color="auto"/>
              <w:bottom w:val="single" w:sz="4" w:space="0" w:color="auto"/>
              <w:right w:val="double" w:sz="4" w:space="0" w:color="auto"/>
            </w:tcBorders>
            <w:vAlign w:val="center"/>
            <w:hideMark/>
          </w:tcPr>
          <w:p w14:paraId="141BD3F6" w14:textId="77777777" w:rsidR="00D47D34" w:rsidRPr="00A266EC" w:rsidRDefault="00D47D34" w:rsidP="00AB20AD">
            <w:pPr>
              <w:jc w:val="right"/>
              <w:rPr>
                <w:rFonts w:cs="Times New Roman"/>
                <w:szCs w:val="24"/>
              </w:rPr>
            </w:pPr>
            <w:r>
              <w:rPr>
                <w:rFonts w:eastAsia="Times New Roman" w:cs="Times New Roman"/>
                <w:kern w:val="24"/>
                <w:szCs w:val="24"/>
              </w:rPr>
              <w:t>Shared AV (SAV)</w:t>
            </w:r>
          </w:p>
        </w:tc>
        <w:tc>
          <w:tcPr>
            <w:tcW w:w="2070" w:type="dxa"/>
            <w:tcBorders>
              <w:top w:val="single" w:sz="4" w:space="0" w:color="auto"/>
              <w:left w:val="double" w:sz="4" w:space="0" w:color="auto"/>
              <w:bottom w:val="single" w:sz="4" w:space="0" w:color="auto"/>
              <w:right w:val="double" w:sz="4" w:space="0" w:color="auto"/>
            </w:tcBorders>
            <w:vAlign w:val="center"/>
            <w:hideMark/>
          </w:tcPr>
          <w:p w14:paraId="1AFBA342" w14:textId="6F63383E" w:rsidR="00D47D34" w:rsidRPr="00A266EC" w:rsidRDefault="00D47D34" w:rsidP="009E5A2B">
            <w:pPr>
              <w:tabs>
                <w:tab w:val="decimal" w:pos="343"/>
              </w:tabs>
              <w:jc w:val="center"/>
              <w:rPr>
                <w:rFonts w:cs="Times New Roman"/>
                <w:szCs w:val="24"/>
              </w:rPr>
            </w:pPr>
            <w:r w:rsidRPr="00A266EC">
              <w:rPr>
                <w:rFonts w:cs="Times New Roman"/>
                <w:szCs w:val="24"/>
              </w:rPr>
              <w:t>60</w:t>
            </w:r>
            <w:r w:rsidR="009E5A2B">
              <w:rPr>
                <w:rFonts w:cs="Times New Roman"/>
                <w:szCs w:val="24"/>
              </w:rPr>
              <w:t xml:space="preserve"> </w:t>
            </w:r>
            <w:r w:rsidRPr="00A266EC">
              <w:rPr>
                <w:rFonts w:cs="Times New Roman"/>
                <w:szCs w:val="24"/>
              </w:rPr>
              <w:t>(11.0)</w:t>
            </w:r>
          </w:p>
        </w:tc>
        <w:tc>
          <w:tcPr>
            <w:tcW w:w="2520" w:type="dxa"/>
            <w:tcBorders>
              <w:top w:val="single" w:sz="4" w:space="0" w:color="auto"/>
              <w:left w:val="double" w:sz="4" w:space="0" w:color="auto"/>
              <w:bottom w:val="single" w:sz="4" w:space="0" w:color="auto"/>
              <w:right w:val="double" w:sz="4" w:space="0" w:color="auto"/>
            </w:tcBorders>
            <w:vAlign w:val="center"/>
            <w:hideMark/>
          </w:tcPr>
          <w:p w14:paraId="308341D0" w14:textId="0CC7029E" w:rsidR="00D47D34" w:rsidRPr="00A266EC" w:rsidRDefault="00D47D34" w:rsidP="009E5A2B">
            <w:pPr>
              <w:jc w:val="center"/>
              <w:rPr>
                <w:rFonts w:cs="Times New Roman"/>
                <w:szCs w:val="24"/>
              </w:rPr>
            </w:pPr>
            <w:r w:rsidRPr="00A266EC">
              <w:rPr>
                <w:rFonts w:cs="Times New Roman"/>
                <w:szCs w:val="24"/>
              </w:rPr>
              <w:t>11</w:t>
            </w:r>
            <w:r w:rsidR="009E5A2B">
              <w:rPr>
                <w:rFonts w:cs="Times New Roman"/>
                <w:szCs w:val="24"/>
              </w:rPr>
              <w:t xml:space="preserve"> </w:t>
            </w:r>
            <w:r w:rsidRPr="00A266EC">
              <w:rPr>
                <w:rFonts w:cs="Times New Roman"/>
                <w:szCs w:val="24"/>
              </w:rPr>
              <w:t>(11.2)</w:t>
            </w:r>
          </w:p>
        </w:tc>
        <w:tc>
          <w:tcPr>
            <w:tcW w:w="2970" w:type="dxa"/>
            <w:tcBorders>
              <w:top w:val="single" w:sz="4" w:space="0" w:color="auto"/>
              <w:left w:val="double" w:sz="4" w:space="0" w:color="auto"/>
              <w:bottom w:val="single" w:sz="4" w:space="0" w:color="auto"/>
              <w:right w:val="double" w:sz="4" w:space="0" w:color="auto"/>
            </w:tcBorders>
            <w:vAlign w:val="center"/>
            <w:hideMark/>
          </w:tcPr>
          <w:p w14:paraId="648FD4FC" w14:textId="7D253D1D" w:rsidR="00D47D34" w:rsidRPr="00A266EC" w:rsidRDefault="00D47D34" w:rsidP="009E5A2B">
            <w:pPr>
              <w:tabs>
                <w:tab w:val="decimal" w:pos="613"/>
              </w:tabs>
              <w:jc w:val="center"/>
              <w:rPr>
                <w:rFonts w:cs="Times New Roman"/>
                <w:szCs w:val="24"/>
              </w:rPr>
            </w:pPr>
            <w:r w:rsidRPr="00A266EC">
              <w:rPr>
                <w:rFonts w:cs="Times New Roman"/>
                <w:szCs w:val="24"/>
              </w:rPr>
              <w:t>197</w:t>
            </w:r>
            <w:r w:rsidR="009E5A2B">
              <w:rPr>
                <w:rFonts w:cs="Times New Roman"/>
                <w:szCs w:val="24"/>
              </w:rPr>
              <w:t xml:space="preserve"> </w:t>
            </w:r>
            <w:r w:rsidRPr="00A266EC">
              <w:rPr>
                <w:rFonts w:cs="Times New Roman"/>
                <w:szCs w:val="24"/>
              </w:rPr>
              <w:t>(14.1)</w:t>
            </w:r>
          </w:p>
        </w:tc>
        <w:tc>
          <w:tcPr>
            <w:tcW w:w="1894" w:type="dxa"/>
            <w:tcBorders>
              <w:top w:val="single" w:sz="4" w:space="0" w:color="auto"/>
              <w:left w:val="double" w:sz="4" w:space="0" w:color="auto"/>
              <w:bottom w:val="single" w:sz="4" w:space="0" w:color="auto"/>
              <w:right w:val="double" w:sz="4" w:space="0" w:color="auto"/>
            </w:tcBorders>
            <w:vAlign w:val="center"/>
            <w:hideMark/>
          </w:tcPr>
          <w:p w14:paraId="7CEAAF05" w14:textId="77777777" w:rsidR="00D47D34" w:rsidRPr="00A266EC" w:rsidRDefault="00D47D34" w:rsidP="009E5A2B">
            <w:pPr>
              <w:tabs>
                <w:tab w:val="decimal" w:pos="523"/>
              </w:tabs>
              <w:jc w:val="center"/>
              <w:rPr>
                <w:rFonts w:cs="Times New Roman"/>
                <w:i/>
                <w:iCs/>
                <w:szCs w:val="24"/>
              </w:rPr>
            </w:pPr>
            <w:r w:rsidRPr="00A266EC">
              <w:rPr>
                <w:rFonts w:cs="Times New Roman"/>
                <w:i/>
                <w:iCs/>
                <w:szCs w:val="24"/>
              </w:rPr>
              <w:t>268 (13.2)</w:t>
            </w:r>
          </w:p>
        </w:tc>
      </w:tr>
      <w:tr w:rsidR="00D47D34" w:rsidRPr="00A266EC" w14:paraId="6AA1E788" w14:textId="77777777" w:rsidTr="00052432">
        <w:trPr>
          <w:trHeight w:val="432"/>
        </w:trPr>
        <w:tc>
          <w:tcPr>
            <w:tcW w:w="2775" w:type="dxa"/>
            <w:tcBorders>
              <w:top w:val="double" w:sz="4" w:space="0" w:color="auto"/>
              <w:left w:val="double" w:sz="4" w:space="0" w:color="auto"/>
              <w:bottom w:val="double" w:sz="4" w:space="0" w:color="auto"/>
              <w:right w:val="double" w:sz="4" w:space="0" w:color="auto"/>
            </w:tcBorders>
            <w:vAlign w:val="center"/>
            <w:hideMark/>
          </w:tcPr>
          <w:p w14:paraId="611FA2B4" w14:textId="77777777" w:rsidR="00D47D34" w:rsidRPr="00A266EC" w:rsidRDefault="00D47D34" w:rsidP="00AB20AD">
            <w:pPr>
              <w:jc w:val="both"/>
              <w:rPr>
                <w:rFonts w:cs="Times New Roman"/>
                <w:szCs w:val="24"/>
              </w:rPr>
            </w:pPr>
            <w:r w:rsidRPr="00A266EC">
              <w:rPr>
                <w:rFonts w:cs="Times New Roman"/>
                <w:szCs w:val="24"/>
              </w:rPr>
              <w:t>Total (%)</w:t>
            </w:r>
          </w:p>
        </w:tc>
        <w:tc>
          <w:tcPr>
            <w:tcW w:w="2070" w:type="dxa"/>
            <w:tcBorders>
              <w:top w:val="double" w:sz="4" w:space="0" w:color="auto"/>
              <w:left w:val="double" w:sz="4" w:space="0" w:color="auto"/>
              <w:bottom w:val="double" w:sz="4" w:space="0" w:color="auto"/>
              <w:right w:val="double" w:sz="4" w:space="0" w:color="auto"/>
            </w:tcBorders>
            <w:vAlign w:val="center"/>
            <w:hideMark/>
          </w:tcPr>
          <w:p w14:paraId="15B1BF71" w14:textId="77777777" w:rsidR="00D47D34" w:rsidRPr="00A266EC" w:rsidRDefault="00D47D34" w:rsidP="009E5A2B">
            <w:pPr>
              <w:tabs>
                <w:tab w:val="decimal" w:pos="343"/>
              </w:tabs>
              <w:jc w:val="center"/>
              <w:rPr>
                <w:rFonts w:cs="Times New Roman"/>
                <w:szCs w:val="24"/>
              </w:rPr>
            </w:pPr>
            <w:r w:rsidRPr="00A266EC">
              <w:rPr>
                <w:rFonts w:cs="Times New Roman"/>
                <w:szCs w:val="24"/>
              </w:rPr>
              <w:t>547 (26.8)</w:t>
            </w:r>
          </w:p>
        </w:tc>
        <w:tc>
          <w:tcPr>
            <w:tcW w:w="2520" w:type="dxa"/>
            <w:tcBorders>
              <w:top w:val="double" w:sz="4" w:space="0" w:color="auto"/>
              <w:left w:val="double" w:sz="4" w:space="0" w:color="auto"/>
              <w:bottom w:val="double" w:sz="4" w:space="0" w:color="auto"/>
              <w:right w:val="double" w:sz="4" w:space="0" w:color="auto"/>
            </w:tcBorders>
            <w:vAlign w:val="center"/>
            <w:hideMark/>
          </w:tcPr>
          <w:p w14:paraId="5F0A02AD" w14:textId="41CFFE52" w:rsidR="00D47D34" w:rsidRPr="00A266EC" w:rsidRDefault="00D47D34" w:rsidP="009E5A2B">
            <w:pPr>
              <w:jc w:val="center"/>
              <w:rPr>
                <w:rFonts w:cs="Times New Roman"/>
                <w:szCs w:val="24"/>
              </w:rPr>
            </w:pPr>
            <w:proofErr w:type="gramStart"/>
            <w:r w:rsidRPr="00A266EC">
              <w:rPr>
                <w:rFonts w:cs="Times New Roman"/>
                <w:szCs w:val="24"/>
              </w:rPr>
              <w:t xml:space="preserve">98 </w:t>
            </w:r>
            <w:r w:rsidR="00052432">
              <w:rPr>
                <w:rFonts w:cs="Times New Roman"/>
                <w:szCs w:val="24"/>
              </w:rPr>
              <w:t xml:space="preserve"> </w:t>
            </w:r>
            <w:r w:rsidRPr="00A266EC">
              <w:rPr>
                <w:rFonts w:cs="Times New Roman"/>
                <w:szCs w:val="24"/>
              </w:rPr>
              <w:t>(</w:t>
            </w:r>
            <w:proofErr w:type="gramEnd"/>
            <w:r w:rsidRPr="00A266EC">
              <w:rPr>
                <w:rFonts w:cs="Times New Roman"/>
                <w:szCs w:val="24"/>
              </w:rPr>
              <w:t>4.8)</w:t>
            </w:r>
          </w:p>
        </w:tc>
        <w:tc>
          <w:tcPr>
            <w:tcW w:w="2970" w:type="dxa"/>
            <w:tcBorders>
              <w:top w:val="double" w:sz="4" w:space="0" w:color="auto"/>
              <w:left w:val="double" w:sz="4" w:space="0" w:color="auto"/>
              <w:bottom w:val="double" w:sz="4" w:space="0" w:color="auto"/>
              <w:right w:val="double" w:sz="4" w:space="0" w:color="auto"/>
            </w:tcBorders>
            <w:vAlign w:val="center"/>
            <w:hideMark/>
          </w:tcPr>
          <w:p w14:paraId="1E15A2A2" w14:textId="77777777" w:rsidR="00D47D34" w:rsidRPr="00A266EC" w:rsidRDefault="00D47D34" w:rsidP="009E5A2B">
            <w:pPr>
              <w:tabs>
                <w:tab w:val="decimal" w:pos="613"/>
              </w:tabs>
              <w:jc w:val="center"/>
              <w:rPr>
                <w:rFonts w:cs="Times New Roman"/>
                <w:szCs w:val="24"/>
              </w:rPr>
            </w:pPr>
            <w:r w:rsidRPr="00A266EC">
              <w:rPr>
                <w:rFonts w:cs="Times New Roman"/>
                <w:szCs w:val="24"/>
              </w:rPr>
              <w:t>1397 (68.4)</w:t>
            </w:r>
          </w:p>
        </w:tc>
        <w:tc>
          <w:tcPr>
            <w:tcW w:w="1894" w:type="dxa"/>
            <w:tcBorders>
              <w:top w:val="double" w:sz="4" w:space="0" w:color="auto"/>
              <w:left w:val="double" w:sz="4" w:space="0" w:color="auto"/>
              <w:bottom w:val="double" w:sz="4" w:space="0" w:color="auto"/>
              <w:right w:val="double" w:sz="4" w:space="0" w:color="auto"/>
            </w:tcBorders>
            <w:vAlign w:val="center"/>
            <w:hideMark/>
          </w:tcPr>
          <w:p w14:paraId="3F0CD706" w14:textId="64E57332" w:rsidR="00D47D34" w:rsidRPr="00A266EC" w:rsidRDefault="00D47D34" w:rsidP="009E5A2B">
            <w:pPr>
              <w:tabs>
                <w:tab w:val="decimal" w:pos="523"/>
              </w:tabs>
              <w:jc w:val="center"/>
              <w:rPr>
                <w:rFonts w:cs="Times New Roman"/>
                <w:szCs w:val="24"/>
              </w:rPr>
            </w:pPr>
            <w:r w:rsidRPr="00A266EC">
              <w:rPr>
                <w:rFonts w:cs="Times New Roman"/>
                <w:szCs w:val="24"/>
              </w:rPr>
              <w:t>2042</w:t>
            </w:r>
            <w:r w:rsidR="00BC1652">
              <w:rPr>
                <w:rFonts w:cs="Times New Roman"/>
                <w:szCs w:val="24"/>
              </w:rPr>
              <w:t xml:space="preserve"> (100.0)</w:t>
            </w:r>
          </w:p>
        </w:tc>
        <w:bookmarkEnd w:id="12"/>
      </w:tr>
    </w:tbl>
    <w:p w14:paraId="7F464889" w14:textId="7E6074BE" w:rsidR="00D47D34" w:rsidRDefault="00D47D34" w:rsidP="00306A43">
      <w:pPr>
        <w:spacing w:after="120"/>
        <w:rPr>
          <w:b/>
          <w:bCs/>
          <w:szCs w:val="24"/>
        </w:rPr>
      </w:pPr>
      <w:r>
        <w:br w:type="page"/>
      </w:r>
      <w:r w:rsidRPr="00FF2B8C">
        <w:rPr>
          <w:b/>
          <w:bCs/>
          <w:szCs w:val="24"/>
        </w:rPr>
        <w:lastRenderedPageBreak/>
        <w:t xml:space="preserve">Table </w:t>
      </w:r>
      <w:r w:rsidR="006B3123">
        <w:rPr>
          <w:b/>
          <w:bCs/>
          <w:szCs w:val="24"/>
        </w:rPr>
        <w:t>3</w:t>
      </w:r>
      <w:r w:rsidRPr="00FF2B8C">
        <w:rPr>
          <w:b/>
          <w:bCs/>
          <w:szCs w:val="24"/>
        </w:rPr>
        <w:t xml:space="preserve">. </w:t>
      </w:r>
      <w:r>
        <w:rPr>
          <w:b/>
          <w:bCs/>
          <w:szCs w:val="24"/>
        </w:rPr>
        <w:t>Determinants of</w:t>
      </w:r>
      <w:r w:rsidRPr="00FF2B8C">
        <w:rPr>
          <w:b/>
          <w:bCs/>
          <w:szCs w:val="24"/>
        </w:rPr>
        <w:t xml:space="preserve"> Latent Variables</w:t>
      </w:r>
    </w:p>
    <w:tbl>
      <w:tblPr>
        <w:tblW w:w="13035" w:type="dxa"/>
        <w:tblLayout w:type="fixed"/>
        <w:tblLook w:val="04A0" w:firstRow="1" w:lastRow="0" w:firstColumn="1" w:lastColumn="0" w:noHBand="0" w:noVBand="1"/>
      </w:tblPr>
      <w:tblGrid>
        <w:gridCol w:w="2235"/>
        <w:gridCol w:w="2250"/>
        <w:gridCol w:w="1068"/>
        <w:gridCol w:w="1069"/>
        <w:gridCol w:w="1069"/>
        <w:gridCol w:w="1069"/>
        <w:gridCol w:w="1068"/>
        <w:gridCol w:w="1069"/>
        <w:gridCol w:w="1069"/>
        <w:gridCol w:w="1069"/>
      </w:tblGrid>
      <w:tr w:rsidR="00D47D34" w:rsidRPr="00487A62" w14:paraId="15FE3F92" w14:textId="77777777" w:rsidTr="00BA29A9">
        <w:trPr>
          <w:trHeight w:val="432"/>
        </w:trPr>
        <w:tc>
          <w:tcPr>
            <w:tcW w:w="4485" w:type="dxa"/>
            <w:gridSpan w:val="2"/>
            <w:vMerge w:val="restart"/>
            <w:tcBorders>
              <w:top w:val="double" w:sz="4" w:space="0" w:color="auto"/>
              <w:left w:val="double" w:sz="4" w:space="0" w:color="auto"/>
              <w:bottom w:val="nil"/>
              <w:right w:val="double" w:sz="4" w:space="0" w:color="auto"/>
            </w:tcBorders>
            <w:shd w:val="clear" w:color="auto" w:fill="auto"/>
            <w:vAlign w:val="center"/>
            <w:hideMark/>
          </w:tcPr>
          <w:p w14:paraId="4659BC8F" w14:textId="77777777" w:rsidR="00D47D34" w:rsidRPr="00F15894" w:rsidRDefault="00D47D34" w:rsidP="00371871">
            <w:pPr>
              <w:jc w:val="center"/>
              <w:rPr>
                <w:rFonts w:eastAsia="Times New Roman" w:cs="Times New Roman"/>
                <w:b/>
                <w:bCs/>
                <w:szCs w:val="24"/>
              </w:rPr>
            </w:pPr>
            <w:r w:rsidRPr="00F15894">
              <w:rPr>
                <w:rFonts w:eastAsia="Times New Roman" w:cs="Times New Roman"/>
                <w:b/>
                <w:bCs/>
                <w:szCs w:val="24"/>
              </w:rPr>
              <w:t>Variables</w:t>
            </w:r>
          </w:p>
          <w:p w14:paraId="7BA39F79" w14:textId="77777777" w:rsidR="00D47D34" w:rsidRPr="00F15894" w:rsidRDefault="00D47D34" w:rsidP="00371871">
            <w:pPr>
              <w:jc w:val="center"/>
              <w:rPr>
                <w:rFonts w:eastAsia="Times New Roman" w:cs="Times New Roman"/>
                <w:b/>
                <w:bCs/>
                <w:szCs w:val="24"/>
              </w:rPr>
            </w:pPr>
            <w:r w:rsidRPr="00F15894">
              <w:rPr>
                <w:rFonts w:eastAsia="Times New Roman" w:cs="Times New Roman"/>
                <w:b/>
                <w:bCs/>
                <w:szCs w:val="24"/>
              </w:rPr>
              <w:t>(base category)</w:t>
            </w:r>
          </w:p>
        </w:tc>
        <w:tc>
          <w:tcPr>
            <w:tcW w:w="8550" w:type="dxa"/>
            <w:gridSpan w:val="8"/>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4F29E9E1" w14:textId="77777777" w:rsidR="00D47D34" w:rsidRPr="00F15894" w:rsidRDefault="00D47D34" w:rsidP="00306A43">
            <w:pPr>
              <w:jc w:val="center"/>
              <w:rPr>
                <w:rFonts w:eastAsia="Times New Roman" w:cs="Times New Roman"/>
                <w:b/>
                <w:bCs/>
                <w:szCs w:val="24"/>
              </w:rPr>
            </w:pPr>
            <w:r w:rsidRPr="00F15894">
              <w:rPr>
                <w:rFonts w:eastAsia="Times New Roman" w:cs="Times New Roman"/>
                <w:b/>
                <w:bCs/>
                <w:szCs w:val="24"/>
              </w:rPr>
              <w:t>Structural Equations Model Component Results</w:t>
            </w:r>
          </w:p>
        </w:tc>
      </w:tr>
      <w:tr w:rsidR="00D47D34" w:rsidRPr="00487A62" w14:paraId="5A9CAF62" w14:textId="77777777" w:rsidTr="00BA29A9">
        <w:trPr>
          <w:trHeight w:val="432"/>
        </w:trPr>
        <w:tc>
          <w:tcPr>
            <w:tcW w:w="4485" w:type="dxa"/>
            <w:gridSpan w:val="2"/>
            <w:vMerge/>
            <w:tcBorders>
              <w:top w:val="nil"/>
              <w:left w:val="double" w:sz="4" w:space="0" w:color="auto"/>
              <w:bottom w:val="nil"/>
              <w:right w:val="double" w:sz="4" w:space="0" w:color="auto"/>
            </w:tcBorders>
            <w:vAlign w:val="center"/>
            <w:hideMark/>
          </w:tcPr>
          <w:p w14:paraId="55D98DEB" w14:textId="77777777" w:rsidR="00D47D34" w:rsidRPr="00F15894" w:rsidRDefault="00D47D34" w:rsidP="00371871">
            <w:pPr>
              <w:rPr>
                <w:rFonts w:eastAsia="Times New Roman" w:cs="Times New Roman"/>
                <w:szCs w:val="24"/>
              </w:rPr>
            </w:pPr>
          </w:p>
        </w:tc>
        <w:tc>
          <w:tcPr>
            <w:tcW w:w="2137" w:type="dxa"/>
            <w:gridSpan w:val="2"/>
            <w:tcBorders>
              <w:top w:val="single" w:sz="4" w:space="0" w:color="auto"/>
              <w:left w:val="double" w:sz="4" w:space="0" w:color="auto"/>
              <w:bottom w:val="single" w:sz="4" w:space="0" w:color="auto"/>
              <w:right w:val="double" w:sz="4" w:space="0" w:color="auto"/>
            </w:tcBorders>
            <w:shd w:val="clear" w:color="auto" w:fill="auto"/>
            <w:vAlign w:val="center"/>
            <w:hideMark/>
          </w:tcPr>
          <w:p w14:paraId="16264DF6" w14:textId="77777777" w:rsidR="00D47D34" w:rsidRPr="00F15894" w:rsidRDefault="00D47D34" w:rsidP="00371871">
            <w:pPr>
              <w:jc w:val="center"/>
              <w:rPr>
                <w:rFonts w:eastAsia="Times New Roman" w:cs="Times New Roman"/>
                <w:szCs w:val="24"/>
              </w:rPr>
            </w:pPr>
            <w:r w:rsidRPr="00F15894">
              <w:rPr>
                <w:rFonts w:eastAsia="Times New Roman" w:cs="Times New Roman"/>
                <w:szCs w:val="24"/>
              </w:rPr>
              <w:t>Driving Control</w:t>
            </w:r>
          </w:p>
        </w:tc>
        <w:tc>
          <w:tcPr>
            <w:tcW w:w="2138" w:type="dxa"/>
            <w:gridSpan w:val="2"/>
            <w:tcBorders>
              <w:top w:val="single" w:sz="4" w:space="0" w:color="auto"/>
              <w:left w:val="double" w:sz="4" w:space="0" w:color="auto"/>
              <w:bottom w:val="single" w:sz="4" w:space="0" w:color="auto"/>
              <w:right w:val="double" w:sz="4" w:space="0" w:color="auto"/>
            </w:tcBorders>
            <w:shd w:val="clear" w:color="auto" w:fill="auto"/>
            <w:vAlign w:val="center"/>
            <w:hideMark/>
          </w:tcPr>
          <w:p w14:paraId="568984D2" w14:textId="77777777" w:rsidR="00D47D34" w:rsidRPr="00F15894" w:rsidRDefault="00D47D34" w:rsidP="00371871">
            <w:pPr>
              <w:jc w:val="center"/>
              <w:rPr>
                <w:rFonts w:eastAsia="Times New Roman" w:cs="Times New Roman"/>
                <w:szCs w:val="24"/>
              </w:rPr>
            </w:pPr>
            <w:r w:rsidRPr="00F15894">
              <w:rPr>
                <w:rFonts w:eastAsia="Times New Roman" w:cs="Times New Roman"/>
                <w:szCs w:val="24"/>
              </w:rPr>
              <w:t>Mobility Control</w:t>
            </w:r>
          </w:p>
        </w:tc>
        <w:tc>
          <w:tcPr>
            <w:tcW w:w="2137" w:type="dxa"/>
            <w:gridSpan w:val="2"/>
            <w:tcBorders>
              <w:top w:val="single" w:sz="4" w:space="0" w:color="auto"/>
              <w:left w:val="double" w:sz="4" w:space="0" w:color="auto"/>
              <w:bottom w:val="single" w:sz="4" w:space="0" w:color="auto"/>
              <w:right w:val="double" w:sz="4" w:space="0" w:color="auto"/>
            </w:tcBorders>
            <w:shd w:val="clear" w:color="auto" w:fill="auto"/>
            <w:vAlign w:val="center"/>
            <w:hideMark/>
          </w:tcPr>
          <w:p w14:paraId="74B95DCD" w14:textId="77777777" w:rsidR="00D47D34" w:rsidRPr="00F15894" w:rsidRDefault="00D47D34" w:rsidP="00371871">
            <w:pPr>
              <w:jc w:val="center"/>
              <w:rPr>
                <w:rFonts w:eastAsia="Times New Roman" w:cs="Times New Roman"/>
                <w:szCs w:val="24"/>
              </w:rPr>
            </w:pPr>
            <w:r w:rsidRPr="00F15894">
              <w:rPr>
                <w:rFonts w:eastAsia="Times New Roman" w:cs="Times New Roman"/>
                <w:szCs w:val="24"/>
              </w:rPr>
              <w:t>Safety Concer</w:t>
            </w:r>
            <w:r>
              <w:rPr>
                <w:rFonts w:eastAsia="Times New Roman" w:cs="Times New Roman"/>
                <w:szCs w:val="24"/>
              </w:rPr>
              <w:t>n</w:t>
            </w:r>
          </w:p>
        </w:tc>
        <w:tc>
          <w:tcPr>
            <w:tcW w:w="2138" w:type="dxa"/>
            <w:gridSpan w:val="2"/>
            <w:tcBorders>
              <w:top w:val="single" w:sz="4" w:space="0" w:color="auto"/>
              <w:left w:val="double" w:sz="4" w:space="0" w:color="auto"/>
              <w:bottom w:val="single" w:sz="4" w:space="0" w:color="auto"/>
              <w:right w:val="double" w:sz="4" w:space="0" w:color="auto"/>
            </w:tcBorders>
            <w:shd w:val="clear" w:color="auto" w:fill="auto"/>
            <w:vAlign w:val="center"/>
            <w:hideMark/>
          </w:tcPr>
          <w:p w14:paraId="065088CC" w14:textId="77777777" w:rsidR="00D47D34" w:rsidRPr="00F15894" w:rsidRDefault="00D47D34" w:rsidP="00371871">
            <w:pPr>
              <w:jc w:val="center"/>
              <w:rPr>
                <w:rFonts w:eastAsia="Times New Roman" w:cs="Times New Roman"/>
                <w:szCs w:val="24"/>
              </w:rPr>
            </w:pPr>
            <w:r w:rsidRPr="00F15894">
              <w:rPr>
                <w:rFonts w:eastAsia="Times New Roman" w:cs="Times New Roman"/>
                <w:szCs w:val="24"/>
              </w:rPr>
              <w:t>Tech</w:t>
            </w:r>
            <w:r>
              <w:rPr>
                <w:rFonts w:eastAsia="Times New Roman" w:cs="Times New Roman"/>
                <w:szCs w:val="24"/>
              </w:rPr>
              <w:t>-</w:t>
            </w:r>
            <w:r w:rsidRPr="00F15894">
              <w:rPr>
                <w:rFonts w:eastAsia="Times New Roman" w:cs="Times New Roman"/>
                <w:szCs w:val="24"/>
              </w:rPr>
              <w:t>Savviness</w:t>
            </w:r>
          </w:p>
        </w:tc>
      </w:tr>
      <w:tr w:rsidR="00D47D34" w:rsidRPr="00487A62" w14:paraId="7FF27A7C" w14:textId="77777777" w:rsidTr="00BA29A9">
        <w:trPr>
          <w:trHeight w:val="288"/>
        </w:trPr>
        <w:tc>
          <w:tcPr>
            <w:tcW w:w="4485" w:type="dxa"/>
            <w:gridSpan w:val="2"/>
            <w:vMerge/>
            <w:tcBorders>
              <w:top w:val="nil"/>
              <w:left w:val="double" w:sz="4" w:space="0" w:color="auto"/>
              <w:bottom w:val="double" w:sz="4" w:space="0" w:color="auto"/>
              <w:right w:val="double" w:sz="4" w:space="0" w:color="auto"/>
            </w:tcBorders>
            <w:vAlign w:val="center"/>
            <w:hideMark/>
          </w:tcPr>
          <w:p w14:paraId="4801220F" w14:textId="77777777" w:rsidR="00D47D34" w:rsidRPr="00F15894" w:rsidRDefault="00D47D34" w:rsidP="00371871">
            <w:pPr>
              <w:rPr>
                <w:rFonts w:eastAsia="Times New Roman" w:cs="Times New Roman"/>
                <w:szCs w:val="24"/>
              </w:rPr>
            </w:pPr>
          </w:p>
        </w:tc>
        <w:tc>
          <w:tcPr>
            <w:tcW w:w="1068" w:type="dxa"/>
            <w:tcBorders>
              <w:top w:val="nil"/>
              <w:left w:val="double" w:sz="4" w:space="0" w:color="auto"/>
              <w:bottom w:val="double" w:sz="4" w:space="0" w:color="auto"/>
              <w:right w:val="single" w:sz="4" w:space="0" w:color="auto"/>
            </w:tcBorders>
            <w:shd w:val="clear" w:color="auto" w:fill="auto"/>
            <w:noWrap/>
            <w:vAlign w:val="center"/>
            <w:hideMark/>
          </w:tcPr>
          <w:p w14:paraId="6E848305" w14:textId="77777777" w:rsidR="00D47D34" w:rsidRPr="00F15894" w:rsidRDefault="00D47D34" w:rsidP="00371871">
            <w:pPr>
              <w:jc w:val="center"/>
              <w:rPr>
                <w:rFonts w:eastAsia="Times New Roman" w:cs="Times New Roman"/>
                <w:szCs w:val="24"/>
              </w:rPr>
            </w:pPr>
            <w:r w:rsidRPr="00F15894">
              <w:rPr>
                <w:rFonts w:eastAsia="Times New Roman" w:cs="Times New Roman"/>
                <w:szCs w:val="24"/>
              </w:rPr>
              <w:t>Coeff</w:t>
            </w:r>
            <w:r>
              <w:rPr>
                <w:rFonts w:eastAsia="Times New Roman" w:cs="Times New Roman"/>
                <w:szCs w:val="24"/>
              </w:rPr>
              <w:t>.</w:t>
            </w:r>
          </w:p>
        </w:tc>
        <w:tc>
          <w:tcPr>
            <w:tcW w:w="1069" w:type="dxa"/>
            <w:tcBorders>
              <w:top w:val="nil"/>
              <w:left w:val="nil"/>
              <w:bottom w:val="double" w:sz="4" w:space="0" w:color="auto"/>
              <w:right w:val="double" w:sz="4" w:space="0" w:color="auto"/>
            </w:tcBorders>
            <w:shd w:val="clear" w:color="auto" w:fill="auto"/>
            <w:noWrap/>
            <w:vAlign w:val="center"/>
            <w:hideMark/>
          </w:tcPr>
          <w:p w14:paraId="6CA35465" w14:textId="77777777" w:rsidR="00D47D34" w:rsidRPr="00F15894" w:rsidRDefault="00D47D34" w:rsidP="00371871">
            <w:pPr>
              <w:jc w:val="center"/>
              <w:rPr>
                <w:rFonts w:eastAsia="Times New Roman" w:cs="Times New Roman"/>
                <w:szCs w:val="24"/>
              </w:rPr>
            </w:pPr>
            <w:r w:rsidRPr="00F15894">
              <w:rPr>
                <w:rFonts w:eastAsia="Times New Roman" w:cs="Times New Roman"/>
                <w:szCs w:val="24"/>
              </w:rPr>
              <w:t>t-stat</w:t>
            </w:r>
          </w:p>
        </w:tc>
        <w:tc>
          <w:tcPr>
            <w:tcW w:w="1069" w:type="dxa"/>
            <w:tcBorders>
              <w:top w:val="nil"/>
              <w:left w:val="double" w:sz="4" w:space="0" w:color="auto"/>
              <w:bottom w:val="double" w:sz="4" w:space="0" w:color="auto"/>
              <w:right w:val="single" w:sz="4" w:space="0" w:color="auto"/>
            </w:tcBorders>
            <w:shd w:val="clear" w:color="auto" w:fill="auto"/>
            <w:noWrap/>
            <w:vAlign w:val="center"/>
            <w:hideMark/>
          </w:tcPr>
          <w:p w14:paraId="50E99104" w14:textId="77777777" w:rsidR="00D47D34" w:rsidRPr="00F15894" w:rsidRDefault="00D47D34" w:rsidP="00371871">
            <w:pPr>
              <w:jc w:val="center"/>
              <w:rPr>
                <w:rFonts w:eastAsia="Times New Roman" w:cs="Times New Roman"/>
                <w:szCs w:val="24"/>
              </w:rPr>
            </w:pPr>
            <w:r w:rsidRPr="00F15894">
              <w:rPr>
                <w:rFonts w:eastAsia="Times New Roman" w:cs="Times New Roman"/>
                <w:szCs w:val="24"/>
              </w:rPr>
              <w:t>Coeff</w:t>
            </w:r>
            <w:r>
              <w:rPr>
                <w:rFonts w:eastAsia="Times New Roman" w:cs="Times New Roman"/>
                <w:szCs w:val="24"/>
              </w:rPr>
              <w:t>.</w:t>
            </w:r>
          </w:p>
        </w:tc>
        <w:tc>
          <w:tcPr>
            <w:tcW w:w="1069" w:type="dxa"/>
            <w:tcBorders>
              <w:top w:val="nil"/>
              <w:left w:val="nil"/>
              <w:bottom w:val="double" w:sz="4" w:space="0" w:color="auto"/>
              <w:right w:val="double" w:sz="4" w:space="0" w:color="auto"/>
            </w:tcBorders>
            <w:shd w:val="clear" w:color="auto" w:fill="auto"/>
            <w:noWrap/>
            <w:vAlign w:val="center"/>
            <w:hideMark/>
          </w:tcPr>
          <w:p w14:paraId="2B6D16B4" w14:textId="77777777" w:rsidR="00D47D34" w:rsidRPr="00F15894" w:rsidRDefault="00D47D34" w:rsidP="00371871">
            <w:pPr>
              <w:jc w:val="center"/>
              <w:rPr>
                <w:rFonts w:eastAsia="Times New Roman" w:cs="Times New Roman"/>
                <w:szCs w:val="24"/>
              </w:rPr>
            </w:pPr>
            <w:r w:rsidRPr="00F15894">
              <w:rPr>
                <w:rFonts w:eastAsia="Times New Roman" w:cs="Times New Roman"/>
                <w:szCs w:val="24"/>
              </w:rPr>
              <w:t>t-stat</w:t>
            </w:r>
          </w:p>
        </w:tc>
        <w:tc>
          <w:tcPr>
            <w:tcW w:w="1068" w:type="dxa"/>
            <w:tcBorders>
              <w:top w:val="nil"/>
              <w:left w:val="double" w:sz="4" w:space="0" w:color="auto"/>
              <w:bottom w:val="double" w:sz="4" w:space="0" w:color="auto"/>
              <w:right w:val="single" w:sz="4" w:space="0" w:color="auto"/>
            </w:tcBorders>
            <w:shd w:val="clear" w:color="auto" w:fill="auto"/>
            <w:noWrap/>
            <w:vAlign w:val="center"/>
            <w:hideMark/>
          </w:tcPr>
          <w:p w14:paraId="130CBF7A" w14:textId="77777777" w:rsidR="00D47D34" w:rsidRPr="00F15894" w:rsidRDefault="00D47D34" w:rsidP="00371871">
            <w:pPr>
              <w:jc w:val="center"/>
              <w:rPr>
                <w:rFonts w:eastAsia="Times New Roman" w:cs="Times New Roman"/>
                <w:szCs w:val="24"/>
              </w:rPr>
            </w:pPr>
            <w:r w:rsidRPr="00F15894">
              <w:rPr>
                <w:rFonts w:eastAsia="Times New Roman" w:cs="Times New Roman"/>
                <w:szCs w:val="24"/>
              </w:rPr>
              <w:t>Coeff</w:t>
            </w:r>
            <w:r>
              <w:rPr>
                <w:rFonts w:eastAsia="Times New Roman" w:cs="Times New Roman"/>
                <w:szCs w:val="24"/>
              </w:rPr>
              <w:t>.</w:t>
            </w:r>
          </w:p>
        </w:tc>
        <w:tc>
          <w:tcPr>
            <w:tcW w:w="1069" w:type="dxa"/>
            <w:tcBorders>
              <w:top w:val="nil"/>
              <w:left w:val="nil"/>
              <w:bottom w:val="double" w:sz="4" w:space="0" w:color="auto"/>
              <w:right w:val="double" w:sz="4" w:space="0" w:color="auto"/>
            </w:tcBorders>
            <w:shd w:val="clear" w:color="auto" w:fill="auto"/>
            <w:noWrap/>
            <w:vAlign w:val="center"/>
            <w:hideMark/>
          </w:tcPr>
          <w:p w14:paraId="6B1A54C1" w14:textId="77777777" w:rsidR="00D47D34" w:rsidRPr="00F15894" w:rsidRDefault="00D47D34" w:rsidP="00371871">
            <w:pPr>
              <w:jc w:val="center"/>
              <w:rPr>
                <w:rFonts w:eastAsia="Times New Roman" w:cs="Times New Roman"/>
                <w:szCs w:val="24"/>
              </w:rPr>
            </w:pPr>
            <w:r w:rsidRPr="00F15894">
              <w:rPr>
                <w:rFonts w:eastAsia="Times New Roman" w:cs="Times New Roman"/>
                <w:szCs w:val="24"/>
              </w:rPr>
              <w:t>t-stat</w:t>
            </w:r>
          </w:p>
        </w:tc>
        <w:tc>
          <w:tcPr>
            <w:tcW w:w="1069" w:type="dxa"/>
            <w:tcBorders>
              <w:top w:val="nil"/>
              <w:left w:val="double" w:sz="4" w:space="0" w:color="auto"/>
              <w:bottom w:val="double" w:sz="4" w:space="0" w:color="auto"/>
              <w:right w:val="single" w:sz="4" w:space="0" w:color="auto"/>
            </w:tcBorders>
            <w:shd w:val="clear" w:color="auto" w:fill="auto"/>
            <w:noWrap/>
            <w:vAlign w:val="center"/>
            <w:hideMark/>
          </w:tcPr>
          <w:p w14:paraId="6C325B1C" w14:textId="77777777" w:rsidR="00D47D34" w:rsidRPr="00F15894" w:rsidRDefault="00D47D34" w:rsidP="00371871">
            <w:pPr>
              <w:jc w:val="center"/>
              <w:rPr>
                <w:rFonts w:eastAsia="Times New Roman" w:cs="Times New Roman"/>
                <w:szCs w:val="24"/>
              </w:rPr>
            </w:pPr>
            <w:r w:rsidRPr="00F15894">
              <w:rPr>
                <w:rFonts w:eastAsia="Times New Roman" w:cs="Times New Roman"/>
                <w:szCs w:val="24"/>
              </w:rPr>
              <w:t>Coeff</w:t>
            </w:r>
            <w:r>
              <w:rPr>
                <w:rFonts w:eastAsia="Times New Roman" w:cs="Times New Roman"/>
                <w:szCs w:val="24"/>
              </w:rPr>
              <w:t>.</w:t>
            </w:r>
          </w:p>
        </w:tc>
        <w:tc>
          <w:tcPr>
            <w:tcW w:w="1069" w:type="dxa"/>
            <w:tcBorders>
              <w:top w:val="nil"/>
              <w:left w:val="nil"/>
              <w:bottom w:val="double" w:sz="4" w:space="0" w:color="auto"/>
              <w:right w:val="double" w:sz="4" w:space="0" w:color="auto"/>
            </w:tcBorders>
            <w:shd w:val="clear" w:color="auto" w:fill="auto"/>
            <w:noWrap/>
            <w:vAlign w:val="center"/>
            <w:hideMark/>
          </w:tcPr>
          <w:p w14:paraId="62DE29B2" w14:textId="77777777" w:rsidR="00D47D34" w:rsidRPr="00F15894" w:rsidRDefault="00D47D34" w:rsidP="00371871">
            <w:pPr>
              <w:jc w:val="center"/>
              <w:rPr>
                <w:rFonts w:eastAsia="Times New Roman" w:cs="Times New Roman"/>
                <w:szCs w:val="24"/>
              </w:rPr>
            </w:pPr>
            <w:r w:rsidRPr="00F15894">
              <w:rPr>
                <w:rFonts w:eastAsia="Times New Roman" w:cs="Times New Roman"/>
                <w:szCs w:val="24"/>
              </w:rPr>
              <w:t>t-stat</w:t>
            </w:r>
          </w:p>
        </w:tc>
      </w:tr>
      <w:tr w:rsidR="00D47D34" w:rsidRPr="00487A62" w14:paraId="1E9344D9" w14:textId="77777777" w:rsidTr="007D79B5">
        <w:trPr>
          <w:trHeight w:val="331"/>
        </w:trPr>
        <w:tc>
          <w:tcPr>
            <w:tcW w:w="4485" w:type="dxa"/>
            <w:gridSpan w:val="2"/>
            <w:tcBorders>
              <w:top w:val="nil"/>
              <w:left w:val="double" w:sz="4" w:space="0" w:color="auto"/>
              <w:bottom w:val="nil"/>
              <w:right w:val="double" w:sz="4" w:space="0" w:color="auto"/>
            </w:tcBorders>
            <w:shd w:val="clear" w:color="auto" w:fill="auto"/>
            <w:vAlign w:val="center"/>
            <w:hideMark/>
          </w:tcPr>
          <w:p w14:paraId="1451EBAC" w14:textId="77777777" w:rsidR="00D47D34" w:rsidRPr="00F15894" w:rsidRDefault="00D47D34" w:rsidP="00371871">
            <w:pPr>
              <w:rPr>
                <w:rFonts w:eastAsia="Times New Roman" w:cs="Times New Roman"/>
                <w:b/>
                <w:bCs/>
                <w:szCs w:val="24"/>
              </w:rPr>
            </w:pPr>
            <w:r w:rsidRPr="00F15894">
              <w:rPr>
                <w:rFonts w:eastAsia="Times New Roman" w:cs="Times New Roman"/>
                <w:b/>
                <w:bCs/>
                <w:szCs w:val="24"/>
              </w:rPr>
              <w:t>Gender (male)</w:t>
            </w:r>
          </w:p>
        </w:tc>
        <w:tc>
          <w:tcPr>
            <w:tcW w:w="1068" w:type="dxa"/>
            <w:tcBorders>
              <w:top w:val="nil"/>
              <w:left w:val="double" w:sz="4" w:space="0" w:color="auto"/>
              <w:bottom w:val="nil"/>
              <w:right w:val="nil"/>
            </w:tcBorders>
            <w:shd w:val="clear" w:color="auto" w:fill="auto"/>
            <w:noWrap/>
            <w:vAlign w:val="center"/>
          </w:tcPr>
          <w:p w14:paraId="25CAEC72"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74DD8569" w14:textId="77777777" w:rsidR="00D47D34" w:rsidRPr="00782AC8" w:rsidRDefault="00D47D34" w:rsidP="00371871">
            <w:pPr>
              <w:jc w:val="right"/>
              <w:rPr>
                <w:rFonts w:eastAsia="Times New Roman" w:cs="Times New Roman"/>
                <w:szCs w:val="24"/>
              </w:rPr>
            </w:pPr>
          </w:p>
        </w:tc>
        <w:tc>
          <w:tcPr>
            <w:tcW w:w="1069" w:type="dxa"/>
            <w:tcBorders>
              <w:top w:val="nil"/>
              <w:left w:val="double" w:sz="4" w:space="0" w:color="auto"/>
              <w:bottom w:val="nil"/>
              <w:right w:val="nil"/>
            </w:tcBorders>
            <w:shd w:val="clear" w:color="auto" w:fill="auto"/>
            <w:noWrap/>
            <w:vAlign w:val="center"/>
          </w:tcPr>
          <w:p w14:paraId="71540F98"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40E71D33" w14:textId="77777777" w:rsidR="00D47D34" w:rsidRPr="00782AC8" w:rsidRDefault="00D47D34" w:rsidP="00371871">
            <w:pPr>
              <w:jc w:val="right"/>
              <w:rPr>
                <w:rFonts w:eastAsia="Times New Roman" w:cs="Times New Roman"/>
                <w:szCs w:val="24"/>
              </w:rPr>
            </w:pPr>
          </w:p>
        </w:tc>
        <w:tc>
          <w:tcPr>
            <w:tcW w:w="1068" w:type="dxa"/>
            <w:tcBorders>
              <w:top w:val="nil"/>
              <w:left w:val="double" w:sz="4" w:space="0" w:color="auto"/>
              <w:bottom w:val="nil"/>
              <w:right w:val="nil"/>
            </w:tcBorders>
            <w:shd w:val="clear" w:color="auto" w:fill="auto"/>
            <w:noWrap/>
            <w:vAlign w:val="center"/>
          </w:tcPr>
          <w:p w14:paraId="7D58056A"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34D4B62F" w14:textId="77777777" w:rsidR="00D47D34" w:rsidRPr="00782AC8" w:rsidRDefault="00D47D34" w:rsidP="00371871">
            <w:pPr>
              <w:jc w:val="right"/>
              <w:rPr>
                <w:rFonts w:eastAsia="Times New Roman" w:cs="Times New Roman"/>
                <w:szCs w:val="24"/>
              </w:rPr>
            </w:pPr>
          </w:p>
        </w:tc>
        <w:tc>
          <w:tcPr>
            <w:tcW w:w="1069" w:type="dxa"/>
            <w:tcBorders>
              <w:top w:val="nil"/>
              <w:left w:val="double" w:sz="4" w:space="0" w:color="auto"/>
              <w:bottom w:val="nil"/>
              <w:right w:val="nil"/>
            </w:tcBorders>
            <w:shd w:val="clear" w:color="auto" w:fill="auto"/>
            <w:noWrap/>
            <w:vAlign w:val="center"/>
          </w:tcPr>
          <w:p w14:paraId="5F5DFA85"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hideMark/>
          </w:tcPr>
          <w:p w14:paraId="3360AB2A" w14:textId="77777777" w:rsidR="00D47D34" w:rsidRPr="00782AC8" w:rsidRDefault="00D47D34" w:rsidP="00371871">
            <w:pPr>
              <w:jc w:val="right"/>
              <w:rPr>
                <w:rFonts w:eastAsia="Times New Roman" w:cs="Times New Roman"/>
                <w:szCs w:val="24"/>
              </w:rPr>
            </w:pPr>
          </w:p>
        </w:tc>
      </w:tr>
      <w:tr w:rsidR="00D47D34" w:rsidRPr="00487A62" w14:paraId="6D69C710" w14:textId="77777777" w:rsidTr="007D79B5">
        <w:trPr>
          <w:trHeight w:val="331"/>
        </w:trPr>
        <w:tc>
          <w:tcPr>
            <w:tcW w:w="4485" w:type="dxa"/>
            <w:gridSpan w:val="2"/>
            <w:tcBorders>
              <w:top w:val="nil"/>
              <w:left w:val="double" w:sz="4" w:space="0" w:color="auto"/>
              <w:bottom w:val="nil"/>
              <w:right w:val="double" w:sz="4" w:space="0" w:color="auto"/>
            </w:tcBorders>
            <w:shd w:val="clear" w:color="auto" w:fill="auto"/>
            <w:vAlign w:val="center"/>
            <w:hideMark/>
          </w:tcPr>
          <w:p w14:paraId="12C50377" w14:textId="77777777" w:rsidR="00D47D34" w:rsidRPr="00F15894" w:rsidRDefault="00D47D34" w:rsidP="00371871">
            <w:pPr>
              <w:rPr>
                <w:rFonts w:eastAsia="Times New Roman" w:cs="Times New Roman"/>
                <w:szCs w:val="24"/>
              </w:rPr>
            </w:pPr>
            <w:r>
              <w:rPr>
                <w:rFonts w:eastAsia="Times New Roman" w:cs="Times New Roman"/>
                <w:szCs w:val="24"/>
              </w:rPr>
              <w:t xml:space="preserve"> </w:t>
            </w:r>
            <w:r w:rsidRPr="00F15894">
              <w:rPr>
                <w:rFonts w:eastAsia="Times New Roman" w:cs="Times New Roman"/>
                <w:szCs w:val="24"/>
              </w:rPr>
              <w:t>Female</w:t>
            </w:r>
          </w:p>
        </w:tc>
        <w:tc>
          <w:tcPr>
            <w:tcW w:w="1068" w:type="dxa"/>
            <w:tcBorders>
              <w:top w:val="nil"/>
              <w:left w:val="double" w:sz="4" w:space="0" w:color="auto"/>
              <w:bottom w:val="nil"/>
              <w:right w:val="nil"/>
            </w:tcBorders>
            <w:shd w:val="clear" w:color="auto" w:fill="auto"/>
            <w:noWrap/>
            <w:vAlign w:val="center"/>
          </w:tcPr>
          <w:p w14:paraId="2B229C69"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0.154</w:t>
            </w:r>
          </w:p>
        </w:tc>
        <w:tc>
          <w:tcPr>
            <w:tcW w:w="1069" w:type="dxa"/>
            <w:tcBorders>
              <w:top w:val="nil"/>
              <w:left w:val="nil"/>
              <w:bottom w:val="nil"/>
              <w:right w:val="double" w:sz="4" w:space="0" w:color="auto"/>
            </w:tcBorders>
            <w:shd w:val="clear" w:color="auto" w:fill="auto"/>
            <w:noWrap/>
            <w:vAlign w:val="center"/>
          </w:tcPr>
          <w:p w14:paraId="69D73A1D"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1.78</w:t>
            </w:r>
          </w:p>
        </w:tc>
        <w:tc>
          <w:tcPr>
            <w:tcW w:w="1069" w:type="dxa"/>
            <w:tcBorders>
              <w:top w:val="nil"/>
              <w:left w:val="double" w:sz="4" w:space="0" w:color="auto"/>
              <w:bottom w:val="nil"/>
              <w:right w:val="nil"/>
            </w:tcBorders>
            <w:shd w:val="clear" w:color="auto" w:fill="auto"/>
            <w:noWrap/>
            <w:vAlign w:val="center"/>
          </w:tcPr>
          <w:p w14:paraId="00DD5FCD"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w:t>
            </w:r>
          </w:p>
        </w:tc>
        <w:tc>
          <w:tcPr>
            <w:tcW w:w="1069" w:type="dxa"/>
            <w:tcBorders>
              <w:top w:val="nil"/>
              <w:left w:val="nil"/>
              <w:bottom w:val="nil"/>
              <w:right w:val="double" w:sz="4" w:space="0" w:color="auto"/>
            </w:tcBorders>
            <w:shd w:val="clear" w:color="auto" w:fill="auto"/>
            <w:noWrap/>
            <w:vAlign w:val="center"/>
          </w:tcPr>
          <w:p w14:paraId="47B0F937" w14:textId="77777777" w:rsidR="00D47D34" w:rsidRPr="00782AC8" w:rsidRDefault="00D47D34" w:rsidP="00371871">
            <w:pPr>
              <w:jc w:val="right"/>
              <w:rPr>
                <w:rFonts w:eastAsia="Times New Roman" w:cs="Times New Roman"/>
                <w:szCs w:val="24"/>
              </w:rPr>
            </w:pPr>
          </w:p>
        </w:tc>
        <w:tc>
          <w:tcPr>
            <w:tcW w:w="1068" w:type="dxa"/>
            <w:tcBorders>
              <w:top w:val="nil"/>
              <w:left w:val="double" w:sz="4" w:space="0" w:color="auto"/>
              <w:bottom w:val="nil"/>
              <w:right w:val="nil"/>
            </w:tcBorders>
            <w:shd w:val="clear" w:color="auto" w:fill="auto"/>
            <w:noWrap/>
            <w:vAlign w:val="center"/>
          </w:tcPr>
          <w:p w14:paraId="6B55803B"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0.427</w:t>
            </w:r>
          </w:p>
        </w:tc>
        <w:tc>
          <w:tcPr>
            <w:tcW w:w="1069" w:type="dxa"/>
            <w:tcBorders>
              <w:top w:val="nil"/>
              <w:left w:val="nil"/>
              <w:bottom w:val="nil"/>
              <w:right w:val="double" w:sz="4" w:space="0" w:color="auto"/>
            </w:tcBorders>
            <w:shd w:val="clear" w:color="auto" w:fill="auto"/>
            <w:noWrap/>
            <w:vAlign w:val="center"/>
          </w:tcPr>
          <w:p w14:paraId="4A254727"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5.89</w:t>
            </w:r>
          </w:p>
        </w:tc>
        <w:tc>
          <w:tcPr>
            <w:tcW w:w="1069" w:type="dxa"/>
            <w:tcBorders>
              <w:top w:val="nil"/>
              <w:left w:val="double" w:sz="4" w:space="0" w:color="auto"/>
              <w:bottom w:val="nil"/>
              <w:right w:val="nil"/>
            </w:tcBorders>
            <w:shd w:val="clear" w:color="auto" w:fill="auto"/>
            <w:noWrap/>
            <w:vAlign w:val="center"/>
          </w:tcPr>
          <w:p w14:paraId="1327766B"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-0.215</w:t>
            </w:r>
          </w:p>
        </w:tc>
        <w:tc>
          <w:tcPr>
            <w:tcW w:w="1069" w:type="dxa"/>
            <w:tcBorders>
              <w:top w:val="nil"/>
              <w:left w:val="nil"/>
              <w:bottom w:val="nil"/>
              <w:right w:val="double" w:sz="4" w:space="0" w:color="auto"/>
            </w:tcBorders>
            <w:shd w:val="clear" w:color="auto" w:fill="auto"/>
            <w:noWrap/>
            <w:vAlign w:val="center"/>
          </w:tcPr>
          <w:p w14:paraId="6BF692C7"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-2.64</w:t>
            </w:r>
          </w:p>
        </w:tc>
      </w:tr>
      <w:tr w:rsidR="00D47D34" w:rsidRPr="00487A62" w14:paraId="71786556" w14:textId="77777777" w:rsidTr="007D79B5">
        <w:trPr>
          <w:trHeight w:val="331"/>
        </w:trPr>
        <w:tc>
          <w:tcPr>
            <w:tcW w:w="4485" w:type="dxa"/>
            <w:gridSpan w:val="2"/>
            <w:tcBorders>
              <w:top w:val="nil"/>
              <w:left w:val="double" w:sz="4" w:space="0" w:color="auto"/>
              <w:bottom w:val="nil"/>
              <w:right w:val="double" w:sz="4" w:space="0" w:color="auto"/>
            </w:tcBorders>
            <w:shd w:val="clear" w:color="auto" w:fill="auto"/>
            <w:vAlign w:val="center"/>
          </w:tcPr>
          <w:p w14:paraId="0E06AAE0" w14:textId="77777777" w:rsidR="00D47D34" w:rsidRDefault="00D47D34" w:rsidP="00371871">
            <w:pPr>
              <w:rPr>
                <w:rFonts w:eastAsia="Times New Roman" w:cs="Times New Roman"/>
                <w:szCs w:val="24"/>
              </w:rPr>
            </w:pPr>
            <w:r>
              <w:rPr>
                <w:rFonts w:eastAsia="Times New Roman" w:cs="Times New Roman"/>
                <w:szCs w:val="24"/>
              </w:rPr>
              <w:t xml:space="preserve"> Female*presence of child(ren) in the</w:t>
            </w:r>
          </w:p>
          <w:p w14:paraId="30D602CE" w14:textId="77777777" w:rsidR="00D47D34" w:rsidRDefault="00D47D34" w:rsidP="00371871">
            <w:pPr>
              <w:rPr>
                <w:rFonts w:eastAsia="Times New Roman" w:cs="Times New Roman"/>
                <w:szCs w:val="24"/>
              </w:rPr>
            </w:pPr>
            <w:r>
              <w:rPr>
                <w:rFonts w:eastAsia="Times New Roman" w:cs="Times New Roman"/>
                <w:szCs w:val="24"/>
              </w:rPr>
              <w:t xml:space="preserve">     household</w:t>
            </w:r>
          </w:p>
        </w:tc>
        <w:tc>
          <w:tcPr>
            <w:tcW w:w="1068" w:type="dxa"/>
            <w:tcBorders>
              <w:top w:val="nil"/>
              <w:left w:val="double" w:sz="4" w:space="0" w:color="auto"/>
              <w:bottom w:val="nil"/>
              <w:right w:val="nil"/>
            </w:tcBorders>
            <w:shd w:val="clear" w:color="auto" w:fill="auto"/>
            <w:noWrap/>
            <w:vAlign w:val="center"/>
          </w:tcPr>
          <w:p w14:paraId="1D3671DA"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w:t>
            </w:r>
          </w:p>
        </w:tc>
        <w:tc>
          <w:tcPr>
            <w:tcW w:w="1069" w:type="dxa"/>
            <w:tcBorders>
              <w:top w:val="nil"/>
              <w:left w:val="nil"/>
              <w:bottom w:val="nil"/>
              <w:right w:val="double" w:sz="4" w:space="0" w:color="auto"/>
            </w:tcBorders>
            <w:shd w:val="clear" w:color="auto" w:fill="auto"/>
            <w:noWrap/>
            <w:vAlign w:val="center"/>
          </w:tcPr>
          <w:p w14:paraId="4CBA89F1" w14:textId="77777777" w:rsidR="00D47D34" w:rsidRPr="00782AC8" w:rsidRDefault="00D47D34" w:rsidP="00371871">
            <w:pPr>
              <w:jc w:val="right"/>
              <w:rPr>
                <w:rFonts w:eastAsia="Times New Roman" w:cs="Times New Roman"/>
                <w:szCs w:val="24"/>
              </w:rPr>
            </w:pPr>
          </w:p>
        </w:tc>
        <w:tc>
          <w:tcPr>
            <w:tcW w:w="1069" w:type="dxa"/>
            <w:tcBorders>
              <w:top w:val="nil"/>
              <w:left w:val="double" w:sz="4" w:space="0" w:color="auto"/>
              <w:bottom w:val="nil"/>
              <w:right w:val="nil"/>
            </w:tcBorders>
            <w:shd w:val="clear" w:color="auto" w:fill="auto"/>
            <w:noWrap/>
            <w:vAlign w:val="center"/>
          </w:tcPr>
          <w:p w14:paraId="2B4AC2E9"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w:t>
            </w:r>
          </w:p>
        </w:tc>
        <w:tc>
          <w:tcPr>
            <w:tcW w:w="1069" w:type="dxa"/>
            <w:tcBorders>
              <w:top w:val="nil"/>
              <w:left w:val="nil"/>
              <w:bottom w:val="nil"/>
              <w:right w:val="double" w:sz="4" w:space="0" w:color="auto"/>
            </w:tcBorders>
            <w:shd w:val="clear" w:color="auto" w:fill="auto"/>
            <w:noWrap/>
            <w:vAlign w:val="center"/>
          </w:tcPr>
          <w:p w14:paraId="6E242EBF" w14:textId="77777777" w:rsidR="00D47D34" w:rsidRPr="00782AC8" w:rsidRDefault="00D47D34" w:rsidP="00371871">
            <w:pPr>
              <w:jc w:val="right"/>
              <w:rPr>
                <w:rFonts w:eastAsia="Times New Roman" w:cs="Times New Roman"/>
                <w:szCs w:val="24"/>
              </w:rPr>
            </w:pPr>
          </w:p>
        </w:tc>
        <w:tc>
          <w:tcPr>
            <w:tcW w:w="1068" w:type="dxa"/>
            <w:tcBorders>
              <w:top w:val="nil"/>
              <w:left w:val="double" w:sz="4" w:space="0" w:color="auto"/>
              <w:bottom w:val="nil"/>
              <w:right w:val="nil"/>
            </w:tcBorders>
            <w:shd w:val="clear" w:color="auto" w:fill="auto"/>
            <w:noWrap/>
            <w:vAlign w:val="center"/>
          </w:tcPr>
          <w:p w14:paraId="7D2247E0"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0.180</w:t>
            </w:r>
          </w:p>
        </w:tc>
        <w:tc>
          <w:tcPr>
            <w:tcW w:w="1069" w:type="dxa"/>
            <w:tcBorders>
              <w:top w:val="nil"/>
              <w:left w:val="nil"/>
              <w:bottom w:val="nil"/>
              <w:right w:val="double" w:sz="4" w:space="0" w:color="auto"/>
            </w:tcBorders>
            <w:shd w:val="clear" w:color="auto" w:fill="auto"/>
            <w:noWrap/>
            <w:vAlign w:val="center"/>
          </w:tcPr>
          <w:p w14:paraId="272C4B32"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1.40</w:t>
            </w:r>
          </w:p>
        </w:tc>
        <w:tc>
          <w:tcPr>
            <w:tcW w:w="1069" w:type="dxa"/>
            <w:tcBorders>
              <w:top w:val="nil"/>
              <w:left w:val="double" w:sz="4" w:space="0" w:color="auto"/>
              <w:bottom w:val="nil"/>
              <w:right w:val="nil"/>
            </w:tcBorders>
            <w:shd w:val="clear" w:color="auto" w:fill="auto"/>
            <w:noWrap/>
            <w:vAlign w:val="center"/>
          </w:tcPr>
          <w:p w14:paraId="694D8984"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w:t>
            </w:r>
          </w:p>
        </w:tc>
        <w:tc>
          <w:tcPr>
            <w:tcW w:w="1069" w:type="dxa"/>
            <w:tcBorders>
              <w:top w:val="nil"/>
              <w:left w:val="nil"/>
              <w:bottom w:val="nil"/>
              <w:right w:val="double" w:sz="4" w:space="0" w:color="auto"/>
            </w:tcBorders>
            <w:shd w:val="clear" w:color="auto" w:fill="auto"/>
            <w:noWrap/>
            <w:vAlign w:val="center"/>
          </w:tcPr>
          <w:p w14:paraId="5EA16A50" w14:textId="77777777" w:rsidR="00D47D34" w:rsidRPr="00782AC8" w:rsidRDefault="00D47D34" w:rsidP="00371871">
            <w:pPr>
              <w:jc w:val="right"/>
              <w:rPr>
                <w:rFonts w:eastAsia="Times New Roman" w:cs="Times New Roman"/>
                <w:szCs w:val="24"/>
              </w:rPr>
            </w:pPr>
          </w:p>
        </w:tc>
      </w:tr>
      <w:tr w:rsidR="00D47D34" w:rsidRPr="00487A62" w14:paraId="78D99D79" w14:textId="77777777" w:rsidTr="007D79B5">
        <w:trPr>
          <w:trHeight w:val="331"/>
        </w:trPr>
        <w:tc>
          <w:tcPr>
            <w:tcW w:w="4485" w:type="dxa"/>
            <w:gridSpan w:val="2"/>
            <w:tcBorders>
              <w:top w:val="nil"/>
              <w:left w:val="double" w:sz="4" w:space="0" w:color="auto"/>
              <w:bottom w:val="nil"/>
              <w:right w:val="double" w:sz="4" w:space="0" w:color="auto"/>
            </w:tcBorders>
            <w:shd w:val="clear" w:color="auto" w:fill="auto"/>
            <w:vAlign w:val="center"/>
            <w:hideMark/>
          </w:tcPr>
          <w:p w14:paraId="32D4921F" w14:textId="77777777" w:rsidR="00D47D34" w:rsidRPr="00F15894" w:rsidRDefault="00D47D34" w:rsidP="00371871">
            <w:pPr>
              <w:rPr>
                <w:rFonts w:eastAsia="Times New Roman" w:cs="Times New Roman"/>
                <w:b/>
                <w:bCs/>
                <w:szCs w:val="24"/>
              </w:rPr>
            </w:pPr>
            <w:r w:rsidRPr="00F15894">
              <w:rPr>
                <w:rFonts w:eastAsia="Times New Roman" w:cs="Times New Roman"/>
                <w:b/>
                <w:bCs/>
                <w:szCs w:val="24"/>
              </w:rPr>
              <w:t xml:space="preserve">Age (younger than </w:t>
            </w:r>
            <w:r>
              <w:rPr>
                <w:rFonts w:eastAsia="Times New Roman" w:cs="Times New Roman"/>
                <w:b/>
                <w:bCs/>
                <w:szCs w:val="24"/>
              </w:rPr>
              <w:t>64</w:t>
            </w:r>
            <w:r w:rsidRPr="00F15894">
              <w:rPr>
                <w:rFonts w:eastAsia="Times New Roman" w:cs="Times New Roman"/>
                <w:b/>
                <w:bCs/>
                <w:szCs w:val="24"/>
              </w:rPr>
              <w:t>)</w:t>
            </w:r>
          </w:p>
        </w:tc>
        <w:tc>
          <w:tcPr>
            <w:tcW w:w="1068" w:type="dxa"/>
            <w:tcBorders>
              <w:top w:val="nil"/>
              <w:left w:val="double" w:sz="4" w:space="0" w:color="auto"/>
              <w:bottom w:val="nil"/>
              <w:right w:val="nil"/>
            </w:tcBorders>
            <w:shd w:val="clear" w:color="auto" w:fill="auto"/>
            <w:noWrap/>
            <w:vAlign w:val="center"/>
          </w:tcPr>
          <w:p w14:paraId="1FF68F19"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50DC71C5" w14:textId="77777777" w:rsidR="00D47D34" w:rsidRPr="00782AC8" w:rsidRDefault="00D47D34" w:rsidP="00371871">
            <w:pPr>
              <w:jc w:val="right"/>
              <w:rPr>
                <w:rFonts w:eastAsia="Times New Roman" w:cs="Times New Roman"/>
                <w:szCs w:val="24"/>
              </w:rPr>
            </w:pPr>
          </w:p>
        </w:tc>
        <w:tc>
          <w:tcPr>
            <w:tcW w:w="1069" w:type="dxa"/>
            <w:tcBorders>
              <w:top w:val="nil"/>
              <w:left w:val="double" w:sz="4" w:space="0" w:color="auto"/>
              <w:bottom w:val="nil"/>
              <w:right w:val="nil"/>
            </w:tcBorders>
            <w:shd w:val="clear" w:color="auto" w:fill="auto"/>
            <w:noWrap/>
            <w:vAlign w:val="center"/>
          </w:tcPr>
          <w:p w14:paraId="34057B8B"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51614954" w14:textId="77777777" w:rsidR="00D47D34" w:rsidRPr="00782AC8" w:rsidRDefault="00D47D34" w:rsidP="00371871">
            <w:pPr>
              <w:jc w:val="right"/>
              <w:rPr>
                <w:rFonts w:eastAsia="Times New Roman" w:cs="Times New Roman"/>
                <w:szCs w:val="24"/>
              </w:rPr>
            </w:pPr>
          </w:p>
        </w:tc>
        <w:tc>
          <w:tcPr>
            <w:tcW w:w="1068" w:type="dxa"/>
            <w:tcBorders>
              <w:top w:val="nil"/>
              <w:left w:val="double" w:sz="4" w:space="0" w:color="auto"/>
              <w:bottom w:val="nil"/>
              <w:right w:val="nil"/>
            </w:tcBorders>
            <w:shd w:val="clear" w:color="auto" w:fill="auto"/>
            <w:noWrap/>
            <w:vAlign w:val="center"/>
          </w:tcPr>
          <w:p w14:paraId="1C470072"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6AE8E297" w14:textId="77777777" w:rsidR="00D47D34" w:rsidRPr="00782AC8" w:rsidRDefault="00D47D34" w:rsidP="00371871">
            <w:pPr>
              <w:jc w:val="right"/>
              <w:rPr>
                <w:rFonts w:eastAsia="Times New Roman" w:cs="Times New Roman"/>
                <w:szCs w:val="24"/>
              </w:rPr>
            </w:pPr>
          </w:p>
        </w:tc>
        <w:tc>
          <w:tcPr>
            <w:tcW w:w="1069" w:type="dxa"/>
            <w:tcBorders>
              <w:top w:val="nil"/>
              <w:left w:val="double" w:sz="4" w:space="0" w:color="auto"/>
              <w:bottom w:val="nil"/>
              <w:right w:val="nil"/>
            </w:tcBorders>
            <w:shd w:val="clear" w:color="auto" w:fill="auto"/>
            <w:noWrap/>
            <w:vAlign w:val="center"/>
          </w:tcPr>
          <w:p w14:paraId="03499825"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395E7C76" w14:textId="77777777" w:rsidR="00D47D34" w:rsidRPr="00782AC8" w:rsidRDefault="00D47D34" w:rsidP="00371871">
            <w:pPr>
              <w:jc w:val="right"/>
              <w:rPr>
                <w:rFonts w:eastAsia="Times New Roman" w:cs="Times New Roman"/>
                <w:szCs w:val="24"/>
              </w:rPr>
            </w:pPr>
          </w:p>
        </w:tc>
      </w:tr>
      <w:tr w:rsidR="00D47D34" w:rsidRPr="00487A62" w14:paraId="08AF0A40" w14:textId="77777777" w:rsidTr="007D79B5">
        <w:trPr>
          <w:trHeight w:val="331"/>
        </w:trPr>
        <w:tc>
          <w:tcPr>
            <w:tcW w:w="4485" w:type="dxa"/>
            <w:gridSpan w:val="2"/>
            <w:tcBorders>
              <w:top w:val="nil"/>
              <w:left w:val="double" w:sz="4" w:space="0" w:color="auto"/>
              <w:bottom w:val="nil"/>
              <w:right w:val="double" w:sz="4" w:space="0" w:color="auto"/>
            </w:tcBorders>
            <w:shd w:val="clear" w:color="auto" w:fill="auto"/>
            <w:vAlign w:val="center"/>
            <w:hideMark/>
          </w:tcPr>
          <w:p w14:paraId="4F7B1D4C" w14:textId="77777777" w:rsidR="00D47D34" w:rsidRPr="00F15894" w:rsidRDefault="00D47D34" w:rsidP="00371871">
            <w:pPr>
              <w:rPr>
                <w:rFonts w:eastAsia="Times New Roman" w:cs="Times New Roman"/>
                <w:szCs w:val="24"/>
              </w:rPr>
            </w:pPr>
            <w:r>
              <w:rPr>
                <w:rFonts w:eastAsia="Times New Roman" w:cs="Times New Roman"/>
                <w:szCs w:val="24"/>
              </w:rPr>
              <w:t xml:space="preserve"> </w:t>
            </w:r>
            <w:r w:rsidRPr="00F15894">
              <w:rPr>
                <w:rFonts w:eastAsia="Times New Roman" w:cs="Times New Roman"/>
                <w:szCs w:val="24"/>
              </w:rPr>
              <w:t>64 or older</w:t>
            </w:r>
          </w:p>
        </w:tc>
        <w:tc>
          <w:tcPr>
            <w:tcW w:w="1068" w:type="dxa"/>
            <w:tcBorders>
              <w:top w:val="nil"/>
              <w:left w:val="double" w:sz="4" w:space="0" w:color="auto"/>
              <w:bottom w:val="nil"/>
              <w:right w:val="nil"/>
            </w:tcBorders>
            <w:shd w:val="clear" w:color="auto" w:fill="auto"/>
            <w:noWrap/>
            <w:vAlign w:val="center"/>
          </w:tcPr>
          <w:p w14:paraId="411FCDA4"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0.367</w:t>
            </w:r>
          </w:p>
        </w:tc>
        <w:tc>
          <w:tcPr>
            <w:tcW w:w="1069" w:type="dxa"/>
            <w:tcBorders>
              <w:top w:val="nil"/>
              <w:left w:val="nil"/>
              <w:bottom w:val="nil"/>
              <w:right w:val="double" w:sz="4" w:space="0" w:color="auto"/>
            </w:tcBorders>
            <w:shd w:val="clear" w:color="auto" w:fill="auto"/>
            <w:noWrap/>
            <w:vAlign w:val="center"/>
          </w:tcPr>
          <w:p w14:paraId="7C20EF08"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2.74</w:t>
            </w:r>
          </w:p>
        </w:tc>
        <w:tc>
          <w:tcPr>
            <w:tcW w:w="1069" w:type="dxa"/>
            <w:tcBorders>
              <w:top w:val="nil"/>
              <w:left w:val="double" w:sz="4" w:space="0" w:color="auto"/>
              <w:bottom w:val="nil"/>
              <w:right w:val="nil"/>
            </w:tcBorders>
            <w:shd w:val="clear" w:color="auto" w:fill="auto"/>
            <w:noWrap/>
            <w:vAlign w:val="center"/>
          </w:tcPr>
          <w:p w14:paraId="167EF9AC"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0.307</w:t>
            </w:r>
          </w:p>
        </w:tc>
        <w:tc>
          <w:tcPr>
            <w:tcW w:w="1069" w:type="dxa"/>
            <w:tcBorders>
              <w:top w:val="nil"/>
              <w:left w:val="nil"/>
              <w:bottom w:val="nil"/>
              <w:right w:val="double" w:sz="4" w:space="0" w:color="auto"/>
            </w:tcBorders>
            <w:shd w:val="clear" w:color="auto" w:fill="auto"/>
            <w:noWrap/>
            <w:vAlign w:val="center"/>
          </w:tcPr>
          <w:p w14:paraId="203D0764"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1.69</w:t>
            </w:r>
          </w:p>
        </w:tc>
        <w:tc>
          <w:tcPr>
            <w:tcW w:w="1068" w:type="dxa"/>
            <w:tcBorders>
              <w:top w:val="nil"/>
              <w:left w:val="double" w:sz="4" w:space="0" w:color="auto"/>
              <w:bottom w:val="nil"/>
              <w:right w:val="nil"/>
            </w:tcBorders>
            <w:shd w:val="clear" w:color="auto" w:fill="auto"/>
            <w:noWrap/>
            <w:vAlign w:val="center"/>
          </w:tcPr>
          <w:p w14:paraId="60513AE1"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0.247</w:t>
            </w:r>
          </w:p>
        </w:tc>
        <w:tc>
          <w:tcPr>
            <w:tcW w:w="1069" w:type="dxa"/>
            <w:tcBorders>
              <w:top w:val="nil"/>
              <w:left w:val="nil"/>
              <w:bottom w:val="nil"/>
              <w:right w:val="double" w:sz="4" w:space="0" w:color="auto"/>
            </w:tcBorders>
            <w:shd w:val="clear" w:color="auto" w:fill="auto"/>
            <w:noWrap/>
            <w:vAlign w:val="center"/>
          </w:tcPr>
          <w:p w14:paraId="274CA261"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3.95</w:t>
            </w:r>
          </w:p>
        </w:tc>
        <w:tc>
          <w:tcPr>
            <w:tcW w:w="1069" w:type="dxa"/>
            <w:tcBorders>
              <w:top w:val="nil"/>
              <w:left w:val="double" w:sz="4" w:space="0" w:color="auto"/>
              <w:bottom w:val="nil"/>
              <w:right w:val="nil"/>
            </w:tcBorders>
            <w:shd w:val="clear" w:color="auto" w:fill="auto"/>
            <w:noWrap/>
            <w:vAlign w:val="center"/>
          </w:tcPr>
          <w:p w14:paraId="41FE3882"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-0.501</w:t>
            </w:r>
          </w:p>
        </w:tc>
        <w:tc>
          <w:tcPr>
            <w:tcW w:w="1069" w:type="dxa"/>
            <w:tcBorders>
              <w:top w:val="nil"/>
              <w:left w:val="nil"/>
              <w:bottom w:val="nil"/>
              <w:right w:val="double" w:sz="4" w:space="0" w:color="auto"/>
            </w:tcBorders>
            <w:shd w:val="clear" w:color="auto" w:fill="auto"/>
            <w:noWrap/>
            <w:vAlign w:val="center"/>
          </w:tcPr>
          <w:p w14:paraId="50CAA1D3"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-3.35</w:t>
            </w:r>
          </w:p>
        </w:tc>
      </w:tr>
      <w:tr w:rsidR="00D47D34" w:rsidRPr="00487A62" w14:paraId="5866CE8C" w14:textId="77777777" w:rsidTr="007D79B5">
        <w:trPr>
          <w:trHeight w:val="331"/>
        </w:trPr>
        <w:tc>
          <w:tcPr>
            <w:tcW w:w="4485" w:type="dxa"/>
            <w:gridSpan w:val="2"/>
            <w:tcBorders>
              <w:top w:val="nil"/>
              <w:left w:val="double" w:sz="4" w:space="0" w:color="auto"/>
              <w:bottom w:val="nil"/>
              <w:right w:val="double" w:sz="4" w:space="0" w:color="auto"/>
            </w:tcBorders>
            <w:shd w:val="clear" w:color="auto" w:fill="auto"/>
            <w:vAlign w:val="center"/>
            <w:hideMark/>
          </w:tcPr>
          <w:p w14:paraId="3E28F09F" w14:textId="77777777" w:rsidR="00D47D34" w:rsidRPr="00F15894" w:rsidRDefault="00D47D34" w:rsidP="00371871">
            <w:pPr>
              <w:rPr>
                <w:rFonts w:eastAsia="Times New Roman" w:cs="Times New Roman"/>
                <w:b/>
                <w:bCs/>
                <w:szCs w:val="24"/>
              </w:rPr>
            </w:pPr>
            <w:r w:rsidRPr="00F15894">
              <w:rPr>
                <w:rFonts w:eastAsia="Times New Roman" w:cs="Times New Roman"/>
                <w:b/>
                <w:bCs/>
                <w:szCs w:val="24"/>
              </w:rPr>
              <w:t>Employment Type (unemployed)</w:t>
            </w:r>
          </w:p>
        </w:tc>
        <w:tc>
          <w:tcPr>
            <w:tcW w:w="1068" w:type="dxa"/>
            <w:tcBorders>
              <w:top w:val="nil"/>
              <w:left w:val="double" w:sz="4" w:space="0" w:color="auto"/>
              <w:bottom w:val="nil"/>
              <w:right w:val="nil"/>
            </w:tcBorders>
            <w:shd w:val="clear" w:color="auto" w:fill="auto"/>
            <w:noWrap/>
            <w:vAlign w:val="center"/>
          </w:tcPr>
          <w:p w14:paraId="43A3E684"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01CF3F3B" w14:textId="77777777" w:rsidR="00D47D34" w:rsidRPr="00782AC8" w:rsidRDefault="00D47D34" w:rsidP="00371871">
            <w:pPr>
              <w:jc w:val="right"/>
              <w:rPr>
                <w:rFonts w:eastAsia="Times New Roman" w:cs="Times New Roman"/>
                <w:szCs w:val="24"/>
              </w:rPr>
            </w:pPr>
          </w:p>
        </w:tc>
        <w:tc>
          <w:tcPr>
            <w:tcW w:w="1069" w:type="dxa"/>
            <w:tcBorders>
              <w:top w:val="nil"/>
              <w:left w:val="double" w:sz="4" w:space="0" w:color="auto"/>
              <w:bottom w:val="nil"/>
              <w:right w:val="nil"/>
            </w:tcBorders>
            <w:shd w:val="clear" w:color="auto" w:fill="auto"/>
            <w:noWrap/>
            <w:vAlign w:val="center"/>
          </w:tcPr>
          <w:p w14:paraId="06B975C8"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13E827BE" w14:textId="77777777" w:rsidR="00D47D34" w:rsidRPr="00782AC8" w:rsidRDefault="00D47D34" w:rsidP="00371871">
            <w:pPr>
              <w:jc w:val="right"/>
              <w:rPr>
                <w:rFonts w:eastAsia="Times New Roman" w:cs="Times New Roman"/>
                <w:szCs w:val="24"/>
              </w:rPr>
            </w:pPr>
          </w:p>
        </w:tc>
        <w:tc>
          <w:tcPr>
            <w:tcW w:w="1068" w:type="dxa"/>
            <w:tcBorders>
              <w:top w:val="nil"/>
              <w:left w:val="double" w:sz="4" w:space="0" w:color="auto"/>
              <w:bottom w:val="nil"/>
              <w:right w:val="nil"/>
            </w:tcBorders>
            <w:shd w:val="clear" w:color="auto" w:fill="auto"/>
            <w:noWrap/>
            <w:vAlign w:val="center"/>
          </w:tcPr>
          <w:p w14:paraId="4C496354"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36746AC4" w14:textId="77777777" w:rsidR="00D47D34" w:rsidRPr="00782AC8" w:rsidRDefault="00D47D34" w:rsidP="00371871">
            <w:pPr>
              <w:jc w:val="right"/>
              <w:rPr>
                <w:rFonts w:eastAsia="Times New Roman" w:cs="Times New Roman"/>
                <w:szCs w:val="24"/>
              </w:rPr>
            </w:pPr>
          </w:p>
        </w:tc>
        <w:tc>
          <w:tcPr>
            <w:tcW w:w="1069" w:type="dxa"/>
            <w:tcBorders>
              <w:top w:val="nil"/>
              <w:left w:val="double" w:sz="4" w:space="0" w:color="auto"/>
              <w:bottom w:val="nil"/>
              <w:right w:val="nil"/>
            </w:tcBorders>
            <w:shd w:val="clear" w:color="auto" w:fill="auto"/>
            <w:noWrap/>
            <w:vAlign w:val="center"/>
          </w:tcPr>
          <w:p w14:paraId="2B30A9E3"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04F2244A" w14:textId="77777777" w:rsidR="00D47D34" w:rsidRPr="00782AC8" w:rsidRDefault="00D47D34" w:rsidP="00371871">
            <w:pPr>
              <w:jc w:val="right"/>
              <w:rPr>
                <w:rFonts w:eastAsia="Times New Roman" w:cs="Times New Roman"/>
                <w:szCs w:val="24"/>
              </w:rPr>
            </w:pPr>
          </w:p>
        </w:tc>
      </w:tr>
      <w:tr w:rsidR="00D47D34" w:rsidRPr="00487A62" w14:paraId="53B3E07A" w14:textId="77777777" w:rsidTr="007D79B5">
        <w:trPr>
          <w:trHeight w:val="331"/>
        </w:trPr>
        <w:tc>
          <w:tcPr>
            <w:tcW w:w="4485" w:type="dxa"/>
            <w:gridSpan w:val="2"/>
            <w:tcBorders>
              <w:top w:val="nil"/>
              <w:left w:val="double" w:sz="4" w:space="0" w:color="auto"/>
              <w:bottom w:val="nil"/>
              <w:right w:val="double" w:sz="4" w:space="0" w:color="auto"/>
            </w:tcBorders>
            <w:shd w:val="clear" w:color="auto" w:fill="auto"/>
            <w:vAlign w:val="center"/>
            <w:hideMark/>
          </w:tcPr>
          <w:p w14:paraId="7B0EBC61" w14:textId="77777777" w:rsidR="00D47D34" w:rsidRPr="00F15894" w:rsidRDefault="00D47D34" w:rsidP="00371871">
            <w:pPr>
              <w:rPr>
                <w:rFonts w:eastAsia="Times New Roman" w:cs="Times New Roman"/>
                <w:szCs w:val="24"/>
              </w:rPr>
            </w:pPr>
            <w:r>
              <w:rPr>
                <w:rFonts w:eastAsia="Times New Roman" w:cs="Times New Roman"/>
                <w:szCs w:val="24"/>
              </w:rPr>
              <w:t xml:space="preserve"> </w:t>
            </w:r>
            <w:r w:rsidRPr="00F15894">
              <w:rPr>
                <w:rFonts w:eastAsia="Times New Roman" w:cs="Times New Roman"/>
                <w:szCs w:val="24"/>
              </w:rPr>
              <w:t>Employed</w:t>
            </w:r>
          </w:p>
        </w:tc>
        <w:tc>
          <w:tcPr>
            <w:tcW w:w="1068" w:type="dxa"/>
            <w:tcBorders>
              <w:top w:val="nil"/>
              <w:left w:val="double" w:sz="4" w:space="0" w:color="auto"/>
              <w:bottom w:val="nil"/>
              <w:right w:val="nil"/>
            </w:tcBorders>
            <w:shd w:val="clear" w:color="auto" w:fill="auto"/>
            <w:noWrap/>
            <w:vAlign w:val="center"/>
          </w:tcPr>
          <w:p w14:paraId="7F5DC82D"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w:t>
            </w:r>
          </w:p>
        </w:tc>
        <w:tc>
          <w:tcPr>
            <w:tcW w:w="1069" w:type="dxa"/>
            <w:tcBorders>
              <w:top w:val="nil"/>
              <w:left w:val="nil"/>
              <w:bottom w:val="nil"/>
              <w:right w:val="double" w:sz="4" w:space="0" w:color="auto"/>
            </w:tcBorders>
            <w:shd w:val="clear" w:color="auto" w:fill="auto"/>
            <w:noWrap/>
            <w:vAlign w:val="center"/>
          </w:tcPr>
          <w:p w14:paraId="4BD558C3" w14:textId="77777777" w:rsidR="00D47D34" w:rsidRPr="00782AC8" w:rsidRDefault="00D47D34" w:rsidP="00371871">
            <w:pPr>
              <w:jc w:val="right"/>
              <w:rPr>
                <w:rFonts w:eastAsia="Times New Roman" w:cs="Times New Roman"/>
                <w:szCs w:val="24"/>
              </w:rPr>
            </w:pPr>
          </w:p>
        </w:tc>
        <w:tc>
          <w:tcPr>
            <w:tcW w:w="1069" w:type="dxa"/>
            <w:tcBorders>
              <w:top w:val="nil"/>
              <w:left w:val="double" w:sz="4" w:space="0" w:color="auto"/>
              <w:bottom w:val="nil"/>
              <w:right w:val="nil"/>
            </w:tcBorders>
            <w:shd w:val="clear" w:color="auto" w:fill="auto"/>
            <w:noWrap/>
            <w:vAlign w:val="center"/>
          </w:tcPr>
          <w:p w14:paraId="52BB18C4"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w:t>
            </w:r>
          </w:p>
        </w:tc>
        <w:tc>
          <w:tcPr>
            <w:tcW w:w="1069" w:type="dxa"/>
            <w:tcBorders>
              <w:top w:val="nil"/>
              <w:left w:val="nil"/>
              <w:bottom w:val="nil"/>
              <w:right w:val="double" w:sz="4" w:space="0" w:color="auto"/>
            </w:tcBorders>
            <w:shd w:val="clear" w:color="auto" w:fill="auto"/>
            <w:noWrap/>
            <w:vAlign w:val="center"/>
          </w:tcPr>
          <w:p w14:paraId="6EB1EE91" w14:textId="77777777" w:rsidR="00D47D34" w:rsidRPr="00782AC8" w:rsidRDefault="00D47D34" w:rsidP="00371871">
            <w:pPr>
              <w:jc w:val="right"/>
              <w:rPr>
                <w:rFonts w:eastAsia="Times New Roman" w:cs="Times New Roman"/>
                <w:szCs w:val="24"/>
              </w:rPr>
            </w:pPr>
          </w:p>
        </w:tc>
        <w:tc>
          <w:tcPr>
            <w:tcW w:w="1068" w:type="dxa"/>
            <w:tcBorders>
              <w:top w:val="nil"/>
              <w:left w:val="double" w:sz="4" w:space="0" w:color="auto"/>
              <w:bottom w:val="nil"/>
              <w:right w:val="nil"/>
            </w:tcBorders>
            <w:shd w:val="clear" w:color="auto" w:fill="auto"/>
            <w:noWrap/>
            <w:vAlign w:val="center"/>
          </w:tcPr>
          <w:p w14:paraId="3B1A28F0"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-0.196</w:t>
            </w:r>
          </w:p>
        </w:tc>
        <w:tc>
          <w:tcPr>
            <w:tcW w:w="1069" w:type="dxa"/>
            <w:tcBorders>
              <w:top w:val="nil"/>
              <w:left w:val="nil"/>
              <w:bottom w:val="nil"/>
              <w:right w:val="double" w:sz="4" w:space="0" w:color="auto"/>
            </w:tcBorders>
            <w:shd w:val="clear" w:color="auto" w:fill="auto"/>
            <w:noWrap/>
            <w:vAlign w:val="center"/>
          </w:tcPr>
          <w:p w14:paraId="75A14731"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-3.39</w:t>
            </w:r>
          </w:p>
        </w:tc>
        <w:tc>
          <w:tcPr>
            <w:tcW w:w="1069" w:type="dxa"/>
            <w:tcBorders>
              <w:top w:val="nil"/>
              <w:left w:val="double" w:sz="4" w:space="0" w:color="auto"/>
              <w:bottom w:val="nil"/>
              <w:right w:val="nil"/>
            </w:tcBorders>
            <w:shd w:val="clear" w:color="auto" w:fill="auto"/>
            <w:noWrap/>
            <w:vAlign w:val="center"/>
          </w:tcPr>
          <w:p w14:paraId="473511FF"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w:t>
            </w:r>
          </w:p>
        </w:tc>
        <w:tc>
          <w:tcPr>
            <w:tcW w:w="1069" w:type="dxa"/>
            <w:tcBorders>
              <w:top w:val="nil"/>
              <w:left w:val="nil"/>
              <w:bottom w:val="nil"/>
              <w:right w:val="double" w:sz="4" w:space="0" w:color="auto"/>
            </w:tcBorders>
            <w:shd w:val="clear" w:color="auto" w:fill="auto"/>
            <w:noWrap/>
            <w:vAlign w:val="center"/>
          </w:tcPr>
          <w:p w14:paraId="5A002C64" w14:textId="77777777" w:rsidR="00D47D34" w:rsidRPr="00782AC8" w:rsidRDefault="00D47D34" w:rsidP="00371871">
            <w:pPr>
              <w:jc w:val="right"/>
              <w:rPr>
                <w:rFonts w:eastAsia="Times New Roman" w:cs="Times New Roman"/>
                <w:szCs w:val="24"/>
              </w:rPr>
            </w:pPr>
          </w:p>
        </w:tc>
      </w:tr>
      <w:tr w:rsidR="00D47D34" w:rsidRPr="00487A62" w14:paraId="4124202A" w14:textId="77777777" w:rsidTr="007D79B5">
        <w:trPr>
          <w:trHeight w:val="331"/>
        </w:trPr>
        <w:tc>
          <w:tcPr>
            <w:tcW w:w="4485" w:type="dxa"/>
            <w:gridSpan w:val="2"/>
            <w:tcBorders>
              <w:top w:val="nil"/>
              <w:left w:val="double" w:sz="4" w:space="0" w:color="auto"/>
              <w:bottom w:val="nil"/>
              <w:right w:val="double" w:sz="4" w:space="0" w:color="auto"/>
            </w:tcBorders>
            <w:shd w:val="clear" w:color="auto" w:fill="auto"/>
            <w:vAlign w:val="center"/>
            <w:hideMark/>
          </w:tcPr>
          <w:p w14:paraId="3BCC50C1" w14:textId="14EA41BC" w:rsidR="00D47D34" w:rsidRPr="00F15894" w:rsidRDefault="00D47D34" w:rsidP="00BA29A9">
            <w:pPr>
              <w:rPr>
                <w:rFonts w:eastAsia="Times New Roman" w:cs="Times New Roman"/>
                <w:b/>
                <w:bCs/>
                <w:szCs w:val="24"/>
              </w:rPr>
            </w:pPr>
            <w:r w:rsidRPr="00F15894">
              <w:rPr>
                <w:rFonts w:eastAsia="Times New Roman" w:cs="Times New Roman"/>
                <w:b/>
                <w:bCs/>
                <w:szCs w:val="24"/>
              </w:rPr>
              <w:t>Education (completed high</w:t>
            </w:r>
            <w:r w:rsidR="00BA29A9">
              <w:rPr>
                <w:rFonts w:eastAsia="Times New Roman" w:cs="Times New Roman"/>
                <w:b/>
                <w:bCs/>
                <w:szCs w:val="24"/>
              </w:rPr>
              <w:t xml:space="preserve"> </w:t>
            </w:r>
            <w:r w:rsidRPr="00F15894">
              <w:rPr>
                <w:rFonts w:eastAsia="Times New Roman" w:cs="Times New Roman"/>
                <w:b/>
                <w:bCs/>
                <w:szCs w:val="24"/>
              </w:rPr>
              <w:t>school or</w:t>
            </w:r>
            <w:r w:rsidR="00BA29A9">
              <w:rPr>
                <w:rFonts w:eastAsia="Times New Roman" w:cs="Times New Roman"/>
                <w:b/>
                <w:bCs/>
                <w:szCs w:val="24"/>
              </w:rPr>
              <w:t xml:space="preserve"> </w:t>
            </w:r>
            <w:r w:rsidRPr="00F15894">
              <w:rPr>
                <w:rFonts w:eastAsia="Times New Roman" w:cs="Times New Roman"/>
                <w:b/>
                <w:bCs/>
                <w:szCs w:val="24"/>
              </w:rPr>
              <w:t>less)</w:t>
            </w:r>
          </w:p>
        </w:tc>
        <w:tc>
          <w:tcPr>
            <w:tcW w:w="1068" w:type="dxa"/>
            <w:tcBorders>
              <w:top w:val="nil"/>
              <w:left w:val="double" w:sz="4" w:space="0" w:color="auto"/>
              <w:bottom w:val="nil"/>
              <w:right w:val="nil"/>
            </w:tcBorders>
            <w:shd w:val="clear" w:color="auto" w:fill="auto"/>
            <w:noWrap/>
            <w:vAlign w:val="center"/>
          </w:tcPr>
          <w:p w14:paraId="2842C52C"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2492E049" w14:textId="77777777" w:rsidR="00D47D34" w:rsidRPr="00782AC8" w:rsidRDefault="00D47D34" w:rsidP="00371871">
            <w:pPr>
              <w:jc w:val="right"/>
              <w:rPr>
                <w:rFonts w:eastAsia="Times New Roman" w:cs="Times New Roman"/>
                <w:szCs w:val="24"/>
              </w:rPr>
            </w:pPr>
          </w:p>
        </w:tc>
        <w:tc>
          <w:tcPr>
            <w:tcW w:w="1069" w:type="dxa"/>
            <w:tcBorders>
              <w:top w:val="nil"/>
              <w:left w:val="double" w:sz="4" w:space="0" w:color="auto"/>
              <w:bottom w:val="nil"/>
              <w:right w:val="nil"/>
            </w:tcBorders>
            <w:shd w:val="clear" w:color="auto" w:fill="auto"/>
            <w:noWrap/>
            <w:vAlign w:val="center"/>
          </w:tcPr>
          <w:p w14:paraId="31B305F2"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3BF7DBF2" w14:textId="77777777" w:rsidR="00D47D34" w:rsidRPr="00782AC8" w:rsidRDefault="00D47D34" w:rsidP="00371871">
            <w:pPr>
              <w:jc w:val="right"/>
              <w:rPr>
                <w:rFonts w:eastAsia="Times New Roman" w:cs="Times New Roman"/>
                <w:szCs w:val="24"/>
              </w:rPr>
            </w:pPr>
          </w:p>
        </w:tc>
        <w:tc>
          <w:tcPr>
            <w:tcW w:w="1068" w:type="dxa"/>
            <w:tcBorders>
              <w:top w:val="nil"/>
              <w:left w:val="double" w:sz="4" w:space="0" w:color="auto"/>
              <w:bottom w:val="nil"/>
              <w:right w:val="nil"/>
            </w:tcBorders>
            <w:shd w:val="clear" w:color="auto" w:fill="auto"/>
            <w:noWrap/>
            <w:vAlign w:val="center"/>
          </w:tcPr>
          <w:p w14:paraId="2EBDB43F"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3EB8ACDA" w14:textId="77777777" w:rsidR="00D47D34" w:rsidRPr="00782AC8" w:rsidRDefault="00D47D34" w:rsidP="00371871">
            <w:pPr>
              <w:jc w:val="right"/>
              <w:rPr>
                <w:rFonts w:eastAsia="Times New Roman" w:cs="Times New Roman"/>
                <w:szCs w:val="24"/>
              </w:rPr>
            </w:pPr>
          </w:p>
        </w:tc>
        <w:tc>
          <w:tcPr>
            <w:tcW w:w="1069" w:type="dxa"/>
            <w:tcBorders>
              <w:top w:val="nil"/>
              <w:left w:val="double" w:sz="4" w:space="0" w:color="auto"/>
              <w:bottom w:val="nil"/>
              <w:right w:val="nil"/>
            </w:tcBorders>
            <w:shd w:val="clear" w:color="auto" w:fill="auto"/>
            <w:noWrap/>
            <w:vAlign w:val="center"/>
          </w:tcPr>
          <w:p w14:paraId="4DCC0A7A"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27BAB7A6" w14:textId="77777777" w:rsidR="00D47D34" w:rsidRPr="00782AC8" w:rsidRDefault="00D47D34" w:rsidP="00371871">
            <w:pPr>
              <w:jc w:val="right"/>
              <w:rPr>
                <w:rFonts w:eastAsia="Times New Roman" w:cs="Times New Roman"/>
                <w:szCs w:val="24"/>
              </w:rPr>
            </w:pPr>
          </w:p>
        </w:tc>
      </w:tr>
      <w:tr w:rsidR="00D47D34" w:rsidRPr="00487A62" w14:paraId="13BDDC4C" w14:textId="77777777" w:rsidTr="007D79B5">
        <w:trPr>
          <w:trHeight w:val="331"/>
        </w:trPr>
        <w:tc>
          <w:tcPr>
            <w:tcW w:w="4485" w:type="dxa"/>
            <w:gridSpan w:val="2"/>
            <w:tcBorders>
              <w:top w:val="nil"/>
              <w:left w:val="double" w:sz="4" w:space="0" w:color="auto"/>
              <w:bottom w:val="nil"/>
              <w:right w:val="double" w:sz="4" w:space="0" w:color="auto"/>
            </w:tcBorders>
            <w:shd w:val="clear" w:color="auto" w:fill="auto"/>
            <w:vAlign w:val="center"/>
            <w:hideMark/>
          </w:tcPr>
          <w:p w14:paraId="21F2C254" w14:textId="77777777" w:rsidR="00D47D34" w:rsidRPr="00F15894" w:rsidRDefault="00D47D34" w:rsidP="00371871">
            <w:pPr>
              <w:rPr>
                <w:rFonts w:eastAsia="Times New Roman" w:cs="Times New Roman"/>
                <w:szCs w:val="24"/>
              </w:rPr>
            </w:pPr>
            <w:r>
              <w:rPr>
                <w:rFonts w:eastAsia="Times New Roman" w:cs="Times New Roman"/>
                <w:szCs w:val="24"/>
              </w:rPr>
              <w:t xml:space="preserve"> </w:t>
            </w:r>
            <w:r w:rsidRPr="00F15894">
              <w:rPr>
                <w:rFonts w:eastAsia="Times New Roman" w:cs="Times New Roman"/>
                <w:szCs w:val="24"/>
              </w:rPr>
              <w:t>Higher Education</w:t>
            </w:r>
          </w:p>
        </w:tc>
        <w:tc>
          <w:tcPr>
            <w:tcW w:w="1068" w:type="dxa"/>
            <w:tcBorders>
              <w:top w:val="nil"/>
              <w:left w:val="double" w:sz="4" w:space="0" w:color="auto"/>
              <w:bottom w:val="nil"/>
              <w:right w:val="nil"/>
            </w:tcBorders>
            <w:shd w:val="clear" w:color="auto" w:fill="auto"/>
            <w:noWrap/>
            <w:vAlign w:val="center"/>
          </w:tcPr>
          <w:p w14:paraId="7915C689"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-0.148</w:t>
            </w:r>
          </w:p>
        </w:tc>
        <w:tc>
          <w:tcPr>
            <w:tcW w:w="1069" w:type="dxa"/>
            <w:tcBorders>
              <w:top w:val="nil"/>
              <w:left w:val="nil"/>
              <w:bottom w:val="nil"/>
              <w:right w:val="double" w:sz="4" w:space="0" w:color="auto"/>
            </w:tcBorders>
            <w:shd w:val="clear" w:color="auto" w:fill="auto"/>
            <w:noWrap/>
            <w:vAlign w:val="center"/>
          </w:tcPr>
          <w:p w14:paraId="536E748C"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-1.90</w:t>
            </w:r>
          </w:p>
        </w:tc>
        <w:tc>
          <w:tcPr>
            <w:tcW w:w="1069" w:type="dxa"/>
            <w:tcBorders>
              <w:top w:val="nil"/>
              <w:left w:val="double" w:sz="4" w:space="0" w:color="auto"/>
              <w:bottom w:val="nil"/>
              <w:right w:val="nil"/>
            </w:tcBorders>
            <w:shd w:val="clear" w:color="auto" w:fill="auto"/>
            <w:noWrap/>
            <w:vAlign w:val="center"/>
          </w:tcPr>
          <w:p w14:paraId="4F7A0596"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w:t>
            </w:r>
          </w:p>
        </w:tc>
        <w:tc>
          <w:tcPr>
            <w:tcW w:w="1069" w:type="dxa"/>
            <w:tcBorders>
              <w:top w:val="nil"/>
              <w:left w:val="nil"/>
              <w:bottom w:val="nil"/>
              <w:right w:val="double" w:sz="4" w:space="0" w:color="auto"/>
            </w:tcBorders>
            <w:shd w:val="clear" w:color="auto" w:fill="auto"/>
            <w:noWrap/>
            <w:vAlign w:val="center"/>
          </w:tcPr>
          <w:p w14:paraId="17352675" w14:textId="77777777" w:rsidR="00D47D34" w:rsidRPr="00782AC8" w:rsidRDefault="00D47D34" w:rsidP="00371871">
            <w:pPr>
              <w:jc w:val="right"/>
              <w:rPr>
                <w:rFonts w:eastAsia="Times New Roman" w:cs="Times New Roman"/>
                <w:szCs w:val="24"/>
              </w:rPr>
            </w:pPr>
          </w:p>
        </w:tc>
        <w:tc>
          <w:tcPr>
            <w:tcW w:w="1068" w:type="dxa"/>
            <w:tcBorders>
              <w:top w:val="nil"/>
              <w:left w:val="double" w:sz="4" w:space="0" w:color="auto"/>
              <w:bottom w:val="nil"/>
              <w:right w:val="nil"/>
            </w:tcBorders>
            <w:shd w:val="clear" w:color="auto" w:fill="auto"/>
            <w:noWrap/>
            <w:vAlign w:val="center"/>
          </w:tcPr>
          <w:p w14:paraId="6D111D9C"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w:t>
            </w:r>
          </w:p>
        </w:tc>
        <w:tc>
          <w:tcPr>
            <w:tcW w:w="1069" w:type="dxa"/>
            <w:tcBorders>
              <w:top w:val="nil"/>
              <w:left w:val="nil"/>
              <w:bottom w:val="nil"/>
              <w:right w:val="double" w:sz="4" w:space="0" w:color="auto"/>
            </w:tcBorders>
            <w:shd w:val="clear" w:color="auto" w:fill="auto"/>
            <w:noWrap/>
            <w:vAlign w:val="center"/>
          </w:tcPr>
          <w:p w14:paraId="44A9D1F9" w14:textId="77777777" w:rsidR="00D47D34" w:rsidRPr="00782AC8" w:rsidRDefault="00D47D34" w:rsidP="00371871">
            <w:pPr>
              <w:jc w:val="right"/>
              <w:rPr>
                <w:rFonts w:eastAsia="Times New Roman" w:cs="Times New Roman"/>
                <w:szCs w:val="24"/>
              </w:rPr>
            </w:pPr>
          </w:p>
        </w:tc>
        <w:tc>
          <w:tcPr>
            <w:tcW w:w="1069" w:type="dxa"/>
            <w:tcBorders>
              <w:top w:val="nil"/>
              <w:left w:val="double" w:sz="4" w:space="0" w:color="auto"/>
              <w:bottom w:val="nil"/>
              <w:right w:val="nil"/>
            </w:tcBorders>
            <w:shd w:val="clear" w:color="auto" w:fill="auto"/>
            <w:noWrap/>
            <w:vAlign w:val="center"/>
          </w:tcPr>
          <w:p w14:paraId="41E9114D"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0.155</w:t>
            </w:r>
          </w:p>
        </w:tc>
        <w:tc>
          <w:tcPr>
            <w:tcW w:w="1069" w:type="dxa"/>
            <w:tcBorders>
              <w:top w:val="nil"/>
              <w:left w:val="nil"/>
              <w:bottom w:val="nil"/>
              <w:right w:val="double" w:sz="4" w:space="0" w:color="auto"/>
            </w:tcBorders>
            <w:shd w:val="clear" w:color="auto" w:fill="auto"/>
            <w:noWrap/>
            <w:vAlign w:val="center"/>
          </w:tcPr>
          <w:p w14:paraId="25499AA1"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1.99</w:t>
            </w:r>
          </w:p>
        </w:tc>
      </w:tr>
      <w:tr w:rsidR="00D47D34" w:rsidRPr="00487A62" w14:paraId="20E5FAA4" w14:textId="77777777" w:rsidTr="007D79B5">
        <w:trPr>
          <w:trHeight w:val="331"/>
        </w:trPr>
        <w:tc>
          <w:tcPr>
            <w:tcW w:w="4485" w:type="dxa"/>
            <w:gridSpan w:val="2"/>
            <w:tcBorders>
              <w:top w:val="nil"/>
              <w:left w:val="double" w:sz="4" w:space="0" w:color="auto"/>
              <w:bottom w:val="nil"/>
              <w:right w:val="double" w:sz="4" w:space="0" w:color="auto"/>
            </w:tcBorders>
            <w:shd w:val="clear" w:color="auto" w:fill="auto"/>
            <w:vAlign w:val="center"/>
          </w:tcPr>
          <w:p w14:paraId="75B8FFDC" w14:textId="77777777" w:rsidR="00D47D34" w:rsidRPr="00DC1F45" w:rsidRDefault="00D47D34" w:rsidP="00371871">
            <w:pPr>
              <w:rPr>
                <w:rFonts w:eastAsia="Times New Roman" w:cs="Times New Roman"/>
                <w:b/>
                <w:bCs/>
                <w:i/>
                <w:iCs/>
                <w:szCs w:val="24"/>
              </w:rPr>
            </w:pPr>
            <w:r w:rsidRPr="00DC1F45">
              <w:rPr>
                <w:rFonts w:eastAsia="Times New Roman" w:cs="Times New Roman"/>
                <w:b/>
                <w:bCs/>
                <w:i/>
                <w:iCs/>
                <w:szCs w:val="24"/>
              </w:rPr>
              <w:t>Household Characteristics</w:t>
            </w:r>
          </w:p>
        </w:tc>
        <w:tc>
          <w:tcPr>
            <w:tcW w:w="1068" w:type="dxa"/>
            <w:tcBorders>
              <w:top w:val="nil"/>
              <w:left w:val="double" w:sz="4" w:space="0" w:color="auto"/>
              <w:bottom w:val="nil"/>
              <w:right w:val="nil"/>
            </w:tcBorders>
            <w:shd w:val="clear" w:color="auto" w:fill="auto"/>
            <w:noWrap/>
            <w:vAlign w:val="center"/>
          </w:tcPr>
          <w:p w14:paraId="553C9A39"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10F56DED" w14:textId="77777777" w:rsidR="00D47D34" w:rsidRPr="00782AC8" w:rsidRDefault="00D47D34" w:rsidP="00371871">
            <w:pPr>
              <w:jc w:val="right"/>
              <w:rPr>
                <w:rFonts w:eastAsia="Times New Roman" w:cs="Times New Roman"/>
                <w:szCs w:val="24"/>
              </w:rPr>
            </w:pPr>
          </w:p>
        </w:tc>
        <w:tc>
          <w:tcPr>
            <w:tcW w:w="1069" w:type="dxa"/>
            <w:tcBorders>
              <w:top w:val="nil"/>
              <w:left w:val="double" w:sz="4" w:space="0" w:color="auto"/>
              <w:bottom w:val="nil"/>
              <w:right w:val="nil"/>
            </w:tcBorders>
            <w:shd w:val="clear" w:color="auto" w:fill="auto"/>
            <w:noWrap/>
            <w:vAlign w:val="center"/>
          </w:tcPr>
          <w:p w14:paraId="3286E22F"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7B9FEAAE" w14:textId="77777777" w:rsidR="00D47D34" w:rsidRPr="00782AC8" w:rsidRDefault="00D47D34" w:rsidP="00371871">
            <w:pPr>
              <w:jc w:val="right"/>
              <w:rPr>
                <w:rFonts w:eastAsia="Times New Roman" w:cs="Times New Roman"/>
                <w:szCs w:val="24"/>
              </w:rPr>
            </w:pPr>
          </w:p>
        </w:tc>
        <w:tc>
          <w:tcPr>
            <w:tcW w:w="1068" w:type="dxa"/>
            <w:tcBorders>
              <w:top w:val="nil"/>
              <w:left w:val="double" w:sz="4" w:space="0" w:color="auto"/>
              <w:bottom w:val="nil"/>
              <w:right w:val="nil"/>
            </w:tcBorders>
            <w:shd w:val="clear" w:color="auto" w:fill="auto"/>
            <w:noWrap/>
            <w:vAlign w:val="center"/>
          </w:tcPr>
          <w:p w14:paraId="40FB0B99"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79F8C61E" w14:textId="77777777" w:rsidR="00D47D34" w:rsidRPr="00782AC8" w:rsidRDefault="00D47D34" w:rsidP="00371871">
            <w:pPr>
              <w:jc w:val="right"/>
              <w:rPr>
                <w:rFonts w:eastAsia="Times New Roman" w:cs="Times New Roman"/>
                <w:szCs w:val="24"/>
              </w:rPr>
            </w:pPr>
          </w:p>
        </w:tc>
        <w:tc>
          <w:tcPr>
            <w:tcW w:w="1069" w:type="dxa"/>
            <w:tcBorders>
              <w:top w:val="nil"/>
              <w:left w:val="double" w:sz="4" w:space="0" w:color="auto"/>
              <w:bottom w:val="nil"/>
              <w:right w:val="nil"/>
            </w:tcBorders>
            <w:shd w:val="clear" w:color="auto" w:fill="auto"/>
            <w:noWrap/>
            <w:vAlign w:val="center"/>
          </w:tcPr>
          <w:p w14:paraId="57D56F6C" w14:textId="77777777" w:rsidR="00D47D34" w:rsidRPr="00782AC8" w:rsidRDefault="00D47D34" w:rsidP="00371871">
            <w:pPr>
              <w:jc w:val="right"/>
              <w:rPr>
                <w:rFonts w:eastAsia="Times New Roman" w:cs="Times New Roman"/>
                <w:szCs w:val="24"/>
              </w:rPr>
            </w:pPr>
          </w:p>
        </w:tc>
        <w:tc>
          <w:tcPr>
            <w:tcW w:w="1069" w:type="dxa"/>
            <w:tcBorders>
              <w:top w:val="nil"/>
              <w:left w:val="nil"/>
              <w:bottom w:val="nil"/>
              <w:right w:val="double" w:sz="4" w:space="0" w:color="auto"/>
            </w:tcBorders>
            <w:shd w:val="clear" w:color="auto" w:fill="auto"/>
            <w:noWrap/>
            <w:vAlign w:val="center"/>
          </w:tcPr>
          <w:p w14:paraId="32206C42" w14:textId="77777777" w:rsidR="00D47D34" w:rsidRPr="00782AC8" w:rsidRDefault="00D47D34" w:rsidP="00371871">
            <w:pPr>
              <w:jc w:val="right"/>
              <w:rPr>
                <w:rFonts w:eastAsia="Times New Roman" w:cs="Times New Roman"/>
                <w:szCs w:val="24"/>
              </w:rPr>
            </w:pPr>
          </w:p>
        </w:tc>
      </w:tr>
      <w:tr w:rsidR="00D47D34" w:rsidRPr="00487A62" w14:paraId="22317D71" w14:textId="77777777" w:rsidTr="007D79B5">
        <w:trPr>
          <w:trHeight w:val="331"/>
        </w:trPr>
        <w:tc>
          <w:tcPr>
            <w:tcW w:w="4485" w:type="dxa"/>
            <w:gridSpan w:val="2"/>
            <w:tcBorders>
              <w:top w:val="nil"/>
              <w:left w:val="double" w:sz="4" w:space="0" w:color="auto"/>
              <w:right w:val="double" w:sz="4" w:space="0" w:color="auto"/>
            </w:tcBorders>
            <w:shd w:val="clear" w:color="auto" w:fill="auto"/>
            <w:vAlign w:val="center"/>
          </w:tcPr>
          <w:p w14:paraId="31CD372D" w14:textId="77777777" w:rsidR="00D47D34" w:rsidRPr="00755E6C" w:rsidRDefault="00D47D34" w:rsidP="00371871">
            <w:pPr>
              <w:rPr>
                <w:rFonts w:eastAsia="Times New Roman" w:cs="Times New Roman"/>
                <w:b/>
                <w:szCs w:val="24"/>
              </w:rPr>
            </w:pPr>
            <w:r w:rsidRPr="00755E6C">
              <w:rPr>
                <w:rFonts w:eastAsia="Times New Roman" w:cs="Times New Roman"/>
                <w:b/>
                <w:color w:val="000000"/>
                <w:szCs w:val="24"/>
              </w:rPr>
              <w:t>Income (&lt;$100,000)</w:t>
            </w:r>
          </w:p>
        </w:tc>
        <w:tc>
          <w:tcPr>
            <w:tcW w:w="1068" w:type="dxa"/>
            <w:tcBorders>
              <w:top w:val="nil"/>
              <w:left w:val="double" w:sz="4" w:space="0" w:color="auto"/>
              <w:right w:val="nil"/>
            </w:tcBorders>
            <w:shd w:val="clear" w:color="auto" w:fill="auto"/>
            <w:noWrap/>
            <w:vAlign w:val="center"/>
          </w:tcPr>
          <w:p w14:paraId="28CA8BC5" w14:textId="77777777" w:rsidR="00D47D34" w:rsidRPr="00782AC8" w:rsidRDefault="00D47D34" w:rsidP="00371871">
            <w:pPr>
              <w:jc w:val="right"/>
              <w:rPr>
                <w:rFonts w:eastAsia="Times New Roman" w:cs="Times New Roman"/>
                <w:szCs w:val="24"/>
              </w:rPr>
            </w:pPr>
          </w:p>
        </w:tc>
        <w:tc>
          <w:tcPr>
            <w:tcW w:w="1069" w:type="dxa"/>
            <w:tcBorders>
              <w:top w:val="nil"/>
              <w:left w:val="nil"/>
              <w:right w:val="double" w:sz="4" w:space="0" w:color="auto"/>
            </w:tcBorders>
            <w:shd w:val="clear" w:color="auto" w:fill="auto"/>
            <w:noWrap/>
            <w:vAlign w:val="center"/>
          </w:tcPr>
          <w:p w14:paraId="7D60D6E9" w14:textId="77777777" w:rsidR="00D47D34" w:rsidRPr="00782AC8" w:rsidRDefault="00D47D34" w:rsidP="00371871">
            <w:pPr>
              <w:jc w:val="right"/>
              <w:rPr>
                <w:rFonts w:eastAsia="Times New Roman" w:cs="Times New Roman"/>
                <w:szCs w:val="24"/>
              </w:rPr>
            </w:pPr>
          </w:p>
        </w:tc>
        <w:tc>
          <w:tcPr>
            <w:tcW w:w="1069" w:type="dxa"/>
            <w:tcBorders>
              <w:top w:val="nil"/>
              <w:left w:val="double" w:sz="4" w:space="0" w:color="auto"/>
              <w:right w:val="nil"/>
            </w:tcBorders>
            <w:shd w:val="clear" w:color="auto" w:fill="auto"/>
            <w:noWrap/>
            <w:vAlign w:val="center"/>
          </w:tcPr>
          <w:p w14:paraId="07219A64" w14:textId="77777777" w:rsidR="00D47D34" w:rsidRPr="00782AC8" w:rsidRDefault="00D47D34" w:rsidP="00371871">
            <w:pPr>
              <w:jc w:val="right"/>
              <w:rPr>
                <w:rFonts w:eastAsia="Times New Roman" w:cs="Times New Roman"/>
                <w:szCs w:val="24"/>
              </w:rPr>
            </w:pPr>
          </w:p>
        </w:tc>
        <w:tc>
          <w:tcPr>
            <w:tcW w:w="1069" w:type="dxa"/>
            <w:tcBorders>
              <w:top w:val="nil"/>
              <w:left w:val="nil"/>
              <w:right w:val="double" w:sz="4" w:space="0" w:color="auto"/>
            </w:tcBorders>
            <w:shd w:val="clear" w:color="auto" w:fill="auto"/>
            <w:noWrap/>
            <w:vAlign w:val="center"/>
          </w:tcPr>
          <w:p w14:paraId="2F2C979D" w14:textId="77777777" w:rsidR="00D47D34" w:rsidRPr="00782AC8" w:rsidRDefault="00D47D34" w:rsidP="00371871">
            <w:pPr>
              <w:jc w:val="right"/>
              <w:rPr>
                <w:rFonts w:eastAsia="Times New Roman" w:cs="Times New Roman"/>
                <w:szCs w:val="24"/>
              </w:rPr>
            </w:pPr>
          </w:p>
        </w:tc>
        <w:tc>
          <w:tcPr>
            <w:tcW w:w="1068" w:type="dxa"/>
            <w:tcBorders>
              <w:top w:val="nil"/>
              <w:left w:val="double" w:sz="4" w:space="0" w:color="auto"/>
              <w:right w:val="nil"/>
            </w:tcBorders>
            <w:shd w:val="clear" w:color="auto" w:fill="auto"/>
            <w:noWrap/>
            <w:vAlign w:val="center"/>
          </w:tcPr>
          <w:p w14:paraId="5CC13F18" w14:textId="77777777" w:rsidR="00D47D34" w:rsidRPr="00782AC8" w:rsidRDefault="00D47D34" w:rsidP="00371871">
            <w:pPr>
              <w:jc w:val="right"/>
              <w:rPr>
                <w:rFonts w:eastAsia="Times New Roman" w:cs="Times New Roman"/>
                <w:szCs w:val="24"/>
              </w:rPr>
            </w:pPr>
          </w:p>
        </w:tc>
        <w:tc>
          <w:tcPr>
            <w:tcW w:w="1069" w:type="dxa"/>
            <w:tcBorders>
              <w:top w:val="nil"/>
              <w:left w:val="nil"/>
              <w:right w:val="double" w:sz="4" w:space="0" w:color="auto"/>
            </w:tcBorders>
            <w:shd w:val="clear" w:color="auto" w:fill="auto"/>
            <w:noWrap/>
            <w:vAlign w:val="center"/>
          </w:tcPr>
          <w:p w14:paraId="7C9E6C7C" w14:textId="77777777" w:rsidR="00D47D34" w:rsidRPr="00782AC8" w:rsidRDefault="00D47D34" w:rsidP="00371871">
            <w:pPr>
              <w:jc w:val="right"/>
              <w:rPr>
                <w:rFonts w:eastAsia="Times New Roman" w:cs="Times New Roman"/>
                <w:szCs w:val="24"/>
              </w:rPr>
            </w:pPr>
          </w:p>
        </w:tc>
        <w:tc>
          <w:tcPr>
            <w:tcW w:w="1069" w:type="dxa"/>
            <w:tcBorders>
              <w:top w:val="nil"/>
              <w:left w:val="double" w:sz="4" w:space="0" w:color="auto"/>
              <w:right w:val="nil"/>
            </w:tcBorders>
            <w:shd w:val="clear" w:color="auto" w:fill="auto"/>
            <w:noWrap/>
            <w:vAlign w:val="center"/>
          </w:tcPr>
          <w:p w14:paraId="64B4B90C" w14:textId="77777777" w:rsidR="00D47D34" w:rsidRPr="00782AC8" w:rsidRDefault="00D47D34" w:rsidP="00371871">
            <w:pPr>
              <w:jc w:val="right"/>
              <w:rPr>
                <w:rFonts w:eastAsia="Times New Roman" w:cs="Times New Roman"/>
                <w:szCs w:val="24"/>
              </w:rPr>
            </w:pPr>
          </w:p>
        </w:tc>
        <w:tc>
          <w:tcPr>
            <w:tcW w:w="1069" w:type="dxa"/>
            <w:tcBorders>
              <w:top w:val="nil"/>
              <w:left w:val="nil"/>
              <w:right w:val="double" w:sz="4" w:space="0" w:color="auto"/>
            </w:tcBorders>
            <w:shd w:val="clear" w:color="auto" w:fill="auto"/>
            <w:noWrap/>
            <w:vAlign w:val="center"/>
          </w:tcPr>
          <w:p w14:paraId="042BDFB3" w14:textId="77777777" w:rsidR="00D47D34" w:rsidRPr="00782AC8" w:rsidRDefault="00D47D34" w:rsidP="00371871">
            <w:pPr>
              <w:jc w:val="right"/>
              <w:rPr>
                <w:rFonts w:eastAsia="Times New Roman" w:cs="Times New Roman"/>
                <w:szCs w:val="24"/>
              </w:rPr>
            </w:pPr>
          </w:p>
        </w:tc>
      </w:tr>
      <w:tr w:rsidR="00D47D34" w:rsidRPr="00487A62" w14:paraId="09A4D97A" w14:textId="77777777" w:rsidTr="007D79B5">
        <w:trPr>
          <w:trHeight w:val="331"/>
        </w:trPr>
        <w:tc>
          <w:tcPr>
            <w:tcW w:w="4485" w:type="dxa"/>
            <w:gridSpan w:val="2"/>
            <w:tcBorders>
              <w:top w:val="nil"/>
              <w:left w:val="double" w:sz="4" w:space="0" w:color="auto"/>
              <w:bottom w:val="double" w:sz="4" w:space="0" w:color="auto"/>
              <w:right w:val="double" w:sz="4" w:space="0" w:color="auto"/>
            </w:tcBorders>
            <w:shd w:val="clear" w:color="auto" w:fill="auto"/>
            <w:vAlign w:val="center"/>
          </w:tcPr>
          <w:p w14:paraId="5FA6205B" w14:textId="77777777" w:rsidR="00D47D34" w:rsidRPr="007B0DFE" w:rsidRDefault="00D47D34" w:rsidP="00371871">
            <w:pPr>
              <w:rPr>
                <w:rFonts w:eastAsia="Times New Roman" w:cs="Times New Roman"/>
                <w:szCs w:val="24"/>
              </w:rPr>
            </w:pPr>
            <w:r w:rsidRPr="007B0DFE">
              <w:rPr>
                <w:rFonts w:eastAsia="Times New Roman" w:cs="Times New Roman"/>
                <w:color w:val="000000"/>
                <w:szCs w:val="24"/>
              </w:rPr>
              <w:t xml:space="preserve">  ≥$100,000</w:t>
            </w:r>
          </w:p>
        </w:tc>
        <w:tc>
          <w:tcPr>
            <w:tcW w:w="1068" w:type="dxa"/>
            <w:tcBorders>
              <w:top w:val="nil"/>
              <w:left w:val="double" w:sz="4" w:space="0" w:color="auto"/>
              <w:bottom w:val="double" w:sz="4" w:space="0" w:color="auto"/>
              <w:right w:val="nil"/>
            </w:tcBorders>
            <w:shd w:val="clear" w:color="auto" w:fill="auto"/>
            <w:noWrap/>
            <w:vAlign w:val="center"/>
          </w:tcPr>
          <w:p w14:paraId="033427C4"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w:t>
            </w:r>
          </w:p>
        </w:tc>
        <w:tc>
          <w:tcPr>
            <w:tcW w:w="1069" w:type="dxa"/>
            <w:tcBorders>
              <w:top w:val="nil"/>
              <w:left w:val="nil"/>
              <w:bottom w:val="double" w:sz="4" w:space="0" w:color="auto"/>
              <w:right w:val="double" w:sz="4" w:space="0" w:color="auto"/>
            </w:tcBorders>
            <w:shd w:val="clear" w:color="auto" w:fill="auto"/>
            <w:noWrap/>
            <w:vAlign w:val="center"/>
          </w:tcPr>
          <w:p w14:paraId="02E6427A" w14:textId="77777777" w:rsidR="00D47D34" w:rsidRPr="00782AC8" w:rsidRDefault="00D47D34" w:rsidP="00371871">
            <w:pPr>
              <w:jc w:val="right"/>
              <w:rPr>
                <w:rFonts w:eastAsia="Times New Roman" w:cs="Times New Roman"/>
                <w:szCs w:val="24"/>
              </w:rPr>
            </w:pPr>
          </w:p>
        </w:tc>
        <w:tc>
          <w:tcPr>
            <w:tcW w:w="1069" w:type="dxa"/>
            <w:tcBorders>
              <w:top w:val="nil"/>
              <w:left w:val="double" w:sz="4" w:space="0" w:color="auto"/>
              <w:bottom w:val="double" w:sz="4" w:space="0" w:color="auto"/>
              <w:right w:val="nil"/>
            </w:tcBorders>
            <w:shd w:val="clear" w:color="auto" w:fill="auto"/>
            <w:noWrap/>
            <w:vAlign w:val="center"/>
          </w:tcPr>
          <w:p w14:paraId="5691059B"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w:t>
            </w:r>
          </w:p>
        </w:tc>
        <w:tc>
          <w:tcPr>
            <w:tcW w:w="1069" w:type="dxa"/>
            <w:tcBorders>
              <w:top w:val="nil"/>
              <w:left w:val="nil"/>
              <w:bottom w:val="double" w:sz="4" w:space="0" w:color="auto"/>
              <w:right w:val="double" w:sz="4" w:space="0" w:color="auto"/>
            </w:tcBorders>
            <w:shd w:val="clear" w:color="auto" w:fill="auto"/>
            <w:noWrap/>
            <w:vAlign w:val="center"/>
          </w:tcPr>
          <w:p w14:paraId="1491007F" w14:textId="77777777" w:rsidR="00D47D34" w:rsidRPr="00782AC8" w:rsidRDefault="00D47D34" w:rsidP="00371871">
            <w:pPr>
              <w:jc w:val="right"/>
              <w:rPr>
                <w:rFonts w:eastAsia="Times New Roman" w:cs="Times New Roman"/>
                <w:szCs w:val="24"/>
              </w:rPr>
            </w:pPr>
          </w:p>
        </w:tc>
        <w:tc>
          <w:tcPr>
            <w:tcW w:w="1068" w:type="dxa"/>
            <w:tcBorders>
              <w:top w:val="nil"/>
              <w:left w:val="double" w:sz="4" w:space="0" w:color="auto"/>
              <w:bottom w:val="double" w:sz="4" w:space="0" w:color="auto"/>
              <w:right w:val="single" w:sz="4" w:space="0" w:color="FFFFFF" w:themeColor="background1"/>
            </w:tcBorders>
            <w:shd w:val="clear" w:color="auto" w:fill="auto"/>
            <w:noWrap/>
            <w:vAlign w:val="center"/>
          </w:tcPr>
          <w:p w14:paraId="19CCB745"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w:t>
            </w:r>
          </w:p>
        </w:tc>
        <w:tc>
          <w:tcPr>
            <w:tcW w:w="1069" w:type="dxa"/>
            <w:tcBorders>
              <w:top w:val="nil"/>
              <w:left w:val="single" w:sz="4" w:space="0" w:color="FFFFFF" w:themeColor="background1"/>
              <w:bottom w:val="double" w:sz="4" w:space="0" w:color="auto"/>
              <w:right w:val="double" w:sz="4" w:space="0" w:color="auto"/>
            </w:tcBorders>
            <w:shd w:val="clear" w:color="auto" w:fill="auto"/>
            <w:noWrap/>
            <w:vAlign w:val="center"/>
          </w:tcPr>
          <w:p w14:paraId="5D9F8F35" w14:textId="77777777" w:rsidR="00D47D34" w:rsidRPr="00782AC8" w:rsidRDefault="00D47D34" w:rsidP="00371871">
            <w:pPr>
              <w:jc w:val="right"/>
              <w:rPr>
                <w:rFonts w:eastAsia="Times New Roman" w:cs="Times New Roman"/>
                <w:szCs w:val="24"/>
              </w:rPr>
            </w:pPr>
          </w:p>
        </w:tc>
        <w:tc>
          <w:tcPr>
            <w:tcW w:w="1069" w:type="dxa"/>
            <w:tcBorders>
              <w:top w:val="nil"/>
              <w:left w:val="double" w:sz="4" w:space="0" w:color="auto"/>
              <w:bottom w:val="double" w:sz="4" w:space="0" w:color="auto"/>
              <w:right w:val="nil"/>
            </w:tcBorders>
            <w:shd w:val="clear" w:color="auto" w:fill="auto"/>
            <w:noWrap/>
            <w:vAlign w:val="center"/>
          </w:tcPr>
          <w:p w14:paraId="4D45C67C"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0.133</w:t>
            </w:r>
          </w:p>
        </w:tc>
        <w:tc>
          <w:tcPr>
            <w:tcW w:w="1069" w:type="dxa"/>
            <w:tcBorders>
              <w:top w:val="nil"/>
              <w:left w:val="nil"/>
              <w:bottom w:val="double" w:sz="4" w:space="0" w:color="auto"/>
              <w:right w:val="double" w:sz="4" w:space="0" w:color="auto"/>
            </w:tcBorders>
            <w:shd w:val="clear" w:color="auto" w:fill="auto"/>
            <w:noWrap/>
            <w:vAlign w:val="center"/>
          </w:tcPr>
          <w:p w14:paraId="08DC61E9" w14:textId="77777777" w:rsidR="00D47D34" w:rsidRPr="00782AC8" w:rsidRDefault="00D47D34" w:rsidP="00371871">
            <w:pPr>
              <w:jc w:val="right"/>
              <w:rPr>
                <w:rFonts w:eastAsia="Times New Roman" w:cs="Times New Roman"/>
                <w:szCs w:val="24"/>
              </w:rPr>
            </w:pPr>
            <w:r w:rsidRPr="00782AC8">
              <w:rPr>
                <w:rFonts w:eastAsia="Times New Roman" w:cs="Times New Roman"/>
                <w:szCs w:val="24"/>
              </w:rPr>
              <w:t>1.65</w:t>
            </w:r>
          </w:p>
        </w:tc>
      </w:tr>
      <w:tr w:rsidR="000B0B28" w:rsidRPr="00487A62" w14:paraId="36A2225D" w14:textId="77777777" w:rsidTr="007D79B5">
        <w:trPr>
          <w:trHeight w:val="331"/>
        </w:trPr>
        <w:tc>
          <w:tcPr>
            <w:tcW w:w="2235" w:type="dxa"/>
            <w:vMerge w:val="restart"/>
            <w:tcBorders>
              <w:top w:val="nil"/>
              <w:left w:val="double" w:sz="4" w:space="0" w:color="auto"/>
              <w:right w:val="double" w:sz="4" w:space="0" w:color="auto"/>
            </w:tcBorders>
            <w:shd w:val="clear" w:color="auto" w:fill="auto"/>
            <w:vAlign w:val="center"/>
          </w:tcPr>
          <w:p w14:paraId="6D713A18" w14:textId="7652746A" w:rsidR="000B0B28" w:rsidRPr="007B0DFE" w:rsidRDefault="000B0B28" w:rsidP="00371871">
            <w:pPr>
              <w:rPr>
                <w:rFonts w:eastAsia="Times New Roman" w:cs="Times New Roman"/>
                <w:color w:val="000000"/>
                <w:szCs w:val="24"/>
              </w:rPr>
            </w:pPr>
            <w:r w:rsidRPr="00514B3C">
              <w:rPr>
                <w:rFonts w:eastAsia="Times New Roman" w:cs="Times New Roman"/>
                <w:b/>
                <w:bCs/>
                <w:color w:val="000000"/>
                <w:szCs w:val="24"/>
              </w:rPr>
              <w:t>Correlation among Latent Constructs</w:t>
            </w:r>
          </w:p>
        </w:tc>
        <w:tc>
          <w:tcPr>
            <w:tcW w:w="2250" w:type="dxa"/>
            <w:tcBorders>
              <w:top w:val="nil"/>
              <w:left w:val="double" w:sz="4" w:space="0" w:color="auto"/>
              <w:bottom w:val="double" w:sz="4" w:space="0" w:color="auto"/>
              <w:right w:val="double" w:sz="4" w:space="0" w:color="auto"/>
            </w:tcBorders>
            <w:shd w:val="clear" w:color="auto" w:fill="auto"/>
            <w:vAlign w:val="center"/>
          </w:tcPr>
          <w:p w14:paraId="5BC659A3" w14:textId="300A3338" w:rsidR="000B0B28" w:rsidRPr="00194EF3" w:rsidRDefault="000B0B28" w:rsidP="00194EF3">
            <w:pPr>
              <w:jc w:val="center"/>
              <w:rPr>
                <w:rFonts w:eastAsia="Times New Roman" w:cs="Times New Roman"/>
                <w:b/>
                <w:color w:val="000000"/>
                <w:szCs w:val="24"/>
              </w:rPr>
            </w:pPr>
            <w:r w:rsidRPr="00194EF3">
              <w:rPr>
                <w:rFonts w:eastAsia="Times New Roman" w:cs="Times New Roman"/>
                <w:b/>
                <w:color w:val="000000"/>
                <w:szCs w:val="24"/>
              </w:rPr>
              <w:t>Construct</w:t>
            </w:r>
          </w:p>
        </w:tc>
        <w:tc>
          <w:tcPr>
            <w:tcW w:w="1068" w:type="dxa"/>
            <w:tcBorders>
              <w:top w:val="double" w:sz="4" w:space="0" w:color="auto"/>
              <w:left w:val="double" w:sz="4" w:space="0" w:color="auto"/>
              <w:bottom w:val="double" w:sz="4" w:space="0" w:color="auto"/>
              <w:right w:val="single" w:sz="4" w:space="0" w:color="auto"/>
            </w:tcBorders>
            <w:shd w:val="clear" w:color="auto" w:fill="auto"/>
            <w:noWrap/>
            <w:vAlign w:val="center"/>
          </w:tcPr>
          <w:p w14:paraId="0E776841" w14:textId="23F7721E" w:rsidR="000B0B28" w:rsidRPr="00782AC8" w:rsidRDefault="000B0B28" w:rsidP="00194EF3">
            <w:pPr>
              <w:jc w:val="center"/>
              <w:rPr>
                <w:rFonts w:eastAsia="Times New Roman" w:cs="Times New Roman"/>
                <w:szCs w:val="24"/>
              </w:rPr>
            </w:pPr>
            <w:r w:rsidRPr="00782AC8">
              <w:rPr>
                <w:rFonts w:eastAsia="Times New Roman" w:cs="Times New Roman"/>
                <w:szCs w:val="24"/>
              </w:rPr>
              <w:t>Param.</w:t>
            </w:r>
          </w:p>
        </w:tc>
        <w:tc>
          <w:tcPr>
            <w:tcW w:w="1069" w:type="dxa"/>
            <w:tcBorders>
              <w:top w:val="nil"/>
              <w:left w:val="single" w:sz="4" w:space="0" w:color="auto"/>
              <w:bottom w:val="double" w:sz="4" w:space="0" w:color="auto"/>
              <w:right w:val="double" w:sz="4" w:space="0" w:color="auto"/>
            </w:tcBorders>
            <w:shd w:val="clear" w:color="auto" w:fill="auto"/>
            <w:vAlign w:val="center"/>
          </w:tcPr>
          <w:p w14:paraId="66F626D9" w14:textId="1FF94535" w:rsidR="000B0B28" w:rsidRPr="00782AC8" w:rsidRDefault="000B0B28" w:rsidP="00194EF3">
            <w:pPr>
              <w:jc w:val="center"/>
              <w:rPr>
                <w:rFonts w:eastAsia="Times New Roman" w:cs="Times New Roman"/>
                <w:szCs w:val="24"/>
              </w:rPr>
            </w:pPr>
            <w:r w:rsidRPr="00782AC8">
              <w:rPr>
                <w:rFonts w:eastAsia="Times New Roman" w:cs="Times New Roman"/>
                <w:szCs w:val="24"/>
              </w:rPr>
              <w:t>t-stat</w:t>
            </w:r>
          </w:p>
        </w:tc>
        <w:tc>
          <w:tcPr>
            <w:tcW w:w="1069" w:type="dxa"/>
            <w:tcBorders>
              <w:top w:val="double" w:sz="4" w:space="0" w:color="auto"/>
              <w:left w:val="double" w:sz="4" w:space="0" w:color="auto"/>
              <w:bottom w:val="double" w:sz="4" w:space="0" w:color="auto"/>
              <w:right w:val="single" w:sz="4" w:space="0" w:color="auto"/>
            </w:tcBorders>
            <w:shd w:val="clear" w:color="auto" w:fill="auto"/>
            <w:noWrap/>
            <w:vAlign w:val="center"/>
          </w:tcPr>
          <w:p w14:paraId="68854D64" w14:textId="182083B0" w:rsidR="000B0B28" w:rsidRPr="00782AC8" w:rsidRDefault="000B0B28" w:rsidP="00194EF3">
            <w:pPr>
              <w:jc w:val="center"/>
              <w:rPr>
                <w:rFonts w:eastAsia="Times New Roman" w:cs="Times New Roman"/>
                <w:szCs w:val="24"/>
              </w:rPr>
            </w:pPr>
            <w:r w:rsidRPr="00782AC8">
              <w:rPr>
                <w:rFonts w:eastAsia="Times New Roman" w:cs="Times New Roman"/>
                <w:szCs w:val="24"/>
              </w:rPr>
              <w:t>Param.</w:t>
            </w:r>
          </w:p>
        </w:tc>
        <w:tc>
          <w:tcPr>
            <w:tcW w:w="1069" w:type="dxa"/>
            <w:tcBorders>
              <w:top w:val="nil"/>
              <w:left w:val="single" w:sz="4" w:space="0" w:color="auto"/>
              <w:bottom w:val="double" w:sz="4" w:space="0" w:color="auto"/>
              <w:right w:val="double" w:sz="4" w:space="0" w:color="auto"/>
            </w:tcBorders>
            <w:shd w:val="clear" w:color="auto" w:fill="auto"/>
            <w:vAlign w:val="center"/>
          </w:tcPr>
          <w:p w14:paraId="265CC0D1" w14:textId="6A63C35A" w:rsidR="000B0B28" w:rsidRPr="00782AC8" w:rsidRDefault="000B0B28" w:rsidP="00194EF3">
            <w:pPr>
              <w:jc w:val="center"/>
              <w:rPr>
                <w:rFonts w:eastAsia="Times New Roman" w:cs="Times New Roman"/>
                <w:szCs w:val="24"/>
              </w:rPr>
            </w:pPr>
            <w:r w:rsidRPr="00782AC8">
              <w:rPr>
                <w:rFonts w:eastAsia="Times New Roman" w:cs="Times New Roman"/>
                <w:szCs w:val="24"/>
              </w:rPr>
              <w:t>t-stat</w:t>
            </w:r>
          </w:p>
        </w:tc>
        <w:tc>
          <w:tcPr>
            <w:tcW w:w="1068" w:type="dxa"/>
            <w:tcBorders>
              <w:top w:val="double" w:sz="4" w:space="0" w:color="auto"/>
              <w:left w:val="double" w:sz="4" w:space="0" w:color="auto"/>
              <w:bottom w:val="double" w:sz="4" w:space="0" w:color="auto"/>
              <w:right w:val="single" w:sz="4" w:space="0" w:color="auto"/>
            </w:tcBorders>
            <w:shd w:val="clear" w:color="auto" w:fill="auto"/>
            <w:noWrap/>
            <w:vAlign w:val="center"/>
          </w:tcPr>
          <w:p w14:paraId="52BD7EF0" w14:textId="5F772AB3" w:rsidR="000B0B28" w:rsidRPr="00782AC8" w:rsidRDefault="000B0B28" w:rsidP="00194EF3">
            <w:pPr>
              <w:jc w:val="center"/>
              <w:rPr>
                <w:rFonts w:eastAsia="Times New Roman" w:cs="Times New Roman"/>
                <w:szCs w:val="24"/>
              </w:rPr>
            </w:pPr>
            <w:r w:rsidRPr="00782AC8">
              <w:rPr>
                <w:rFonts w:eastAsia="Times New Roman" w:cs="Times New Roman"/>
                <w:szCs w:val="24"/>
              </w:rPr>
              <w:t>Param.</w:t>
            </w:r>
          </w:p>
        </w:tc>
        <w:tc>
          <w:tcPr>
            <w:tcW w:w="1069" w:type="dxa"/>
            <w:tcBorders>
              <w:top w:val="nil"/>
              <w:left w:val="single" w:sz="4" w:space="0" w:color="auto"/>
              <w:bottom w:val="double" w:sz="4" w:space="0" w:color="auto"/>
              <w:right w:val="double" w:sz="4" w:space="0" w:color="auto"/>
            </w:tcBorders>
            <w:shd w:val="clear" w:color="auto" w:fill="auto"/>
            <w:vAlign w:val="center"/>
          </w:tcPr>
          <w:p w14:paraId="5D61DB75" w14:textId="57BA67C0" w:rsidR="000B0B28" w:rsidRPr="00782AC8" w:rsidRDefault="000B0B28" w:rsidP="00194EF3">
            <w:pPr>
              <w:jc w:val="center"/>
              <w:rPr>
                <w:rFonts w:eastAsia="Times New Roman" w:cs="Times New Roman"/>
                <w:szCs w:val="24"/>
              </w:rPr>
            </w:pPr>
            <w:r w:rsidRPr="00782AC8">
              <w:rPr>
                <w:rFonts w:eastAsia="Times New Roman" w:cs="Times New Roman"/>
                <w:szCs w:val="24"/>
              </w:rPr>
              <w:t>t-stat</w:t>
            </w:r>
          </w:p>
        </w:tc>
        <w:tc>
          <w:tcPr>
            <w:tcW w:w="1069" w:type="dxa"/>
            <w:tcBorders>
              <w:top w:val="double" w:sz="4" w:space="0" w:color="auto"/>
              <w:left w:val="double" w:sz="4" w:space="0" w:color="auto"/>
              <w:bottom w:val="double" w:sz="4" w:space="0" w:color="auto"/>
              <w:right w:val="single" w:sz="4" w:space="0" w:color="auto"/>
            </w:tcBorders>
            <w:shd w:val="clear" w:color="auto" w:fill="auto"/>
            <w:noWrap/>
            <w:vAlign w:val="center"/>
          </w:tcPr>
          <w:p w14:paraId="2B41288F" w14:textId="63914434" w:rsidR="000B0B28" w:rsidRPr="00782AC8" w:rsidRDefault="000B0B28" w:rsidP="00194EF3">
            <w:pPr>
              <w:jc w:val="center"/>
              <w:rPr>
                <w:rFonts w:eastAsia="Times New Roman" w:cs="Times New Roman"/>
                <w:szCs w:val="24"/>
              </w:rPr>
            </w:pPr>
            <w:r w:rsidRPr="00782AC8">
              <w:rPr>
                <w:rFonts w:eastAsia="Times New Roman" w:cs="Times New Roman"/>
                <w:szCs w:val="24"/>
              </w:rPr>
              <w:t>Param.</w:t>
            </w:r>
          </w:p>
        </w:tc>
        <w:tc>
          <w:tcPr>
            <w:tcW w:w="1069" w:type="dxa"/>
            <w:tcBorders>
              <w:top w:val="nil"/>
              <w:left w:val="single" w:sz="4" w:space="0" w:color="auto"/>
              <w:bottom w:val="double" w:sz="4" w:space="0" w:color="auto"/>
              <w:right w:val="double" w:sz="4" w:space="0" w:color="auto"/>
            </w:tcBorders>
            <w:shd w:val="clear" w:color="auto" w:fill="auto"/>
            <w:vAlign w:val="center"/>
          </w:tcPr>
          <w:p w14:paraId="6E4A6218" w14:textId="61708270" w:rsidR="000B0B28" w:rsidRPr="00782AC8" w:rsidRDefault="000B0B28" w:rsidP="00194EF3">
            <w:pPr>
              <w:jc w:val="center"/>
              <w:rPr>
                <w:rFonts w:eastAsia="Times New Roman" w:cs="Times New Roman"/>
                <w:szCs w:val="24"/>
              </w:rPr>
            </w:pPr>
            <w:r w:rsidRPr="00782AC8">
              <w:rPr>
                <w:rFonts w:eastAsia="Times New Roman" w:cs="Times New Roman"/>
                <w:szCs w:val="24"/>
              </w:rPr>
              <w:t>t-stat</w:t>
            </w:r>
          </w:p>
        </w:tc>
      </w:tr>
      <w:tr w:rsidR="000B0B28" w:rsidRPr="00487A62" w14:paraId="14071618" w14:textId="77777777" w:rsidTr="007D79B5">
        <w:trPr>
          <w:trHeight w:val="331"/>
        </w:trPr>
        <w:tc>
          <w:tcPr>
            <w:tcW w:w="2235" w:type="dxa"/>
            <w:vMerge/>
            <w:tcBorders>
              <w:left w:val="double" w:sz="4" w:space="0" w:color="auto"/>
              <w:right w:val="double" w:sz="4" w:space="0" w:color="auto"/>
            </w:tcBorders>
            <w:shd w:val="clear" w:color="auto" w:fill="auto"/>
            <w:vAlign w:val="center"/>
          </w:tcPr>
          <w:p w14:paraId="1437C8C8" w14:textId="77F4684E" w:rsidR="000B0B28" w:rsidRPr="00514B3C" w:rsidRDefault="000B0B28" w:rsidP="00371871">
            <w:pPr>
              <w:rPr>
                <w:rFonts w:eastAsia="Times New Roman" w:cs="Times New Roman"/>
                <w:b/>
                <w:bCs/>
                <w:color w:val="000000"/>
                <w:sz w:val="20"/>
                <w:szCs w:val="20"/>
              </w:rPr>
            </w:pPr>
          </w:p>
        </w:tc>
        <w:tc>
          <w:tcPr>
            <w:tcW w:w="2250" w:type="dxa"/>
            <w:tcBorders>
              <w:top w:val="double" w:sz="4" w:space="0" w:color="auto"/>
              <w:left w:val="single" w:sz="12" w:space="0" w:color="auto"/>
              <w:bottom w:val="single" w:sz="4" w:space="0" w:color="auto"/>
              <w:right w:val="double" w:sz="4" w:space="0" w:color="auto"/>
            </w:tcBorders>
            <w:shd w:val="clear" w:color="auto" w:fill="auto"/>
            <w:vAlign w:val="center"/>
          </w:tcPr>
          <w:p w14:paraId="3B1E619F" w14:textId="77777777" w:rsidR="000B0B28" w:rsidRPr="00A53BF7" w:rsidRDefault="000B0B28" w:rsidP="00371871">
            <w:pPr>
              <w:rPr>
                <w:rFonts w:eastAsia="Times New Roman" w:cs="Times New Roman"/>
                <w:color w:val="000000"/>
                <w:szCs w:val="24"/>
              </w:rPr>
            </w:pPr>
            <w:r w:rsidRPr="00A53BF7">
              <w:rPr>
                <w:rFonts w:eastAsia="Times New Roman" w:cs="Times New Roman"/>
                <w:color w:val="000000"/>
                <w:szCs w:val="24"/>
              </w:rPr>
              <w:t>Driving Control</w:t>
            </w:r>
          </w:p>
        </w:tc>
        <w:tc>
          <w:tcPr>
            <w:tcW w:w="1068" w:type="dxa"/>
            <w:tcBorders>
              <w:top w:val="double" w:sz="4" w:space="0" w:color="auto"/>
              <w:left w:val="double" w:sz="4" w:space="0" w:color="auto"/>
              <w:bottom w:val="single" w:sz="4" w:space="0" w:color="auto"/>
              <w:right w:val="single" w:sz="4" w:space="0" w:color="auto"/>
            </w:tcBorders>
            <w:shd w:val="clear" w:color="auto" w:fill="auto"/>
            <w:noWrap/>
            <w:vAlign w:val="center"/>
          </w:tcPr>
          <w:p w14:paraId="1793D6BF" w14:textId="77777777" w:rsidR="000B0B28" w:rsidRPr="00782AC8" w:rsidRDefault="000B0B28" w:rsidP="00194EF3">
            <w:pPr>
              <w:jc w:val="center"/>
              <w:rPr>
                <w:rFonts w:eastAsia="Times New Roman" w:cs="Times New Roman"/>
                <w:szCs w:val="24"/>
              </w:rPr>
            </w:pPr>
            <w:r w:rsidRPr="00782AC8">
              <w:rPr>
                <w:rFonts w:eastAsia="Times New Roman" w:cs="Times New Roman"/>
                <w:szCs w:val="24"/>
              </w:rPr>
              <w:t>1.000</w:t>
            </w:r>
          </w:p>
        </w:tc>
        <w:tc>
          <w:tcPr>
            <w:tcW w:w="1069" w:type="dxa"/>
            <w:tcBorders>
              <w:top w:val="double" w:sz="4" w:space="0" w:color="auto"/>
              <w:left w:val="single" w:sz="4" w:space="0" w:color="auto"/>
              <w:bottom w:val="single" w:sz="4" w:space="0" w:color="auto"/>
              <w:right w:val="double" w:sz="4" w:space="0" w:color="auto"/>
            </w:tcBorders>
            <w:shd w:val="clear" w:color="auto" w:fill="auto"/>
            <w:vAlign w:val="center"/>
          </w:tcPr>
          <w:p w14:paraId="1DA229E4" w14:textId="06A6CC26" w:rsidR="000B0B28" w:rsidRPr="00782AC8" w:rsidRDefault="000B0B28" w:rsidP="00194EF3">
            <w:pPr>
              <w:jc w:val="center"/>
              <w:rPr>
                <w:rFonts w:eastAsia="Times New Roman" w:cs="Times New Roman"/>
                <w:szCs w:val="24"/>
              </w:rPr>
            </w:pPr>
            <w:r w:rsidRPr="00782AC8">
              <w:rPr>
                <w:rFonts w:eastAsia="Times New Roman" w:cs="Times New Roman"/>
                <w:szCs w:val="24"/>
              </w:rPr>
              <w:t>--</w:t>
            </w:r>
          </w:p>
        </w:tc>
        <w:tc>
          <w:tcPr>
            <w:tcW w:w="1069" w:type="dxa"/>
            <w:tcBorders>
              <w:top w:val="double" w:sz="4" w:space="0" w:color="auto"/>
              <w:left w:val="double" w:sz="4" w:space="0" w:color="auto"/>
              <w:bottom w:val="single" w:sz="4" w:space="0" w:color="auto"/>
              <w:right w:val="single" w:sz="4" w:space="0" w:color="auto"/>
            </w:tcBorders>
            <w:shd w:val="clear" w:color="auto" w:fill="auto"/>
            <w:noWrap/>
            <w:vAlign w:val="center"/>
          </w:tcPr>
          <w:p w14:paraId="712DD4C2" w14:textId="77777777" w:rsidR="000B0B28" w:rsidRPr="00782AC8" w:rsidRDefault="000B0B28" w:rsidP="00194EF3">
            <w:pPr>
              <w:jc w:val="center"/>
              <w:rPr>
                <w:rFonts w:eastAsia="Times New Roman" w:cs="Times New Roman"/>
                <w:szCs w:val="24"/>
              </w:rPr>
            </w:pPr>
            <w:r w:rsidRPr="00782AC8">
              <w:rPr>
                <w:rFonts w:eastAsia="Times New Roman" w:cs="Times New Roman"/>
                <w:szCs w:val="24"/>
              </w:rPr>
              <w:t>0.218</w:t>
            </w:r>
          </w:p>
        </w:tc>
        <w:tc>
          <w:tcPr>
            <w:tcW w:w="1069" w:type="dxa"/>
            <w:tcBorders>
              <w:top w:val="double" w:sz="4" w:space="0" w:color="auto"/>
              <w:left w:val="single" w:sz="4" w:space="0" w:color="auto"/>
              <w:bottom w:val="single" w:sz="4" w:space="0" w:color="auto"/>
              <w:right w:val="double" w:sz="4" w:space="0" w:color="auto"/>
            </w:tcBorders>
            <w:shd w:val="clear" w:color="auto" w:fill="auto"/>
            <w:vAlign w:val="center"/>
          </w:tcPr>
          <w:p w14:paraId="06481AE1" w14:textId="77777777" w:rsidR="000B0B28" w:rsidRPr="00782AC8" w:rsidRDefault="000B0B28" w:rsidP="00194EF3">
            <w:pPr>
              <w:jc w:val="center"/>
              <w:rPr>
                <w:rFonts w:eastAsia="Times New Roman" w:cs="Times New Roman"/>
                <w:szCs w:val="24"/>
              </w:rPr>
            </w:pPr>
            <w:r w:rsidRPr="00782AC8">
              <w:rPr>
                <w:rFonts w:eastAsia="Times New Roman" w:cs="Times New Roman"/>
                <w:szCs w:val="24"/>
              </w:rPr>
              <w:t>3.94</w:t>
            </w:r>
          </w:p>
        </w:tc>
        <w:tc>
          <w:tcPr>
            <w:tcW w:w="1068" w:type="dxa"/>
            <w:tcBorders>
              <w:top w:val="double" w:sz="4" w:space="0" w:color="auto"/>
              <w:left w:val="double" w:sz="4" w:space="0" w:color="auto"/>
              <w:bottom w:val="single" w:sz="4" w:space="0" w:color="auto"/>
              <w:right w:val="single" w:sz="4" w:space="0" w:color="auto"/>
            </w:tcBorders>
            <w:shd w:val="clear" w:color="auto" w:fill="auto"/>
            <w:noWrap/>
            <w:vAlign w:val="center"/>
          </w:tcPr>
          <w:p w14:paraId="173BDBB8" w14:textId="5AF18790" w:rsidR="000B0B28" w:rsidRPr="00782AC8" w:rsidRDefault="000B0B28" w:rsidP="00194EF3">
            <w:pPr>
              <w:jc w:val="center"/>
              <w:rPr>
                <w:rFonts w:eastAsia="Times New Roman" w:cs="Times New Roman"/>
                <w:szCs w:val="24"/>
              </w:rPr>
            </w:pPr>
            <w:r w:rsidRPr="00782AC8">
              <w:rPr>
                <w:rFonts w:eastAsia="Times New Roman" w:cs="Times New Roman"/>
                <w:szCs w:val="24"/>
              </w:rPr>
              <w:t xml:space="preserve"> 0.000</w:t>
            </w:r>
          </w:p>
        </w:tc>
        <w:tc>
          <w:tcPr>
            <w:tcW w:w="1069" w:type="dxa"/>
            <w:tcBorders>
              <w:top w:val="double" w:sz="4" w:space="0" w:color="auto"/>
              <w:left w:val="single" w:sz="4" w:space="0" w:color="auto"/>
              <w:bottom w:val="single" w:sz="4" w:space="0" w:color="auto"/>
              <w:right w:val="double" w:sz="4" w:space="0" w:color="auto"/>
            </w:tcBorders>
            <w:shd w:val="clear" w:color="auto" w:fill="auto"/>
            <w:vAlign w:val="center"/>
          </w:tcPr>
          <w:p w14:paraId="6E68DB3C" w14:textId="390FF2B6" w:rsidR="000B0B28" w:rsidRPr="00782AC8" w:rsidRDefault="000B0B28" w:rsidP="00194EF3">
            <w:pPr>
              <w:jc w:val="center"/>
              <w:rPr>
                <w:rFonts w:eastAsia="Times New Roman" w:cs="Times New Roman"/>
                <w:szCs w:val="24"/>
              </w:rPr>
            </w:pPr>
            <w:r w:rsidRPr="00782AC8">
              <w:rPr>
                <w:rFonts w:eastAsia="Times New Roman" w:cs="Times New Roman"/>
                <w:szCs w:val="24"/>
              </w:rPr>
              <w:t xml:space="preserve"> --</w:t>
            </w:r>
          </w:p>
        </w:tc>
        <w:tc>
          <w:tcPr>
            <w:tcW w:w="1069" w:type="dxa"/>
            <w:tcBorders>
              <w:top w:val="double" w:sz="4" w:space="0" w:color="auto"/>
              <w:left w:val="double" w:sz="4" w:space="0" w:color="auto"/>
              <w:bottom w:val="single" w:sz="4" w:space="0" w:color="auto"/>
              <w:right w:val="single" w:sz="4" w:space="0" w:color="auto"/>
            </w:tcBorders>
            <w:shd w:val="clear" w:color="auto" w:fill="auto"/>
            <w:noWrap/>
            <w:vAlign w:val="center"/>
          </w:tcPr>
          <w:p w14:paraId="47AF923E" w14:textId="21E2922D" w:rsidR="000B0B28" w:rsidRPr="00782AC8" w:rsidRDefault="000B0B28" w:rsidP="00194EF3">
            <w:pPr>
              <w:jc w:val="center"/>
              <w:rPr>
                <w:rFonts w:eastAsia="Times New Roman" w:cs="Times New Roman"/>
                <w:szCs w:val="24"/>
              </w:rPr>
            </w:pPr>
            <w:r w:rsidRPr="00782AC8">
              <w:rPr>
                <w:rFonts w:eastAsia="Times New Roman" w:cs="Times New Roman"/>
                <w:szCs w:val="24"/>
              </w:rPr>
              <w:t xml:space="preserve"> 0.204</w:t>
            </w:r>
          </w:p>
        </w:tc>
        <w:tc>
          <w:tcPr>
            <w:tcW w:w="1069" w:type="dxa"/>
            <w:tcBorders>
              <w:top w:val="double" w:sz="4" w:space="0" w:color="auto"/>
              <w:left w:val="single" w:sz="4" w:space="0" w:color="auto"/>
              <w:bottom w:val="single" w:sz="4" w:space="0" w:color="auto"/>
              <w:right w:val="double" w:sz="4" w:space="0" w:color="auto"/>
            </w:tcBorders>
            <w:shd w:val="clear" w:color="auto" w:fill="auto"/>
            <w:vAlign w:val="center"/>
          </w:tcPr>
          <w:p w14:paraId="358A41B2" w14:textId="25FEF191" w:rsidR="000B0B28" w:rsidRPr="00782AC8" w:rsidRDefault="00BA29A9" w:rsidP="00BA29A9">
            <w:pPr>
              <w:jc w:val="center"/>
              <w:rPr>
                <w:rFonts w:eastAsia="Times New Roman" w:cs="Times New Roman"/>
                <w:szCs w:val="24"/>
              </w:rPr>
            </w:pPr>
            <w:r>
              <w:rPr>
                <w:rFonts w:eastAsia="Times New Roman" w:cs="Times New Roman"/>
                <w:szCs w:val="24"/>
              </w:rPr>
              <w:t xml:space="preserve">  </w:t>
            </w:r>
            <w:r w:rsidR="000B0B28" w:rsidRPr="00782AC8">
              <w:rPr>
                <w:rFonts w:eastAsia="Times New Roman" w:cs="Times New Roman"/>
                <w:szCs w:val="24"/>
              </w:rPr>
              <w:t>4.63</w:t>
            </w:r>
          </w:p>
        </w:tc>
      </w:tr>
      <w:tr w:rsidR="000B0B28" w:rsidRPr="00487A62" w14:paraId="19D8AA86" w14:textId="77777777" w:rsidTr="007D79B5">
        <w:trPr>
          <w:trHeight w:val="331"/>
        </w:trPr>
        <w:tc>
          <w:tcPr>
            <w:tcW w:w="2235" w:type="dxa"/>
            <w:vMerge/>
            <w:tcBorders>
              <w:left w:val="double" w:sz="4" w:space="0" w:color="auto"/>
              <w:right w:val="double" w:sz="4" w:space="0" w:color="auto"/>
            </w:tcBorders>
            <w:shd w:val="clear" w:color="auto" w:fill="auto"/>
            <w:vAlign w:val="center"/>
          </w:tcPr>
          <w:p w14:paraId="6EE754AF" w14:textId="77777777" w:rsidR="000B0B28" w:rsidRPr="007B0DFE" w:rsidRDefault="000B0B28" w:rsidP="00371871">
            <w:pPr>
              <w:rPr>
                <w:rFonts w:eastAsia="Times New Roman" w:cs="Times New Roman"/>
                <w:color w:val="000000"/>
                <w:szCs w:val="24"/>
              </w:rPr>
            </w:pPr>
          </w:p>
        </w:tc>
        <w:tc>
          <w:tcPr>
            <w:tcW w:w="2250" w:type="dxa"/>
            <w:tcBorders>
              <w:top w:val="single" w:sz="4" w:space="0" w:color="auto"/>
              <w:left w:val="single" w:sz="12" w:space="0" w:color="auto"/>
              <w:bottom w:val="single" w:sz="4" w:space="0" w:color="auto"/>
              <w:right w:val="double" w:sz="4" w:space="0" w:color="auto"/>
            </w:tcBorders>
            <w:shd w:val="clear" w:color="auto" w:fill="auto"/>
            <w:vAlign w:val="center"/>
          </w:tcPr>
          <w:p w14:paraId="3BA89FBB" w14:textId="77777777" w:rsidR="000B0B28" w:rsidRPr="00A53BF7" w:rsidRDefault="000B0B28" w:rsidP="00371871">
            <w:pPr>
              <w:rPr>
                <w:rFonts w:eastAsia="Times New Roman" w:cs="Times New Roman"/>
                <w:color w:val="000000"/>
                <w:szCs w:val="24"/>
              </w:rPr>
            </w:pPr>
            <w:r w:rsidRPr="00A53BF7">
              <w:rPr>
                <w:rFonts w:eastAsia="Times New Roman" w:cs="Times New Roman"/>
                <w:color w:val="000000"/>
                <w:szCs w:val="24"/>
              </w:rPr>
              <w:t>Mobility Control</w:t>
            </w:r>
          </w:p>
        </w:tc>
        <w:tc>
          <w:tcPr>
            <w:tcW w:w="1068" w:type="dxa"/>
            <w:tcBorders>
              <w:top w:val="single" w:sz="4" w:space="0" w:color="auto"/>
              <w:left w:val="double" w:sz="4" w:space="0" w:color="auto"/>
              <w:bottom w:val="single" w:sz="4" w:space="0" w:color="auto"/>
              <w:right w:val="single" w:sz="4" w:space="0" w:color="auto"/>
            </w:tcBorders>
            <w:shd w:val="clear" w:color="auto" w:fill="auto"/>
            <w:noWrap/>
            <w:vAlign w:val="center"/>
          </w:tcPr>
          <w:p w14:paraId="4F04A0F9" w14:textId="77777777" w:rsidR="000B0B28" w:rsidRPr="00782AC8" w:rsidRDefault="000B0B28" w:rsidP="00194EF3">
            <w:pPr>
              <w:jc w:val="center"/>
              <w:rPr>
                <w:rFonts w:eastAsia="Times New Roman" w:cs="Times New Roman"/>
                <w:szCs w:val="24"/>
              </w:rPr>
            </w:pPr>
          </w:p>
        </w:tc>
        <w:tc>
          <w:tcPr>
            <w:tcW w:w="1069" w:type="dxa"/>
            <w:tcBorders>
              <w:top w:val="single" w:sz="4" w:space="0" w:color="auto"/>
              <w:left w:val="single" w:sz="4" w:space="0" w:color="auto"/>
              <w:bottom w:val="single" w:sz="4" w:space="0" w:color="auto"/>
              <w:right w:val="double" w:sz="4" w:space="0" w:color="auto"/>
            </w:tcBorders>
            <w:shd w:val="clear" w:color="auto" w:fill="auto"/>
            <w:vAlign w:val="center"/>
          </w:tcPr>
          <w:p w14:paraId="7FA05AB4" w14:textId="77777777" w:rsidR="000B0B28" w:rsidRPr="00782AC8" w:rsidRDefault="000B0B28" w:rsidP="00194EF3">
            <w:pPr>
              <w:jc w:val="center"/>
              <w:rPr>
                <w:rFonts w:eastAsia="Times New Roman" w:cs="Times New Roman"/>
                <w:szCs w:val="24"/>
              </w:rPr>
            </w:pPr>
          </w:p>
        </w:tc>
        <w:tc>
          <w:tcPr>
            <w:tcW w:w="1069" w:type="dxa"/>
            <w:tcBorders>
              <w:top w:val="single" w:sz="4" w:space="0" w:color="auto"/>
              <w:left w:val="double" w:sz="4" w:space="0" w:color="auto"/>
              <w:bottom w:val="single" w:sz="4" w:space="0" w:color="auto"/>
              <w:right w:val="single" w:sz="4" w:space="0" w:color="auto"/>
            </w:tcBorders>
            <w:shd w:val="clear" w:color="auto" w:fill="auto"/>
            <w:noWrap/>
            <w:vAlign w:val="center"/>
          </w:tcPr>
          <w:p w14:paraId="45C49AF5" w14:textId="77777777" w:rsidR="000B0B28" w:rsidRPr="00782AC8" w:rsidRDefault="000B0B28" w:rsidP="00194EF3">
            <w:pPr>
              <w:jc w:val="center"/>
              <w:rPr>
                <w:rFonts w:eastAsia="Times New Roman" w:cs="Times New Roman"/>
                <w:szCs w:val="24"/>
              </w:rPr>
            </w:pPr>
            <w:r w:rsidRPr="00782AC8">
              <w:rPr>
                <w:rFonts w:eastAsia="Times New Roman" w:cs="Times New Roman"/>
                <w:szCs w:val="24"/>
              </w:rPr>
              <w:t>1.000</w:t>
            </w:r>
          </w:p>
        </w:tc>
        <w:tc>
          <w:tcPr>
            <w:tcW w:w="1069" w:type="dxa"/>
            <w:tcBorders>
              <w:top w:val="single" w:sz="4" w:space="0" w:color="auto"/>
              <w:left w:val="single" w:sz="4" w:space="0" w:color="auto"/>
              <w:bottom w:val="single" w:sz="4" w:space="0" w:color="auto"/>
              <w:right w:val="double" w:sz="4" w:space="0" w:color="auto"/>
            </w:tcBorders>
            <w:shd w:val="clear" w:color="auto" w:fill="auto"/>
            <w:vAlign w:val="center"/>
          </w:tcPr>
          <w:p w14:paraId="227994AE" w14:textId="60834A1F" w:rsidR="000B0B28" w:rsidRPr="00782AC8" w:rsidRDefault="000B0B28" w:rsidP="00194EF3">
            <w:pPr>
              <w:jc w:val="center"/>
              <w:rPr>
                <w:rFonts w:eastAsia="Times New Roman" w:cs="Times New Roman"/>
                <w:szCs w:val="24"/>
              </w:rPr>
            </w:pPr>
            <w:r w:rsidRPr="00782AC8">
              <w:rPr>
                <w:rFonts w:eastAsia="Times New Roman" w:cs="Times New Roman"/>
                <w:szCs w:val="24"/>
              </w:rPr>
              <w:t>--</w:t>
            </w:r>
          </w:p>
        </w:tc>
        <w:tc>
          <w:tcPr>
            <w:tcW w:w="1068" w:type="dxa"/>
            <w:tcBorders>
              <w:top w:val="single" w:sz="4" w:space="0" w:color="auto"/>
              <w:left w:val="double" w:sz="4" w:space="0" w:color="auto"/>
              <w:bottom w:val="single" w:sz="4" w:space="0" w:color="auto"/>
              <w:right w:val="single" w:sz="4" w:space="0" w:color="auto"/>
            </w:tcBorders>
            <w:shd w:val="clear" w:color="auto" w:fill="auto"/>
            <w:noWrap/>
            <w:vAlign w:val="center"/>
          </w:tcPr>
          <w:p w14:paraId="2D498B5D" w14:textId="77777777" w:rsidR="000B0B28" w:rsidRPr="00782AC8" w:rsidRDefault="000B0B28" w:rsidP="00194EF3">
            <w:pPr>
              <w:jc w:val="center"/>
              <w:rPr>
                <w:rFonts w:eastAsia="Times New Roman" w:cs="Times New Roman"/>
                <w:szCs w:val="24"/>
              </w:rPr>
            </w:pPr>
            <w:r w:rsidRPr="00782AC8">
              <w:rPr>
                <w:rFonts w:eastAsia="Times New Roman" w:cs="Times New Roman"/>
                <w:szCs w:val="24"/>
              </w:rPr>
              <w:t>-0.198</w:t>
            </w:r>
          </w:p>
        </w:tc>
        <w:tc>
          <w:tcPr>
            <w:tcW w:w="1069" w:type="dxa"/>
            <w:tcBorders>
              <w:top w:val="single" w:sz="4" w:space="0" w:color="auto"/>
              <w:left w:val="single" w:sz="4" w:space="0" w:color="auto"/>
              <w:bottom w:val="single" w:sz="4" w:space="0" w:color="auto"/>
              <w:right w:val="double" w:sz="4" w:space="0" w:color="auto"/>
            </w:tcBorders>
            <w:shd w:val="clear" w:color="auto" w:fill="auto"/>
            <w:vAlign w:val="center"/>
          </w:tcPr>
          <w:p w14:paraId="79743271" w14:textId="77777777" w:rsidR="000B0B28" w:rsidRPr="00782AC8" w:rsidRDefault="000B0B28" w:rsidP="00194EF3">
            <w:pPr>
              <w:jc w:val="center"/>
              <w:rPr>
                <w:rFonts w:eastAsia="Times New Roman" w:cs="Times New Roman"/>
                <w:szCs w:val="24"/>
              </w:rPr>
            </w:pPr>
            <w:r w:rsidRPr="00782AC8">
              <w:rPr>
                <w:rFonts w:eastAsia="Times New Roman" w:cs="Times New Roman"/>
                <w:szCs w:val="24"/>
              </w:rPr>
              <w:t>-4.62</w:t>
            </w:r>
          </w:p>
        </w:tc>
        <w:tc>
          <w:tcPr>
            <w:tcW w:w="1069" w:type="dxa"/>
            <w:tcBorders>
              <w:top w:val="single" w:sz="4" w:space="0" w:color="auto"/>
              <w:left w:val="double" w:sz="4" w:space="0" w:color="auto"/>
              <w:bottom w:val="single" w:sz="4" w:space="0" w:color="auto"/>
              <w:right w:val="single" w:sz="4" w:space="0" w:color="auto"/>
            </w:tcBorders>
            <w:shd w:val="clear" w:color="auto" w:fill="auto"/>
            <w:noWrap/>
            <w:vAlign w:val="center"/>
          </w:tcPr>
          <w:p w14:paraId="79C01A13" w14:textId="49613D00" w:rsidR="000B0B28" w:rsidRPr="00782AC8" w:rsidRDefault="000B0B28" w:rsidP="00194EF3">
            <w:pPr>
              <w:jc w:val="center"/>
              <w:rPr>
                <w:rFonts w:eastAsia="Times New Roman" w:cs="Times New Roman"/>
                <w:szCs w:val="24"/>
              </w:rPr>
            </w:pPr>
            <w:r w:rsidRPr="00782AC8">
              <w:rPr>
                <w:rFonts w:eastAsia="Times New Roman" w:cs="Times New Roman"/>
                <w:szCs w:val="24"/>
              </w:rPr>
              <w:t xml:space="preserve"> 0.281</w:t>
            </w:r>
          </w:p>
        </w:tc>
        <w:tc>
          <w:tcPr>
            <w:tcW w:w="1069" w:type="dxa"/>
            <w:tcBorders>
              <w:top w:val="single" w:sz="4" w:space="0" w:color="auto"/>
              <w:left w:val="single" w:sz="4" w:space="0" w:color="auto"/>
              <w:bottom w:val="single" w:sz="4" w:space="0" w:color="auto"/>
              <w:right w:val="double" w:sz="4" w:space="0" w:color="auto"/>
            </w:tcBorders>
            <w:shd w:val="clear" w:color="auto" w:fill="auto"/>
            <w:vAlign w:val="center"/>
          </w:tcPr>
          <w:p w14:paraId="59B54303" w14:textId="4B3AB357" w:rsidR="000B0B28" w:rsidRPr="00782AC8" w:rsidRDefault="00BA29A9" w:rsidP="00BA29A9">
            <w:pPr>
              <w:jc w:val="center"/>
              <w:rPr>
                <w:rFonts w:eastAsia="Times New Roman" w:cs="Times New Roman"/>
                <w:szCs w:val="24"/>
              </w:rPr>
            </w:pPr>
            <w:r>
              <w:rPr>
                <w:rFonts w:eastAsia="Times New Roman" w:cs="Times New Roman"/>
                <w:szCs w:val="24"/>
              </w:rPr>
              <w:t xml:space="preserve">  </w:t>
            </w:r>
            <w:r w:rsidR="000B0B28" w:rsidRPr="00782AC8">
              <w:rPr>
                <w:rFonts w:eastAsia="Times New Roman" w:cs="Times New Roman"/>
                <w:szCs w:val="24"/>
              </w:rPr>
              <w:t>6.65</w:t>
            </w:r>
          </w:p>
        </w:tc>
      </w:tr>
      <w:tr w:rsidR="000B0B28" w:rsidRPr="00487A62" w14:paraId="44D745BB" w14:textId="77777777" w:rsidTr="007D79B5">
        <w:trPr>
          <w:trHeight w:val="331"/>
        </w:trPr>
        <w:tc>
          <w:tcPr>
            <w:tcW w:w="2235" w:type="dxa"/>
            <w:vMerge/>
            <w:tcBorders>
              <w:left w:val="double" w:sz="4" w:space="0" w:color="auto"/>
              <w:right w:val="double" w:sz="4" w:space="0" w:color="auto"/>
            </w:tcBorders>
            <w:shd w:val="clear" w:color="auto" w:fill="auto"/>
            <w:vAlign w:val="center"/>
          </w:tcPr>
          <w:p w14:paraId="2812A7C1" w14:textId="77777777" w:rsidR="000B0B28" w:rsidRPr="00487A62" w:rsidRDefault="000B0B28" w:rsidP="00371871">
            <w:pPr>
              <w:rPr>
                <w:rFonts w:eastAsia="Times New Roman" w:cs="Times New Roman"/>
                <w:color w:val="000000"/>
                <w:sz w:val="20"/>
                <w:szCs w:val="20"/>
              </w:rPr>
            </w:pPr>
          </w:p>
        </w:tc>
        <w:tc>
          <w:tcPr>
            <w:tcW w:w="2250" w:type="dxa"/>
            <w:tcBorders>
              <w:top w:val="single" w:sz="4" w:space="0" w:color="auto"/>
              <w:left w:val="single" w:sz="12" w:space="0" w:color="auto"/>
              <w:bottom w:val="single" w:sz="4" w:space="0" w:color="auto"/>
              <w:right w:val="double" w:sz="4" w:space="0" w:color="auto"/>
            </w:tcBorders>
            <w:shd w:val="clear" w:color="auto" w:fill="auto"/>
            <w:vAlign w:val="center"/>
          </w:tcPr>
          <w:p w14:paraId="6EBA5F1E" w14:textId="77777777" w:rsidR="000B0B28" w:rsidRPr="00A53BF7" w:rsidRDefault="000B0B28" w:rsidP="00371871">
            <w:pPr>
              <w:rPr>
                <w:rFonts w:eastAsia="Times New Roman" w:cs="Times New Roman"/>
                <w:color w:val="000000"/>
                <w:szCs w:val="24"/>
              </w:rPr>
            </w:pPr>
            <w:r w:rsidRPr="00A53BF7">
              <w:rPr>
                <w:rFonts w:eastAsia="Times New Roman" w:cs="Times New Roman"/>
                <w:color w:val="000000"/>
                <w:szCs w:val="24"/>
              </w:rPr>
              <w:t>Safety Concern</w:t>
            </w:r>
          </w:p>
        </w:tc>
        <w:tc>
          <w:tcPr>
            <w:tcW w:w="1068" w:type="dxa"/>
            <w:tcBorders>
              <w:top w:val="single" w:sz="4" w:space="0" w:color="auto"/>
              <w:left w:val="double" w:sz="4" w:space="0" w:color="auto"/>
              <w:bottom w:val="single" w:sz="4" w:space="0" w:color="auto"/>
              <w:right w:val="single" w:sz="4" w:space="0" w:color="auto"/>
            </w:tcBorders>
            <w:shd w:val="clear" w:color="auto" w:fill="auto"/>
            <w:noWrap/>
            <w:vAlign w:val="center"/>
          </w:tcPr>
          <w:p w14:paraId="7EDFF117" w14:textId="77777777" w:rsidR="000B0B28" w:rsidRPr="00782AC8" w:rsidRDefault="000B0B28" w:rsidP="00194EF3">
            <w:pPr>
              <w:jc w:val="center"/>
              <w:rPr>
                <w:rFonts w:eastAsia="Times New Roman" w:cs="Times New Roman"/>
                <w:szCs w:val="24"/>
              </w:rPr>
            </w:pPr>
          </w:p>
        </w:tc>
        <w:tc>
          <w:tcPr>
            <w:tcW w:w="1069" w:type="dxa"/>
            <w:tcBorders>
              <w:top w:val="single" w:sz="4" w:space="0" w:color="auto"/>
              <w:left w:val="single" w:sz="4" w:space="0" w:color="auto"/>
              <w:bottom w:val="single" w:sz="4" w:space="0" w:color="auto"/>
              <w:right w:val="double" w:sz="4" w:space="0" w:color="auto"/>
            </w:tcBorders>
            <w:shd w:val="clear" w:color="auto" w:fill="auto"/>
            <w:vAlign w:val="center"/>
          </w:tcPr>
          <w:p w14:paraId="7030EE79" w14:textId="77777777" w:rsidR="000B0B28" w:rsidRPr="00782AC8" w:rsidRDefault="000B0B28" w:rsidP="00194EF3">
            <w:pPr>
              <w:jc w:val="center"/>
              <w:rPr>
                <w:rFonts w:eastAsia="Times New Roman" w:cs="Times New Roman"/>
                <w:szCs w:val="24"/>
              </w:rPr>
            </w:pPr>
          </w:p>
        </w:tc>
        <w:tc>
          <w:tcPr>
            <w:tcW w:w="1069" w:type="dxa"/>
            <w:tcBorders>
              <w:top w:val="single" w:sz="4" w:space="0" w:color="auto"/>
              <w:left w:val="double" w:sz="4" w:space="0" w:color="auto"/>
              <w:bottom w:val="single" w:sz="4" w:space="0" w:color="auto"/>
              <w:right w:val="single" w:sz="4" w:space="0" w:color="auto"/>
            </w:tcBorders>
            <w:shd w:val="clear" w:color="auto" w:fill="auto"/>
            <w:noWrap/>
            <w:vAlign w:val="center"/>
          </w:tcPr>
          <w:p w14:paraId="2039802F" w14:textId="77777777" w:rsidR="000B0B28" w:rsidRPr="00782AC8" w:rsidRDefault="000B0B28" w:rsidP="00194EF3">
            <w:pPr>
              <w:jc w:val="center"/>
              <w:rPr>
                <w:rFonts w:eastAsia="Times New Roman" w:cs="Times New Roman"/>
                <w:szCs w:val="24"/>
              </w:rPr>
            </w:pPr>
          </w:p>
        </w:tc>
        <w:tc>
          <w:tcPr>
            <w:tcW w:w="1069" w:type="dxa"/>
            <w:tcBorders>
              <w:top w:val="single" w:sz="4" w:space="0" w:color="auto"/>
              <w:left w:val="single" w:sz="4" w:space="0" w:color="auto"/>
              <w:bottom w:val="single" w:sz="4" w:space="0" w:color="auto"/>
              <w:right w:val="double" w:sz="4" w:space="0" w:color="auto"/>
            </w:tcBorders>
            <w:shd w:val="clear" w:color="auto" w:fill="auto"/>
            <w:vAlign w:val="center"/>
          </w:tcPr>
          <w:p w14:paraId="58F75806" w14:textId="77777777" w:rsidR="000B0B28" w:rsidRPr="00782AC8" w:rsidRDefault="000B0B28" w:rsidP="00194EF3">
            <w:pPr>
              <w:jc w:val="center"/>
              <w:rPr>
                <w:rFonts w:eastAsia="Times New Roman" w:cs="Times New Roman"/>
                <w:szCs w:val="24"/>
              </w:rPr>
            </w:pPr>
          </w:p>
        </w:tc>
        <w:tc>
          <w:tcPr>
            <w:tcW w:w="1068" w:type="dxa"/>
            <w:tcBorders>
              <w:top w:val="single" w:sz="4" w:space="0" w:color="auto"/>
              <w:left w:val="double" w:sz="4" w:space="0" w:color="auto"/>
              <w:bottom w:val="single" w:sz="4" w:space="0" w:color="auto"/>
              <w:right w:val="single" w:sz="4" w:space="0" w:color="auto"/>
            </w:tcBorders>
            <w:shd w:val="clear" w:color="auto" w:fill="auto"/>
            <w:noWrap/>
            <w:vAlign w:val="center"/>
          </w:tcPr>
          <w:p w14:paraId="23F8CCED" w14:textId="5FDE3CB2" w:rsidR="000B0B28" w:rsidRPr="00782AC8" w:rsidRDefault="000B0B28" w:rsidP="00194EF3">
            <w:pPr>
              <w:jc w:val="center"/>
              <w:rPr>
                <w:rFonts w:eastAsia="Times New Roman" w:cs="Times New Roman"/>
                <w:szCs w:val="24"/>
              </w:rPr>
            </w:pPr>
            <w:r w:rsidRPr="00782AC8">
              <w:rPr>
                <w:rFonts w:eastAsia="Times New Roman" w:cs="Times New Roman"/>
                <w:szCs w:val="24"/>
              </w:rPr>
              <w:t xml:space="preserve"> 1.000</w:t>
            </w:r>
          </w:p>
        </w:tc>
        <w:tc>
          <w:tcPr>
            <w:tcW w:w="1069" w:type="dxa"/>
            <w:tcBorders>
              <w:top w:val="single" w:sz="4" w:space="0" w:color="auto"/>
              <w:left w:val="single" w:sz="4" w:space="0" w:color="auto"/>
              <w:bottom w:val="single" w:sz="4" w:space="0" w:color="auto"/>
              <w:right w:val="double" w:sz="4" w:space="0" w:color="auto"/>
            </w:tcBorders>
            <w:shd w:val="clear" w:color="auto" w:fill="auto"/>
            <w:vAlign w:val="center"/>
          </w:tcPr>
          <w:p w14:paraId="1ADA6569" w14:textId="09924C6B" w:rsidR="000B0B28" w:rsidRPr="00782AC8" w:rsidRDefault="000B0B28" w:rsidP="00194EF3">
            <w:pPr>
              <w:jc w:val="center"/>
              <w:rPr>
                <w:rFonts w:eastAsia="Times New Roman" w:cs="Times New Roman"/>
                <w:szCs w:val="24"/>
              </w:rPr>
            </w:pPr>
            <w:r w:rsidRPr="00782AC8">
              <w:rPr>
                <w:rFonts w:eastAsia="Times New Roman" w:cs="Times New Roman"/>
                <w:szCs w:val="24"/>
              </w:rPr>
              <w:t>--</w:t>
            </w:r>
          </w:p>
        </w:tc>
        <w:tc>
          <w:tcPr>
            <w:tcW w:w="1069" w:type="dxa"/>
            <w:tcBorders>
              <w:top w:val="single" w:sz="4" w:space="0" w:color="auto"/>
              <w:left w:val="double" w:sz="4" w:space="0" w:color="auto"/>
              <w:bottom w:val="single" w:sz="4" w:space="0" w:color="auto"/>
              <w:right w:val="single" w:sz="4" w:space="0" w:color="auto"/>
            </w:tcBorders>
            <w:shd w:val="clear" w:color="auto" w:fill="auto"/>
            <w:noWrap/>
            <w:vAlign w:val="center"/>
          </w:tcPr>
          <w:p w14:paraId="4771214B" w14:textId="77777777" w:rsidR="000B0B28" w:rsidRPr="00782AC8" w:rsidRDefault="000B0B28" w:rsidP="00194EF3">
            <w:pPr>
              <w:jc w:val="center"/>
              <w:rPr>
                <w:rFonts w:eastAsia="Times New Roman" w:cs="Times New Roman"/>
                <w:szCs w:val="24"/>
              </w:rPr>
            </w:pPr>
            <w:r w:rsidRPr="00782AC8">
              <w:rPr>
                <w:rFonts w:eastAsia="Times New Roman" w:cs="Times New Roman"/>
                <w:szCs w:val="24"/>
              </w:rPr>
              <w:t>-0.232</w:t>
            </w:r>
          </w:p>
        </w:tc>
        <w:tc>
          <w:tcPr>
            <w:tcW w:w="1069" w:type="dxa"/>
            <w:tcBorders>
              <w:top w:val="single" w:sz="4" w:space="0" w:color="auto"/>
              <w:left w:val="single" w:sz="4" w:space="0" w:color="auto"/>
              <w:bottom w:val="single" w:sz="4" w:space="0" w:color="auto"/>
              <w:right w:val="double" w:sz="4" w:space="0" w:color="auto"/>
            </w:tcBorders>
            <w:shd w:val="clear" w:color="auto" w:fill="auto"/>
            <w:vAlign w:val="center"/>
          </w:tcPr>
          <w:p w14:paraId="5A172445" w14:textId="77777777" w:rsidR="000B0B28" w:rsidRPr="00782AC8" w:rsidRDefault="000B0B28" w:rsidP="00BA29A9">
            <w:pPr>
              <w:jc w:val="center"/>
              <w:rPr>
                <w:rFonts w:eastAsia="Times New Roman" w:cs="Times New Roman"/>
                <w:szCs w:val="24"/>
              </w:rPr>
            </w:pPr>
            <w:r w:rsidRPr="00782AC8">
              <w:rPr>
                <w:rFonts w:eastAsia="Times New Roman" w:cs="Times New Roman"/>
                <w:szCs w:val="24"/>
              </w:rPr>
              <w:t>-4.79</w:t>
            </w:r>
          </w:p>
        </w:tc>
      </w:tr>
      <w:tr w:rsidR="000B0B28" w:rsidRPr="00487A62" w14:paraId="1A512C0A" w14:textId="77777777" w:rsidTr="007D79B5">
        <w:trPr>
          <w:trHeight w:val="331"/>
        </w:trPr>
        <w:tc>
          <w:tcPr>
            <w:tcW w:w="2235" w:type="dxa"/>
            <w:vMerge/>
            <w:tcBorders>
              <w:left w:val="double" w:sz="4" w:space="0" w:color="auto"/>
              <w:bottom w:val="double" w:sz="4" w:space="0" w:color="auto"/>
              <w:right w:val="double" w:sz="4" w:space="0" w:color="auto"/>
            </w:tcBorders>
            <w:shd w:val="clear" w:color="auto" w:fill="auto"/>
            <w:vAlign w:val="center"/>
          </w:tcPr>
          <w:p w14:paraId="119AE889" w14:textId="77777777" w:rsidR="000B0B28" w:rsidRPr="00487A62" w:rsidRDefault="000B0B28" w:rsidP="00371871">
            <w:pPr>
              <w:rPr>
                <w:rFonts w:eastAsia="Times New Roman" w:cs="Times New Roman"/>
                <w:color w:val="000000"/>
                <w:sz w:val="20"/>
                <w:szCs w:val="20"/>
              </w:rPr>
            </w:pPr>
          </w:p>
        </w:tc>
        <w:tc>
          <w:tcPr>
            <w:tcW w:w="2250" w:type="dxa"/>
            <w:tcBorders>
              <w:top w:val="single" w:sz="4" w:space="0" w:color="auto"/>
              <w:left w:val="single" w:sz="12" w:space="0" w:color="auto"/>
              <w:bottom w:val="double" w:sz="4" w:space="0" w:color="auto"/>
              <w:right w:val="double" w:sz="4" w:space="0" w:color="auto"/>
            </w:tcBorders>
            <w:shd w:val="clear" w:color="auto" w:fill="auto"/>
            <w:vAlign w:val="center"/>
          </w:tcPr>
          <w:p w14:paraId="7ED77BD3" w14:textId="77777777" w:rsidR="000B0B28" w:rsidRPr="00A53BF7" w:rsidRDefault="000B0B28" w:rsidP="00371871">
            <w:pPr>
              <w:rPr>
                <w:rFonts w:eastAsia="Times New Roman" w:cs="Times New Roman"/>
                <w:color w:val="000000"/>
                <w:szCs w:val="24"/>
              </w:rPr>
            </w:pPr>
            <w:r w:rsidRPr="00A53BF7">
              <w:rPr>
                <w:rFonts w:eastAsia="Times New Roman" w:cs="Times New Roman"/>
                <w:color w:val="000000"/>
                <w:szCs w:val="24"/>
              </w:rPr>
              <w:t>Tech-Savviness</w:t>
            </w:r>
          </w:p>
        </w:tc>
        <w:tc>
          <w:tcPr>
            <w:tcW w:w="1068" w:type="dxa"/>
            <w:tcBorders>
              <w:top w:val="single" w:sz="4" w:space="0" w:color="auto"/>
              <w:left w:val="double" w:sz="4" w:space="0" w:color="auto"/>
              <w:bottom w:val="double" w:sz="4" w:space="0" w:color="auto"/>
              <w:right w:val="single" w:sz="4" w:space="0" w:color="auto"/>
            </w:tcBorders>
            <w:shd w:val="clear" w:color="auto" w:fill="auto"/>
            <w:noWrap/>
            <w:vAlign w:val="center"/>
          </w:tcPr>
          <w:p w14:paraId="2BB6465D" w14:textId="77777777" w:rsidR="000B0B28" w:rsidRPr="00782AC8" w:rsidRDefault="000B0B28" w:rsidP="00194EF3">
            <w:pPr>
              <w:jc w:val="center"/>
              <w:rPr>
                <w:rFonts w:eastAsia="Times New Roman" w:cs="Times New Roman"/>
                <w:szCs w:val="24"/>
              </w:rPr>
            </w:pPr>
          </w:p>
        </w:tc>
        <w:tc>
          <w:tcPr>
            <w:tcW w:w="1069" w:type="dxa"/>
            <w:tcBorders>
              <w:top w:val="single" w:sz="4" w:space="0" w:color="auto"/>
              <w:left w:val="single" w:sz="4" w:space="0" w:color="auto"/>
              <w:bottom w:val="double" w:sz="4" w:space="0" w:color="auto"/>
              <w:right w:val="double" w:sz="4" w:space="0" w:color="auto"/>
            </w:tcBorders>
            <w:shd w:val="clear" w:color="auto" w:fill="auto"/>
            <w:vAlign w:val="center"/>
          </w:tcPr>
          <w:p w14:paraId="0AB6293E" w14:textId="77777777" w:rsidR="000B0B28" w:rsidRPr="00782AC8" w:rsidRDefault="000B0B28" w:rsidP="00194EF3">
            <w:pPr>
              <w:jc w:val="center"/>
              <w:rPr>
                <w:rFonts w:eastAsia="Times New Roman" w:cs="Times New Roman"/>
                <w:szCs w:val="24"/>
              </w:rPr>
            </w:pPr>
          </w:p>
        </w:tc>
        <w:tc>
          <w:tcPr>
            <w:tcW w:w="1069" w:type="dxa"/>
            <w:tcBorders>
              <w:top w:val="single" w:sz="4" w:space="0" w:color="auto"/>
              <w:left w:val="double" w:sz="4" w:space="0" w:color="auto"/>
              <w:bottom w:val="double" w:sz="4" w:space="0" w:color="auto"/>
              <w:right w:val="single" w:sz="4" w:space="0" w:color="auto"/>
            </w:tcBorders>
            <w:shd w:val="clear" w:color="auto" w:fill="auto"/>
            <w:noWrap/>
            <w:vAlign w:val="center"/>
          </w:tcPr>
          <w:p w14:paraId="0958DFA2" w14:textId="77777777" w:rsidR="000B0B28" w:rsidRPr="00782AC8" w:rsidRDefault="000B0B28" w:rsidP="00194EF3">
            <w:pPr>
              <w:jc w:val="center"/>
              <w:rPr>
                <w:rFonts w:eastAsia="Times New Roman" w:cs="Times New Roman"/>
                <w:szCs w:val="24"/>
              </w:rPr>
            </w:pPr>
          </w:p>
        </w:tc>
        <w:tc>
          <w:tcPr>
            <w:tcW w:w="1069" w:type="dxa"/>
            <w:tcBorders>
              <w:top w:val="single" w:sz="4" w:space="0" w:color="auto"/>
              <w:left w:val="single" w:sz="4" w:space="0" w:color="auto"/>
              <w:bottom w:val="double" w:sz="4" w:space="0" w:color="auto"/>
              <w:right w:val="double" w:sz="4" w:space="0" w:color="auto"/>
            </w:tcBorders>
            <w:shd w:val="clear" w:color="auto" w:fill="auto"/>
            <w:vAlign w:val="center"/>
          </w:tcPr>
          <w:p w14:paraId="3187EE7E" w14:textId="77777777" w:rsidR="000B0B28" w:rsidRPr="00782AC8" w:rsidRDefault="000B0B28" w:rsidP="00194EF3">
            <w:pPr>
              <w:jc w:val="center"/>
              <w:rPr>
                <w:rFonts w:eastAsia="Times New Roman" w:cs="Times New Roman"/>
                <w:szCs w:val="24"/>
              </w:rPr>
            </w:pPr>
          </w:p>
        </w:tc>
        <w:tc>
          <w:tcPr>
            <w:tcW w:w="1068" w:type="dxa"/>
            <w:tcBorders>
              <w:top w:val="single" w:sz="4" w:space="0" w:color="auto"/>
              <w:left w:val="double" w:sz="4" w:space="0" w:color="auto"/>
              <w:bottom w:val="double" w:sz="4" w:space="0" w:color="auto"/>
              <w:right w:val="single" w:sz="4" w:space="0" w:color="auto"/>
            </w:tcBorders>
            <w:shd w:val="clear" w:color="auto" w:fill="auto"/>
            <w:noWrap/>
            <w:vAlign w:val="center"/>
          </w:tcPr>
          <w:p w14:paraId="46D52ACB" w14:textId="77777777" w:rsidR="000B0B28" w:rsidRPr="00782AC8" w:rsidRDefault="000B0B28" w:rsidP="00194EF3">
            <w:pPr>
              <w:jc w:val="center"/>
              <w:rPr>
                <w:rFonts w:eastAsia="Times New Roman" w:cs="Times New Roman"/>
                <w:szCs w:val="24"/>
              </w:rPr>
            </w:pPr>
          </w:p>
        </w:tc>
        <w:tc>
          <w:tcPr>
            <w:tcW w:w="1069" w:type="dxa"/>
            <w:tcBorders>
              <w:top w:val="single" w:sz="4" w:space="0" w:color="auto"/>
              <w:left w:val="single" w:sz="4" w:space="0" w:color="auto"/>
              <w:bottom w:val="double" w:sz="4" w:space="0" w:color="auto"/>
              <w:right w:val="double" w:sz="4" w:space="0" w:color="auto"/>
            </w:tcBorders>
            <w:shd w:val="clear" w:color="auto" w:fill="auto"/>
            <w:vAlign w:val="center"/>
          </w:tcPr>
          <w:p w14:paraId="7AD79179" w14:textId="77777777" w:rsidR="000B0B28" w:rsidRPr="00782AC8" w:rsidRDefault="000B0B28" w:rsidP="00194EF3">
            <w:pPr>
              <w:jc w:val="center"/>
              <w:rPr>
                <w:rFonts w:eastAsia="Times New Roman" w:cs="Times New Roman"/>
                <w:szCs w:val="24"/>
              </w:rPr>
            </w:pPr>
          </w:p>
        </w:tc>
        <w:tc>
          <w:tcPr>
            <w:tcW w:w="1069" w:type="dxa"/>
            <w:tcBorders>
              <w:top w:val="single" w:sz="4" w:space="0" w:color="auto"/>
              <w:left w:val="double" w:sz="4" w:space="0" w:color="auto"/>
              <w:bottom w:val="double" w:sz="4" w:space="0" w:color="auto"/>
              <w:right w:val="single" w:sz="4" w:space="0" w:color="auto"/>
            </w:tcBorders>
            <w:shd w:val="clear" w:color="auto" w:fill="auto"/>
            <w:noWrap/>
            <w:vAlign w:val="center"/>
          </w:tcPr>
          <w:p w14:paraId="3AF4C618" w14:textId="77777777" w:rsidR="000B0B28" w:rsidRPr="00782AC8" w:rsidRDefault="000B0B28" w:rsidP="00194EF3">
            <w:pPr>
              <w:jc w:val="center"/>
              <w:rPr>
                <w:rFonts w:eastAsia="Times New Roman" w:cs="Times New Roman"/>
                <w:szCs w:val="24"/>
              </w:rPr>
            </w:pPr>
            <w:r w:rsidRPr="00782AC8">
              <w:rPr>
                <w:rFonts w:eastAsia="Times New Roman" w:cs="Times New Roman"/>
                <w:szCs w:val="24"/>
              </w:rPr>
              <w:t>1.000</w:t>
            </w:r>
          </w:p>
        </w:tc>
        <w:tc>
          <w:tcPr>
            <w:tcW w:w="1069" w:type="dxa"/>
            <w:tcBorders>
              <w:top w:val="single" w:sz="4" w:space="0" w:color="auto"/>
              <w:left w:val="single" w:sz="4" w:space="0" w:color="auto"/>
              <w:bottom w:val="double" w:sz="4" w:space="0" w:color="auto"/>
              <w:right w:val="double" w:sz="4" w:space="0" w:color="auto"/>
            </w:tcBorders>
            <w:shd w:val="clear" w:color="auto" w:fill="auto"/>
            <w:vAlign w:val="center"/>
          </w:tcPr>
          <w:p w14:paraId="5B60595D" w14:textId="62C1CEA8" w:rsidR="000B0B28" w:rsidRPr="00782AC8" w:rsidRDefault="000B0B28" w:rsidP="00BA29A9">
            <w:pPr>
              <w:jc w:val="center"/>
              <w:rPr>
                <w:rFonts w:eastAsia="Times New Roman" w:cs="Times New Roman"/>
                <w:szCs w:val="24"/>
              </w:rPr>
            </w:pPr>
            <w:r w:rsidRPr="00782AC8">
              <w:rPr>
                <w:rFonts w:eastAsia="Times New Roman" w:cs="Times New Roman"/>
                <w:szCs w:val="24"/>
              </w:rPr>
              <w:t>--</w:t>
            </w:r>
          </w:p>
        </w:tc>
      </w:tr>
    </w:tbl>
    <w:p w14:paraId="77BDC2ED" w14:textId="6A36FEE0" w:rsidR="00D47D34" w:rsidRDefault="00D47D34" w:rsidP="00D47D34">
      <w:r>
        <w:br w:type="page"/>
      </w:r>
    </w:p>
    <w:p w14:paraId="45EBE905" w14:textId="7EDF6CAD" w:rsidR="00D47D34" w:rsidRDefault="00D47D34" w:rsidP="00306A43">
      <w:pPr>
        <w:spacing w:after="120"/>
        <w:rPr>
          <w:rFonts w:cs="Times New Roman"/>
          <w:b/>
          <w:bCs/>
          <w:szCs w:val="24"/>
        </w:rPr>
      </w:pPr>
      <w:bookmarkStart w:id="13" w:name="_Hlk45612513"/>
      <w:r w:rsidRPr="0075666F">
        <w:rPr>
          <w:b/>
          <w:bCs/>
          <w:szCs w:val="24"/>
        </w:rPr>
        <w:lastRenderedPageBreak/>
        <w:t xml:space="preserve">Table </w:t>
      </w:r>
      <w:r w:rsidR="006B3123">
        <w:rPr>
          <w:b/>
          <w:bCs/>
          <w:szCs w:val="24"/>
        </w:rPr>
        <w:t>4</w:t>
      </w:r>
      <w:r w:rsidR="00B25BE6">
        <w:rPr>
          <w:b/>
          <w:bCs/>
          <w:szCs w:val="24"/>
        </w:rPr>
        <w:t>.</w:t>
      </w:r>
      <w:r w:rsidRPr="0075666F">
        <w:rPr>
          <w:rFonts w:cs="Times New Roman"/>
          <w:b/>
          <w:bCs/>
          <w:szCs w:val="24"/>
        </w:rPr>
        <w:t xml:space="preserve"> </w:t>
      </w:r>
      <w:r w:rsidRPr="00BC44A7">
        <w:rPr>
          <w:rFonts w:cs="Times New Roman"/>
          <w:b/>
          <w:bCs/>
          <w:szCs w:val="24"/>
        </w:rPr>
        <w:t xml:space="preserve">Results of </w:t>
      </w:r>
      <w:r w:rsidR="007C64E7">
        <w:rPr>
          <w:rFonts w:cs="Times New Roman"/>
          <w:b/>
          <w:bCs/>
          <w:szCs w:val="24"/>
        </w:rPr>
        <w:t>AV Adoption (</w:t>
      </w:r>
      <w:r w:rsidRPr="00BC44A7">
        <w:rPr>
          <w:rFonts w:cs="Times New Roman"/>
          <w:b/>
          <w:bCs/>
          <w:szCs w:val="24"/>
        </w:rPr>
        <w:t>AVD</w:t>
      </w:r>
      <w:r w:rsidR="007C64E7">
        <w:rPr>
          <w:rFonts w:cs="Times New Roman"/>
          <w:b/>
          <w:bCs/>
          <w:szCs w:val="24"/>
        </w:rPr>
        <w:t>)</w:t>
      </w:r>
      <w:r w:rsidRPr="00BC44A7">
        <w:rPr>
          <w:rFonts w:cs="Times New Roman"/>
          <w:b/>
          <w:bCs/>
          <w:szCs w:val="24"/>
        </w:rPr>
        <w:t xml:space="preserve"> and </w:t>
      </w:r>
      <w:r w:rsidR="007C64E7">
        <w:rPr>
          <w:rFonts w:cs="Times New Roman"/>
          <w:b/>
          <w:bCs/>
          <w:szCs w:val="24"/>
        </w:rPr>
        <w:t>Duration to Adoption (</w:t>
      </w:r>
      <w:r w:rsidRPr="00BC44A7">
        <w:rPr>
          <w:rFonts w:cs="Times New Roman"/>
          <w:b/>
          <w:bCs/>
          <w:szCs w:val="24"/>
        </w:rPr>
        <w:t>DAD</w:t>
      </w:r>
      <w:r w:rsidR="007C64E7">
        <w:rPr>
          <w:rFonts w:cs="Times New Roman"/>
          <w:b/>
          <w:bCs/>
          <w:szCs w:val="24"/>
        </w:rPr>
        <w:t>)</w:t>
      </w:r>
      <w:r w:rsidRPr="00BC44A7">
        <w:rPr>
          <w:rFonts w:cs="Times New Roman"/>
          <w:b/>
          <w:bCs/>
          <w:szCs w:val="24"/>
        </w:rPr>
        <w:t xml:space="preserve"> </w:t>
      </w:r>
      <w:r>
        <w:rPr>
          <w:rFonts w:cs="Times New Roman"/>
          <w:b/>
          <w:bCs/>
          <w:szCs w:val="24"/>
        </w:rPr>
        <w:t>J</w:t>
      </w:r>
      <w:r w:rsidRPr="00BC44A7">
        <w:rPr>
          <w:rFonts w:cs="Times New Roman"/>
          <w:b/>
          <w:bCs/>
          <w:szCs w:val="24"/>
        </w:rPr>
        <w:t xml:space="preserve">oint </w:t>
      </w:r>
      <w:r>
        <w:rPr>
          <w:rFonts w:cs="Times New Roman"/>
          <w:b/>
          <w:bCs/>
          <w:szCs w:val="24"/>
        </w:rPr>
        <w:t>M</w:t>
      </w:r>
      <w:r w:rsidRPr="00BC44A7">
        <w:rPr>
          <w:rFonts w:cs="Times New Roman"/>
          <w:b/>
          <w:bCs/>
          <w:szCs w:val="24"/>
        </w:rPr>
        <w:t>odel</w:t>
      </w:r>
    </w:p>
    <w:tbl>
      <w:tblPr>
        <w:tblW w:w="13168" w:type="dxa"/>
        <w:tblLook w:val="04A0" w:firstRow="1" w:lastRow="0" w:firstColumn="1" w:lastColumn="0" w:noHBand="0" w:noVBand="1"/>
      </w:tblPr>
      <w:tblGrid>
        <w:gridCol w:w="3671"/>
        <w:gridCol w:w="865"/>
        <w:gridCol w:w="836"/>
        <w:gridCol w:w="876"/>
        <w:gridCol w:w="825"/>
        <w:gridCol w:w="992"/>
        <w:gridCol w:w="992"/>
        <w:gridCol w:w="993"/>
        <w:gridCol w:w="992"/>
        <w:gridCol w:w="992"/>
        <w:gridCol w:w="1134"/>
      </w:tblGrid>
      <w:tr w:rsidR="00D47D34" w:rsidRPr="00487A62" w14:paraId="75DF84E1" w14:textId="77777777" w:rsidTr="00BA29A9">
        <w:trPr>
          <w:trHeight w:val="576"/>
        </w:trPr>
        <w:tc>
          <w:tcPr>
            <w:tcW w:w="3671" w:type="dxa"/>
            <w:vMerge w:val="restart"/>
            <w:tcBorders>
              <w:top w:val="double" w:sz="4" w:space="0" w:color="auto"/>
              <w:left w:val="double" w:sz="4" w:space="0" w:color="auto"/>
              <w:right w:val="single" w:sz="12" w:space="0" w:color="auto"/>
            </w:tcBorders>
            <w:shd w:val="clear" w:color="auto" w:fill="auto"/>
            <w:noWrap/>
            <w:vAlign w:val="center"/>
          </w:tcPr>
          <w:p w14:paraId="06574674" w14:textId="77777777" w:rsidR="00D47D34" w:rsidRPr="00487A62" w:rsidRDefault="00D47D34" w:rsidP="00371871">
            <w:pPr>
              <w:jc w:val="center"/>
              <w:rPr>
                <w:rFonts w:eastAsia="Times New Roman" w:cs="Times New Roman"/>
                <w:b/>
                <w:bCs/>
                <w:color w:val="000000"/>
                <w:sz w:val="20"/>
                <w:szCs w:val="20"/>
              </w:rPr>
            </w:pPr>
            <w:bookmarkStart w:id="14" w:name="_Hlk45612495"/>
            <w:bookmarkEnd w:id="13"/>
            <w:r w:rsidRPr="00487A62">
              <w:rPr>
                <w:rFonts w:eastAsia="Times New Roman" w:cs="Times New Roman"/>
                <w:b/>
                <w:bCs/>
                <w:color w:val="000000"/>
                <w:sz w:val="20"/>
                <w:szCs w:val="20"/>
              </w:rPr>
              <w:t>Exogenous Variables</w:t>
            </w:r>
          </w:p>
          <w:p w14:paraId="5D367740" w14:textId="77777777" w:rsidR="00D47D34" w:rsidRPr="00487A62" w:rsidRDefault="00D47D34" w:rsidP="00371871">
            <w:pPr>
              <w:jc w:val="center"/>
              <w:rPr>
                <w:rFonts w:eastAsia="Times New Roman" w:cs="Times New Roman"/>
                <w:b/>
                <w:bCs/>
                <w:color w:val="000000"/>
                <w:sz w:val="20"/>
                <w:szCs w:val="20"/>
              </w:rPr>
            </w:pPr>
            <w:r w:rsidRPr="00487A62">
              <w:rPr>
                <w:rFonts w:eastAsia="Times New Roman" w:cs="Times New Roman"/>
                <w:b/>
                <w:bCs/>
                <w:color w:val="000000"/>
                <w:sz w:val="20"/>
                <w:szCs w:val="20"/>
              </w:rPr>
              <w:t>(base category)</w:t>
            </w:r>
          </w:p>
        </w:tc>
        <w:tc>
          <w:tcPr>
            <w:tcW w:w="5386" w:type="dxa"/>
            <w:gridSpan w:val="6"/>
            <w:tcBorders>
              <w:top w:val="double" w:sz="4" w:space="0" w:color="auto"/>
              <w:left w:val="single" w:sz="12" w:space="0" w:color="auto"/>
              <w:bottom w:val="single" w:sz="4" w:space="0" w:color="auto"/>
              <w:right w:val="single" w:sz="12" w:space="0" w:color="auto"/>
            </w:tcBorders>
            <w:shd w:val="clear" w:color="auto" w:fill="auto"/>
            <w:noWrap/>
            <w:vAlign w:val="center"/>
          </w:tcPr>
          <w:p w14:paraId="0D89CB6A" w14:textId="77777777" w:rsidR="00D47D34" w:rsidRPr="00487A62" w:rsidRDefault="00D47D34" w:rsidP="00371871">
            <w:pPr>
              <w:jc w:val="center"/>
              <w:rPr>
                <w:rFonts w:eastAsia="Times New Roman" w:cs="Times New Roman"/>
                <w:b/>
                <w:bCs/>
                <w:color w:val="000000"/>
                <w:sz w:val="20"/>
                <w:szCs w:val="20"/>
              </w:rPr>
            </w:pPr>
            <w:r w:rsidRPr="00487A62">
              <w:rPr>
                <w:rFonts w:eastAsia="Times New Roman" w:cs="Times New Roman"/>
                <w:b/>
                <w:bCs/>
                <w:color w:val="000000"/>
                <w:sz w:val="20"/>
                <w:szCs w:val="20"/>
              </w:rPr>
              <w:t xml:space="preserve">AV adoption (AVD) dimension: </w:t>
            </w:r>
          </w:p>
          <w:p w14:paraId="7A4D49F7" w14:textId="77777777" w:rsidR="00D47D34" w:rsidRPr="00487A62" w:rsidRDefault="00D47D34" w:rsidP="00371871">
            <w:pPr>
              <w:jc w:val="center"/>
              <w:rPr>
                <w:rFonts w:eastAsia="Times New Roman" w:cs="Times New Roman"/>
                <w:b/>
                <w:bCs/>
                <w:color w:val="000000"/>
                <w:sz w:val="20"/>
                <w:szCs w:val="20"/>
              </w:rPr>
            </w:pPr>
            <w:r w:rsidRPr="00487A62">
              <w:rPr>
                <w:rFonts w:eastAsia="Times New Roman" w:cs="Times New Roman"/>
                <w:b/>
                <w:bCs/>
                <w:i/>
                <w:iCs/>
                <w:color w:val="000000"/>
                <w:sz w:val="20"/>
                <w:szCs w:val="20"/>
              </w:rPr>
              <w:t>“What will you buy?”</w:t>
            </w:r>
          </w:p>
        </w:tc>
        <w:tc>
          <w:tcPr>
            <w:tcW w:w="4111" w:type="dxa"/>
            <w:gridSpan w:val="4"/>
            <w:tcBorders>
              <w:top w:val="double" w:sz="4" w:space="0" w:color="auto"/>
              <w:left w:val="single" w:sz="12" w:space="0" w:color="auto"/>
              <w:bottom w:val="single" w:sz="4" w:space="0" w:color="auto"/>
              <w:right w:val="double" w:sz="4" w:space="0" w:color="auto"/>
            </w:tcBorders>
            <w:shd w:val="clear" w:color="auto" w:fill="auto"/>
            <w:noWrap/>
            <w:vAlign w:val="center"/>
          </w:tcPr>
          <w:p w14:paraId="219A5035" w14:textId="18CC776D" w:rsidR="00595E11" w:rsidRDefault="00D47D34" w:rsidP="00371871">
            <w:pPr>
              <w:jc w:val="center"/>
              <w:rPr>
                <w:rFonts w:eastAsia="Times New Roman" w:cs="Times New Roman"/>
                <w:b/>
                <w:bCs/>
                <w:color w:val="000000"/>
                <w:sz w:val="20"/>
                <w:szCs w:val="20"/>
              </w:rPr>
            </w:pPr>
            <w:r w:rsidRPr="00487A62">
              <w:rPr>
                <w:rFonts w:eastAsia="Times New Roman" w:cs="Times New Roman"/>
                <w:b/>
                <w:bCs/>
                <w:color w:val="000000"/>
                <w:sz w:val="20"/>
                <w:szCs w:val="20"/>
              </w:rPr>
              <w:t xml:space="preserve">Duration </w:t>
            </w:r>
            <w:r w:rsidR="007C64E7">
              <w:rPr>
                <w:rFonts w:eastAsia="Times New Roman" w:cs="Times New Roman"/>
                <w:b/>
                <w:bCs/>
                <w:color w:val="000000"/>
                <w:sz w:val="20"/>
                <w:szCs w:val="20"/>
              </w:rPr>
              <w:t>to</w:t>
            </w:r>
            <w:r w:rsidRPr="00487A62">
              <w:rPr>
                <w:rFonts w:eastAsia="Times New Roman" w:cs="Times New Roman"/>
                <w:b/>
                <w:bCs/>
                <w:color w:val="000000"/>
                <w:sz w:val="20"/>
                <w:szCs w:val="20"/>
              </w:rPr>
              <w:t xml:space="preserve"> AV adoption (DAD): </w:t>
            </w:r>
          </w:p>
          <w:p w14:paraId="021B8C3C" w14:textId="4A14F8D1" w:rsidR="00D47D34" w:rsidRPr="00487A62" w:rsidRDefault="00D47D34" w:rsidP="00371871">
            <w:pPr>
              <w:jc w:val="center"/>
              <w:rPr>
                <w:rFonts w:eastAsia="Times New Roman" w:cs="Times New Roman"/>
                <w:b/>
                <w:bCs/>
                <w:color w:val="000000"/>
                <w:sz w:val="20"/>
                <w:szCs w:val="20"/>
              </w:rPr>
            </w:pPr>
            <w:r w:rsidRPr="00487A62">
              <w:rPr>
                <w:rFonts w:eastAsia="Times New Roman" w:cs="Times New Roman"/>
                <w:b/>
                <w:bCs/>
                <w:i/>
                <w:iCs/>
                <w:color w:val="000000"/>
                <w:sz w:val="20"/>
                <w:szCs w:val="20"/>
              </w:rPr>
              <w:t>“When will you buy an AV?”</w:t>
            </w:r>
          </w:p>
        </w:tc>
      </w:tr>
      <w:tr w:rsidR="00D47D34" w:rsidRPr="00487A62" w14:paraId="0F0B2773" w14:textId="77777777" w:rsidTr="00BA29A9">
        <w:trPr>
          <w:trHeight w:val="720"/>
        </w:trPr>
        <w:tc>
          <w:tcPr>
            <w:tcW w:w="3671" w:type="dxa"/>
            <w:vMerge/>
            <w:tcBorders>
              <w:left w:val="double" w:sz="4" w:space="0" w:color="auto"/>
              <w:right w:val="single" w:sz="12" w:space="0" w:color="auto"/>
            </w:tcBorders>
            <w:shd w:val="clear" w:color="auto" w:fill="auto"/>
            <w:noWrap/>
            <w:vAlign w:val="center"/>
            <w:hideMark/>
          </w:tcPr>
          <w:p w14:paraId="1AF99697" w14:textId="77777777" w:rsidR="00D47D34" w:rsidRPr="00487A62" w:rsidRDefault="00D47D34" w:rsidP="00371871">
            <w:pPr>
              <w:jc w:val="center"/>
              <w:rPr>
                <w:rFonts w:eastAsia="Times New Roman" w:cs="Times New Roman"/>
                <w:b/>
                <w:bCs/>
                <w:color w:val="000000"/>
                <w:sz w:val="20"/>
                <w:szCs w:val="20"/>
              </w:rPr>
            </w:pPr>
          </w:p>
        </w:tc>
        <w:tc>
          <w:tcPr>
            <w:tcW w:w="1701" w:type="dxa"/>
            <w:gridSpan w:val="2"/>
            <w:tcBorders>
              <w:top w:val="single" w:sz="12" w:space="0" w:color="auto"/>
              <w:left w:val="single" w:sz="12" w:space="0" w:color="auto"/>
              <w:bottom w:val="single" w:sz="4" w:space="0" w:color="auto"/>
              <w:right w:val="double" w:sz="4" w:space="0" w:color="auto"/>
            </w:tcBorders>
            <w:shd w:val="clear" w:color="auto" w:fill="auto"/>
            <w:noWrap/>
            <w:vAlign w:val="center"/>
            <w:hideMark/>
          </w:tcPr>
          <w:p w14:paraId="7412EA28" w14:textId="77777777" w:rsidR="00D47D34" w:rsidRPr="00487A62" w:rsidRDefault="00D47D34" w:rsidP="00371871">
            <w:pPr>
              <w:jc w:val="center"/>
              <w:rPr>
                <w:rFonts w:eastAsia="Times New Roman" w:cs="Times New Roman"/>
                <w:b/>
                <w:bCs/>
                <w:color w:val="000000"/>
                <w:sz w:val="20"/>
                <w:szCs w:val="20"/>
              </w:rPr>
            </w:pPr>
            <w:r w:rsidRPr="00487A62">
              <w:rPr>
                <w:rFonts w:eastAsia="Times New Roman" w:cs="Times New Roman"/>
                <w:b/>
                <w:bCs/>
                <w:color w:val="000000"/>
                <w:sz w:val="20"/>
                <w:szCs w:val="20"/>
              </w:rPr>
              <w:t>Regular Vehicle (RV)</w:t>
            </w:r>
          </w:p>
          <w:p w14:paraId="14ADEF6E" w14:textId="77777777" w:rsidR="00D47D34" w:rsidRPr="00487A62" w:rsidRDefault="00D47D34" w:rsidP="00371871">
            <w:pPr>
              <w:jc w:val="center"/>
              <w:rPr>
                <w:rFonts w:eastAsia="Times New Roman" w:cs="Times New Roman"/>
                <w:b/>
                <w:bCs/>
                <w:color w:val="000000"/>
                <w:sz w:val="20"/>
                <w:szCs w:val="20"/>
              </w:rPr>
            </w:pPr>
            <w:r w:rsidRPr="00487A62">
              <w:rPr>
                <w:rFonts w:eastAsia="Times New Roman" w:cs="Times New Roman"/>
                <w:b/>
                <w:bCs/>
                <w:color w:val="000000"/>
                <w:sz w:val="20"/>
                <w:szCs w:val="20"/>
              </w:rPr>
              <w:t>(Base)</w:t>
            </w:r>
          </w:p>
        </w:tc>
        <w:tc>
          <w:tcPr>
            <w:tcW w:w="1701" w:type="dxa"/>
            <w:gridSpan w:val="2"/>
            <w:tcBorders>
              <w:top w:val="single" w:sz="12" w:space="0" w:color="auto"/>
              <w:left w:val="double" w:sz="4" w:space="0" w:color="auto"/>
              <w:bottom w:val="single" w:sz="4" w:space="0" w:color="auto"/>
              <w:right w:val="double" w:sz="4" w:space="0" w:color="auto"/>
            </w:tcBorders>
            <w:shd w:val="clear" w:color="auto" w:fill="auto"/>
            <w:noWrap/>
            <w:vAlign w:val="center"/>
            <w:hideMark/>
          </w:tcPr>
          <w:p w14:paraId="6FC6FBD7" w14:textId="77777777" w:rsidR="00D47D34" w:rsidRPr="00487A62" w:rsidRDefault="00D47D34" w:rsidP="00371871">
            <w:pPr>
              <w:jc w:val="center"/>
              <w:rPr>
                <w:rFonts w:eastAsia="Times New Roman" w:cs="Times New Roman"/>
                <w:b/>
                <w:bCs/>
                <w:color w:val="000000"/>
                <w:sz w:val="20"/>
                <w:szCs w:val="20"/>
              </w:rPr>
            </w:pPr>
            <w:r w:rsidRPr="00487A62">
              <w:rPr>
                <w:rFonts w:eastAsia="Times New Roman" w:cs="Times New Roman"/>
                <w:b/>
                <w:bCs/>
                <w:color w:val="000000"/>
                <w:sz w:val="20"/>
                <w:szCs w:val="20"/>
              </w:rPr>
              <w:t>Autonomous Vehicle (AV)</w:t>
            </w:r>
          </w:p>
        </w:tc>
        <w:tc>
          <w:tcPr>
            <w:tcW w:w="1984" w:type="dxa"/>
            <w:gridSpan w:val="2"/>
            <w:tcBorders>
              <w:top w:val="single" w:sz="12" w:space="0" w:color="auto"/>
              <w:left w:val="double" w:sz="4" w:space="0" w:color="auto"/>
              <w:bottom w:val="single" w:sz="4" w:space="0" w:color="auto"/>
              <w:right w:val="single" w:sz="12" w:space="0" w:color="auto"/>
            </w:tcBorders>
            <w:shd w:val="clear" w:color="auto" w:fill="auto"/>
            <w:noWrap/>
            <w:vAlign w:val="center"/>
            <w:hideMark/>
          </w:tcPr>
          <w:p w14:paraId="3FB85FBE" w14:textId="067D5A0B" w:rsidR="00D47D34" w:rsidRPr="00487A62" w:rsidRDefault="00D47D34" w:rsidP="00371871">
            <w:pPr>
              <w:jc w:val="center"/>
              <w:rPr>
                <w:rFonts w:eastAsia="Times New Roman" w:cs="Times New Roman"/>
                <w:b/>
                <w:bCs/>
                <w:color w:val="000000"/>
                <w:sz w:val="20"/>
                <w:szCs w:val="20"/>
              </w:rPr>
            </w:pPr>
            <w:r w:rsidRPr="00487A62">
              <w:rPr>
                <w:rFonts w:eastAsia="Times New Roman" w:cs="Times New Roman"/>
                <w:b/>
                <w:bCs/>
                <w:color w:val="000000"/>
                <w:sz w:val="20"/>
                <w:szCs w:val="20"/>
              </w:rPr>
              <w:t>Shared Autonomous Vehicles</w:t>
            </w:r>
            <w:r w:rsidR="00791C0A">
              <w:rPr>
                <w:rFonts w:eastAsia="Times New Roman" w:cs="Times New Roman"/>
                <w:b/>
                <w:bCs/>
                <w:color w:val="000000"/>
                <w:sz w:val="20"/>
                <w:szCs w:val="20"/>
              </w:rPr>
              <w:t xml:space="preserve"> (SAV)</w:t>
            </w:r>
          </w:p>
        </w:tc>
        <w:tc>
          <w:tcPr>
            <w:tcW w:w="1985" w:type="dxa"/>
            <w:gridSpan w:val="2"/>
            <w:tcBorders>
              <w:top w:val="single" w:sz="12" w:space="0" w:color="auto"/>
              <w:left w:val="single" w:sz="12" w:space="0" w:color="auto"/>
              <w:bottom w:val="single" w:sz="4" w:space="0" w:color="auto"/>
              <w:right w:val="double" w:sz="4" w:space="0" w:color="auto"/>
            </w:tcBorders>
            <w:shd w:val="clear" w:color="auto" w:fill="auto"/>
            <w:noWrap/>
            <w:vAlign w:val="center"/>
            <w:hideMark/>
          </w:tcPr>
          <w:p w14:paraId="1F3DC096" w14:textId="77777777" w:rsidR="00D47D34" w:rsidRPr="00487A62" w:rsidRDefault="00D47D34" w:rsidP="00371871">
            <w:pPr>
              <w:jc w:val="center"/>
              <w:rPr>
                <w:rFonts w:eastAsia="Times New Roman" w:cs="Times New Roman"/>
                <w:b/>
                <w:bCs/>
                <w:color w:val="000000"/>
                <w:sz w:val="20"/>
                <w:szCs w:val="20"/>
              </w:rPr>
            </w:pPr>
            <w:r w:rsidRPr="00487A62">
              <w:rPr>
                <w:rFonts w:eastAsia="Times New Roman" w:cs="Times New Roman"/>
                <w:b/>
                <w:bCs/>
                <w:color w:val="000000"/>
                <w:sz w:val="20"/>
                <w:szCs w:val="20"/>
              </w:rPr>
              <w:t xml:space="preserve">First to purchase </w:t>
            </w:r>
            <w:r>
              <w:rPr>
                <w:rFonts w:eastAsia="Times New Roman" w:cs="Times New Roman"/>
                <w:b/>
                <w:bCs/>
                <w:color w:val="000000"/>
                <w:sz w:val="20"/>
                <w:szCs w:val="20"/>
              </w:rPr>
              <w:t xml:space="preserve">(FB) </w:t>
            </w:r>
            <w:r w:rsidRPr="00487A62">
              <w:rPr>
                <w:rFonts w:eastAsia="Times New Roman" w:cs="Times New Roman"/>
                <w:b/>
                <w:bCs/>
                <w:color w:val="000000"/>
                <w:sz w:val="20"/>
                <w:szCs w:val="20"/>
              </w:rPr>
              <w:t>(Base: Never purchase an AV)</w:t>
            </w:r>
          </w:p>
        </w:tc>
        <w:tc>
          <w:tcPr>
            <w:tcW w:w="2126" w:type="dxa"/>
            <w:gridSpan w:val="2"/>
            <w:tcBorders>
              <w:top w:val="single" w:sz="12" w:space="0" w:color="auto"/>
              <w:left w:val="double" w:sz="4" w:space="0" w:color="auto"/>
              <w:bottom w:val="single" w:sz="4" w:space="0" w:color="auto"/>
              <w:right w:val="double" w:sz="4" w:space="0" w:color="auto"/>
            </w:tcBorders>
            <w:shd w:val="clear" w:color="auto" w:fill="auto"/>
            <w:noWrap/>
            <w:vAlign w:val="center"/>
            <w:hideMark/>
          </w:tcPr>
          <w:p w14:paraId="1F11F5B0" w14:textId="77777777" w:rsidR="00D47D34" w:rsidRPr="00487A62" w:rsidRDefault="00D47D34" w:rsidP="00371871">
            <w:pPr>
              <w:jc w:val="center"/>
              <w:rPr>
                <w:rFonts w:eastAsia="Times New Roman" w:cs="Times New Roman"/>
                <w:b/>
                <w:bCs/>
                <w:color w:val="000000"/>
                <w:sz w:val="20"/>
                <w:szCs w:val="20"/>
              </w:rPr>
            </w:pPr>
            <w:r w:rsidRPr="00487A62">
              <w:rPr>
                <w:rFonts w:eastAsia="Times New Roman" w:cs="Times New Roman"/>
                <w:b/>
                <w:bCs/>
                <w:color w:val="000000"/>
                <w:sz w:val="20"/>
                <w:szCs w:val="20"/>
              </w:rPr>
              <w:t xml:space="preserve">Eventually Purchase </w:t>
            </w:r>
            <w:r>
              <w:rPr>
                <w:rFonts w:eastAsia="Times New Roman" w:cs="Times New Roman"/>
                <w:b/>
                <w:bCs/>
                <w:color w:val="000000"/>
                <w:sz w:val="20"/>
                <w:szCs w:val="20"/>
              </w:rPr>
              <w:t>(EB)</w:t>
            </w:r>
            <w:r w:rsidRPr="00487A62">
              <w:rPr>
                <w:rFonts w:eastAsia="Times New Roman" w:cs="Times New Roman"/>
                <w:b/>
                <w:bCs/>
                <w:color w:val="000000"/>
                <w:sz w:val="20"/>
                <w:szCs w:val="20"/>
              </w:rPr>
              <w:t xml:space="preserve"> (Base: Never purchase an AV)</w:t>
            </w:r>
          </w:p>
        </w:tc>
      </w:tr>
      <w:tr w:rsidR="00D47D34" w:rsidRPr="00487A62" w14:paraId="40AA1E3E" w14:textId="77777777" w:rsidTr="00BA29A9">
        <w:trPr>
          <w:trHeight w:val="302"/>
        </w:trPr>
        <w:tc>
          <w:tcPr>
            <w:tcW w:w="3671" w:type="dxa"/>
            <w:vMerge/>
            <w:tcBorders>
              <w:left w:val="double" w:sz="4" w:space="0" w:color="auto"/>
              <w:bottom w:val="double" w:sz="4" w:space="0" w:color="auto"/>
              <w:right w:val="single" w:sz="12" w:space="0" w:color="auto"/>
            </w:tcBorders>
            <w:shd w:val="clear" w:color="auto" w:fill="auto"/>
            <w:noWrap/>
            <w:vAlign w:val="bottom"/>
            <w:hideMark/>
          </w:tcPr>
          <w:p w14:paraId="39F51755" w14:textId="77777777" w:rsidR="00D47D34" w:rsidRPr="00487A62" w:rsidRDefault="00D47D34" w:rsidP="00371871">
            <w:pPr>
              <w:rPr>
                <w:rFonts w:eastAsia="Times New Roman" w:cs="Times New Roman"/>
                <w:color w:val="000000"/>
                <w:sz w:val="20"/>
                <w:szCs w:val="20"/>
              </w:rPr>
            </w:pPr>
          </w:p>
        </w:tc>
        <w:tc>
          <w:tcPr>
            <w:tcW w:w="865" w:type="dxa"/>
            <w:tcBorders>
              <w:top w:val="single" w:sz="4" w:space="0" w:color="auto"/>
              <w:left w:val="single" w:sz="12" w:space="0" w:color="auto"/>
              <w:bottom w:val="double" w:sz="4" w:space="0" w:color="auto"/>
              <w:right w:val="single" w:sz="4" w:space="0" w:color="auto"/>
            </w:tcBorders>
            <w:shd w:val="clear" w:color="auto" w:fill="auto"/>
            <w:noWrap/>
            <w:vAlign w:val="center"/>
            <w:hideMark/>
          </w:tcPr>
          <w:p w14:paraId="0A8CE655" w14:textId="77777777" w:rsidR="00D47D34" w:rsidRPr="00487A62" w:rsidRDefault="00D47D34" w:rsidP="00BA29A9">
            <w:pPr>
              <w:jc w:val="center"/>
              <w:rPr>
                <w:rFonts w:eastAsia="Times New Roman" w:cs="Times New Roman"/>
                <w:color w:val="000000"/>
                <w:sz w:val="20"/>
                <w:szCs w:val="20"/>
              </w:rPr>
            </w:pPr>
            <w:r w:rsidRPr="00487A62">
              <w:rPr>
                <w:rFonts w:eastAsia="Times New Roman" w:cs="Times New Roman"/>
                <w:color w:val="000000"/>
                <w:sz w:val="20"/>
                <w:szCs w:val="20"/>
              </w:rPr>
              <w:t>Coeff.</w:t>
            </w:r>
          </w:p>
        </w:tc>
        <w:tc>
          <w:tcPr>
            <w:tcW w:w="836" w:type="dxa"/>
            <w:tcBorders>
              <w:top w:val="single" w:sz="4" w:space="0" w:color="auto"/>
              <w:left w:val="single" w:sz="4" w:space="0" w:color="auto"/>
              <w:bottom w:val="double" w:sz="4" w:space="0" w:color="auto"/>
              <w:right w:val="double" w:sz="4" w:space="0" w:color="auto"/>
            </w:tcBorders>
            <w:shd w:val="clear" w:color="auto" w:fill="auto"/>
            <w:noWrap/>
            <w:vAlign w:val="center"/>
            <w:hideMark/>
          </w:tcPr>
          <w:p w14:paraId="5A6D052C" w14:textId="77777777" w:rsidR="00D47D34" w:rsidRPr="00487A62" w:rsidRDefault="00D47D34" w:rsidP="00BA29A9">
            <w:pPr>
              <w:jc w:val="center"/>
              <w:rPr>
                <w:rFonts w:eastAsia="Times New Roman" w:cs="Times New Roman"/>
                <w:color w:val="000000"/>
                <w:sz w:val="20"/>
                <w:szCs w:val="20"/>
              </w:rPr>
            </w:pPr>
            <w:r w:rsidRPr="00487A62">
              <w:rPr>
                <w:rFonts w:eastAsia="Times New Roman" w:cs="Times New Roman"/>
                <w:color w:val="000000"/>
                <w:sz w:val="20"/>
                <w:szCs w:val="20"/>
              </w:rPr>
              <w:t>t-stat</w:t>
            </w:r>
          </w:p>
        </w:tc>
        <w:tc>
          <w:tcPr>
            <w:tcW w:w="876"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236C4EF7" w14:textId="77777777" w:rsidR="00D47D34" w:rsidRPr="00487A62" w:rsidRDefault="00D47D34" w:rsidP="00BA29A9">
            <w:pPr>
              <w:jc w:val="center"/>
              <w:rPr>
                <w:rFonts w:eastAsia="Times New Roman" w:cs="Times New Roman"/>
                <w:color w:val="000000"/>
                <w:sz w:val="20"/>
                <w:szCs w:val="20"/>
              </w:rPr>
            </w:pPr>
            <w:r w:rsidRPr="00487A62">
              <w:rPr>
                <w:rFonts w:eastAsia="Times New Roman" w:cs="Times New Roman"/>
                <w:color w:val="000000"/>
                <w:sz w:val="20"/>
                <w:szCs w:val="20"/>
              </w:rPr>
              <w:t>Coeff.</w:t>
            </w:r>
          </w:p>
        </w:tc>
        <w:tc>
          <w:tcPr>
            <w:tcW w:w="825" w:type="dxa"/>
            <w:tcBorders>
              <w:top w:val="single" w:sz="4" w:space="0" w:color="auto"/>
              <w:left w:val="single" w:sz="4" w:space="0" w:color="auto"/>
              <w:bottom w:val="double" w:sz="4" w:space="0" w:color="auto"/>
              <w:right w:val="double" w:sz="4" w:space="0" w:color="auto"/>
            </w:tcBorders>
            <w:shd w:val="clear" w:color="auto" w:fill="auto"/>
            <w:noWrap/>
            <w:vAlign w:val="center"/>
            <w:hideMark/>
          </w:tcPr>
          <w:p w14:paraId="0D1E1560" w14:textId="77777777" w:rsidR="00D47D34" w:rsidRPr="00487A62" w:rsidRDefault="00D47D34" w:rsidP="00BA29A9">
            <w:pPr>
              <w:jc w:val="center"/>
              <w:rPr>
                <w:rFonts w:eastAsia="Times New Roman" w:cs="Times New Roman"/>
                <w:color w:val="000000"/>
                <w:sz w:val="20"/>
                <w:szCs w:val="20"/>
              </w:rPr>
            </w:pPr>
            <w:r w:rsidRPr="00487A62">
              <w:rPr>
                <w:rFonts w:eastAsia="Times New Roman" w:cs="Times New Roman"/>
                <w:color w:val="000000"/>
                <w:sz w:val="20"/>
                <w:szCs w:val="20"/>
              </w:rPr>
              <w:t>t-stat</w:t>
            </w:r>
          </w:p>
        </w:tc>
        <w:tc>
          <w:tcPr>
            <w:tcW w:w="992"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5626CDD4" w14:textId="77777777" w:rsidR="00D47D34" w:rsidRPr="00487A62" w:rsidRDefault="00D47D34" w:rsidP="00BA29A9">
            <w:pPr>
              <w:jc w:val="center"/>
              <w:rPr>
                <w:rFonts w:eastAsia="Times New Roman" w:cs="Times New Roman"/>
                <w:color w:val="000000"/>
                <w:sz w:val="20"/>
                <w:szCs w:val="20"/>
              </w:rPr>
            </w:pPr>
            <w:r w:rsidRPr="00487A62">
              <w:rPr>
                <w:rFonts w:eastAsia="Times New Roman" w:cs="Times New Roman"/>
                <w:color w:val="000000"/>
                <w:sz w:val="20"/>
                <w:szCs w:val="20"/>
              </w:rPr>
              <w:t>Coeff.</w:t>
            </w:r>
          </w:p>
        </w:tc>
        <w:tc>
          <w:tcPr>
            <w:tcW w:w="992" w:type="dxa"/>
            <w:tcBorders>
              <w:top w:val="single" w:sz="4" w:space="0" w:color="auto"/>
              <w:left w:val="single" w:sz="4" w:space="0" w:color="auto"/>
              <w:bottom w:val="double" w:sz="4" w:space="0" w:color="auto"/>
              <w:right w:val="single" w:sz="12" w:space="0" w:color="auto"/>
            </w:tcBorders>
            <w:shd w:val="clear" w:color="auto" w:fill="auto"/>
            <w:noWrap/>
            <w:vAlign w:val="center"/>
            <w:hideMark/>
          </w:tcPr>
          <w:p w14:paraId="29B32292" w14:textId="77777777" w:rsidR="00D47D34" w:rsidRPr="00487A62" w:rsidRDefault="00D47D34" w:rsidP="00BA29A9">
            <w:pPr>
              <w:jc w:val="center"/>
              <w:rPr>
                <w:rFonts w:eastAsia="Times New Roman" w:cs="Times New Roman"/>
                <w:color w:val="000000"/>
                <w:sz w:val="20"/>
                <w:szCs w:val="20"/>
              </w:rPr>
            </w:pPr>
            <w:r w:rsidRPr="00487A62">
              <w:rPr>
                <w:rFonts w:eastAsia="Times New Roman" w:cs="Times New Roman"/>
                <w:color w:val="000000"/>
                <w:sz w:val="20"/>
                <w:szCs w:val="20"/>
              </w:rPr>
              <w:t>t-stat</w:t>
            </w:r>
          </w:p>
        </w:tc>
        <w:tc>
          <w:tcPr>
            <w:tcW w:w="993" w:type="dxa"/>
            <w:tcBorders>
              <w:top w:val="single" w:sz="4" w:space="0" w:color="auto"/>
              <w:left w:val="single" w:sz="12" w:space="0" w:color="auto"/>
              <w:bottom w:val="double" w:sz="4" w:space="0" w:color="auto"/>
              <w:right w:val="single" w:sz="4" w:space="0" w:color="auto"/>
            </w:tcBorders>
            <w:shd w:val="clear" w:color="auto" w:fill="auto"/>
            <w:noWrap/>
            <w:vAlign w:val="center"/>
            <w:hideMark/>
          </w:tcPr>
          <w:p w14:paraId="58420BBC" w14:textId="77777777" w:rsidR="00D47D34" w:rsidRPr="00487A62" w:rsidRDefault="00D47D34" w:rsidP="00BA29A9">
            <w:pPr>
              <w:jc w:val="center"/>
              <w:rPr>
                <w:rFonts w:eastAsia="Times New Roman" w:cs="Times New Roman"/>
                <w:color w:val="000000"/>
                <w:sz w:val="20"/>
                <w:szCs w:val="20"/>
              </w:rPr>
            </w:pPr>
            <w:r w:rsidRPr="00487A62">
              <w:rPr>
                <w:rFonts w:eastAsia="Times New Roman" w:cs="Times New Roman"/>
                <w:color w:val="000000"/>
                <w:sz w:val="20"/>
                <w:szCs w:val="20"/>
              </w:rPr>
              <w:t>Coeff.</w:t>
            </w:r>
          </w:p>
        </w:tc>
        <w:tc>
          <w:tcPr>
            <w:tcW w:w="992" w:type="dxa"/>
            <w:tcBorders>
              <w:top w:val="single" w:sz="4" w:space="0" w:color="auto"/>
              <w:left w:val="single" w:sz="4" w:space="0" w:color="auto"/>
              <w:bottom w:val="double" w:sz="4" w:space="0" w:color="auto"/>
              <w:right w:val="double" w:sz="4" w:space="0" w:color="auto"/>
            </w:tcBorders>
            <w:shd w:val="clear" w:color="auto" w:fill="auto"/>
            <w:noWrap/>
            <w:vAlign w:val="center"/>
            <w:hideMark/>
          </w:tcPr>
          <w:p w14:paraId="78C91D2F" w14:textId="77777777" w:rsidR="00D47D34" w:rsidRPr="00487A62" w:rsidRDefault="00D47D34" w:rsidP="00BA29A9">
            <w:pPr>
              <w:jc w:val="center"/>
              <w:rPr>
                <w:rFonts w:eastAsia="Times New Roman" w:cs="Times New Roman"/>
                <w:color w:val="000000"/>
                <w:sz w:val="20"/>
                <w:szCs w:val="20"/>
              </w:rPr>
            </w:pPr>
            <w:r w:rsidRPr="00487A62">
              <w:rPr>
                <w:rFonts w:eastAsia="Times New Roman" w:cs="Times New Roman"/>
                <w:color w:val="000000"/>
                <w:sz w:val="20"/>
                <w:szCs w:val="20"/>
              </w:rPr>
              <w:t>t-stat</w:t>
            </w:r>
          </w:p>
        </w:tc>
        <w:tc>
          <w:tcPr>
            <w:tcW w:w="992"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567197DF" w14:textId="77777777" w:rsidR="00D47D34" w:rsidRPr="00487A62" w:rsidRDefault="00D47D34" w:rsidP="00BA29A9">
            <w:pPr>
              <w:jc w:val="center"/>
              <w:rPr>
                <w:rFonts w:eastAsia="Times New Roman" w:cs="Times New Roman"/>
                <w:color w:val="000000"/>
                <w:sz w:val="20"/>
                <w:szCs w:val="20"/>
              </w:rPr>
            </w:pPr>
            <w:r w:rsidRPr="00487A62">
              <w:rPr>
                <w:rFonts w:eastAsia="Times New Roman" w:cs="Times New Roman"/>
                <w:color w:val="000000"/>
                <w:sz w:val="20"/>
                <w:szCs w:val="20"/>
              </w:rPr>
              <w:t>Coeff.</w:t>
            </w:r>
          </w:p>
        </w:tc>
        <w:tc>
          <w:tcPr>
            <w:tcW w:w="1134" w:type="dxa"/>
            <w:tcBorders>
              <w:top w:val="single" w:sz="4" w:space="0" w:color="auto"/>
              <w:left w:val="single" w:sz="4" w:space="0" w:color="auto"/>
              <w:bottom w:val="double" w:sz="4" w:space="0" w:color="auto"/>
              <w:right w:val="double" w:sz="4" w:space="0" w:color="auto"/>
            </w:tcBorders>
            <w:shd w:val="clear" w:color="auto" w:fill="auto"/>
            <w:noWrap/>
            <w:vAlign w:val="center"/>
            <w:hideMark/>
          </w:tcPr>
          <w:p w14:paraId="5EDC3355" w14:textId="77777777" w:rsidR="00D47D34" w:rsidRPr="00487A62" w:rsidRDefault="00D47D34" w:rsidP="00BA29A9">
            <w:pPr>
              <w:jc w:val="center"/>
              <w:rPr>
                <w:rFonts w:eastAsia="Times New Roman" w:cs="Times New Roman"/>
                <w:color w:val="000000"/>
                <w:sz w:val="20"/>
                <w:szCs w:val="20"/>
              </w:rPr>
            </w:pPr>
            <w:r w:rsidRPr="00487A62">
              <w:rPr>
                <w:rFonts w:eastAsia="Times New Roman" w:cs="Times New Roman"/>
                <w:color w:val="000000"/>
                <w:sz w:val="20"/>
                <w:szCs w:val="20"/>
              </w:rPr>
              <w:t>t-stat</w:t>
            </w:r>
          </w:p>
        </w:tc>
      </w:tr>
      <w:tr w:rsidR="00D47D34" w:rsidRPr="00487A62" w14:paraId="07B92AE5" w14:textId="77777777" w:rsidTr="00FC5796">
        <w:trPr>
          <w:trHeight w:val="302"/>
        </w:trPr>
        <w:tc>
          <w:tcPr>
            <w:tcW w:w="3671" w:type="dxa"/>
            <w:tcBorders>
              <w:top w:val="double" w:sz="4" w:space="0" w:color="auto"/>
              <w:left w:val="double" w:sz="4" w:space="0" w:color="auto"/>
              <w:bottom w:val="nil"/>
              <w:right w:val="single" w:sz="12" w:space="0" w:color="auto"/>
            </w:tcBorders>
            <w:shd w:val="clear" w:color="auto" w:fill="auto"/>
            <w:noWrap/>
            <w:vAlign w:val="bottom"/>
            <w:hideMark/>
          </w:tcPr>
          <w:p w14:paraId="59570C9C" w14:textId="77777777" w:rsidR="00D47D34" w:rsidRPr="00487A62" w:rsidRDefault="00D47D34" w:rsidP="00371871">
            <w:pPr>
              <w:rPr>
                <w:rFonts w:eastAsia="Times New Roman" w:cs="Times New Roman"/>
                <w:color w:val="000000"/>
                <w:sz w:val="20"/>
                <w:szCs w:val="20"/>
              </w:rPr>
            </w:pPr>
            <w:r w:rsidRPr="00487A62">
              <w:rPr>
                <w:rFonts w:eastAsia="Times New Roman" w:cs="Times New Roman"/>
                <w:color w:val="000000"/>
                <w:sz w:val="20"/>
                <w:szCs w:val="20"/>
              </w:rPr>
              <w:t>Constant</w:t>
            </w:r>
          </w:p>
        </w:tc>
        <w:tc>
          <w:tcPr>
            <w:tcW w:w="865" w:type="dxa"/>
            <w:tcBorders>
              <w:top w:val="double" w:sz="4" w:space="0" w:color="auto"/>
              <w:left w:val="single" w:sz="12" w:space="0" w:color="auto"/>
              <w:bottom w:val="nil"/>
              <w:right w:val="single" w:sz="4" w:space="0" w:color="auto"/>
            </w:tcBorders>
            <w:shd w:val="clear" w:color="auto" w:fill="auto"/>
            <w:noWrap/>
            <w:vAlign w:val="center"/>
            <w:hideMark/>
          </w:tcPr>
          <w:p w14:paraId="7B8B9F93"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w:t>
            </w:r>
            <w:r>
              <w:rPr>
                <w:rFonts w:eastAsia="Times New Roman" w:cs="Times New Roman"/>
                <w:color w:val="000000"/>
                <w:sz w:val="20"/>
                <w:szCs w:val="20"/>
              </w:rPr>
              <w:t>-</w:t>
            </w:r>
          </w:p>
        </w:tc>
        <w:tc>
          <w:tcPr>
            <w:tcW w:w="836" w:type="dxa"/>
            <w:tcBorders>
              <w:top w:val="double" w:sz="4" w:space="0" w:color="auto"/>
              <w:left w:val="single" w:sz="4" w:space="0" w:color="auto"/>
              <w:bottom w:val="nil"/>
              <w:right w:val="double" w:sz="4" w:space="0" w:color="auto"/>
            </w:tcBorders>
            <w:shd w:val="clear" w:color="auto" w:fill="auto"/>
            <w:noWrap/>
            <w:vAlign w:val="center"/>
            <w:hideMark/>
          </w:tcPr>
          <w:p w14:paraId="3675C19D" w14:textId="77777777" w:rsidR="00D47D34" w:rsidRPr="00487A62" w:rsidRDefault="00D47D34" w:rsidP="00371871">
            <w:pPr>
              <w:jc w:val="right"/>
              <w:rPr>
                <w:rFonts w:eastAsia="Times New Roman" w:cs="Times New Roman"/>
                <w:color w:val="000000"/>
                <w:sz w:val="20"/>
                <w:szCs w:val="20"/>
              </w:rPr>
            </w:pPr>
          </w:p>
        </w:tc>
        <w:tc>
          <w:tcPr>
            <w:tcW w:w="876" w:type="dxa"/>
            <w:tcBorders>
              <w:top w:val="double" w:sz="4" w:space="0" w:color="auto"/>
              <w:left w:val="double" w:sz="4" w:space="0" w:color="auto"/>
              <w:bottom w:val="nil"/>
              <w:right w:val="single" w:sz="4" w:space="0" w:color="auto"/>
            </w:tcBorders>
            <w:shd w:val="clear" w:color="auto" w:fill="auto"/>
            <w:noWrap/>
            <w:vAlign w:val="center"/>
            <w:hideMark/>
          </w:tcPr>
          <w:p w14:paraId="5E917D93"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 xml:space="preserve">  0.</w:t>
            </w:r>
            <w:r>
              <w:rPr>
                <w:rFonts w:eastAsia="Times New Roman" w:cs="Times New Roman"/>
                <w:color w:val="000000"/>
                <w:sz w:val="20"/>
                <w:szCs w:val="20"/>
              </w:rPr>
              <w:t>078</w:t>
            </w:r>
          </w:p>
        </w:tc>
        <w:tc>
          <w:tcPr>
            <w:tcW w:w="825" w:type="dxa"/>
            <w:tcBorders>
              <w:top w:val="double" w:sz="4" w:space="0" w:color="auto"/>
              <w:left w:val="single" w:sz="4" w:space="0" w:color="auto"/>
              <w:bottom w:val="nil"/>
              <w:right w:val="double" w:sz="4" w:space="0" w:color="auto"/>
            </w:tcBorders>
            <w:shd w:val="clear" w:color="auto" w:fill="auto"/>
            <w:noWrap/>
            <w:vAlign w:val="center"/>
            <w:hideMark/>
          </w:tcPr>
          <w:p w14:paraId="0E8B4C91" w14:textId="77777777" w:rsidR="00D47D34" w:rsidRPr="00487A62" w:rsidRDefault="00D47D34" w:rsidP="00371871">
            <w:pPr>
              <w:jc w:val="right"/>
              <w:rPr>
                <w:rFonts w:eastAsia="Times New Roman" w:cs="Times New Roman"/>
                <w:color w:val="000000"/>
                <w:sz w:val="20"/>
                <w:szCs w:val="20"/>
              </w:rPr>
            </w:pPr>
            <w:r>
              <w:rPr>
                <w:rFonts w:eastAsia="Times New Roman" w:cs="Times New Roman"/>
                <w:color w:val="000000"/>
                <w:sz w:val="20"/>
                <w:szCs w:val="20"/>
              </w:rPr>
              <w:t>1</w:t>
            </w:r>
            <w:r w:rsidRPr="00487A62">
              <w:rPr>
                <w:rFonts w:eastAsia="Times New Roman" w:cs="Times New Roman"/>
                <w:color w:val="000000"/>
                <w:sz w:val="20"/>
                <w:szCs w:val="20"/>
              </w:rPr>
              <w:t>.</w:t>
            </w:r>
            <w:r>
              <w:rPr>
                <w:rFonts w:eastAsia="Times New Roman" w:cs="Times New Roman"/>
                <w:color w:val="000000"/>
                <w:sz w:val="20"/>
                <w:szCs w:val="20"/>
              </w:rPr>
              <w:t>47</w:t>
            </w:r>
          </w:p>
        </w:tc>
        <w:tc>
          <w:tcPr>
            <w:tcW w:w="992" w:type="dxa"/>
            <w:tcBorders>
              <w:top w:val="double" w:sz="4" w:space="0" w:color="auto"/>
              <w:left w:val="double" w:sz="4" w:space="0" w:color="auto"/>
              <w:bottom w:val="nil"/>
              <w:right w:val="single" w:sz="4" w:space="0" w:color="auto"/>
            </w:tcBorders>
            <w:shd w:val="clear" w:color="auto" w:fill="auto"/>
            <w:noWrap/>
            <w:vAlign w:val="center"/>
            <w:hideMark/>
          </w:tcPr>
          <w:p w14:paraId="11051A30"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-0.</w:t>
            </w:r>
            <w:r>
              <w:rPr>
                <w:rFonts w:eastAsia="Times New Roman" w:cs="Times New Roman"/>
                <w:color w:val="000000"/>
                <w:sz w:val="20"/>
                <w:szCs w:val="20"/>
              </w:rPr>
              <w:t>666</w:t>
            </w:r>
          </w:p>
        </w:tc>
        <w:tc>
          <w:tcPr>
            <w:tcW w:w="992" w:type="dxa"/>
            <w:tcBorders>
              <w:top w:val="double" w:sz="4" w:space="0" w:color="auto"/>
              <w:left w:val="single" w:sz="4" w:space="0" w:color="auto"/>
              <w:bottom w:val="nil"/>
              <w:right w:val="single" w:sz="12" w:space="0" w:color="auto"/>
            </w:tcBorders>
            <w:shd w:val="clear" w:color="auto" w:fill="auto"/>
            <w:noWrap/>
            <w:vAlign w:val="center"/>
            <w:hideMark/>
          </w:tcPr>
          <w:p w14:paraId="0BCA702B"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w:t>
            </w:r>
            <w:r>
              <w:rPr>
                <w:rFonts w:eastAsia="Times New Roman" w:cs="Times New Roman"/>
                <w:color w:val="000000"/>
                <w:sz w:val="20"/>
                <w:szCs w:val="20"/>
              </w:rPr>
              <w:t>6.92</w:t>
            </w:r>
          </w:p>
        </w:tc>
        <w:tc>
          <w:tcPr>
            <w:tcW w:w="993" w:type="dxa"/>
            <w:tcBorders>
              <w:top w:val="double" w:sz="4" w:space="0" w:color="auto"/>
              <w:left w:val="single" w:sz="12" w:space="0" w:color="auto"/>
              <w:bottom w:val="nil"/>
              <w:right w:val="single" w:sz="4" w:space="0" w:color="auto"/>
            </w:tcBorders>
            <w:shd w:val="clear" w:color="auto" w:fill="auto"/>
            <w:noWrap/>
            <w:vAlign w:val="center"/>
            <w:hideMark/>
          </w:tcPr>
          <w:p w14:paraId="703DD518" w14:textId="77777777" w:rsidR="00D47D34" w:rsidRPr="002B25D4" w:rsidRDefault="00D47D34" w:rsidP="00371871">
            <w:pPr>
              <w:jc w:val="right"/>
              <w:rPr>
                <w:rFonts w:eastAsia="Times New Roman" w:cs="Times New Roman"/>
                <w:color w:val="000000" w:themeColor="text1"/>
                <w:sz w:val="20"/>
                <w:szCs w:val="20"/>
              </w:rPr>
            </w:pPr>
            <w:r w:rsidRPr="002B25D4">
              <w:rPr>
                <w:rFonts w:eastAsia="Times New Roman" w:cs="Times New Roman"/>
                <w:color w:val="000000" w:themeColor="text1"/>
                <w:sz w:val="20"/>
                <w:szCs w:val="20"/>
              </w:rPr>
              <w:t>-1.16</w:t>
            </w:r>
            <w:r>
              <w:rPr>
                <w:rFonts w:eastAsia="Times New Roman" w:cs="Times New Roman"/>
                <w:color w:val="000000" w:themeColor="text1"/>
                <w:sz w:val="20"/>
                <w:szCs w:val="20"/>
              </w:rPr>
              <w:t>4</w:t>
            </w:r>
          </w:p>
        </w:tc>
        <w:tc>
          <w:tcPr>
            <w:tcW w:w="992" w:type="dxa"/>
            <w:tcBorders>
              <w:top w:val="double" w:sz="4" w:space="0" w:color="auto"/>
              <w:left w:val="single" w:sz="4" w:space="0" w:color="auto"/>
              <w:bottom w:val="nil"/>
              <w:right w:val="double" w:sz="4" w:space="0" w:color="auto"/>
            </w:tcBorders>
            <w:shd w:val="clear" w:color="auto" w:fill="auto"/>
            <w:noWrap/>
            <w:vAlign w:val="center"/>
            <w:hideMark/>
          </w:tcPr>
          <w:p w14:paraId="0F24F1C2" w14:textId="77777777" w:rsidR="00D47D34" w:rsidRPr="002B25D4" w:rsidRDefault="00D47D34" w:rsidP="00371871">
            <w:pPr>
              <w:jc w:val="right"/>
              <w:rPr>
                <w:rFonts w:eastAsia="Times New Roman" w:cs="Times New Roman"/>
                <w:color w:val="000000" w:themeColor="text1"/>
                <w:sz w:val="20"/>
                <w:szCs w:val="20"/>
              </w:rPr>
            </w:pPr>
            <w:r w:rsidRPr="002B25D4">
              <w:rPr>
                <w:rFonts w:eastAsia="Times New Roman" w:cs="Times New Roman"/>
                <w:color w:val="000000" w:themeColor="text1"/>
                <w:sz w:val="20"/>
                <w:szCs w:val="20"/>
              </w:rPr>
              <w:t>-8.</w:t>
            </w:r>
            <w:r>
              <w:rPr>
                <w:rFonts w:eastAsia="Times New Roman" w:cs="Times New Roman"/>
                <w:color w:val="000000" w:themeColor="text1"/>
                <w:sz w:val="20"/>
                <w:szCs w:val="20"/>
              </w:rPr>
              <w:t>9</w:t>
            </w:r>
            <w:r w:rsidRPr="002B25D4">
              <w:rPr>
                <w:rFonts w:eastAsia="Times New Roman" w:cs="Times New Roman"/>
                <w:color w:val="000000" w:themeColor="text1"/>
                <w:sz w:val="20"/>
                <w:szCs w:val="20"/>
              </w:rPr>
              <w:t>7</w:t>
            </w:r>
          </w:p>
        </w:tc>
        <w:tc>
          <w:tcPr>
            <w:tcW w:w="992" w:type="dxa"/>
            <w:tcBorders>
              <w:top w:val="double" w:sz="4" w:space="0" w:color="auto"/>
              <w:left w:val="double" w:sz="4" w:space="0" w:color="auto"/>
              <w:bottom w:val="nil"/>
              <w:right w:val="single" w:sz="4" w:space="0" w:color="auto"/>
            </w:tcBorders>
            <w:shd w:val="clear" w:color="auto" w:fill="auto"/>
            <w:noWrap/>
            <w:vAlign w:val="center"/>
            <w:hideMark/>
          </w:tcPr>
          <w:p w14:paraId="175B52A8" w14:textId="77777777" w:rsidR="00D47D34" w:rsidRPr="002B25D4" w:rsidRDefault="00D47D34" w:rsidP="00371871">
            <w:pPr>
              <w:jc w:val="right"/>
              <w:rPr>
                <w:rFonts w:eastAsia="Times New Roman" w:cs="Times New Roman"/>
                <w:color w:val="000000" w:themeColor="text1"/>
                <w:sz w:val="20"/>
                <w:szCs w:val="20"/>
              </w:rPr>
            </w:pPr>
            <w:r w:rsidRPr="002B25D4">
              <w:rPr>
                <w:rFonts w:eastAsia="Times New Roman" w:cs="Times New Roman"/>
                <w:color w:val="000000" w:themeColor="text1"/>
                <w:sz w:val="20"/>
                <w:szCs w:val="20"/>
              </w:rPr>
              <w:t>0.71</w:t>
            </w:r>
            <w:r>
              <w:rPr>
                <w:rFonts w:eastAsia="Times New Roman" w:cs="Times New Roman"/>
                <w:color w:val="000000" w:themeColor="text1"/>
                <w:sz w:val="20"/>
                <w:szCs w:val="20"/>
              </w:rPr>
              <w:t>5</w:t>
            </w:r>
          </w:p>
        </w:tc>
        <w:tc>
          <w:tcPr>
            <w:tcW w:w="1134" w:type="dxa"/>
            <w:tcBorders>
              <w:top w:val="double" w:sz="4" w:space="0" w:color="auto"/>
              <w:left w:val="single" w:sz="4" w:space="0" w:color="auto"/>
              <w:bottom w:val="nil"/>
              <w:right w:val="double" w:sz="4" w:space="0" w:color="auto"/>
            </w:tcBorders>
            <w:shd w:val="clear" w:color="auto" w:fill="auto"/>
            <w:noWrap/>
            <w:vAlign w:val="center"/>
            <w:hideMark/>
          </w:tcPr>
          <w:p w14:paraId="257EACD5" w14:textId="77777777" w:rsidR="00D47D34" w:rsidRPr="002B25D4" w:rsidRDefault="00D47D34" w:rsidP="00371871">
            <w:pPr>
              <w:jc w:val="right"/>
              <w:rPr>
                <w:rFonts w:eastAsia="Times New Roman" w:cs="Times New Roman"/>
                <w:color w:val="000000" w:themeColor="text1"/>
                <w:sz w:val="20"/>
                <w:szCs w:val="20"/>
              </w:rPr>
            </w:pPr>
            <w:r w:rsidRPr="002B25D4">
              <w:rPr>
                <w:rFonts w:eastAsia="Times New Roman" w:cs="Times New Roman"/>
                <w:color w:val="000000" w:themeColor="text1"/>
                <w:sz w:val="20"/>
                <w:szCs w:val="20"/>
              </w:rPr>
              <w:t>12.43</w:t>
            </w:r>
          </w:p>
        </w:tc>
      </w:tr>
      <w:tr w:rsidR="00D47D34" w:rsidRPr="00487A62" w14:paraId="0913B48C" w14:textId="77777777" w:rsidTr="00FC5796">
        <w:trPr>
          <w:trHeight w:val="302"/>
        </w:trPr>
        <w:tc>
          <w:tcPr>
            <w:tcW w:w="3671" w:type="dxa"/>
            <w:tcBorders>
              <w:top w:val="nil"/>
              <w:left w:val="double" w:sz="4" w:space="0" w:color="auto"/>
              <w:bottom w:val="nil"/>
              <w:right w:val="single" w:sz="12" w:space="0" w:color="auto"/>
            </w:tcBorders>
            <w:shd w:val="clear" w:color="auto" w:fill="auto"/>
            <w:noWrap/>
            <w:vAlign w:val="bottom"/>
          </w:tcPr>
          <w:p w14:paraId="65AF398D" w14:textId="77777777" w:rsidR="00D47D34" w:rsidRPr="00487A62" w:rsidRDefault="00D47D34" w:rsidP="00371871">
            <w:pPr>
              <w:rPr>
                <w:rFonts w:eastAsia="Times New Roman" w:cs="Times New Roman"/>
                <w:b/>
                <w:bCs/>
                <w:i/>
                <w:iCs/>
                <w:color w:val="000000"/>
                <w:sz w:val="20"/>
                <w:szCs w:val="20"/>
              </w:rPr>
            </w:pPr>
            <w:r w:rsidRPr="00487A62">
              <w:rPr>
                <w:rFonts w:eastAsia="Times New Roman" w:cs="Times New Roman"/>
                <w:b/>
                <w:bCs/>
                <w:i/>
                <w:iCs/>
                <w:color w:val="000000"/>
                <w:sz w:val="20"/>
                <w:szCs w:val="20"/>
              </w:rPr>
              <w:t>Endogenous Effects</w:t>
            </w:r>
          </w:p>
        </w:tc>
        <w:tc>
          <w:tcPr>
            <w:tcW w:w="865" w:type="dxa"/>
            <w:tcBorders>
              <w:top w:val="nil"/>
              <w:left w:val="single" w:sz="12" w:space="0" w:color="auto"/>
              <w:bottom w:val="nil"/>
              <w:right w:val="single" w:sz="4" w:space="0" w:color="auto"/>
            </w:tcBorders>
            <w:shd w:val="clear" w:color="auto" w:fill="auto"/>
            <w:noWrap/>
            <w:vAlign w:val="center"/>
          </w:tcPr>
          <w:p w14:paraId="0E3FD66E" w14:textId="77777777" w:rsidR="00D47D34" w:rsidRPr="00487A62" w:rsidRDefault="00D47D34" w:rsidP="00371871">
            <w:pPr>
              <w:jc w:val="right"/>
              <w:rPr>
                <w:rFonts w:eastAsia="Times New Roman" w:cs="Times New Roman"/>
                <w:color w:val="000000"/>
                <w:sz w:val="20"/>
                <w:szCs w:val="20"/>
              </w:rPr>
            </w:pPr>
          </w:p>
        </w:tc>
        <w:tc>
          <w:tcPr>
            <w:tcW w:w="836" w:type="dxa"/>
            <w:tcBorders>
              <w:top w:val="nil"/>
              <w:left w:val="single" w:sz="4" w:space="0" w:color="auto"/>
              <w:bottom w:val="nil"/>
              <w:right w:val="double" w:sz="4" w:space="0" w:color="auto"/>
            </w:tcBorders>
            <w:shd w:val="clear" w:color="auto" w:fill="auto"/>
            <w:noWrap/>
            <w:vAlign w:val="center"/>
          </w:tcPr>
          <w:p w14:paraId="4211E545" w14:textId="77777777" w:rsidR="00D47D34" w:rsidRPr="00487A62" w:rsidRDefault="00D47D34" w:rsidP="00371871">
            <w:pPr>
              <w:jc w:val="right"/>
              <w:rPr>
                <w:rFonts w:eastAsia="Times New Roman" w:cs="Times New Roman"/>
                <w:color w:val="000000"/>
                <w:sz w:val="20"/>
                <w:szCs w:val="20"/>
              </w:rPr>
            </w:pPr>
          </w:p>
        </w:tc>
        <w:tc>
          <w:tcPr>
            <w:tcW w:w="876" w:type="dxa"/>
            <w:tcBorders>
              <w:top w:val="nil"/>
              <w:left w:val="double" w:sz="4" w:space="0" w:color="auto"/>
              <w:bottom w:val="nil"/>
              <w:right w:val="single" w:sz="4" w:space="0" w:color="auto"/>
            </w:tcBorders>
            <w:shd w:val="clear" w:color="auto" w:fill="auto"/>
            <w:noWrap/>
            <w:vAlign w:val="center"/>
          </w:tcPr>
          <w:p w14:paraId="43956175" w14:textId="77777777" w:rsidR="00D47D34" w:rsidRPr="00487A62" w:rsidRDefault="00D47D34" w:rsidP="00371871">
            <w:pPr>
              <w:jc w:val="right"/>
              <w:rPr>
                <w:rFonts w:eastAsia="Times New Roman" w:cs="Times New Roman"/>
                <w:color w:val="000000"/>
                <w:sz w:val="20"/>
                <w:szCs w:val="20"/>
              </w:rPr>
            </w:pPr>
          </w:p>
        </w:tc>
        <w:tc>
          <w:tcPr>
            <w:tcW w:w="825" w:type="dxa"/>
            <w:tcBorders>
              <w:top w:val="nil"/>
              <w:left w:val="single" w:sz="4" w:space="0" w:color="auto"/>
              <w:bottom w:val="nil"/>
              <w:right w:val="double" w:sz="4" w:space="0" w:color="auto"/>
            </w:tcBorders>
            <w:shd w:val="clear" w:color="auto" w:fill="auto"/>
            <w:noWrap/>
            <w:vAlign w:val="center"/>
          </w:tcPr>
          <w:p w14:paraId="54C893BA" w14:textId="77777777" w:rsidR="00D47D34" w:rsidRPr="00487A62" w:rsidRDefault="00D47D34" w:rsidP="00371871">
            <w:pPr>
              <w:jc w:val="right"/>
              <w:rPr>
                <w:rFonts w:eastAsia="Times New Roman" w:cs="Times New Roman"/>
                <w:color w:val="000000"/>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2DD838B0" w14:textId="77777777" w:rsidR="00D47D34" w:rsidRPr="00487A62" w:rsidRDefault="00D47D34" w:rsidP="00371871">
            <w:pPr>
              <w:jc w:val="right"/>
              <w:rPr>
                <w:rFonts w:eastAsia="Times New Roman" w:cs="Times New Roman"/>
                <w:color w:val="000000"/>
                <w:sz w:val="20"/>
                <w:szCs w:val="20"/>
              </w:rPr>
            </w:pPr>
          </w:p>
        </w:tc>
        <w:tc>
          <w:tcPr>
            <w:tcW w:w="992" w:type="dxa"/>
            <w:tcBorders>
              <w:top w:val="nil"/>
              <w:left w:val="single" w:sz="4" w:space="0" w:color="auto"/>
              <w:bottom w:val="nil"/>
              <w:right w:val="single" w:sz="12" w:space="0" w:color="auto"/>
            </w:tcBorders>
            <w:shd w:val="clear" w:color="auto" w:fill="auto"/>
            <w:noWrap/>
            <w:vAlign w:val="center"/>
          </w:tcPr>
          <w:p w14:paraId="5B0383EA" w14:textId="77777777" w:rsidR="00D47D34" w:rsidRPr="00487A62" w:rsidRDefault="00D47D34" w:rsidP="00371871">
            <w:pPr>
              <w:jc w:val="right"/>
              <w:rPr>
                <w:rFonts w:eastAsia="Times New Roman" w:cs="Times New Roman"/>
                <w:color w:val="000000"/>
                <w:sz w:val="20"/>
                <w:szCs w:val="20"/>
              </w:rPr>
            </w:pPr>
          </w:p>
        </w:tc>
        <w:tc>
          <w:tcPr>
            <w:tcW w:w="993" w:type="dxa"/>
            <w:tcBorders>
              <w:top w:val="nil"/>
              <w:left w:val="single" w:sz="12" w:space="0" w:color="auto"/>
              <w:bottom w:val="nil"/>
              <w:right w:val="single" w:sz="4" w:space="0" w:color="auto"/>
            </w:tcBorders>
            <w:shd w:val="clear" w:color="auto" w:fill="auto"/>
            <w:noWrap/>
            <w:vAlign w:val="center"/>
          </w:tcPr>
          <w:p w14:paraId="30E888E4"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single" w:sz="4" w:space="0" w:color="auto"/>
              <w:bottom w:val="nil"/>
              <w:right w:val="double" w:sz="4" w:space="0" w:color="auto"/>
            </w:tcBorders>
            <w:shd w:val="clear" w:color="auto" w:fill="auto"/>
            <w:noWrap/>
            <w:vAlign w:val="center"/>
          </w:tcPr>
          <w:p w14:paraId="63D86758"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000196FB" w14:textId="77777777" w:rsidR="00D47D34" w:rsidRPr="002B25D4" w:rsidRDefault="00D47D34" w:rsidP="00371871">
            <w:pPr>
              <w:jc w:val="right"/>
              <w:rPr>
                <w:rFonts w:eastAsia="Times New Roman" w:cs="Times New Roman"/>
                <w:color w:val="000000" w:themeColor="text1"/>
                <w:sz w:val="20"/>
                <w:szCs w:val="20"/>
              </w:rPr>
            </w:pPr>
          </w:p>
        </w:tc>
        <w:tc>
          <w:tcPr>
            <w:tcW w:w="1134" w:type="dxa"/>
            <w:tcBorders>
              <w:top w:val="nil"/>
              <w:left w:val="single" w:sz="4" w:space="0" w:color="auto"/>
              <w:bottom w:val="nil"/>
              <w:right w:val="double" w:sz="4" w:space="0" w:color="auto"/>
            </w:tcBorders>
            <w:shd w:val="clear" w:color="auto" w:fill="auto"/>
            <w:noWrap/>
            <w:vAlign w:val="center"/>
          </w:tcPr>
          <w:p w14:paraId="5809BFE6" w14:textId="77777777" w:rsidR="00D47D34" w:rsidRPr="002B25D4" w:rsidRDefault="00D47D34" w:rsidP="00371871">
            <w:pPr>
              <w:jc w:val="right"/>
              <w:rPr>
                <w:rFonts w:eastAsia="Times New Roman" w:cs="Times New Roman"/>
                <w:color w:val="000000" w:themeColor="text1"/>
                <w:sz w:val="20"/>
                <w:szCs w:val="20"/>
              </w:rPr>
            </w:pPr>
          </w:p>
        </w:tc>
      </w:tr>
      <w:tr w:rsidR="00D47D34" w:rsidRPr="00487A62" w14:paraId="50EA1AB4" w14:textId="77777777" w:rsidTr="00FC5796">
        <w:trPr>
          <w:trHeight w:val="302"/>
        </w:trPr>
        <w:tc>
          <w:tcPr>
            <w:tcW w:w="3671" w:type="dxa"/>
            <w:tcBorders>
              <w:top w:val="nil"/>
              <w:left w:val="double" w:sz="4" w:space="0" w:color="auto"/>
              <w:bottom w:val="nil"/>
              <w:right w:val="single" w:sz="12" w:space="0" w:color="auto"/>
            </w:tcBorders>
            <w:shd w:val="clear" w:color="auto" w:fill="auto"/>
            <w:vAlign w:val="bottom"/>
          </w:tcPr>
          <w:p w14:paraId="540225F7" w14:textId="77777777" w:rsidR="00D47D34" w:rsidRPr="00755E6C" w:rsidRDefault="00D47D34" w:rsidP="00371871">
            <w:pPr>
              <w:rPr>
                <w:rFonts w:eastAsia="Times New Roman" w:cs="Times New Roman"/>
                <w:b/>
                <w:color w:val="000000"/>
                <w:sz w:val="20"/>
                <w:szCs w:val="20"/>
              </w:rPr>
            </w:pPr>
            <w:r w:rsidRPr="00487A62">
              <w:rPr>
                <w:rFonts w:eastAsia="Times New Roman" w:cs="Times New Roman"/>
                <w:b/>
                <w:bCs/>
                <w:color w:val="000000"/>
                <w:sz w:val="20"/>
                <w:szCs w:val="20"/>
              </w:rPr>
              <w:t>Latent Variables</w:t>
            </w:r>
          </w:p>
        </w:tc>
        <w:tc>
          <w:tcPr>
            <w:tcW w:w="865" w:type="dxa"/>
            <w:tcBorders>
              <w:top w:val="nil"/>
              <w:left w:val="single" w:sz="12" w:space="0" w:color="auto"/>
              <w:bottom w:val="nil"/>
              <w:right w:val="single" w:sz="4" w:space="0" w:color="auto"/>
            </w:tcBorders>
            <w:shd w:val="clear" w:color="auto" w:fill="auto"/>
            <w:noWrap/>
            <w:vAlign w:val="center"/>
          </w:tcPr>
          <w:p w14:paraId="71775D07" w14:textId="77777777" w:rsidR="00D47D34" w:rsidRPr="00487A62" w:rsidRDefault="00D47D34" w:rsidP="00371871">
            <w:pPr>
              <w:jc w:val="right"/>
              <w:rPr>
                <w:rFonts w:eastAsia="Times New Roman" w:cs="Times New Roman"/>
                <w:color w:val="000000"/>
                <w:sz w:val="20"/>
                <w:szCs w:val="20"/>
              </w:rPr>
            </w:pPr>
          </w:p>
        </w:tc>
        <w:tc>
          <w:tcPr>
            <w:tcW w:w="836" w:type="dxa"/>
            <w:tcBorders>
              <w:top w:val="nil"/>
              <w:left w:val="single" w:sz="4" w:space="0" w:color="auto"/>
              <w:bottom w:val="nil"/>
              <w:right w:val="double" w:sz="4" w:space="0" w:color="auto"/>
            </w:tcBorders>
            <w:shd w:val="clear" w:color="auto" w:fill="auto"/>
            <w:noWrap/>
            <w:vAlign w:val="center"/>
          </w:tcPr>
          <w:p w14:paraId="0B38CFC1" w14:textId="77777777" w:rsidR="00D47D34" w:rsidRPr="00487A62" w:rsidRDefault="00D47D34" w:rsidP="00371871">
            <w:pPr>
              <w:jc w:val="right"/>
              <w:rPr>
                <w:rFonts w:eastAsia="Times New Roman" w:cs="Times New Roman"/>
                <w:color w:val="000000"/>
                <w:sz w:val="20"/>
                <w:szCs w:val="20"/>
              </w:rPr>
            </w:pPr>
          </w:p>
        </w:tc>
        <w:tc>
          <w:tcPr>
            <w:tcW w:w="876" w:type="dxa"/>
            <w:tcBorders>
              <w:top w:val="nil"/>
              <w:left w:val="double" w:sz="4" w:space="0" w:color="auto"/>
              <w:bottom w:val="nil"/>
              <w:right w:val="single" w:sz="4" w:space="0" w:color="auto"/>
            </w:tcBorders>
            <w:shd w:val="clear" w:color="auto" w:fill="auto"/>
            <w:noWrap/>
            <w:vAlign w:val="center"/>
          </w:tcPr>
          <w:p w14:paraId="1D86DC7B" w14:textId="77777777" w:rsidR="00D47D34" w:rsidRPr="00487A62" w:rsidRDefault="00D47D34" w:rsidP="00371871">
            <w:pPr>
              <w:jc w:val="right"/>
              <w:rPr>
                <w:rFonts w:eastAsia="Times New Roman" w:cs="Times New Roman"/>
                <w:color w:val="000000"/>
                <w:sz w:val="20"/>
                <w:szCs w:val="20"/>
              </w:rPr>
            </w:pPr>
          </w:p>
        </w:tc>
        <w:tc>
          <w:tcPr>
            <w:tcW w:w="825" w:type="dxa"/>
            <w:tcBorders>
              <w:top w:val="nil"/>
              <w:left w:val="single" w:sz="4" w:space="0" w:color="auto"/>
              <w:bottom w:val="nil"/>
              <w:right w:val="double" w:sz="4" w:space="0" w:color="auto"/>
            </w:tcBorders>
            <w:shd w:val="clear" w:color="auto" w:fill="auto"/>
            <w:noWrap/>
            <w:vAlign w:val="center"/>
          </w:tcPr>
          <w:p w14:paraId="59C52B74" w14:textId="77777777" w:rsidR="00D47D34" w:rsidRPr="00487A62" w:rsidRDefault="00D47D34" w:rsidP="00371871">
            <w:pPr>
              <w:jc w:val="right"/>
              <w:rPr>
                <w:rFonts w:eastAsia="Times New Roman" w:cs="Times New Roman"/>
                <w:color w:val="000000"/>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7C20F9FF" w14:textId="77777777" w:rsidR="00D47D34" w:rsidRPr="00487A62" w:rsidRDefault="00D47D34" w:rsidP="00371871">
            <w:pPr>
              <w:jc w:val="right"/>
              <w:rPr>
                <w:rFonts w:eastAsia="Times New Roman" w:cs="Times New Roman"/>
                <w:color w:val="000000"/>
                <w:sz w:val="20"/>
                <w:szCs w:val="20"/>
              </w:rPr>
            </w:pPr>
          </w:p>
        </w:tc>
        <w:tc>
          <w:tcPr>
            <w:tcW w:w="992" w:type="dxa"/>
            <w:tcBorders>
              <w:top w:val="nil"/>
              <w:left w:val="single" w:sz="4" w:space="0" w:color="auto"/>
              <w:bottom w:val="nil"/>
              <w:right w:val="single" w:sz="12" w:space="0" w:color="auto"/>
            </w:tcBorders>
            <w:shd w:val="clear" w:color="auto" w:fill="auto"/>
            <w:noWrap/>
            <w:vAlign w:val="center"/>
          </w:tcPr>
          <w:p w14:paraId="1823AB51" w14:textId="77777777" w:rsidR="00D47D34" w:rsidRPr="00487A62" w:rsidRDefault="00D47D34" w:rsidP="00371871">
            <w:pPr>
              <w:jc w:val="right"/>
              <w:rPr>
                <w:rFonts w:eastAsia="Times New Roman" w:cs="Times New Roman"/>
                <w:color w:val="000000"/>
                <w:sz w:val="20"/>
                <w:szCs w:val="20"/>
              </w:rPr>
            </w:pPr>
          </w:p>
        </w:tc>
        <w:tc>
          <w:tcPr>
            <w:tcW w:w="993" w:type="dxa"/>
            <w:tcBorders>
              <w:top w:val="nil"/>
              <w:left w:val="single" w:sz="12" w:space="0" w:color="auto"/>
              <w:bottom w:val="nil"/>
              <w:right w:val="single" w:sz="4" w:space="0" w:color="auto"/>
            </w:tcBorders>
            <w:shd w:val="clear" w:color="auto" w:fill="auto"/>
            <w:noWrap/>
            <w:vAlign w:val="center"/>
          </w:tcPr>
          <w:p w14:paraId="2B7009AF"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single" w:sz="4" w:space="0" w:color="auto"/>
              <w:bottom w:val="nil"/>
              <w:right w:val="double" w:sz="4" w:space="0" w:color="auto"/>
            </w:tcBorders>
            <w:shd w:val="clear" w:color="auto" w:fill="auto"/>
            <w:noWrap/>
            <w:vAlign w:val="center"/>
          </w:tcPr>
          <w:p w14:paraId="04304E74"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4C3E5D61" w14:textId="77777777" w:rsidR="00D47D34" w:rsidRPr="002B25D4" w:rsidRDefault="00D47D34" w:rsidP="00371871">
            <w:pPr>
              <w:jc w:val="right"/>
              <w:rPr>
                <w:rFonts w:eastAsia="Times New Roman" w:cs="Times New Roman"/>
                <w:color w:val="000000" w:themeColor="text1"/>
                <w:sz w:val="20"/>
                <w:szCs w:val="20"/>
              </w:rPr>
            </w:pPr>
          </w:p>
        </w:tc>
        <w:tc>
          <w:tcPr>
            <w:tcW w:w="1134" w:type="dxa"/>
            <w:tcBorders>
              <w:top w:val="nil"/>
              <w:left w:val="single" w:sz="4" w:space="0" w:color="auto"/>
              <w:bottom w:val="nil"/>
              <w:right w:val="double" w:sz="4" w:space="0" w:color="auto"/>
            </w:tcBorders>
            <w:shd w:val="clear" w:color="auto" w:fill="auto"/>
            <w:noWrap/>
            <w:vAlign w:val="center"/>
          </w:tcPr>
          <w:p w14:paraId="0F9136A5" w14:textId="77777777" w:rsidR="00D47D34" w:rsidRPr="002B25D4" w:rsidRDefault="00D47D34" w:rsidP="00371871">
            <w:pPr>
              <w:jc w:val="right"/>
              <w:rPr>
                <w:rFonts w:eastAsia="Times New Roman" w:cs="Times New Roman"/>
                <w:color w:val="000000" w:themeColor="text1"/>
                <w:sz w:val="20"/>
                <w:szCs w:val="20"/>
              </w:rPr>
            </w:pPr>
          </w:p>
        </w:tc>
      </w:tr>
      <w:tr w:rsidR="00D47D34" w:rsidRPr="00487A62" w14:paraId="26EEB96E" w14:textId="77777777" w:rsidTr="00FC5796">
        <w:trPr>
          <w:trHeight w:val="302"/>
        </w:trPr>
        <w:tc>
          <w:tcPr>
            <w:tcW w:w="3671" w:type="dxa"/>
            <w:tcBorders>
              <w:top w:val="nil"/>
              <w:left w:val="double" w:sz="4" w:space="0" w:color="auto"/>
              <w:bottom w:val="nil"/>
              <w:right w:val="single" w:sz="12" w:space="0" w:color="auto"/>
            </w:tcBorders>
            <w:shd w:val="clear" w:color="auto" w:fill="auto"/>
            <w:vAlign w:val="bottom"/>
          </w:tcPr>
          <w:p w14:paraId="400F3F29" w14:textId="77777777" w:rsidR="00D47D34" w:rsidRPr="00487A62" w:rsidRDefault="00D47D34" w:rsidP="00371871">
            <w:pPr>
              <w:rPr>
                <w:rFonts w:eastAsia="Times New Roman" w:cs="Times New Roman"/>
                <w:color w:val="000000"/>
                <w:sz w:val="20"/>
                <w:szCs w:val="20"/>
              </w:rPr>
            </w:pPr>
            <w:r w:rsidRPr="00487A62">
              <w:rPr>
                <w:rFonts w:eastAsia="Times New Roman" w:cs="Times New Roman"/>
                <w:color w:val="000000"/>
                <w:sz w:val="20"/>
                <w:szCs w:val="20"/>
              </w:rPr>
              <w:t xml:space="preserve">  Driving Control</w:t>
            </w:r>
          </w:p>
        </w:tc>
        <w:tc>
          <w:tcPr>
            <w:tcW w:w="865" w:type="dxa"/>
            <w:tcBorders>
              <w:top w:val="nil"/>
              <w:left w:val="single" w:sz="12" w:space="0" w:color="auto"/>
              <w:bottom w:val="nil"/>
              <w:right w:val="single" w:sz="4" w:space="0" w:color="auto"/>
            </w:tcBorders>
            <w:shd w:val="clear" w:color="auto" w:fill="auto"/>
            <w:noWrap/>
            <w:vAlign w:val="center"/>
          </w:tcPr>
          <w:p w14:paraId="23F6E495" w14:textId="77777777" w:rsidR="00D47D34" w:rsidRPr="00487A62" w:rsidRDefault="00D47D34" w:rsidP="00371871">
            <w:pPr>
              <w:jc w:val="right"/>
              <w:rPr>
                <w:rFonts w:eastAsia="Times New Roman" w:cs="Times New Roman"/>
                <w:color w:val="000000"/>
                <w:sz w:val="20"/>
                <w:szCs w:val="20"/>
              </w:rPr>
            </w:pPr>
            <w:r>
              <w:rPr>
                <w:rFonts w:eastAsia="Times New Roman" w:cs="Times New Roman"/>
                <w:color w:val="000000"/>
                <w:sz w:val="20"/>
                <w:szCs w:val="20"/>
              </w:rPr>
              <w:t>--</w:t>
            </w:r>
          </w:p>
        </w:tc>
        <w:tc>
          <w:tcPr>
            <w:tcW w:w="836" w:type="dxa"/>
            <w:tcBorders>
              <w:top w:val="nil"/>
              <w:left w:val="single" w:sz="4" w:space="0" w:color="auto"/>
              <w:bottom w:val="nil"/>
              <w:right w:val="double" w:sz="4" w:space="0" w:color="auto"/>
            </w:tcBorders>
            <w:shd w:val="clear" w:color="auto" w:fill="auto"/>
            <w:noWrap/>
            <w:vAlign w:val="center"/>
          </w:tcPr>
          <w:p w14:paraId="51ABF60E" w14:textId="77777777" w:rsidR="00D47D34" w:rsidRPr="00487A62" w:rsidRDefault="00D47D34" w:rsidP="00371871">
            <w:pPr>
              <w:jc w:val="right"/>
              <w:rPr>
                <w:rFonts w:eastAsia="Times New Roman" w:cs="Times New Roman"/>
                <w:color w:val="000000"/>
                <w:sz w:val="20"/>
                <w:szCs w:val="20"/>
              </w:rPr>
            </w:pPr>
          </w:p>
        </w:tc>
        <w:tc>
          <w:tcPr>
            <w:tcW w:w="876" w:type="dxa"/>
            <w:tcBorders>
              <w:top w:val="nil"/>
              <w:left w:val="double" w:sz="4" w:space="0" w:color="auto"/>
              <w:bottom w:val="nil"/>
              <w:right w:val="single" w:sz="4" w:space="0" w:color="auto"/>
            </w:tcBorders>
            <w:shd w:val="clear" w:color="auto" w:fill="auto"/>
            <w:noWrap/>
            <w:vAlign w:val="center"/>
          </w:tcPr>
          <w:p w14:paraId="4D0B4D54"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-0.</w:t>
            </w:r>
            <w:r>
              <w:rPr>
                <w:rFonts w:eastAsia="Times New Roman" w:cs="Times New Roman"/>
                <w:color w:val="000000"/>
                <w:sz w:val="20"/>
                <w:szCs w:val="20"/>
              </w:rPr>
              <w:t>246</w:t>
            </w:r>
          </w:p>
        </w:tc>
        <w:tc>
          <w:tcPr>
            <w:tcW w:w="825" w:type="dxa"/>
            <w:tcBorders>
              <w:top w:val="nil"/>
              <w:left w:val="single" w:sz="4" w:space="0" w:color="auto"/>
              <w:bottom w:val="nil"/>
              <w:right w:val="double" w:sz="4" w:space="0" w:color="auto"/>
            </w:tcBorders>
            <w:shd w:val="clear" w:color="auto" w:fill="auto"/>
            <w:noWrap/>
            <w:vAlign w:val="center"/>
          </w:tcPr>
          <w:p w14:paraId="45A26BFA"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w:t>
            </w:r>
            <w:r>
              <w:rPr>
                <w:rFonts w:eastAsia="Times New Roman" w:cs="Times New Roman"/>
                <w:color w:val="000000"/>
                <w:sz w:val="20"/>
                <w:szCs w:val="20"/>
              </w:rPr>
              <w:t>4.86</w:t>
            </w:r>
          </w:p>
        </w:tc>
        <w:tc>
          <w:tcPr>
            <w:tcW w:w="992" w:type="dxa"/>
            <w:tcBorders>
              <w:top w:val="nil"/>
              <w:left w:val="double" w:sz="4" w:space="0" w:color="auto"/>
              <w:bottom w:val="nil"/>
              <w:right w:val="single" w:sz="4" w:space="0" w:color="auto"/>
            </w:tcBorders>
            <w:shd w:val="clear" w:color="auto" w:fill="auto"/>
            <w:noWrap/>
            <w:vAlign w:val="center"/>
          </w:tcPr>
          <w:p w14:paraId="03153535" w14:textId="77777777" w:rsidR="00D47D34" w:rsidRPr="00487A62" w:rsidRDefault="00D47D34" w:rsidP="00371871">
            <w:pPr>
              <w:jc w:val="right"/>
              <w:rPr>
                <w:rFonts w:eastAsia="Times New Roman" w:cs="Times New Roman"/>
                <w:color w:val="000000"/>
                <w:sz w:val="20"/>
                <w:szCs w:val="20"/>
              </w:rPr>
            </w:pPr>
            <w:r>
              <w:rPr>
                <w:rFonts w:eastAsia="Times New Roman" w:cs="Times New Roman"/>
                <w:color w:val="000000"/>
                <w:sz w:val="20"/>
                <w:szCs w:val="20"/>
              </w:rPr>
              <w:t>--</w:t>
            </w:r>
          </w:p>
        </w:tc>
        <w:tc>
          <w:tcPr>
            <w:tcW w:w="992" w:type="dxa"/>
            <w:tcBorders>
              <w:top w:val="nil"/>
              <w:left w:val="single" w:sz="4" w:space="0" w:color="auto"/>
              <w:bottom w:val="nil"/>
              <w:right w:val="single" w:sz="12" w:space="0" w:color="auto"/>
            </w:tcBorders>
            <w:shd w:val="clear" w:color="auto" w:fill="auto"/>
            <w:noWrap/>
            <w:vAlign w:val="center"/>
          </w:tcPr>
          <w:p w14:paraId="5FA6EE7F" w14:textId="77777777" w:rsidR="00D47D34" w:rsidRPr="00487A62" w:rsidRDefault="00D47D34" w:rsidP="00371871">
            <w:pPr>
              <w:jc w:val="right"/>
              <w:rPr>
                <w:rFonts w:eastAsia="Times New Roman" w:cs="Times New Roman"/>
                <w:color w:val="000000"/>
                <w:sz w:val="20"/>
                <w:szCs w:val="20"/>
              </w:rPr>
            </w:pPr>
          </w:p>
        </w:tc>
        <w:tc>
          <w:tcPr>
            <w:tcW w:w="993" w:type="dxa"/>
            <w:tcBorders>
              <w:top w:val="nil"/>
              <w:left w:val="single" w:sz="12" w:space="0" w:color="auto"/>
              <w:bottom w:val="nil"/>
              <w:right w:val="single" w:sz="4" w:space="0" w:color="auto"/>
            </w:tcBorders>
            <w:shd w:val="clear" w:color="auto" w:fill="auto"/>
            <w:noWrap/>
            <w:vAlign w:val="center"/>
          </w:tcPr>
          <w:p w14:paraId="2218597B" w14:textId="77777777" w:rsidR="00D47D34" w:rsidRPr="002B25D4" w:rsidRDefault="00D47D34" w:rsidP="00371871">
            <w:pPr>
              <w:jc w:val="right"/>
              <w:rPr>
                <w:rFonts w:eastAsia="Times New Roman" w:cs="Times New Roman"/>
                <w:color w:val="000000" w:themeColor="text1"/>
                <w:sz w:val="20"/>
                <w:szCs w:val="20"/>
              </w:rPr>
            </w:pPr>
            <w:r w:rsidRPr="00487A62">
              <w:rPr>
                <w:rFonts w:eastAsia="Times New Roman" w:cs="Times New Roman"/>
                <w:color w:val="000000"/>
                <w:sz w:val="20"/>
                <w:szCs w:val="20"/>
              </w:rPr>
              <w:t>-</w:t>
            </w:r>
            <w:r>
              <w:rPr>
                <w:rFonts w:eastAsia="Times New Roman" w:cs="Times New Roman"/>
                <w:color w:val="000000"/>
                <w:sz w:val="20"/>
                <w:szCs w:val="20"/>
              </w:rPr>
              <w:t>0.870</w:t>
            </w:r>
          </w:p>
        </w:tc>
        <w:tc>
          <w:tcPr>
            <w:tcW w:w="992" w:type="dxa"/>
            <w:tcBorders>
              <w:top w:val="nil"/>
              <w:left w:val="single" w:sz="4" w:space="0" w:color="auto"/>
              <w:bottom w:val="nil"/>
              <w:right w:val="double" w:sz="4" w:space="0" w:color="auto"/>
            </w:tcBorders>
            <w:shd w:val="clear" w:color="auto" w:fill="auto"/>
            <w:noWrap/>
            <w:vAlign w:val="center"/>
          </w:tcPr>
          <w:p w14:paraId="1B2D77E9" w14:textId="77777777" w:rsidR="00D47D34" w:rsidRPr="002B25D4" w:rsidRDefault="00D47D34" w:rsidP="00371871">
            <w:pPr>
              <w:jc w:val="right"/>
              <w:rPr>
                <w:rFonts w:eastAsia="Times New Roman" w:cs="Times New Roman"/>
                <w:color w:val="000000" w:themeColor="text1"/>
                <w:sz w:val="20"/>
                <w:szCs w:val="20"/>
              </w:rPr>
            </w:pPr>
            <w:r w:rsidRPr="00487A62">
              <w:rPr>
                <w:rFonts w:eastAsia="Times New Roman" w:cs="Times New Roman"/>
                <w:color w:val="000000"/>
                <w:sz w:val="20"/>
                <w:szCs w:val="20"/>
              </w:rPr>
              <w:t>-</w:t>
            </w:r>
            <w:r>
              <w:rPr>
                <w:rFonts w:eastAsia="Times New Roman" w:cs="Times New Roman"/>
                <w:color w:val="000000"/>
                <w:sz w:val="20"/>
                <w:szCs w:val="20"/>
              </w:rPr>
              <w:t>6</w:t>
            </w:r>
            <w:r w:rsidRPr="00487A62">
              <w:rPr>
                <w:rFonts w:eastAsia="Times New Roman" w:cs="Times New Roman"/>
                <w:color w:val="000000"/>
                <w:sz w:val="20"/>
                <w:szCs w:val="20"/>
              </w:rPr>
              <w:t>.</w:t>
            </w:r>
            <w:r>
              <w:rPr>
                <w:rFonts w:eastAsia="Times New Roman" w:cs="Times New Roman"/>
                <w:color w:val="000000"/>
                <w:sz w:val="20"/>
                <w:szCs w:val="20"/>
              </w:rPr>
              <w:t>67</w:t>
            </w:r>
          </w:p>
        </w:tc>
        <w:tc>
          <w:tcPr>
            <w:tcW w:w="992" w:type="dxa"/>
            <w:tcBorders>
              <w:top w:val="nil"/>
              <w:left w:val="double" w:sz="4" w:space="0" w:color="auto"/>
              <w:bottom w:val="nil"/>
              <w:right w:val="single" w:sz="4" w:space="0" w:color="auto"/>
            </w:tcBorders>
            <w:shd w:val="clear" w:color="auto" w:fill="auto"/>
            <w:noWrap/>
            <w:vAlign w:val="center"/>
          </w:tcPr>
          <w:p w14:paraId="3A5DF046" w14:textId="77777777" w:rsidR="00D47D34" w:rsidRPr="002B25D4" w:rsidRDefault="00D47D34" w:rsidP="00371871">
            <w:pPr>
              <w:jc w:val="right"/>
              <w:rPr>
                <w:rFonts w:eastAsia="Times New Roman" w:cs="Times New Roman"/>
                <w:color w:val="000000" w:themeColor="text1"/>
                <w:sz w:val="20"/>
                <w:szCs w:val="20"/>
              </w:rPr>
            </w:pPr>
            <w:r w:rsidRPr="00487A62">
              <w:rPr>
                <w:rFonts w:eastAsia="Times New Roman" w:cs="Times New Roman"/>
                <w:color w:val="000000"/>
                <w:sz w:val="20"/>
                <w:szCs w:val="20"/>
              </w:rPr>
              <w:t>-</w:t>
            </w:r>
            <w:r>
              <w:rPr>
                <w:rFonts w:eastAsia="Times New Roman" w:cs="Times New Roman"/>
                <w:color w:val="000000"/>
                <w:sz w:val="20"/>
                <w:szCs w:val="20"/>
              </w:rPr>
              <w:t>1.406</w:t>
            </w:r>
          </w:p>
        </w:tc>
        <w:tc>
          <w:tcPr>
            <w:tcW w:w="1134" w:type="dxa"/>
            <w:tcBorders>
              <w:top w:val="nil"/>
              <w:left w:val="single" w:sz="4" w:space="0" w:color="auto"/>
              <w:bottom w:val="nil"/>
              <w:right w:val="double" w:sz="4" w:space="0" w:color="auto"/>
            </w:tcBorders>
            <w:shd w:val="clear" w:color="auto" w:fill="auto"/>
            <w:noWrap/>
            <w:vAlign w:val="center"/>
          </w:tcPr>
          <w:p w14:paraId="40D783F9" w14:textId="77777777" w:rsidR="00D47D34" w:rsidRPr="002B25D4" w:rsidRDefault="00D47D34" w:rsidP="00371871">
            <w:pPr>
              <w:jc w:val="right"/>
              <w:rPr>
                <w:rFonts w:eastAsia="Times New Roman" w:cs="Times New Roman"/>
                <w:color w:val="000000" w:themeColor="text1"/>
                <w:sz w:val="20"/>
                <w:szCs w:val="20"/>
              </w:rPr>
            </w:pPr>
            <w:r w:rsidRPr="00487A62">
              <w:rPr>
                <w:rFonts w:eastAsia="Times New Roman" w:cs="Times New Roman"/>
                <w:color w:val="000000"/>
                <w:sz w:val="20"/>
                <w:szCs w:val="20"/>
              </w:rPr>
              <w:t>-</w:t>
            </w:r>
            <w:r>
              <w:rPr>
                <w:rFonts w:eastAsia="Times New Roman" w:cs="Times New Roman"/>
                <w:color w:val="000000"/>
                <w:sz w:val="20"/>
                <w:szCs w:val="20"/>
              </w:rPr>
              <w:t>14.63</w:t>
            </w:r>
          </w:p>
        </w:tc>
      </w:tr>
      <w:tr w:rsidR="00D47D34" w:rsidRPr="00487A62" w14:paraId="7BFC20E5" w14:textId="77777777" w:rsidTr="00FC5796">
        <w:trPr>
          <w:trHeight w:val="302"/>
        </w:trPr>
        <w:tc>
          <w:tcPr>
            <w:tcW w:w="3671" w:type="dxa"/>
            <w:tcBorders>
              <w:top w:val="nil"/>
              <w:left w:val="double" w:sz="4" w:space="0" w:color="auto"/>
              <w:bottom w:val="nil"/>
              <w:right w:val="single" w:sz="12" w:space="0" w:color="auto"/>
            </w:tcBorders>
            <w:shd w:val="clear" w:color="auto" w:fill="auto"/>
            <w:noWrap/>
            <w:vAlign w:val="bottom"/>
          </w:tcPr>
          <w:p w14:paraId="2F4C7FDD" w14:textId="77777777" w:rsidR="00D47D34" w:rsidRPr="00755E6C" w:rsidRDefault="00D47D34" w:rsidP="00371871">
            <w:pPr>
              <w:rPr>
                <w:rFonts w:eastAsia="Times New Roman" w:cs="Times New Roman"/>
                <w:b/>
                <w:color w:val="000000"/>
                <w:sz w:val="20"/>
                <w:szCs w:val="20"/>
              </w:rPr>
            </w:pPr>
            <w:r w:rsidRPr="00487A62">
              <w:rPr>
                <w:rFonts w:eastAsia="Times New Roman" w:cs="Times New Roman"/>
                <w:color w:val="000000"/>
                <w:sz w:val="20"/>
                <w:szCs w:val="20"/>
              </w:rPr>
              <w:t xml:space="preserve">  Mobility Control </w:t>
            </w:r>
          </w:p>
        </w:tc>
        <w:tc>
          <w:tcPr>
            <w:tcW w:w="865" w:type="dxa"/>
            <w:tcBorders>
              <w:top w:val="nil"/>
              <w:left w:val="single" w:sz="12" w:space="0" w:color="auto"/>
              <w:bottom w:val="nil"/>
              <w:right w:val="single" w:sz="4" w:space="0" w:color="auto"/>
            </w:tcBorders>
            <w:shd w:val="clear" w:color="auto" w:fill="auto"/>
            <w:noWrap/>
            <w:vAlign w:val="center"/>
          </w:tcPr>
          <w:p w14:paraId="24D1FF07" w14:textId="77777777" w:rsidR="00D47D34" w:rsidRPr="00487A62" w:rsidRDefault="00D47D34" w:rsidP="00371871">
            <w:pPr>
              <w:jc w:val="right"/>
              <w:rPr>
                <w:rFonts w:eastAsia="Times New Roman" w:cs="Times New Roman"/>
                <w:color w:val="000000"/>
                <w:sz w:val="20"/>
                <w:szCs w:val="20"/>
              </w:rPr>
            </w:pPr>
            <w:r>
              <w:rPr>
                <w:rFonts w:eastAsia="Times New Roman" w:cs="Times New Roman"/>
                <w:color w:val="000000"/>
                <w:sz w:val="20"/>
                <w:szCs w:val="20"/>
              </w:rPr>
              <w:t>--</w:t>
            </w:r>
          </w:p>
        </w:tc>
        <w:tc>
          <w:tcPr>
            <w:tcW w:w="836" w:type="dxa"/>
            <w:tcBorders>
              <w:top w:val="nil"/>
              <w:left w:val="single" w:sz="4" w:space="0" w:color="auto"/>
              <w:bottom w:val="nil"/>
              <w:right w:val="double" w:sz="4" w:space="0" w:color="auto"/>
            </w:tcBorders>
            <w:shd w:val="clear" w:color="auto" w:fill="auto"/>
            <w:noWrap/>
            <w:vAlign w:val="center"/>
          </w:tcPr>
          <w:p w14:paraId="27317CCC" w14:textId="77777777" w:rsidR="00D47D34" w:rsidRPr="00487A62" w:rsidRDefault="00D47D34" w:rsidP="00371871">
            <w:pPr>
              <w:jc w:val="right"/>
              <w:rPr>
                <w:rFonts w:eastAsia="Times New Roman" w:cs="Times New Roman"/>
                <w:color w:val="000000"/>
                <w:sz w:val="20"/>
                <w:szCs w:val="20"/>
              </w:rPr>
            </w:pPr>
          </w:p>
        </w:tc>
        <w:tc>
          <w:tcPr>
            <w:tcW w:w="876" w:type="dxa"/>
            <w:tcBorders>
              <w:top w:val="nil"/>
              <w:left w:val="double" w:sz="4" w:space="0" w:color="auto"/>
              <w:bottom w:val="nil"/>
              <w:right w:val="single" w:sz="4" w:space="0" w:color="auto"/>
            </w:tcBorders>
            <w:shd w:val="clear" w:color="auto" w:fill="auto"/>
            <w:noWrap/>
            <w:vAlign w:val="center"/>
          </w:tcPr>
          <w:p w14:paraId="308D5C00"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0.</w:t>
            </w:r>
            <w:r>
              <w:rPr>
                <w:rFonts w:eastAsia="Times New Roman" w:cs="Times New Roman"/>
                <w:color w:val="000000"/>
                <w:sz w:val="20"/>
                <w:szCs w:val="20"/>
              </w:rPr>
              <w:t>061</w:t>
            </w:r>
          </w:p>
        </w:tc>
        <w:tc>
          <w:tcPr>
            <w:tcW w:w="825" w:type="dxa"/>
            <w:tcBorders>
              <w:top w:val="nil"/>
              <w:left w:val="single" w:sz="4" w:space="0" w:color="auto"/>
              <w:bottom w:val="nil"/>
              <w:right w:val="double" w:sz="4" w:space="0" w:color="auto"/>
            </w:tcBorders>
            <w:shd w:val="clear" w:color="auto" w:fill="auto"/>
            <w:noWrap/>
            <w:vAlign w:val="center"/>
          </w:tcPr>
          <w:p w14:paraId="3A0F4730" w14:textId="77777777" w:rsidR="00D47D34" w:rsidRPr="00487A62" w:rsidRDefault="00D47D34" w:rsidP="00371871">
            <w:pPr>
              <w:jc w:val="right"/>
              <w:rPr>
                <w:rFonts w:eastAsia="Times New Roman" w:cs="Times New Roman"/>
                <w:color w:val="000000"/>
                <w:sz w:val="20"/>
                <w:szCs w:val="20"/>
              </w:rPr>
            </w:pPr>
            <w:r>
              <w:rPr>
                <w:rFonts w:eastAsia="Times New Roman" w:cs="Times New Roman"/>
                <w:color w:val="000000"/>
                <w:sz w:val="20"/>
                <w:szCs w:val="20"/>
              </w:rPr>
              <w:t>1.54</w:t>
            </w:r>
          </w:p>
        </w:tc>
        <w:tc>
          <w:tcPr>
            <w:tcW w:w="992" w:type="dxa"/>
            <w:tcBorders>
              <w:top w:val="nil"/>
              <w:left w:val="double" w:sz="4" w:space="0" w:color="auto"/>
              <w:bottom w:val="nil"/>
              <w:right w:val="single" w:sz="4" w:space="0" w:color="auto"/>
            </w:tcBorders>
            <w:shd w:val="clear" w:color="auto" w:fill="auto"/>
            <w:noWrap/>
            <w:vAlign w:val="center"/>
          </w:tcPr>
          <w:p w14:paraId="772AD872"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-0.</w:t>
            </w:r>
            <w:r>
              <w:rPr>
                <w:rFonts w:eastAsia="Times New Roman" w:cs="Times New Roman"/>
                <w:color w:val="000000"/>
                <w:sz w:val="20"/>
                <w:szCs w:val="20"/>
              </w:rPr>
              <w:t>547</w:t>
            </w:r>
          </w:p>
        </w:tc>
        <w:tc>
          <w:tcPr>
            <w:tcW w:w="992" w:type="dxa"/>
            <w:tcBorders>
              <w:top w:val="nil"/>
              <w:left w:val="single" w:sz="4" w:space="0" w:color="auto"/>
              <w:bottom w:val="nil"/>
              <w:right w:val="single" w:sz="12" w:space="0" w:color="auto"/>
            </w:tcBorders>
            <w:shd w:val="clear" w:color="auto" w:fill="auto"/>
            <w:noWrap/>
            <w:vAlign w:val="center"/>
          </w:tcPr>
          <w:p w14:paraId="41BE8FB7"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w:t>
            </w:r>
            <w:r>
              <w:rPr>
                <w:rFonts w:eastAsia="Times New Roman" w:cs="Times New Roman"/>
                <w:color w:val="000000"/>
                <w:sz w:val="20"/>
                <w:szCs w:val="20"/>
              </w:rPr>
              <w:t>14.74</w:t>
            </w:r>
          </w:p>
        </w:tc>
        <w:tc>
          <w:tcPr>
            <w:tcW w:w="993" w:type="dxa"/>
            <w:tcBorders>
              <w:top w:val="nil"/>
              <w:left w:val="single" w:sz="12" w:space="0" w:color="auto"/>
              <w:bottom w:val="nil"/>
              <w:right w:val="single" w:sz="4" w:space="0" w:color="auto"/>
            </w:tcBorders>
            <w:shd w:val="clear" w:color="auto" w:fill="auto"/>
            <w:noWrap/>
            <w:vAlign w:val="center"/>
          </w:tcPr>
          <w:p w14:paraId="469C3486" w14:textId="77777777" w:rsidR="00D47D34" w:rsidRPr="002B25D4" w:rsidRDefault="00D47D34" w:rsidP="00371871">
            <w:pPr>
              <w:jc w:val="right"/>
              <w:rPr>
                <w:rFonts w:eastAsia="Times New Roman" w:cs="Times New Roman"/>
                <w:color w:val="000000" w:themeColor="text1"/>
                <w:sz w:val="20"/>
                <w:szCs w:val="20"/>
              </w:rPr>
            </w:pPr>
            <w:r w:rsidRPr="00487A62">
              <w:rPr>
                <w:rFonts w:eastAsia="Times New Roman" w:cs="Times New Roman"/>
                <w:color w:val="000000"/>
                <w:sz w:val="20"/>
                <w:szCs w:val="20"/>
              </w:rPr>
              <w:t>--</w:t>
            </w:r>
          </w:p>
        </w:tc>
        <w:tc>
          <w:tcPr>
            <w:tcW w:w="992" w:type="dxa"/>
            <w:tcBorders>
              <w:top w:val="nil"/>
              <w:left w:val="single" w:sz="4" w:space="0" w:color="auto"/>
              <w:bottom w:val="nil"/>
              <w:right w:val="double" w:sz="4" w:space="0" w:color="auto"/>
            </w:tcBorders>
            <w:shd w:val="clear" w:color="auto" w:fill="auto"/>
            <w:noWrap/>
            <w:vAlign w:val="center"/>
          </w:tcPr>
          <w:p w14:paraId="7197D8BC"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69629F41" w14:textId="77777777" w:rsidR="00D47D34" w:rsidRPr="002B25D4" w:rsidRDefault="00D47D34" w:rsidP="00371871">
            <w:pPr>
              <w:jc w:val="right"/>
              <w:rPr>
                <w:rFonts w:eastAsia="Times New Roman" w:cs="Times New Roman"/>
                <w:color w:val="000000" w:themeColor="text1"/>
                <w:sz w:val="20"/>
                <w:szCs w:val="20"/>
              </w:rPr>
            </w:pPr>
            <w:r w:rsidRPr="00487A62">
              <w:rPr>
                <w:rFonts w:eastAsia="Times New Roman" w:cs="Times New Roman"/>
                <w:color w:val="000000"/>
                <w:sz w:val="20"/>
                <w:szCs w:val="20"/>
              </w:rPr>
              <w:t>0.2</w:t>
            </w:r>
            <w:r>
              <w:rPr>
                <w:rFonts w:eastAsia="Times New Roman" w:cs="Times New Roman"/>
                <w:color w:val="000000"/>
                <w:sz w:val="20"/>
                <w:szCs w:val="20"/>
              </w:rPr>
              <w:t>46</w:t>
            </w:r>
          </w:p>
        </w:tc>
        <w:tc>
          <w:tcPr>
            <w:tcW w:w="1134" w:type="dxa"/>
            <w:tcBorders>
              <w:top w:val="nil"/>
              <w:left w:val="single" w:sz="4" w:space="0" w:color="auto"/>
              <w:bottom w:val="nil"/>
              <w:right w:val="double" w:sz="4" w:space="0" w:color="auto"/>
            </w:tcBorders>
            <w:shd w:val="clear" w:color="auto" w:fill="auto"/>
            <w:noWrap/>
            <w:vAlign w:val="center"/>
          </w:tcPr>
          <w:p w14:paraId="07845D4E" w14:textId="77777777" w:rsidR="00D47D34" w:rsidRPr="002B25D4" w:rsidRDefault="00D47D34" w:rsidP="00371871">
            <w:pPr>
              <w:jc w:val="right"/>
              <w:rPr>
                <w:rFonts w:eastAsia="Times New Roman" w:cs="Times New Roman"/>
                <w:color w:val="000000" w:themeColor="text1"/>
                <w:sz w:val="20"/>
                <w:szCs w:val="20"/>
              </w:rPr>
            </w:pPr>
            <w:r>
              <w:rPr>
                <w:rFonts w:eastAsia="Times New Roman" w:cs="Times New Roman"/>
                <w:color w:val="000000"/>
                <w:sz w:val="20"/>
                <w:szCs w:val="20"/>
              </w:rPr>
              <w:t>3.36</w:t>
            </w:r>
          </w:p>
        </w:tc>
      </w:tr>
      <w:tr w:rsidR="00D47D34" w:rsidRPr="00487A62" w14:paraId="15B1FFBA" w14:textId="77777777" w:rsidTr="00FC5796">
        <w:trPr>
          <w:trHeight w:val="302"/>
        </w:trPr>
        <w:tc>
          <w:tcPr>
            <w:tcW w:w="3671" w:type="dxa"/>
            <w:tcBorders>
              <w:top w:val="nil"/>
              <w:left w:val="double" w:sz="4" w:space="0" w:color="auto"/>
              <w:bottom w:val="nil"/>
              <w:right w:val="single" w:sz="12" w:space="0" w:color="auto"/>
            </w:tcBorders>
            <w:shd w:val="clear" w:color="auto" w:fill="auto"/>
            <w:noWrap/>
            <w:vAlign w:val="bottom"/>
          </w:tcPr>
          <w:p w14:paraId="1286EDCD" w14:textId="77777777" w:rsidR="00D47D34" w:rsidRPr="00487A62" w:rsidRDefault="00D47D34" w:rsidP="00371871">
            <w:pPr>
              <w:rPr>
                <w:rFonts w:eastAsia="Times New Roman" w:cs="Times New Roman"/>
                <w:b/>
                <w:bCs/>
                <w:color w:val="000000"/>
                <w:sz w:val="20"/>
                <w:szCs w:val="20"/>
              </w:rPr>
            </w:pPr>
            <w:r w:rsidRPr="00487A62">
              <w:rPr>
                <w:rFonts w:eastAsia="Times New Roman" w:cs="Times New Roman"/>
                <w:color w:val="000000"/>
                <w:sz w:val="20"/>
                <w:szCs w:val="20"/>
              </w:rPr>
              <w:t xml:space="preserve">  Safety Concern</w:t>
            </w:r>
          </w:p>
        </w:tc>
        <w:tc>
          <w:tcPr>
            <w:tcW w:w="865" w:type="dxa"/>
            <w:tcBorders>
              <w:top w:val="nil"/>
              <w:left w:val="single" w:sz="12" w:space="0" w:color="auto"/>
              <w:bottom w:val="nil"/>
              <w:right w:val="single" w:sz="4" w:space="0" w:color="auto"/>
            </w:tcBorders>
            <w:shd w:val="clear" w:color="auto" w:fill="auto"/>
            <w:noWrap/>
            <w:vAlign w:val="center"/>
          </w:tcPr>
          <w:p w14:paraId="5D5D87A5" w14:textId="77777777" w:rsidR="00D47D34" w:rsidRPr="00487A62" w:rsidRDefault="00D47D34" w:rsidP="00371871">
            <w:pPr>
              <w:jc w:val="right"/>
              <w:rPr>
                <w:rFonts w:eastAsia="Times New Roman" w:cs="Times New Roman"/>
                <w:color w:val="000000"/>
                <w:sz w:val="20"/>
                <w:szCs w:val="20"/>
              </w:rPr>
            </w:pPr>
            <w:r>
              <w:rPr>
                <w:rFonts w:eastAsia="Times New Roman" w:cs="Times New Roman"/>
                <w:color w:val="000000"/>
                <w:sz w:val="20"/>
                <w:szCs w:val="20"/>
              </w:rPr>
              <w:t>0.144</w:t>
            </w:r>
          </w:p>
        </w:tc>
        <w:tc>
          <w:tcPr>
            <w:tcW w:w="836" w:type="dxa"/>
            <w:tcBorders>
              <w:top w:val="nil"/>
              <w:left w:val="single" w:sz="4" w:space="0" w:color="auto"/>
              <w:bottom w:val="nil"/>
              <w:right w:val="double" w:sz="4" w:space="0" w:color="auto"/>
            </w:tcBorders>
            <w:shd w:val="clear" w:color="auto" w:fill="auto"/>
            <w:noWrap/>
            <w:vAlign w:val="center"/>
          </w:tcPr>
          <w:p w14:paraId="6829AB4B" w14:textId="77777777" w:rsidR="00D47D34" w:rsidRPr="00487A62" w:rsidRDefault="00D47D34" w:rsidP="00371871">
            <w:pPr>
              <w:jc w:val="right"/>
              <w:rPr>
                <w:rFonts w:eastAsia="Times New Roman" w:cs="Times New Roman"/>
                <w:color w:val="000000"/>
                <w:sz w:val="20"/>
                <w:szCs w:val="20"/>
              </w:rPr>
            </w:pPr>
            <w:r>
              <w:rPr>
                <w:rFonts w:eastAsia="Times New Roman" w:cs="Times New Roman"/>
                <w:color w:val="000000"/>
                <w:sz w:val="20"/>
                <w:szCs w:val="20"/>
              </w:rPr>
              <w:t>4.20</w:t>
            </w:r>
          </w:p>
        </w:tc>
        <w:tc>
          <w:tcPr>
            <w:tcW w:w="876" w:type="dxa"/>
            <w:tcBorders>
              <w:top w:val="nil"/>
              <w:left w:val="double" w:sz="4" w:space="0" w:color="auto"/>
              <w:bottom w:val="nil"/>
              <w:right w:val="single" w:sz="4" w:space="0" w:color="auto"/>
            </w:tcBorders>
            <w:shd w:val="clear" w:color="auto" w:fill="auto"/>
            <w:noWrap/>
            <w:vAlign w:val="center"/>
          </w:tcPr>
          <w:p w14:paraId="219D3ABC" w14:textId="77777777" w:rsidR="00D47D34" w:rsidRPr="00487A62" w:rsidRDefault="00D47D34" w:rsidP="00371871">
            <w:pPr>
              <w:jc w:val="right"/>
              <w:rPr>
                <w:rFonts w:eastAsia="Times New Roman" w:cs="Times New Roman"/>
                <w:color w:val="000000"/>
                <w:sz w:val="20"/>
                <w:szCs w:val="20"/>
              </w:rPr>
            </w:pPr>
            <w:r>
              <w:rPr>
                <w:rFonts w:eastAsia="Times New Roman" w:cs="Times New Roman"/>
                <w:color w:val="000000"/>
                <w:sz w:val="20"/>
                <w:szCs w:val="20"/>
              </w:rPr>
              <w:t>--</w:t>
            </w:r>
          </w:p>
        </w:tc>
        <w:tc>
          <w:tcPr>
            <w:tcW w:w="825" w:type="dxa"/>
            <w:tcBorders>
              <w:top w:val="nil"/>
              <w:left w:val="single" w:sz="4" w:space="0" w:color="auto"/>
              <w:bottom w:val="nil"/>
              <w:right w:val="double" w:sz="4" w:space="0" w:color="auto"/>
            </w:tcBorders>
            <w:shd w:val="clear" w:color="auto" w:fill="auto"/>
            <w:noWrap/>
            <w:vAlign w:val="center"/>
          </w:tcPr>
          <w:p w14:paraId="27E2F3A6" w14:textId="77777777" w:rsidR="00D47D34" w:rsidRPr="00487A62" w:rsidRDefault="00D47D34" w:rsidP="00371871">
            <w:pPr>
              <w:jc w:val="right"/>
              <w:rPr>
                <w:rFonts w:eastAsia="Times New Roman" w:cs="Times New Roman"/>
                <w:color w:val="000000"/>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48A9E75E" w14:textId="77777777" w:rsidR="00D47D34" w:rsidRPr="00487A62" w:rsidRDefault="00D47D34" w:rsidP="00371871">
            <w:pPr>
              <w:jc w:val="right"/>
              <w:rPr>
                <w:rFonts w:eastAsia="Times New Roman" w:cs="Times New Roman"/>
                <w:color w:val="000000"/>
                <w:sz w:val="20"/>
                <w:szCs w:val="20"/>
              </w:rPr>
            </w:pPr>
            <w:r>
              <w:rPr>
                <w:rFonts w:eastAsia="Times New Roman" w:cs="Times New Roman"/>
                <w:color w:val="000000"/>
                <w:sz w:val="20"/>
                <w:szCs w:val="20"/>
              </w:rPr>
              <w:t>--</w:t>
            </w:r>
          </w:p>
        </w:tc>
        <w:tc>
          <w:tcPr>
            <w:tcW w:w="992" w:type="dxa"/>
            <w:tcBorders>
              <w:top w:val="nil"/>
              <w:left w:val="single" w:sz="4" w:space="0" w:color="auto"/>
              <w:bottom w:val="nil"/>
              <w:right w:val="single" w:sz="12" w:space="0" w:color="auto"/>
            </w:tcBorders>
            <w:shd w:val="clear" w:color="auto" w:fill="auto"/>
            <w:noWrap/>
            <w:vAlign w:val="center"/>
          </w:tcPr>
          <w:p w14:paraId="391DE69A" w14:textId="77777777" w:rsidR="00D47D34" w:rsidRPr="00487A62" w:rsidRDefault="00D47D34" w:rsidP="00371871">
            <w:pPr>
              <w:jc w:val="right"/>
              <w:rPr>
                <w:rFonts w:eastAsia="Times New Roman" w:cs="Times New Roman"/>
                <w:color w:val="000000"/>
                <w:sz w:val="20"/>
                <w:szCs w:val="20"/>
              </w:rPr>
            </w:pPr>
          </w:p>
        </w:tc>
        <w:tc>
          <w:tcPr>
            <w:tcW w:w="993" w:type="dxa"/>
            <w:tcBorders>
              <w:top w:val="nil"/>
              <w:left w:val="single" w:sz="12" w:space="0" w:color="auto"/>
              <w:bottom w:val="nil"/>
              <w:right w:val="single" w:sz="4" w:space="0" w:color="auto"/>
            </w:tcBorders>
            <w:shd w:val="clear" w:color="auto" w:fill="auto"/>
            <w:noWrap/>
            <w:vAlign w:val="center"/>
          </w:tcPr>
          <w:p w14:paraId="4B247989" w14:textId="77777777" w:rsidR="00D47D34" w:rsidRPr="002B25D4" w:rsidRDefault="00D47D34" w:rsidP="00371871">
            <w:pPr>
              <w:jc w:val="right"/>
              <w:rPr>
                <w:rFonts w:eastAsia="Times New Roman" w:cs="Times New Roman"/>
                <w:color w:val="000000" w:themeColor="text1"/>
                <w:sz w:val="20"/>
                <w:szCs w:val="20"/>
              </w:rPr>
            </w:pPr>
            <w:r>
              <w:rPr>
                <w:rFonts w:eastAsia="Times New Roman" w:cs="Times New Roman"/>
                <w:color w:val="000000"/>
                <w:sz w:val="20"/>
                <w:szCs w:val="20"/>
              </w:rPr>
              <w:t>-0.754</w:t>
            </w:r>
          </w:p>
        </w:tc>
        <w:tc>
          <w:tcPr>
            <w:tcW w:w="992" w:type="dxa"/>
            <w:tcBorders>
              <w:top w:val="nil"/>
              <w:left w:val="single" w:sz="4" w:space="0" w:color="auto"/>
              <w:bottom w:val="nil"/>
              <w:right w:val="double" w:sz="4" w:space="0" w:color="auto"/>
            </w:tcBorders>
            <w:shd w:val="clear" w:color="auto" w:fill="auto"/>
            <w:noWrap/>
            <w:vAlign w:val="center"/>
          </w:tcPr>
          <w:p w14:paraId="51576392" w14:textId="77777777" w:rsidR="00D47D34" w:rsidRPr="002B25D4" w:rsidRDefault="00D47D34" w:rsidP="00371871">
            <w:pPr>
              <w:jc w:val="right"/>
              <w:rPr>
                <w:rFonts w:eastAsia="Times New Roman" w:cs="Times New Roman"/>
                <w:color w:val="000000" w:themeColor="text1"/>
                <w:sz w:val="20"/>
                <w:szCs w:val="20"/>
              </w:rPr>
            </w:pPr>
            <w:r>
              <w:rPr>
                <w:rFonts w:eastAsia="Times New Roman" w:cs="Times New Roman"/>
                <w:color w:val="000000"/>
                <w:sz w:val="20"/>
                <w:szCs w:val="20"/>
              </w:rPr>
              <w:t>-6.04</w:t>
            </w:r>
          </w:p>
        </w:tc>
        <w:tc>
          <w:tcPr>
            <w:tcW w:w="992" w:type="dxa"/>
            <w:tcBorders>
              <w:top w:val="nil"/>
              <w:left w:val="double" w:sz="4" w:space="0" w:color="auto"/>
              <w:bottom w:val="nil"/>
              <w:right w:val="single" w:sz="4" w:space="0" w:color="auto"/>
            </w:tcBorders>
            <w:shd w:val="clear" w:color="auto" w:fill="auto"/>
            <w:noWrap/>
            <w:vAlign w:val="center"/>
          </w:tcPr>
          <w:p w14:paraId="2093B9F9" w14:textId="77777777" w:rsidR="00D47D34" w:rsidRPr="002B25D4" w:rsidRDefault="00D47D34" w:rsidP="00371871">
            <w:pPr>
              <w:jc w:val="right"/>
              <w:rPr>
                <w:rFonts w:eastAsia="Times New Roman" w:cs="Times New Roman"/>
                <w:color w:val="000000" w:themeColor="text1"/>
                <w:sz w:val="20"/>
                <w:szCs w:val="20"/>
              </w:rPr>
            </w:pPr>
            <w:r>
              <w:rPr>
                <w:rFonts w:eastAsia="Times New Roman" w:cs="Times New Roman"/>
                <w:color w:val="000000"/>
                <w:sz w:val="20"/>
                <w:szCs w:val="20"/>
              </w:rPr>
              <w:t>-</w:t>
            </w:r>
            <w:r w:rsidRPr="00487A62">
              <w:rPr>
                <w:rFonts w:eastAsia="Times New Roman" w:cs="Times New Roman"/>
                <w:color w:val="000000"/>
                <w:sz w:val="20"/>
                <w:szCs w:val="20"/>
              </w:rPr>
              <w:t>0.1</w:t>
            </w:r>
            <w:r>
              <w:rPr>
                <w:rFonts w:eastAsia="Times New Roman" w:cs="Times New Roman"/>
                <w:color w:val="000000"/>
                <w:sz w:val="20"/>
                <w:szCs w:val="20"/>
              </w:rPr>
              <w:t>32</w:t>
            </w:r>
          </w:p>
        </w:tc>
        <w:tc>
          <w:tcPr>
            <w:tcW w:w="1134" w:type="dxa"/>
            <w:tcBorders>
              <w:top w:val="nil"/>
              <w:left w:val="single" w:sz="4" w:space="0" w:color="auto"/>
              <w:bottom w:val="nil"/>
              <w:right w:val="double" w:sz="4" w:space="0" w:color="auto"/>
            </w:tcBorders>
            <w:shd w:val="clear" w:color="auto" w:fill="auto"/>
            <w:noWrap/>
            <w:vAlign w:val="center"/>
          </w:tcPr>
          <w:p w14:paraId="5E524871" w14:textId="77777777" w:rsidR="00D47D34" w:rsidRPr="002B25D4" w:rsidRDefault="00D47D34" w:rsidP="00371871">
            <w:pPr>
              <w:jc w:val="right"/>
              <w:rPr>
                <w:rFonts w:eastAsia="Times New Roman" w:cs="Times New Roman"/>
                <w:color w:val="000000" w:themeColor="text1"/>
                <w:sz w:val="20"/>
                <w:szCs w:val="20"/>
              </w:rPr>
            </w:pPr>
            <w:r>
              <w:rPr>
                <w:rFonts w:eastAsia="Times New Roman" w:cs="Times New Roman"/>
                <w:color w:val="000000"/>
                <w:sz w:val="20"/>
                <w:szCs w:val="20"/>
              </w:rPr>
              <w:t>-1.75</w:t>
            </w:r>
          </w:p>
        </w:tc>
      </w:tr>
      <w:tr w:rsidR="00D47D34" w:rsidRPr="00487A62" w14:paraId="2A93322E" w14:textId="77777777" w:rsidTr="00FC5796">
        <w:trPr>
          <w:trHeight w:val="302"/>
        </w:trPr>
        <w:tc>
          <w:tcPr>
            <w:tcW w:w="3671" w:type="dxa"/>
            <w:tcBorders>
              <w:top w:val="nil"/>
              <w:left w:val="double" w:sz="4" w:space="0" w:color="auto"/>
              <w:bottom w:val="nil"/>
              <w:right w:val="single" w:sz="12" w:space="0" w:color="auto"/>
            </w:tcBorders>
            <w:shd w:val="clear" w:color="auto" w:fill="auto"/>
            <w:noWrap/>
            <w:vAlign w:val="bottom"/>
          </w:tcPr>
          <w:p w14:paraId="68AC52E4" w14:textId="77777777" w:rsidR="00D47D34" w:rsidRPr="00487A62" w:rsidRDefault="00D47D34" w:rsidP="00371871">
            <w:pPr>
              <w:rPr>
                <w:rFonts w:eastAsia="Times New Roman" w:cs="Times New Roman"/>
                <w:b/>
                <w:bCs/>
                <w:color w:val="000000"/>
                <w:sz w:val="20"/>
                <w:szCs w:val="20"/>
              </w:rPr>
            </w:pPr>
            <w:r w:rsidRPr="00487A62">
              <w:rPr>
                <w:rFonts w:eastAsia="Times New Roman" w:cs="Times New Roman"/>
                <w:color w:val="000000"/>
                <w:sz w:val="20"/>
                <w:szCs w:val="20"/>
              </w:rPr>
              <w:t xml:space="preserve">  Tech-Savviness</w:t>
            </w:r>
          </w:p>
        </w:tc>
        <w:tc>
          <w:tcPr>
            <w:tcW w:w="865" w:type="dxa"/>
            <w:tcBorders>
              <w:top w:val="nil"/>
              <w:left w:val="single" w:sz="12" w:space="0" w:color="auto"/>
              <w:bottom w:val="nil"/>
              <w:right w:val="single" w:sz="4" w:space="0" w:color="auto"/>
            </w:tcBorders>
            <w:shd w:val="clear" w:color="auto" w:fill="auto"/>
            <w:noWrap/>
            <w:vAlign w:val="center"/>
          </w:tcPr>
          <w:p w14:paraId="35F4EA3E" w14:textId="77777777" w:rsidR="00D47D34" w:rsidRPr="00487A62" w:rsidRDefault="00D47D34" w:rsidP="00371871">
            <w:pPr>
              <w:jc w:val="right"/>
              <w:rPr>
                <w:rFonts w:eastAsia="Times New Roman" w:cs="Times New Roman"/>
                <w:color w:val="000000"/>
                <w:sz w:val="20"/>
                <w:szCs w:val="20"/>
              </w:rPr>
            </w:pPr>
            <w:r>
              <w:rPr>
                <w:rFonts w:eastAsia="Times New Roman" w:cs="Times New Roman"/>
                <w:color w:val="000000"/>
                <w:sz w:val="20"/>
                <w:szCs w:val="20"/>
              </w:rPr>
              <w:t>--</w:t>
            </w:r>
          </w:p>
        </w:tc>
        <w:tc>
          <w:tcPr>
            <w:tcW w:w="836" w:type="dxa"/>
            <w:tcBorders>
              <w:top w:val="nil"/>
              <w:left w:val="single" w:sz="4" w:space="0" w:color="auto"/>
              <w:bottom w:val="nil"/>
              <w:right w:val="double" w:sz="4" w:space="0" w:color="auto"/>
            </w:tcBorders>
            <w:shd w:val="clear" w:color="auto" w:fill="auto"/>
            <w:noWrap/>
            <w:vAlign w:val="center"/>
          </w:tcPr>
          <w:p w14:paraId="0FCB1834" w14:textId="77777777" w:rsidR="00D47D34" w:rsidRPr="00487A62" w:rsidRDefault="00D47D34" w:rsidP="00371871">
            <w:pPr>
              <w:jc w:val="right"/>
              <w:rPr>
                <w:rFonts w:eastAsia="Times New Roman" w:cs="Times New Roman"/>
                <w:color w:val="000000"/>
                <w:sz w:val="20"/>
                <w:szCs w:val="20"/>
              </w:rPr>
            </w:pPr>
          </w:p>
        </w:tc>
        <w:tc>
          <w:tcPr>
            <w:tcW w:w="876" w:type="dxa"/>
            <w:tcBorders>
              <w:top w:val="nil"/>
              <w:left w:val="double" w:sz="4" w:space="0" w:color="auto"/>
              <w:bottom w:val="nil"/>
              <w:right w:val="single" w:sz="4" w:space="0" w:color="auto"/>
            </w:tcBorders>
            <w:shd w:val="clear" w:color="auto" w:fill="auto"/>
            <w:noWrap/>
            <w:vAlign w:val="center"/>
          </w:tcPr>
          <w:p w14:paraId="7D6C47E5"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0.</w:t>
            </w:r>
            <w:r>
              <w:rPr>
                <w:rFonts w:eastAsia="Times New Roman" w:cs="Times New Roman"/>
                <w:color w:val="000000"/>
                <w:sz w:val="20"/>
                <w:szCs w:val="20"/>
              </w:rPr>
              <w:t>064</w:t>
            </w:r>
          </w:p>
        </w:tc>
        <w:tc>
          <w:tcPr>
            <w:tcW w:w="825" w:type="dxa"/>
            <w:tcBorders>
              <w:top w:val="nil"/>
              <w:left w:val="single" w:sz="4" w:space="0" w:color="auto"/>
              <w:bottom w:val="nil"/>
              <w:right w:val="double" w:sz="4" w:space="0" w:color="auto"/>
            </w:tcBorders>
            <w:shd w:val="clear" w:color="auto" w:fill="auto"/>
            <w:noWrap/>
            <w:vAlign w:val="center"/>
          </w:tcPr>
          <w:p w14:paraId="3E0F278F" w14:textId="77777777" w:rsidR="00D47D34" w:rsidRPr="00487A62" w:rsidRDefault="00D47D34" w:rsidP="00371871">
            <w:pPr>
              <w:jc w:val="right"/>
              <w:rPr>
                <w:rFonts w:eastAsia="Times New Roman" w:cs="Times New Roman"/>
                <w:color w:val="000000"/>
                <w:sz w:val="20"/>
                <w:szCs w:val="20"/>
              </w:rPr>
            </w:pPr>
            <w:r>
              <w:rPr>
                <w:rFonts w:eastAsia="Times New Roman" w:cs="Times New Roman"/>
                <w:color w:val="000000"/>
                <w:sz w:val="20"/>
                <w:szCs w:val="20"/>
              </w:rPr>
              <w:t>1.75</w:t>
            </w:r>
          </w:p>
        </w:tc>
        <w:tc>
          <w:tcPr>
            <w:tcW w:w="992" w:type="dxa"/>
            <w:tcBorders>
              <w:top w:val="nil"/>
              <w:left w:val="double" w:sz="4" w:space="0" w:color="auto"/>
              <w:bottom w:val="nil"/>
              <w:right w:val="single" w:sz="4" w:space="0" w:color="auto"/>
            </w:tcBorders>
            <w:shd w:val="clear" w:color="auto" w:fill="auto"/>
            <w:noWrap/>
            <w:vAlign w:val="center"/>
          </w:tcPr>
          <w:p w14:paraId="666D6D17"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w:t>
            </w:r>
          </w:p>
        </w:tc>
        <w:tc>
          <w:tcPr>
            <w:tcW w:w="992" w:type="dxa"/>
            <w:tcBorders>
              <w:top w:val="nil"/>
              <w:left w:val="single" w:sz="4" w:space="0" w:color="auto"/>
              <w:bottom w:val="nil"/>
              <w:right w:val="single" w:sz="12" w:space="0" w:color="auto"/>
            </w:tcBorders>
            <w:shd w:val="clear" w:color="auto" w:fill="auto"/>
            <w:noWrap/>
            <w:vAlign w:val="center"/>
          </w:tcPr>
          <w:p w14:paraId="0EFF0AE3" w14:textId="77777777" w:rsidR="00D47D34" w:rsidRPr="00487A62" w:rsidRDefault="00D47D34" w:rsidP="00371871">
            <w:pPr>
              <w:jc w:val="right"/>
              <w:rPr>
                <w:rFonts w:eastAsia="Times New Roman" w:cs="Times New Roman"/>
                <w:color w:val="000000"/>
                <w:sz w:val="20"/>
                <w:szCs w:val="20"/>
              </w:rPr>
            </w:pPr>
          </w:p>
        </w:tc>
        <w:tc>
          <w:tcPr>
            <w:tcW w:w="993" w:type="dxa"/>
            <w:tcBorders>
              <w:top w:val="nil"/>
              <w:left w:val="single" w:sz="12" w:space="0" w:color="auto"/>
              <w:bottom w:val="nil"/>
              <w:right w:val="single" w:sz="4" w:space="0" w:color="auto"/>
            </w:tcBorders>
            <w:shd w:val="clear" w:color="auto" w:fill="auto"/>
            <w:noWrap/>
            <w:vAlign w:val="center"/>
          </w:tcPr>
          <w:p w14:paraId="69515FC8" w14:textId="77777777" w:rsidR="00D47D34" w:rsidRPr="002B25D4" w:rsidRDefault="00D47D34" w:rsidP="00371871">
            <w:pPr>
              <w:jc w:val="right"/>
              <w:rPr>
                <w:rFonts w:eastAsia="Times New Roman" w:cs="Times New Roman"/>
                <w:color w:val="000000" w:themeColor="text1"/>
                <w:sz w:val="20"/>
                <w:szCs w:val="20"/>
              </w:rPr>
            </w:pPr>
            <w:r w:rsidRPr="00487A62">
              <w:rPr>
                <w:rFonts w:eastAsia="Times New Roman" w:cs="Times New Roman"/>
                <w:color w:val="000000"/>
                <w:sz w:val="20"/>
                <w:szCs w:val="20"/>
              </w:rPr>
              <w:t>--</w:t>
            </w:r>
          </w:p>
        </w:tc>
        <w:tc>
          <w:tcPr>
            <w:tcW w:w="992" w:type="dxa"/>
            <w:tcBorders>
              <w:top w:val="nil"/>
              <w:left w:val="single" w:sz="4" w:space="0" w:color="auto"/>
              <w:bottom w:val="nil"/>
              <w:right w:val="double" w:sz="4" w:space="0" w:color="auto"/>
            </w:tcBorders>
            <w:shd w:val="clear" w:color="auto" w:fill="auto"/>
            <w:noWrap/>
            <w:vAlign w:val="center"/>
          </w:tcPr>
          <w:p w14:paraId="71D47A22"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7F5E5B91" w14:textId="77777777" w:rsidR="00D47D34" w:rsidRPr="002B25D4" w:rsidRDefault="00D47D34" w:rsidP="00371871">
            <w:pPr>
              <w:jc w:val="right"/>
              <w:rPr>
                <w:rFonts w:eastAsia="Times New Roman" w:cs="Times New Roman"/>
                <w:color w:val="000000" w:themeColor="text1"/>
                <w:sz w:val="20"/>
                <w:szCs w:val="20"/>
              </w:rPr>
            </w:pPr>
            <w:r w:rsidRPr="00487A62">
              <w:rPr>
                <w:rFonts w:eastAsia="Times New Roman" w:cs="Times New Roman"/>
                <w:color w:val="000000"/>
                <w:sz w:val="20"/>
                <w:szCs w:val="20"/>
              </w:rPr>
              <w:t>0.</w:t>
            </w:r>
            <w:r>
              <w:rPr>
                <w:rFonts w:eastAsia="Times New Roman" w:cs="Times New Roman"/>
                <w:color w:val="000000"/>
                <w:sz w:val="20"/>
                <w:szCs w:val="20"/>
              </w:rPr>
              <w:t>100</w:t>
            </w:r>
          </w:p>
        </w:tc>
        <w:tc>
          <w:tcPr>
            <w:tcW w:w="1134" w:type="dxa"/>
            <w:tcBorders>
              <w:top w:val="nil"/>
              <w:left w:val="single" w:sz="4" w:space="0" w:color="auto"/>
              <w:bottom w:val="nil"/>
              <w:right w:val="double" w:sz="4" w:space="0" w:color="auto"/>
            </w:tcBorders>
            <w:shd w:val="clear" w:color="auto" w:fill="auto"/>
            <w:noWrap/>
            <w:vAlign w:val="center"/>
          </w:tcPr>
          <w:p w14:paraId="61EBB532" w14:textId="77777777" w:rsidR="00D47D34" w:rsidRPr="002B25D4" w:rsidRDefault="00D47D34" w:rsidP="00371871">
            <w:pPr>
              <w:jc w:val="right"/>
              <w:rPr>
                <w:rFonts w:eastAsia="Times New Roman" w:cs="Times New Roman"/>
                <w:color w:val="000000" w:themeColor="text1"/>
                <w:sz w:val="20"/>
                <w:szCs w:val="20"/>
              </w:rPr>
            </w:pPr>
            <w:r>
              <w:rPr>
                <w:rFonts w:eastAsia="Times New Roman" w:cs="Times New Roman"/>
                <w:color w:val="000000"/>
                <w:sz w:val="20"/>
                <w:szCs w:val="20"/>
              </w:rPr>
              <w:t>1.68</w:t>
            </w:r>
          </w:p>
        </w:tc>
      </w:tr>
      <w:tr w:rsidR="00D47D34" w:rsidRPr="00487A62" w14:paraId="3A92DEE1" w14:textId="77777777" w:rsidTr="00FC5796">
        <w:trPr>
          <w:trHeight w:val="302"/>
        </w:trPr>
        <w:tc>
          <w:tcPr>
            <w:tcW w:w="3671" w:type="dxa"/>
            <w:tcBorders>
              <w:top w:val="nil"/>
              <w:left w:val="double" w:sz="4" w:space="0" w:color="auto"/>
              <w:bottom w:val="nil"/>
              <w:right w:val="single" w:sz="12" w:space="0" w:color="auto"/>
            </w:tcBorders>
            <w:shd w:val="clear" w:color="auto" w:fill="auto"/>
            <w:noWrap/>
            <w:vAlign w:val="bottom"/>
          </w:tcPr>
          <w:p w14:paraId="6BF8E194" w14:textId="77777777" w:rsidR="00D47D34" w:rsidRPr="00487A62" w:rsidRDefault="00D47D34" w:rsidP="00371871">
            <w:pPr>
              <w:rPr>
                <w:rFonts w:eastAsia="Times New Roman" w:cs="Times New Roman"/>
                <w:b/>
                <w:bCs/>
                <w:color w:val="000000"/>
                <w:sz w:val="20"/>
                <w:szCs w:val="20"/>
              </w:rPr>
            </w:pPr>
            <w:r w:rsidRPr="00487A62">
              <w:rPr>
                <w:rFonts w:eastAsia="Times New Roman" w:cs="Times New Roman"/>
                <w:b/>
                <w:bCs/>
                <w:color w:val="000000"/>
                <w:sz w:val="20"/>
                <w:szCs w:val="20"/>
              </w:rPr>
              <w:t>Latent Variables Interactions</w:t>
            </w:r>
          </w:p>
        </w:tc>
        <w:tc>
          <w:tcPr>
            <w:tcW w:w="865" w:type="dxa"/>
            <w:tcBorders>
              <w:top w:val="nil"/>
              <w:left w:val="single" w:sz="12" w:space="0" w:color="auto"/>
              <w:bottom w:val="nil"/>
              <w:right w:val="single" w:sz="4" w:space="0" w:color="auto"/>
            </w:tcBorders>
            <w:shd w:val="clear" w:color="auto" w:fill="auto"/>
            <w:noWrap/>
            <w:vAlign w:val="center"/>
          </w:tcPr>
          <w:p w14:paraId="45F2E6EC" w14:textId="77777777" w:rsidR="00D47D34" w:rsidRPr="00487A62" w:rsidRDefault="00D47D34" w:rsidP="00371871">
            <w:pPr>
              <w:jc w:val="right"/>
              <w:rPr>
                <w:rFonts w:eastAsia="Times New Roman" w:cs="Times New Roman"/>
                <w:color w:val="000000"/>
                <w:sz w:val="20"/>
                <w:szCs w:val="20"/>
              </w:rPr>
            </w:pPr>
          </w:p>
        </w:tc>
        <w:tc>
          <w:tcPr>
            <w:tcW w:w="836" w:type="dxa"/>
            <w:tcBorders>
              <w:top w:val="nil"/>
              <w:left w:val="single" w:sz="4" w:space="0" w:color="auto"/>
              <w:bottom w:val="nil"/>
              <w:right w:val="double" w:sz="4" w:space="0" w:color="auto"/>
            </w:tcBorders>
            <w:shd w:val="clear" w:color="auto" w:fill="auto"/>
            <w:noWrap/>
            <w:vAlign w:val="center"/>
          </w:tcPr>
          <w:p w14:paraId="1291C4D4" w14:textId="77777777" w:rsidR="00D47D34" w:rsidRPr="00487A62" w:rsidRDefault="00D47D34" w:rsidP="00371871">
            <w:pPr>
              <w:jc w:val="right"/>
              <w:rPr>
                <w:rFonts w:eastAsia="Times New Roman" w:cs="Times New Roman"/>
                <w:color w:val="000000"/>
                <w:sz w:val="20"/>
                <w:szCs w:val="20"/>
              </w:rPr>
            </w:pPr>
          </w:p>
        </w:tc>
        <w:tc>
          <w:tcPr>
            <w:tcW w:w="876" w:type="dxa"/>
            <w:tcBorders>
              <w:top w:val="nil"/>
              <w:left w:val="double" w:sz="4" w:space="0" w:color="auto"/>
              <w:bottom w:val="nil"/>
              <w:right w:val="single" w:sz="4" w:space="0" w:color="auto"/>
            </w:tcBorders>
            <w:shd w:val="clear" w:color="auto" w:fill="auto"/>
            <w:noWrap/>
            <w:vAlign w:val="center"/>
          </w:tcPr>
          <w:p w14:paraId="7D38AB5D" w14:textId="77777777" w:rsidR="00D47D34" w:rsidRPr="00487A62" w:rsidRDefault="00D47D34" w:rsidP="00371871">
            <w:pPr>
              <w:jc w:val="right"/>
              <w:rPr>
                <w:rFonts w:eastAsia="Times New Roman" w:cs="Times New Roman"/>
                <w:color w:val="000000"/>
                <w:sz w:val="20"/>
                <w:szCs w:val="20"/>
              </w:rPr>
            </w:pPr>
          </w:p>
        </w:tc>
        <w:tc>
          <w:tcPr>
            <w:tcW w:w="825" w:type="dxa"/>
            <w:tcBorders>
              <w:top w:val="nil"/>
              <w:left w:val="single" w:sz="4" w:space="0" w:color="auto"/>
              <w:bottom w:val="nil"/>
              <w:right w:val="double" w:sz="4" w:space="0" w:color="auto"/>
            </w:tcBorders>
            <w:shd w:val="clear" w:color="auto" w:fill="auto"/>
            <w:noWrap/>
            <w:vAlign w:val="center"/>
          </w:tcPr>
          <w:p w14:paraId="02131164" w14:textId="77777777" w:rsidR="00D47D34" w:rsidRPr="00487A62" w:rsidRDefault="00D47D34" w:rsidP="00371871">
            <w:pPr>
              <w:jc w:val="right"/>
              <w:rPr>
                <w:rFonts w:eastAsia="Times New Roman" w:cs="Times New Roman"/>
                <w:color w:val="000000"/>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308ECD85" w14:textId="77777777" w:rsidR="00D47D34" w:rsidRPr="00487A62" w:rsidRDefault="00D47D34" w:rsidP="00371871">
            <w:pPr>
              <w:jc w:val="right"/>
              <w:rPr>
                <w:rFonts w:eastAsia="Times New Roman" w:cs="Times New Roman"/>
                <w:color w:val="000000"/>
                <w:sz w:val="20"/>
                <w:szCs w:val="20"/>
              </w:rPr>
            </w:pPr>
          </w:p>
        </w:tc>
        <w:tc>
          <w:tcPr>
            <w:tcW w:w="992" w:type="dxa"/>
            <w:tcBorders>
              <w:top w:val="nil"/>
              <w:left w:val="single" w:sz="4" w:space="0" w:color="auto"/>
              <w:bottom w:val="nil"/>
              <w:right w:val="single" w:sz="12" w:space="0" w:color="auto"/>
            </w:tcBorders>
            <w:shd w:val="clear" w:color="auto" w:fill="auto"/>
            <w:noWrap/>
            <w:vAlign w:val="center"/>
          </w:tcPr>
          <w:p w14:paraId="716F36E4" w14:textId="77777777" w:rsidR="00D47D34" w:rsidRPr="00487A62" w:rsidRDefault="00D47D34" w:rsidP="00371871">
            <w:pPr>
              <w:jc w:val="right"/>
              <w:rPr>
                <w:rFonts w:eastAsia="Times New Roman" w:cs="Times New Roman"/>
                <w:color w:val="000000"/>
                <w:sz w:val="20"/>
                <w:szCs w:val="20"/>
              </w:rPr>
            </w:pPr>
          </w:p>
        </w:tc>
        <w:tc>
          <w:tcPr>
            <w:tcW w:w="993" w:type="dxa"/>
            <w:tcBorders>
              <w:top w:val="nil"/>
              <w:left w:val="single" w:sz="12" w:space="0" w:color="auto"/>
              <w:bottom w:val="nil"/>
              <w:right w:val="single" w:sz="4" w:space="0" w:color="auto"/>
            </w:tcBorders>
            <w:shd w:val="clear" w:color="auto" w:fill="auto"/>
            <w:noWrap/>
            <w:vAlign w:val="center"/>
          </w:tcPr>
          <w:p w14:paraId="5299B5EC"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single" w:sz="4" w:space="0" w:color="auto"/>
              <w:bottom w:val="nil"/>
              <w:right w:val="double" w:sz="4" w:space="0" w:color="auto"/>
            </w:tcBorders>
            <w:shd w:val="clear" w:color="auto" w:fill="auto"/>
            <w:noWrap/>
            <w:vAlign w:val="center"/>
          </w:tcPr>
          <w:p w14:paraId="6DE50A8E"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06D2D20A" w14:textId="77777777" w:rsidR="00D47D34" w:rsidRPr="002B25D4" w:rsidRDefault="00D47D34" w:rsidP="00371871">
            <w:pPr>
              <w:jc w:val="right"/>
              <w:rPr>
                <w:rFonts w:eastAsia="Times New Roman" w:cs="Times New Roman"/>
                <w:color w:val="000000" w:themeColor="text1"/>
                <w:sz w:val="20"/>
                <w:szCs w:val="20"/>
              </w:rPr>
            </w:pPr>
          </w:p>
        </w:tc>
        <w:tc>
          <w:tcPr>
            <w:tcW w:w="1134" w:type="dxa"/>
            <w:tcBorders>
              <w:top w:val="nil"/>
              <w:left w:val="single" w:sz="4" w:space="0" w:color="auto"/>
              <w:bottom w:val="nil"/>
              <w:right w:val="double" w:sz="4" w:space="0" w:color="auto"/>
            </w:tcBorders>
            <w:shd w:val="clear" w:color="auto" w:fill="auto"/>
            <w:noWrap/>
            <w:vAlign w:val="center"/>
          </w:tcPr>
          <w:p w14:paraId="60D08533" w14:textId="77777777" w:rsidR="00D47D34" w:rsidRPr="002B25D4" w:rsidRDefault="00D47D34" w:rsidP="00371871">
            <w:pPr>
              <w:jc w:val="right"/>
              <w:rPr>
                <w:rFonts w:eastAsia="Times New Roman" w:cs="Times New Roman"/>
                <w:color w:val="000000" w:themeColor="text1"/>
                <w:sz w:val="20"/>
                <w:szCs w:val="20"/>
              </w:rPr>
            </w:pPr>
          </w:p>
        </w:tc>
      </w:tr>
      <w:tr w:rsidR="00D47D34" w:rsidRPr="00487A62" w14:paraId="21BB3FEB" w14:textId="77777777" w:rsidTr="00FC5796">
        <w:trPr>
          <w:trHeight w:val="302"/>
        </w:trPr>
        <w:tc>
          <w:tcPr>
            <w:tcW w:w="3671" w:type="dxa"/>
            <w:tcBorders>
              <w:top w:val="nil"/>
              <w:left w:val="double" w:sz="4" w:space="0" w:color="auto"/>
              <w:bottom w:val="nil"/>
              <w:right w:val="single" w:sz="12" w:space="0" w:color="auto"/>
            </w:tcBorders>
            <w:shd w:val="clear" w:color="auto" w:fill="auto"/>
            <w:noWrap/>
            <w:vAlign w:val="bottom"/>
          </w:tcPr>
          <w:p w14:paraId="2F7D200D" w14:textId="77777777" w:rsidR="00D47D34" w:rsidRPr="00A53BF7" w:rsidRDefault="00D47D34" w:rsidP="00371871">
            <w:pPr>
              <w:rPr>
                <w:rFonts w:eastAsia="Times New Roman" w:cs="Times New Roman"/>
                <w:b/>
                <w:color w:val="000000"/>
                <w:sz w:val="20"/>
                <w:szCs w:val="20"/>
              </w:rPr>
            </w:pPr>
            <w:r w:rsidRPr="00487A62">
              <w:rPr>
                <w:rFonts w:eastAsia="Times New Roman" w:cs="Times New Roman"/>
                <w:color w:val="000000"/>
                <w:sz w:val="20"/>
                <w:szCs w:val="20"/>
              </w:rPr>
              <w:t xml:space="preserve">  Driving Control*Female</w:t>
            </w:r>
          </w:p>
        </w:tc>
        <w:tc>
          <w:tcPr>
            <w:tcW w:w="865" w:type="dxa"/>
            <w:tcBorders>
              <w:top w:val="nil"/>
              <w:left w:val="single" w:sz="12" w:space="0" w:color="auto"/>
              <w:bottom w:val="nil"/>
              <w:right w:val="single" w:sz="4" w:space="0" w:color="auto"/>
            </w:tcBorders>
            <w:shd w:val="clear" w:color="auto" w:fill="auto"/>
            <w:noWrap/>
            <w:vAlign w:val="center"/>
          </w:tcPr>
          <w:p w14:paraId="6E43630B" w14:textId="5F7CBFF0" w:rsidR="00D47D34" w:rsidRPr="00487A62" w:rsidRDefault="002410C0" w:rsidP="00371871">
            <w:pPr>
              <w:jc w:val="right"/>
              <w:rPr>
                <w:rFonts w:eastAsia="Times New Roman" w:cs="Times New Roman"/>
                <w:color w:val="000000"/>
                <w:sz w:val="20"/>
                <w:szCs w:val="20"/>
              </w:rPr>
            </w:pPr>
            <w:r>
              <w:rPr>
                <w:rFonts w:eastAsia="Times New Roman" w:cs="Times New Roman"/>
                <w:color w:val="000000"/>
                <w:sz w:val="20"/>
                <w:szCs w:val="20"/>
              </w:rPr>
              <w:t>--</w:t>
            </w:r>
          </w:p>
        </w:tc>
        <w:tc>
          <w:tcPr>
            <w:tcW w:w="836" w:type="dxa"/>
            <w:tcBorders>
              <w:top w:val="nil"/>
              <w:left w:val="single" w:sz="4" w:space="0" w:color="auto"/>
              <w:bottom w:val="nil"/>
              <w:right w:val="double" w:sz="4" w:space="0" w:color="auto"/>
            </w:tcBorders>
            <w:shd w:val="clear" w:color="auto" w:fill="auto"/>
            <w:noWrap/>
            <w:vAlign w:val="center"/>
          </w:tcPr>
          <w:p w14:paraId="2A3B9269" w14:textId="77777777" w:rsidR="00D47D34" w:rsidRPr="00487A62" w:rsidRDefault="00D47D34" w:rsidP="00371871">
            <w:pPr>
              <w:jc w:val="right"/>
              <w:rPr>
                <w:rFonts w:eastAsia="Times New Roman" w:cs="Times New Roman"/>
                <w:color w:val="000000"/>
                <w:sz w:val="20"/>
                <w:szCs w:val="20"/>
              </w:rPr>
            </w:pPr>
          </w:p>
        </w:tc>
        <w:tc>
          <w:tcPr>
            <w:tcW w:w="876" w:type="dxa"/>
            <w:tcBorders>
              <w:top w:val="nil"/>
              <w:left w:val="double" w:sz="4" w:space="0" w:color="auto"/>
              <w:bottom w:val="nil"/>
              <w:right w:val="single" w:sz="4" w:space="0" w:color="auto"/>
            </w:tcBorders>
            <w:shd w:val="clear" w:color="auto" w:fill="auto"/>
            <w:noWrap/>
            <w:vAlign w:val="center"/>
          </w:tcPr>
          <w:p w14:paraId="4A6C91E6"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-0.1</w:t>
            </w:r>
            <w:r>
              <w:rPr>
                <w:rFonts w:eastAsia="Times New Roman" w:cs="Times New Roman"/>
                <w:color w:val="000000"/>
                <w:sz w:val="20"/>
                <w:szCs w:val="20"/>
              </w:rPr>
              <w:t>18</w:t>
            </w:r>
          </w:p>
        </w:tc>
        <w:tc>
          <w:tcPr>
            <w:tcW w:w="825" w:type="dxa"/>
            <w:tcBorders>
              <w:top w:val="nil"/>
              <w:left w:val="single" w:sz="4" w:space="0" w:color="auto"/>
              <w:bottom w:val="nil"/>
              <w:right w:val="double" w:sz="4" w:space="0" w:color="auto"/>
            </w:tcBorders>
            <w:shd w:val="clear" w:color="auto" w:fill="auto"/>
            <w:noWrap/>
            <w:vAlign w:val="center"/>
          </w:tcPr>
          <w:p w14:paraId="4225F088"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w:t>
            </w:r>
            <w:r>
              <w:rPr>
                <w:rFonts w:eastAsia="Times New Roman" w:cs="Times New Roman"/>
                <w:color w:val="000000"/>
                <w:sz w:val="20"/>
                <w:szCs w:val="20"/>
              </w:rPr>
              <w:t>2.04</w:t>
            </w:r>
          </w:p>
        </w:tc>
        <w:tc>
          <w:tcPr>
            <w:tcW w:w="992" w:type="dxa"/>
            <w:tcBorders>
              <w:top w:val="nil"/>
              <w:left w:val="double" w:sz="4" w:space="0" w:color="auto"/>
              <w:bottom w:val="nil"/>
              <w:right w:val="single" w:sz="4" w:space="0" w:color="auto"/>
            </w:tcBorders>
            <w:shd w:val="clear" w:color="auto" w:fill="auto"/>
            <w:noWrap/>
            <w:vAlign w:val="center"/>
          </w:tcPr>
          <w:p w14:paraId="4489724A" w14:textId="77777777" w:rsidR="00D47D34" w:rsidRPr="00487A62" w:rsidRDefault="00D47D34" w:rsidP="00371871">
            <w:pPr>
              <w:jc w:val="right"/>
              <w:rPr>
                <w:rFonts w:eastAsia="Times New Roman" w:cs="Times New Roman"/>
                <w:color w:val="000000"/>
                <w:sz w:val="20"/>
                <w:szCs w:val="20"/>
              </w:rPr>
            </w:pPr>
            <w:r>
              <w:rPr>
                <w:rFonts w:eastAsia="Times New Roman" w:cs="Times New Roman"/>
                <w:color w:val="000000"/>
                <w:sz w:val="20"/>
                <w:szCs w:val="20"/>
              </w:rPr>
              <w:t>--</w:t>
            </w:r>
          </w:p>
        </w:tc>
        <w:tc>
          <w:tcPr>
            <w:tcW w:w="992" w:type="dxa"/>
            <w:tcBorders>
              <w:top w:val="nil"/>
              <w:left w:val="single" w:sz="4" w:space="0" w:color="auto"/>
              <w:bottom w:val="nil"/>
              <w:right w:val="single" w:sz="12" w:space="0" w:color="auto"/>
            </w:tcBorders>
            <w:shd w:val="clear" w:color="auto" w:fill="auto"/>
            <w:noWrap/>
            <w:vAlign w:val="center"/>
          </w:tcPr>
          <w:p w14:paraId="67F25566" w14:textId="77777777" w:rsidR="00D47D34" w:rsidRPr="00487A62" w:rsidRDefault="00D47D34" w:rsidP="00371871">
            <w:pPr>
              <w:jc w:val="right"/>
              <w:rPr>
                <w:rFonts w:eastAsia="Times New Roman" w:cs="Times New Roman"/>
                <w:color w:val="000000"/>
                <w:sz w:val="20"/>
                <w:szCs w:val="20"/>
              </w:rPr>
            </w:pPr>
          </w:p>
        </w:tc>
        <w:tc>
          <w:tcPr>
            <w:tcW w:w="993" w:type="dxa"/>
            <w:tcBorders>
              <w:top w:val="nil"/>
              <w:left w:val="single" w:sz="12" w:space="0" w:color="auto"/>
              <w:bottom w:val="nil"/>
              <w:right w:val="single" w:sz="4" w:space="0" w:color="auto"/>
            </w:tcBorders>
            <w:shd w:val="clear" w:color="auto" w:fill="auto"/>
            <w:noWrap/>
            <w:vAlign w:val="center"/>
          </w:tcPr>
          <w:p w14:paraId="56C3260F" w14:textId="77777777" w:rsidR="00D47D34" w:rsidRPr="002B25D4" w:rsidRDefault="00D47D34" w:rsidP="00371871">
            <w:pPr>
              <w:jc w:val="right"/>
              <w:rPr>
                <w:rFonts w:eastAsia="Times New Roman" w:cs="Times New Roman"/>
                <w:color w:val="000000" w:themeColor="text1"/>
                <w:sz w:val="20"/>
                <w:szCs w:val="20"/>
              </w:rPr>
            </w:pPr>
            <w:r>
              <w:rPr>
                <w:rFonts w:eastAsia="Times New Roman" w:cs="Times New Roman"/>
                <w:color w:val="000000"/>
                <w:sz w:val="20"/>
                <w:szCs w:val="20"/>
              </w:rPr>
              <w:t>--</w:t>
            </w:r>
          </w:p>
        </w:tc>
        <w:tc>
          <w:tcPr>
            <w:tcW w:w="992" w:type="dxa"/>
            <w:tcBorders>
              <w:top w:val="nil"/>
              <w:left w:val="single" w:sz="4" w:space="0" w:color="auto"/>
              <w:bottom w:val="nil"/>
              <w:right w:val="double" w:sz="4" w:space="0" w:color="auto"/>
            </w:tcBorders>
            <w:shd w:val="clear" w:color="auto" w:fill="auto"/>
            <w:noWrap/>
            <w:vAlign w:val="center"/>
          </w:tcPr>
          <w:p w14:paraId="1797FEE5"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3D1A4AD1" w14:textId="77777777" w:rsidR="00D47D34" w:rsidRPr="002B25D4" w:rsidRDefault="00D47D34" w:rsidP="00371871">
            <w:pPr>
              <w:jc w:val="right"/>
              <w:rPr>
                <w:rFonts w:eastAsia="Times New Roman" w:cs="Times New Roman"/>
                <w:color w:val="000000" w:themeColor="text1"/>
                <w:sz w:val="20"/>
                <w:szCs w:val="20"/>
              </w:rPr>
            </w:pPr>
            <w:r>
              <w:rPr>
                <w:rFonts w:eastAsia="Times New Roman" w:cs="Times New Roman"/>
                <w:color w:val="000000"/>
                <w:sz w:val="20"/>
                <w:szCs w:val="20"/>
              </w:rPr>
              <w:t>--</w:t>
            </w:r>
          </w:p>
        </w:tc>
        <w:tc>
          <w:tcPr>
            <w:tcW w:w="1134" w:type="dxa"/>
            <w:tcBorders>
              <w:top w:val="nil"/>
              <w:left w:val="single" w:sz="4" w:space="0" w:color="auto"/>
              <w:bottom w:val="nil"/>
              <w:right w:val="double" w:sz="4" w:space="0" w:color="auto"/>
            </w:tcBorders>
            <w:shd w:val="clear" w:color="auto" w:fill="auto"/>
            <w:noWrap/>
            <w:vAlign w:val="center"/>
          </w:tcPr>
          <w:p w14:paraId="34B51389" w14:textId="77777777" w:rsidR="00D47D34" w:rsidRPr="002B25D4" w:rsidRDefault="00D47D34" w:rsidP="00371871">
            <w:pPr>
              <w:jc w:val="right"/>
              <w:rPr>
                <w:rFonts w:eastAsia="Times New Roman" w:cs="Times New Roman"/>
                <w:color w:val="000000" w:themeColor="text1"/>
                <w:sz w:val="20"/>
                <w:szCs w:val="20"/>
              </w:rPr>
            </w:pPr>
          </w:p>
        </w:tc>
      </w:tr>
      <w:tr w:rsidR="00D47D34" w:rsidRPr="00487A62" w14:paraId="6A47DED0" w14:textId="77777777" w:rsidTr="00FC5796">
        <w:trPr>
          <w:trHeight w:val="302"/>
        </w:trPr>
        <w:tc>
          <w:tcPr>
            <w:tcW w:w="3671" w:type="dxa"/>
            <w:tcBorders>
              <w:top w:val="nil"/>
              <w:left w:val="double" w:sz="4" w:space="0" w:color="auto"/>
              <w:bottom w:val="nil"/>
              <w:right w:val="single" w:sz="12" w:space="0" w:color="auto"/>
            </w:tcBorders>
            <w:shd w:val="clear" w:color="auto" w:fill="auto"/>
            <w:noWrap/>
            <w:vAlign w:val="bottom"/>
          </w:tcPr>
          <w:p w14:paraId="278FE959" w14:textId="77777777" w:rsidR="00D47D34" w:rsidRPr="00487A62" w:rsidRDefault="00D47D34" w:rsidP="00371871">
            <w:pPr>
              <w:rPr>
                <w:rFonts w:eastAsia="Times New Roman" w:cs="Times New Roman"/>
                <w:color w:val="000000"/>
                <w:sz w:val="20"/>
                <w:szCs w:val="20"/>
              </w:rPr>
            </w:pPr>
            <w:r w:rsidRPr="00487A62">
              <w:rPr>
                <w:rFonts w:eastAsia="Times New Roman" w:cs="Times New Roman"/>
                <w:color w:val="000000"/>
                <w:sz w:val="20"/>
                <w:szCs w:val="20"/>
              </w:rPr>
              <w:t xml:space="preserve">  Driving Control*Age&lt;30</w:t>
            </w:r>
          </w:p>
        </w:tc>
        <w:tc>
          <w:tcPr>
            <w:tcW w:w="865" w:type="dxa"/>
            <w:tcBorders>
              <w:top w:val="nil"/>
              <w:left w:val="single" w:sz="12" w:space="0" w:color="auto"/>
              <w:bottom w:val="nil"/>
              <w:right w:val="single" w:sz="4" w:space="0" w:color="auto"/>
            </w:tcBorders>
            <w:shd w:val="clear" w:color="auto" w:fill="auto"/>
            <w:noWrap/>
            <w:vAlign w:val="center"/>
          </w:tcPr>
          <w:p w14:paraId="56F7C00A" w14:textId="4F4E907F" w:rsidR="00D47D34" w:rsidRPr="00487A62" w:rsidRDefault="002410C0" w:rsidP="00371871">
            <w:pPr>
              <w:jc w:val="right"/>
              <w:rPr>
                <w:rFonts w:eastAsia="Times New Roman" w:cs="Times New Roman"/>
                <w:color w:val="000000"/>
                <w:sz w:val="20"/>
                <w:szCs w:val="20"/>
              </w:rPr>
            </w:pPr>
            <w:r>
              <w:rPr>
                <w:rFonts w:eastAsia="Times New Roman" w:cs="Times New Roman"/>
                <w:color w:val="000000"/>
                <w:sz w:val="20"/>
                <w:szCs w:val="20"/>
              </w:rPr>
              <w:t>--</w:t>
            </w:r>
          </w:p>
        </w:tc>
        <w:tc>
          <w:tcPr>
            <w:tcW w:w="836" w:type="dxa"/>
            <w:tcBorders>
              <w:top w:val="nil"/>
              <w:left w:val="single" w:sz="4" w:space="0" w:color="auto"/>
              <w:bottom w:val="nil"/>
              <w:right w:val="double" w:sz="4" w:space="0" w:color="auto"/>
            </w:tcBorders>
            <w:shd w:val="clear" w:color="auto" w:fill="auto"/>
            <w:noWrap/>
            <w:vAlign w:val="center"/>
          </w:tcPr>
          <w:p w14:paraId="798F2F1F" w14:textId="77777777" w:rsidR="00D47D34" w:rsidRPr="00487A62" w:rsidRDefault="00D47D34" w:rsidP="00371871">
            <w:pPr>
              <w:jc w:val="right"/>
              <w:rPr>
                <w:rFonts w:eastAsia="Times New Roman" w:cs="Times New Roman"/>
                <w:color w:val="000000"/>
                <w:sz w:val="20"/>
                <w:szCs w:val="20"/>
              </w:rPr>
            </w:pPr>
          </w:p>
        </w:tc>
        <w:tc>
          <w:tcPr>
            <w:tcW w:w="876" w:type="dxa"/>
            <w:tcBorders>
              <w:top w:val="nil"/>
              <w:left w:val="double" w:sz="4" w:space="0" w:color="auto"/>
              <w:bottom w:val="nil"/>
              <w:right w:val="single" w:sz="4" w:space="0" w:color="auto"/>
            </w:tcBorders>
            <w:shd w:val="clear" w:color="auto" w:fill="auto"/>
            <w:noWrap/>
            <w:vAlign w:val="center"/>
          </w:tcPr>
          <w:p w14:paraId="050FC342"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0.</w:t>
            </w:r>
            <w:r>
              <w:rPr>
                <w:rFonts w:eastAsia="Times New Roman" w:cs="Times New Roman"/>
                <w:color w:val="000000"/>
                <w:sz w:val="20"/>
                <w:szCs w:val="20"/>
              </w:rPr>
              <w:t>098</w:t>
            </w:r>
          </w:p>
        </w:tc>
        <w:tc>
          <w:tcPr>
            <w:tcW w:w="825" w:type="dxa"/>
            <w:tcBorders>
              <w:top w:val="nil"/>
              <w:left w:val="single" w:sz="4" w:space="0" w:color="auto"/>
              <w:bottom w:val="nil"/>
              <w:right w:val="double" w:sz="4" w:space="0" w:color="auto"/>
            </w:tcBorders>
            <w:shd w:val="clear" w:color="auto" w:fill="auto"/>
            <w:noWrap/>
            <w:vAlign w:val="center"/>
          </w:tcPr>
          <w:p w14:paraId="48C26C5B"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1</w:t>
            </w:r>
            <w:r>
              <w:rPr>
                <w:rFonts w:eastAsia="Times New Roman" w:cs="Times New Roman"/>
                <w:color w:val="000000"/>
                <w:sz w:val="20"/>
                <w:szCs w:val="20"/>
              </w:rPr>
              <w:t>.69</w:t>
            </w:r>
          </w:p>
        </w:tc>
        <w:tc>
          <w:tcPr>
            <w:tcW w:w="992" w:type="dxa"/>
            <w:tcBorders>
              <w:top w:val="nil"/>
              <w:left w:val="double" w:sz="4" w:space="0" w:color="auto"/>
              <w:bottom w:val="nil"/>
              <w:right w:val="single" w:sz="4" w:space="0" w:color="auto"/>
            </w:tcBorders>
            <w:shd w:val="clear" w:color="auto" w:fill="auto"/>
            <w:noWrap/>
            <w:vAlign w:val="center"/>
          </w:tcPr>
          <w:p w14:paraId="65C3AD6E" w14:textId="77777777" w:rsidR="00D47D34" w:rsidRPr="00487A62" w:rsidRDefault="00D47D34" w:rsidP="00371871">
            <w:pPr>
              <w:jc w:val="right"/>
              <w:rPr>
                <w:rFonts w:eastAsia="Times New Roman" w:cs="Times New Roman"/>
                <w:color w:val="000000"/>
                <w:sz w:val="20"/>
                <w:szCs w:val="20"/>
              </w:rPr>
            </w:pPr>
            <w:r>
              <w:rPr>
                <w:rFonts w:eastAsia="Times New Roman" w:cs="Times New Roman"/>
                <w:color w:val="000000"/>
                <w:sz w:val="20"/>
                <w:szCs w:val="20"/>
              </w:rPr>
              <w:t>--</w:t>
            </w:r>
          </w:p>
        </w:tc>
        <w:tc>
          <w:tcPr>
            <w:tcW w:w="992" w:type="dxa"/>
            <w:tcBorders>
              <w:top w:val="nil"/>
              <w:left w:val="single" w:sz="4" w:space="0" w:color="auto"/>
              <w:bottom w:val="nil"/>
              <w:right w:val="single" w:sz="12" w:space="0" w:color="auto"/>
            </w:tcBorders>
            <w:shd w:val="clear" w:color="auto" w:fill="auto"/>
            <w:noWrap/>
            <w:vAlign w:val="center"/>
          </w:tcPr>
          <w:p w14:paraId="1EE15504" w14:textId="77777777" w:rsidR="00D47D34" w:rsidRPr="00487A62" w:rsidRDefault="00D47D34" w:rsidP="00371871">
            <w:pPr>
              <w:jc w:val="right"/>
              <w:rPr>
                <w:rFonts w:eastAsia="Times New Roman" w:cs="Times New Roman"/>
                <w:color w:val="000000"/>
                <w:sz w:val="20"/>
                <w:szCs w:val="20"/>
              </w:rPr>
            </w:pPr>
          </w:p>
        </w:tc>
        <w:tc>
          <w:tcPr>
            <w:tcW w:w="993" w:type="dxa"/>
            <w:tcBorders>
              <w:top w:val="nil"/>
              <w:left w:val="single" w:sz="12" w:space="0" w:color="auto"/>
              <w:bottom w:val="nil"/>
              <w:right w:val="single" w:sz="4" w:space="0" w:color="auto"/>
            </w:tcBorders>
            <w:shd w:val="clear" w:color="auto" w:fill="auto"/>
            <w:noWrap/>
            <w:vAlign w:val="center"/>
          </w:tcPr>
          <w:p w14:paraId="45873E30" w14:textId="77777777" w:rsidR="00D47D34" w:rsidRPr="002B25D4" w:rsidRDefault="00D47D34" w:rsidP="00371871">
            <w:pPr>
              <w:jc w:val="right"/>
              <w:rPr>
                <w:rFonts w:eastAsia="Times New Roman" w:cs="Times New Roman"/>
                <w:color w:val="000000" w:themeColor="text1"/>
                <w:sz w:val="20"/>
                <w:szCs w:val="20"/>
              </w:rPr>
            </w:pPr>
            <w:r>
              <w:rPr>
                <w:rFonts w:eastAsia="Times New Roman" w:cs="Times New Roman"/>
                <w:color w:val="000000"/>
                <w:sz w:val="20"/>
                <w:szCs w:val="20"/>
              </w:rPr>
              <w:t>--</w:t>
            </w:r>
          </w:p>
        </w:tc>
        <w:tc>
          <w:tcPr>
            <w:tcW w:w="992" w:type="dxa"/>
            <w:tcBorders>
              <w:top w:val="nil"/>
              <w:left w:val="single" w:sz="4" w:space="0" w:color="auto"/>
              <w:bottom w:val="nil"/>
              <w:right w:val="double" w:sz="4" w:space="0" w:color="auto"/>
            </w:tcBorders>
            <w:shd w:val="clear" w:color="auto" w:fill="auto"/>
            <w:noWrap/>
            <w:vAlign w:val="center"/>
          </w:tcPr>
          <w:p w14:paraId="70699911"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1E221504" w14:textId="77777777" w:rsidR="00D47D34" w:rsidRPr="002B25D4" w:rsidRDefault="00D47D34" w:rsidP="00371871">
            <w:pPr>
              <w:jc w:val="right"/>
              <w:rPr>
                <w:rFonts w:eastAsia="Times New Roman" w:cs="Times New Roman"/>
                <w:color w:val="000000" w:themeColor="text1"/>
                <w:sz w:val="20"/>
                <w:szCs w:val="20"/>
              </w:rPr>
            </w:pPr>
            <w:r w:rsidRPr="00487A62">
              <w:rPr>
                <w:rFonts w:eastAsia="Times New Roman" w:cs="Times New Roman"/>
                <w:color w:val="000000"/>
                <w:sz w:val="20"/>
                <w:szCs w:val="20"/>
              </w:rPr>
              <w:t>0.1</w:t>
            </w:r>
            <w:r>
              <w:rPr>
                <w:rFonts w:eastAsia="Times New Roman" w:cs="Times New Roman"/>
                <w:color w:val="000000"/>
                <w:sz w:val="20"/>
                <w:szCs w:val="20"/>
              </w:rPr>
              <w:t>30</w:t>
            </w:r>
          </w:p>
        </w:tc>
        <w:tc>
          <w:tcPr>
            <w:tcW w:w="1134" w:type="dxa"/>
            <w:tcBorders>
              <w:top w:val="nil"/>
              <w:left w:val="single" w:sz="4" w:space="0" w:color="auto"/>
              <w:bottom w:val="nil"/>
              <w:right w:val="double" w:sz="4" w:space="0" w:color="auto"/>
            </w:tcBorders>
            <w:shd w:val="clear" w:color="auto" w:fill="auto"/>
            <w:noWrap/>
            <w:vAlign w:val="center"/>
          </w:tcPr>
          <w:p w14:paraId="1C8D0D67" w14:textId="77777777" w:rsidR="00D47D34" w:rsidRPr="002B25D4" w:rsidRDefault="00D47D34" w:rsidP="00371871">
            <w:pPr>
              <w:jc w:val="right"/>
              <w:rPr>
                <w:rFonts w:eastAsia="Times New Roman" w:cs="Times New Roman"/>
                <w:color w:val="000000" w:themeColor="text1"/>
                <w:sz w:val="20"/>
                <w:szCs w:val="20"/>
              </w:rPr>
            </w:pPr>
            <w:r w:rsidRPr="00487A62">
              <w:rPr>
                <w:rFonts w:eastAsia="Times New Roman" w:cs="Times New Roman"/>
                <w:color w:val="000000"/>
                <w:sz w:val="20"/>
                <w:szCs w:val="20"/>
              </w:rPr>
              <w:t>1.</w:t>
            </w:r>
            <w:r>
              <w:rPr>
                <w:rFonts w:eastAsia="Times New Roman" w:cs="Times New Roman"/>
                <w:color w:val="000000"/>
                <w:sz w:val="20"/>
                <w:szCs w:val="20"/>
              </w:rPr>
              <w:t>62</w:t>
            </w:r>
          </w:p>
        </w:tc>
      </w:tr>
      <w:tr w:rsidR="00D47D34" w:rsidRPr="00487A62" w14:paraId="66BDF9BD" w14:textId="77777777" w:rsidTr="00FC5796">
        <w:trPr>
          <w:trHeight w:val="302"/>
        </w:trPr>
        <w:tc>
          <w:tcPr>
            <w:tcW w:w="3671" w:type="dxa"/>
            <w:tcBorders>
              <w:top w:val="nil"/>
              <w:left w:val="double" w:sz="4" w:space="0" w:color="auto"/>
              <w:bottom w:val="nil"/>
              <w:right w:val="single" w:sz="12" w:space="0" w:color="auto"/>
            </w:tcBorders>
            <w:shd w:val="clear" w:color="auto" w:fill="auto"/>
            <w:noWrap/>
            <w:vAlign w:val="bottom"/>
          </w:tcPr>
          <w:p w14:paraId="623BCCD1" w14:textId="635C6B93" w:rsidR="00D47D34" w:rsidRPr="00487A62" w:rsidRDefault="00D47D34" w:rsidP="00371871">
            <w:pPr>
              <w:rPr>
                <w:rFonts w:eastAsia="Times New Roman" w:cs="Times New Roman"/>
                <w:color w:val="000000"/>
                <w:sz w:val="20"/>
                <w:szCs w:val="20"/>
              </w:rPr>
            </w:pPr>
            <w:r w:rsidRPr="00487A62">
              <w:rPr>
                <w:rFonts w:eastAsia="Times New Roman" w:cs="Times New Roman"/>
                <w:color w:val="000000"/>
                <w:sz w:val="20"/>
                <w:szCs w:val="20"/>
              </w:rPr>
              <w:t xml:space="preserve">  Mobility Control*Female</w:t>
            </w:r>
          </w:p>
        </w:tc>
        <w:tc>
          <w:tcPr>
            <w:tcW w:w="865" w:type="dxa"/>
            <w:tcBorders>
              <w:top w:val="nil"/>
              <w:left w:val="single" w:sz="12" w:space="0" w:color="auto"/>
              <w:bottom w:val="nil"/>
              <w:right w:val="single" w:sz="4" w:space="0" w:color="auto"/>
            </w:tcBorders>
            <w:shd w:val="clear" w:color="auto" w:fill="auto"/>
            <w:noWrap/>
            <w:vAlign w:val="center"/>
          </w:tcPr>
          <w:p w14:paraId="2B2D6669" w14:textId="67BBA384" w:rsidR="00D47D34" w:rsidRPr="00487A62" w:rsidRDefault="002410C0" w:rsidP="00371871">
            <w:pPr>
              <w:jc w:val="right"/>
              <w:rPr>
                <w:rFonts w:eastAsia="Times New Roman" w:cs="Times New Roman"/>
                <w:color w:val="000000"/>
                <w:sz w:val="20"/>
                <w:szCs w:val="20"/>
              </w:rPr>
            </w:pPr>
            <w:r>
              <w:rPr>
                <w:rFonts w:eastAsia="Times New Roman" w:cs="Times New Roman"/>
                <w:color w:val="000000"/>
                <w:sz w:val="20"/>
                <w:szCs w:val="20"/>
              </w:rPr>
              <w:t>--</w:t>
            </w:r>
          </w:p>
        </w:tc>
        <w:tc>
          <w:tcPr>
            <w:tcW w:w="836" w:type="dxa"/>
            <w:tcBorders>
              <w:top w:val="nil"/>
              <w:left w:val="single" w:sz="4" w:space="0" w:color="auto"/>
              <w:bottom w:val="nil"/>
              <w:right w:val="double" w:sz="4" w:space="0" w:color="auto"/>
            </w:tcBorders>
            <w:shd w:val="clear" w:color="auto" w:fill="auto"/>
            <w:noWrap/>
            <w:vAlign w:val="center"/>
          </w:tcPr>
          <w:p w14:paraId="07BEA6FC" w14:textId="77777777" w:rsidR="00D47D34" w:rsidRPr="00487A62" w:rsidRDefault="00D47D34" w:rsidP="00371871">
            <w:pPr>
              <w:jc w:val="right"/>
              <w:rPr>
                <w:rFonts w:eastAsia="Times New Roman" w:cs="Times New Roman"/>
                <w:color w:val="000000"/>
                <w:sz w:val="20"/>
                <w:szCs w:val="20"/>
              </w:rPr>
            </w:pPr>
          </w:p>
        </w:tc>
        <w:tc>
          <w:tcPr>
            <w:tcW w:w="876" w:type="dxa"/>
            <w:tcBorders>
              <w:top w:val="nil"/>
              <w:left w:val="double" w:sz="4" w:space="0" w:color="auto"/>
              <w:bottom w:val="nil"/>
              <w:right w:val="single" w:sz="4" w:space="0" w:color="auto"/>
            </w:tcBorders>
            <w:shd w:val="clear" w:color="auto" w:fill="auto"/>
            <w:noWrap/>
            <w:vAlign w:val="center"/>
          </w:tcPr>
          <w:p w14:paraId="3818C70C"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0.</w:t>
            </w:r>
            <w:r>
              <w:rPr>
                <w:rFonts w:eastAsia="Times New Roman" w:cs="Times New Roman"/>
                <w:color w:val="000000"/>
                <w:sz w:val="20"/>
                <w:szCs w:val="20"/>
              </w:rPr>
              <w:t>199</w:t>
            </w:r>
          </w:p>
        </w:tc>
        <w:tc>
          <w:tcPr>
            <w:tcW w:w="825" w:type="dxa"/>
            <w:tcBorders>
              <w:top w:val="nil"/>
              <w:left w:val="single" w:sz="4" w:space="0" w:color="auto"/>
              <w:bottom w:val="nil"/>
              <w:right w:val="double" w:sz="4" w:space="0" w:color="auto"/>
            </w:tcBorders>
            <w:shd w:val="clear" w:color="auto" w:fill="auto"/>
            <w:noWrap/>
            <w:vAlign w:val="center"/>
          </w:tcPr>
          <w:p w14:paraId="2998E55D" w14:textId="77777777" w:rsidR="00D47D34" w:rsidRPr="00487A62" w:rsidRDefault="00D47D34" w:rsidP="00371871">
            <w:pPr>
              <w:jc w:val="right"/>
              <w:rPr>
                <w:rFonts w:eastAsia="Times New Roman" w:cs="Times New Roman"/>
                <w:color w:val="000000"/>
                <w:sz w:val="20"/>
                <w:szCs w:val="20"/>
              </w:rPr>
            </w:pPr>
            <w:r>
              <w:rPr>
                <w:rFonts w:eastAsia="Times New Roman" w:cs="Times New Roman"/>
                <w:color w:val="000000"/>
                <w:sz w:val="20"/>
                <w:szCs w:val="20"/>
              </w:rPr>
              <w:t>3.03</w:t>
            </w:r>
          </w:p>
        </w:tc>
        <w:tc>
          <w:tcPr>
            <w:tcW w:w="992" w:type="dxa"/>
            <w:tcBorders>
              <w:top w:val="nil"/>
              <w:left w:val="double" w:sz="4" w:space="0" w:color="auto"/>
              <w:bottom w:val="nil"/>
              <w:right w:val="single" w:sz="4" w:space="0" w:color="auto"/>
            </w:tcBorders>
            <w:shd w:val="clear" w:color="auto" w:fill="auto"/>
            <w:noWrap/>
            <w:vAlign w:val="center"/>
          </w:tcPr>
          <w:p w14:paraId="69A3D7A1" w14:textId="77777777" w:rsidR="00D47D34" w:rsidRPr="00487A62" w:rsidRDefault="00D47D34" w:rsidP="00371871">
            <w:pPr>
              <w:jc w:val="right"/>
              <w:rPr>
                <w:rFonts w:eastAsia="Times New Roman" w:cs="Times New Roman"/>
                <w:color w:val="000000"/>
                <w:sz w:val="20"/>
                <w:szCs w:val="20"/>
              </w:rPr>
            </w:pPr>
            <w:r>
              <w:rPr>
                <w:rFonts w:eastAsia="Times New Roman" w:cs="Times New Roman"/>
                <w:color w:val="000000"/>
                <w:sz w:val="20"/>
                <w:szCs w:val="20"/>
              </w:rPr>
              <w:t>--</w:t>
            </w:r>
          </w:p>
        </w:tc>
        <w:tc>
          <w:tcPr>
            <w:tcW w:w="992" w:type="dxa"/>
            <w:tcBorders>
              <w:top w:val="nil"/>
              <w:left w:val="single" w:sz="4" w:space="0" w:color="auto"/>
              <w:bottom w:val="nil"/>
              <w:right w:val="single" w:sz="12" w:space="0" w:color="auto"/>
            </w:tcBorders>
            <w:shd w:val="clear" w:color="auto" w:fill="auto"/>
            <w:noWrap/>
            <w:vAlign w:val="center"/>
          </w:tcPr>
          <w:p w14:paraId="4D943A31" w14:textId="77777777" w:rsidR="00D47D34" w:rsidRPr="00487A62" w:rsidRDefault="00D47D34" w:rsidP="00371871">
            <w:pPr>
              <w:jc w:val="right"/>
              <w:rPr>
                <w:rFonts w:eastAsia="Times New Roman" w:cs="Times New Roman"/>
                <w:color w:val="000000"/>
                <w:sz w:val="20"/>
                <w:szCs w:val="20"/>
              </w:rPr>
            </w:pPr>
          </w:p>
        </w:tc>
        <w:tc>
          <w:tcPr>
            <w:tcW w:w="993" w:type="dxa"/>
            <w:tcBorders>
              <w:top w:val="nil"/>
              <w:left w:val="single" w:sz="12" w:space="0" w:color="auto"/>
              <w:bottom w:val="nil"/>
              <w:right w:val="single" w:sz="4" w:space="0" w:color="auto"/>
            </w:tcBorders>
            <w:shd w:val="clear" w:color="auto" w:fill="auto"/>
            <w:noWrap/>
            <w:vAlign w:val="center"/>
          </w:tcPr>
          <w:p w14:paraId="4A89498F" w14:textId="77777777" w:rsidR="00D47D34" w:rsidRPr="002B25D4" w:rsidRDefault="00D47D34" w:rsidP="00371871">
            <w:pPr>
              <w:jc w:val="right"/>
              <w:rPr>
                <w:rFonts w:eastAsia="Times New Roman" w:cs="Times New Roman"/>
                <w:color w:val="000000" w:themeColor="text1"/>
                <w:sz w:val="20"/>
                <w:szCs w:val="20"/>
              </w:rPr>
            </w:pPr>
            <w:r>
              <w:rPr>
                <w:rFonts w:eastAsia="Times New Roman" w:cs="Times New Roman"/>
                <w:color w:val="000000"/>
                <w:sz w:val="20"/>
                <w:szCs w:val="20"/>
              </w:rPr>
              <w:t>--</w:t>
            </w:r>
          </w:p>
        </w:tc>
        <w:tc>
          <w:tcPr>
            <w:tcW w:w="992" w:type="dxa"/>
            <w:tcBorders>
              <w:top w:val="nil"/>
              <w:left w:val="single" w:sz="4" w:space="0" w:color="auto"/>
              <w:bottom w:val="nil"/>
              <w:right w:val="double" w:sz="4" w:space="0" w:color="auto"/>
            </w:tcBorders>
            <w:shd w:val="clear" w:color="auto" w:fill="auto"/>
            <w:noWrap/>
            <w:vAlign w:val="center"/>
          </w:tcPr>
          <w:p w14:paraId="0FD7D209"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65A16A00" w14:textId="77777777" w:rsidR="00D47D34" w:rsidRPr="002B25D4" w:rsidRDefault="00D47D34" w:rsidP="00371871">
            <w:pPr>
              <w:jc w:val="right"/>
              <w:rPr>
                <w:rFonts w:eastAsia="Times New Roman" w:cs="Times New Roman"/>
                <w:color w:val="000000" w:themeColor="text1"/>
                <w:sz w:val="20"/>
                <w:szCs w:val="20"/>
              </w:rPr>
            </w:pPr>
            <w:r>
              <w:rPr>
                <w:rFonts w:eastAsia="Times New Roman" w:cs="Times New Roman"/>
                <w:color w:val="000000"/>
                <w:sz w:val="20"/>
                <w:szCs w:val="20"/>
              </w:rPr>
              <w:t>--</w:t>
            </w:r>
          </w:p>
        </w:tc>
        <w:tc>
          <w:tcPr>
            <w:tcW w:w="1134" w:type="dxa"/>
            <w:tcBorders>
              <w:top w:val="nil"/>
              <w:left w:val="single" w:sz="4" w:space="0" w:color="auto"/>
              <w:bottom w:val="nil"/>
              <w:right w:val="double" w:sz="4" w:space="0" w:color="auto"/>
            </w:tcBorders>
            <w:shd w:val="clear" w:color="auto" w:fill="auto"/>
            <w:noWrap/>
            <w:vAlign w:val="center"/>
          </w:tcPr>
          <w:p w14:paraId="7C6C6DD2" w14:textId="77777777" w:rsidR="00D47D34" w:rsidRPr="002B25D4" w:rsidRDefault="00D47D34" w:rsidP="00371871">
            <w:pPr>
              <w:jc w:val="right"/>
              <w:rPr>
                <w:rFonts w:eastAsia="Times New Roman" w:cs="Times New Roman"/>
                <w:color w:val="000000" w:themeColor="text1"/>
                <w:sz w:val="20"/>
                <w:szCs w:val="20"/>
              </w:rPr>
            </w:pPr>
          </w:p>
        </w:tc>
      </w:tr>
      <w:tr w:rsidR="00D47D34" w:rsidRPr="00487A62" w14:paraId="29D9F91E" w14:textId="77777777" w:rsidTr="00FC5796">
        <w:trPr>
          <w:trHeight w:val="302"/>
        </w:trPr>
        <w:tc>
          <w:tcPr>
            <w:tcW w:w="3671" w:type="dxa"/>
            <w:tcBorders>
              <w:top w:val="nil"/>
              <w:left w:val="double" w:sz="4" w:space="0" w:color="auto"/>
              <w:bottom w:val="nil"/>
              <w:right w:val="single" w:sz="12" w:space="0" w:color="auto"/>
            </w:tcBorders>
            <w:shd w:val="clear" w:color="auto" w:fill="auto"/>
            <w:noWrap/>
            <w:vAlign w:val="bottom"/>
          </w:tcPr>
          <w:p w14:paraId="2122A998" w14:textId="77777777" w:rsidR="00D47D34" w:rsidRPr="00487A62" w:rsidRDefault="00D47D34" w:rsidP="00371871">
            <w:pPr>
              <w:rPr>
                <w:rFonts w:eastAsia="Times New Roman" w:cs="Times New Roman"/>
                <w:color w:val="000000"/>
                <w:sz w:val="20"/>
                <w:szCs w:val="20"/>
              </w:rPr>
            </w:pPr>
            <w:r>
              <w:rPr>
                <w:rFonts w:eastAsia="Times New Roman" w:cs="Times New Roman"/>
                <w:b/>
                <w:bCs/>
                <w:i/>
                <w:iCs/>
                <w:color w:val="000000"/>
                <w:sz w:val="20"/>
                <w:szCs w:val="20"/>
              </w:rPr>
              <w:t>Individual-level</w:t>
            </w:r>
            <w:r w:rsidRPr="00487A62">
              <w:rPr>
                <w:rFonts w:eastAsia="Times New Roman" w:cs="Times New Roman"/>
                <w:b/>
                <w:bCs/>
                <w:i/>
                <w:iCs/>
                <w:color w:val="000000"/>
                <w:sz w:val="20"/>
                <w:szCs w:val="20"/>
              </w:rPr>
              <w:t xml:space="preserve"> Characteristics</w:t>
            </w:r>
          </w:p>
        </w:tc>
        <w:tc>
          <w:tcPr>
            <w:tcW w:w="865" w:type="dxa"/>
            <w:tcBorders>
              <w:top w:val="nil"/>
              <w:left w:val="single" w:sz="12" w:space="0" w:color="auto"/>
              <w:bottom w:val="nil"/>
              <w:right w:val="single" w:sz="4" w:space="0" w:color="auto"/>
            </w:tcBorders>
            <w:shd w:val="clear" w:color="auto" w:fill="auto"/>
            <w:noWrap/>
            <w:vAlign w:val="center"/>
          </w:tcPr>
          <w:p w14:paraId="49D0EF34" w14:textId="77777777" w:rsidR="00D47D34" w:rsidRPr="00487A62" w:rsidRDefault="00D47D34" w:rsidP="00371871">
            <w:pPr>
              <w:jc w:val="right"/>
              <w:rPr>
                <w:rFonts w:eastAsia="Times New Roman" w:cs="Times New Roman"/>
                <w:color w:val="000000"/>
                <w:sz w:val="20"/>
                <w:szCs w:val="20"/>
              </w:rPr>
            </w:pPr>
          </w:p>
        </w:tc>
        <w:tc>
          <w:tcPr>
            <w:tcW w:w="836" w:type="dxa"/>
            <w:tcBorders>
              <w:top w:val="nil"/>
              <w:left w:val="single" w:sz="4" w:space="0" w:color="auto"/>
              <w:bottom w:val="nil"/>
              <w:right w:val="double" w:sz="4" w:space="0" w:color="auto"/>
            </w:tcBorders>
            <w:shd w:val="clear" w:color="auto" w:fill="auto"/>
            <w:noWrap/>
            <w:vAlign w:val="center"/>
          </w:tcPr>
          <w:p w14:paraId="6F758690" w14:textId="77777777" w:rsidR="00D47D34" w:rsidRPr="00487A62" w:rsidRDefault="00D47D34" w:rsidP="00371871">
            <w:pPr>
              <w:jc w:val="right"/>
              <w:rPr>
                <w:rFonts w:eastAsia="Times New Roman" w:cs="Times New Roman"/>
                <w:color w:val="000000"/>
                <w:sz w:val="20"/>
                <w:szCs w:val="20"/>
              </w:rPr>
            </w:pPr>
          </w:p>
        </w:tc>
        <w:tc>
          <w:tcPr>
            <w:tcW w:w="876" w:type="dxa"/>
            <w:tcBorders>
              <w:top w:val="nil"/>
              <w:left w:val="double" w:sz="4" w:space="0" w:color="auto"/>
              <w:bottom w:val="nil"/>
              <w:right w:val="single" w:sz="4" w:space="0" w:color="auto"/>
            </w:tcBorders>
            <w:shd w:val="clear" w:color="auto" w:fill="auto"/>
            <w:noWrap/>
            <w:vAlign w:val="center"/>
          </w:tcPr>
          <w:p w14:paraId="0AB83901" w14:textId="77777777" w:rsidR="00D47D34" w:rsidRPr="00487A62" w:rsidRDefault="00D47D34" w:rsidP="00371871">
            <w:pPr>
              <w:jc w:val="right"/>
              <w:rPr>
                <w:rFonts w:eastAsia="Times New Roman" w:cs="Times New Roman"/>
                <w:color w:val="000000"/>
                <w:sz w:val="20"/>
                <w:szCs w:val="20"/>
              </w:rPr>
            </w:pPr>
          </w:p>
        </w:tc>
        <w:tc>
          <w:tcPr>
            <w:tcW w:w="825" w:type="dxa"/>
            <w:tcBorders>
              <w:top w:val="nil"/>
              <w:left w:val="single" w:sz="4" w:space="0" w:color="auto"/>
              <w:bottom w:val="nil"/>
              <w:right w:val="double" w:sz="4" w:space="0" w:color="auto"/>
            </w:tcBorders>
            <w:shd w:val="clear" w:color="auto" w:fill="auto"/>
            <w:noWrap/>
            <w:vAlign w:val="center"/>
          </w:tcPr>
          <w:p w14:paraId="586F840C" w14:textId="77777777" w:rsidR="00D47D34" w:rsidRPr="00487A62" w:rsidRDefault="00D47D34" w:rsidP="00371871">
            <w:pPr>
              <w:jc w:val="right"/>
              <w:rPr>
                <w:rFonts w:eastAsia="Times New Roman" w:cs="Times New Roman"/>
                <w:color w:val="000000"/>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4929B266" w14:textId="77777777" w:rsidR="00D47D34" w:rsidRPr="00487A62" w:rsidRDefault="00D47D34" w:rsidP="00371871">
            <w:pPr>
              <w:jc w:val="right"/>
              <w:rPr>
                <w:rFonts w:eastAsia="Times New Roman" w:cs="Times New Roman"/>
                <w:color w:val="000000"/>
                <w:sz w:val="20"/>
                <w:szCs w:val="20"/>
              </w:rPr>
            </w:pPr>
          </w:p>
        </w:tc>
        <w:tc>
          <w:tcPr>
            <w:tcW w:w="992" w:type="dxa"/>
            <w:tcBorders>
              <w:top w:val="nil"/>
              <w:left w:val="single" w:sz="4" w:space="0" w:color="auto"/>
              <w:bottom w:val="nil"/>
              <w:right w:val="single" w:sz="12" w:space="0" w:color="auto"/>
            </w:tcBorders>
            <w:shd w:val="clear" w:color="auto" w:fill="auto"/>
            <w:noWrap/>
            <w:vAlign w:val="center"/>
          </w:tcPr>
          <w:p w14:paraId="5FADDE6D" w14:textId="77777777" w:rsidR="00D47D34" w:rsidRPr="00487A62" w:rsidRDefault="00D47D34" w:rsidP="00371871">
            <w:pPr>
              <w:jc w:val="right"/>
              <w:rPr>
                <w:rFonts w:eastAsia="Times New Roman" w:cs="Times New Roman"/>
                <w:color w:val="000000"/>
                <w:sz w:val="20"/>
                <w:szCs w:val="20"/>
              </w:rPr>
            </w:pPr>
          </w:p>
        </w:tc>
        <w:tc>
          <w:tcPr>
            <w:tcW w:w="993" w:type="dxa"/>
            <w:tcBorders>
              <w:top w:val="nil"/>
              <w:left w:val="single" w:sz="12" w:space="0" w:color="auto"/>
              <w:bottom w:val="nil"/>
              <w:right w:val="single" w:sz="4" w:space="0" w:color="auto"/>
            </w:tcBorders>
            <w:shd w:val="clear" w:color="auto" w:fill="auto"/>
            <w:noWrap/>
            <w:vAlign w:val="center"/>
          </w:tcPr>
          <w:p w14:paraId="2C3AE09A"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single" w:sz="4" w:space="0" w:color="auto"/>
              <w:bottom w:val="nil"/>
              <w:right w:val="double" w:sz="4" w:space="0" w:color="auto"/>
            </w:tcBorders>
            <w:shd w:val="clear" w:color="auto" w:fill="auto"/>
            <w:noWrap/>
            <w:vAlign w:val="center"/>
          </w:tcPr>
          <w:p w14:paraId="69C74816"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1D257386" w14:textId="77777777" w:rsidR="00D47D34" w:rsidRPr="002B25D4" w:rsidRDefault="00D47D34" w:rsidP="00371871">
            <w:pPr>
              <w:jc w:val="right"/>
              <w:rPr>
                <w:rFonts w:eastAsia="Times New Roman" w:cs="Times New Roman"/>
                <w:color w:val="000000" w:themeColor="text1"/>
                <w:sz w:val="20"/>
                <w:szCs w:val="20"/>
              </w:rPr>
            </w:pPr>
          </w:p>
        </w:tc>
        <w:tc>
          <w:tcPr>
            <w:tcW w:w="1134" w:type="dxa"/>
            <w:tcBorders>
              <w:top w:val="nil"/>
              <w:left w:val="single" w:sz="4" w:space="0" w:color="auto"/>
              <w:bottom w:val="nil"/>
              <w:right w:val="double" w:sz="4" w:space="0" w:color="auto"/>
            </w:tcBorders>
            <w:shd w:val="clear" w:color="auto" w:fill="auto"/>
            <w:noWrap/>
            <w:vAlign w:val="center"/>
          </w:tcPr>
          <w:p w14:paraId="40CD9500" w14:textId="77777777" w:rsidR="00D47D34" w:rsidRPr="002B25D4" w:rsidRDefault="00D47D34" w:rsidP="00371871">
            <w:pPr>
              <w:jc w:val="right"/>
              <w:rPr>
                <w:rFonts w:eastAsia="Times New Roman" w:cs="Times New Roman"/>
                <w:color w:val="000000" w:themeColor="text1"/>
                <w:sz w:val="20"/>
                <w:szCs w:val="20"/>
              </w:rPr>
            </w:pPr>
          </w:p>
        </w:tc>
      </w:tr>
      <w:tr w:rsidR="00D47D34" w:rsidRPr="00487A62" w14:paraId="12C116BC" w14:textId="77777777" w:rsidTr="00FC5796">
        <w:trPr>
          <w:trHeight w:val="302"/>
        </w:trPr>
        <w:tc>
          <w:tcPr>
            <w:tcW w:w="3671" w:type="dxa"/>
            <w:tcBorders>
              <w:top w:val="nil"/>
              <w:left w:val="double" w:sz="4" w:space="0" w:color="auto"/>
              <w:bottom w:val="nil"/>
              <w:right w:val="single" w:sz="12" w:space="0" w:color="auto"/>
            </w:tcBorders>
            <w:shd w:val="clear" w:color="auto" w:fill="auto"/>
            <w:noWrap/>
            <w:vAlign w:val="center"/>
          </w:tcPr>
          <w:p w14:paraId="2A36BEC1" w14:textId="77777777" w:rsidR="00D47D34" w:rsidRPr="00487A62" w:rsidRDefault="00D47D34" w:rsidP="00371871">
            <w:pPr>
              <w:rPr>
                <w:rFonts w:eastAsia="Times New Roman" w:cs="Times New Roman"/>
                <w:color w:val="000000"/>
                <w:sz w:val="20"/>
                <w:szCs w:val="20"/>
              </w:rPr>
            </w:pPr>
            <w:r w:rsidRPr="00755E6C">
              <w:rPr>
                <w:rFonts w:eastAsia="Times New Roman" w:cs="Times New Roman"/>
                <w:b/>
                <w:color w:val="000000"/>
                <w:sz w:val="20"/>
                <w:szCs w:val="20"/>
              </w:rPr>
              <w:t>Age (below 64 years)</w:t>
            </w:r>
          </w:p>
        </w:tc>
        <w:tc>
          <w:tcPr>
            <w:tcW w:w="865" w:type="dxa"/>
            <w:tcBorders>
              <w:top w:val="nil"/>
              <w:left w:val="single" w:sz="12" w:space="0" w:color="auto"/>
              <w:bottom w:val="nil"/>
              <w:right w:val="single" w:sz="4" w:space="0" w:color="auto"/>
            </w:tcBorders>
            <w:shd w:val="clear" w:color="auto" w:fill="auto"/>
            <w:noWrap/>
            <w:vAlign w:val="center"/>
          </w:tcPr>
          <w:p w14:paraId="1140B733" w14:textId="77777777" w:rsidR="00D47D34" w:rsidRPr="00487A62" w:rsidRDefault="00D47D34" w:rsidP="00371871">
            <w:pPr>
              <w:jc w:val="right"/>
              <w:rPr>
                <w:rFonts w:eastAsia="Times New Roman" w:cs="Times New Roman"/>
                <w:color w:val="000000"/>
                <w:sz w:val="20"/>
                <w:szCs w:val="20"/>
              </w:rPr>
            </w:pPr>
          </w:p>
        </w:tc>
        <w:tc>
          <w:tcPr>
            <w:tcW w:w="836" w:type="dxa"/>
            <w:tcBorders>
              <w:top w:val="nil"/>
              <w:left w:val="single" w:sz="4" w:space="0" w:color="auto"/>
              <w:bottom w:val="nil"/>
              <w:right w:val="double" w:sz="4" w:space="0" w:color="auto"/>
            </w:tcBorders>
            <w:shd w:val="clear" w:color="auto" w:fill="auto"/>
            <w:noWrap/>
            <w:vAlign w:val="center"/>
          </w:tcPr>
          <w:p w14:paraId="7AC0E522" w14:textId="77777777" w:rsidR="00D47D34" w:rsidRPr="00487A62" w:rsidRDefault="00D47D34" w:rsidP="00371871">
            <w:pPr>
              <w:jc w:val="right"/>
              <w:rPr>
                <w:rFonts w:eastAsia="Times New Roman" w:cs="Times New Roman"/>
                <w:color w:val="000000"/>
                <w:sz w:val="20"/>
                <w:szCs w:val="20"/>
              </w:rPr>
            </w:pPr>
          </w:p>
        </w:tc>
        <w:tc>
          <w:tcPr>
            <w:tcW w:w="876" w:type="dxa"/>
            <w:tcBorders>
              <w:top w:val="nil"/>
              <w:left w:val="double" w:sz="4" w:space="0" w:color="auto"/>
              <w:bottom w:val="nil"/>
              <w:right w:val="single" w:sz="4" w:space="0" w:color="auto"/>
            </w:tcBorders>
            <w:shd w:val="clear" w:color="auto" w:fill="auto"/>
            <w:noWrap/>
            <w:vAlign w:val="center"/>
          </w:tcPr>
          <w:p w14:paraId="55233FBD" w14:textId="77777777" w:rsidR="00D47D34" w:rsidRPr="00487A62" w:rsidRDefault="00D47D34" w:rsidP="00371871">
            <w:pPr>
              <w:jc w:val="right"/>
              <w:rPr>
                <w:rFonts w:eastAsia="Times New Roman" w:cs="Times New Roman"/>
                <w:color w:val="000000"/>
                <w:sz w:val="20"/>
                <w:szCs w:val="20"/>
              </w:rPr>
            </w:pPr>
          </w:p>
        </w:tc>
        <w:tc>
          <w:tcPr>
            <w:tcW w:w="825" w:type="dxa"/>
            <w:tcBorders>
              <w:top w:val="nil"/>
              <w:left w:val="single" w:sz="4" w:space="0" w:color="auto"/>
              <w:bottom w:val="nil"/>
              <w:right w:val="double" w:sz="4" w:space="0" w:color="auto"/>
            </w:tcBorders>
            <w:shd w:val="clear" w:color="auto" w:fill="auto"/>
            <w:noWrap/>
            <w:vAlign w:val="center"/>
          </w:tcPr>
          <w:p w14:paraId="44510F33" w14:textId="77777777" w:rsidR="00D47D34" w:rsidRPr="00487A62" w:rsidRDefault="00D47D34" w:rsidP="00371871">
            <w:pPr>
              <w:jc w:val="right"/>
              <w:rPr>
                <w:rFonts w:eastAsia="Times New Roman" w:cs="Times New Roman"/>
                <w:color w:val="000000"/>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74C0F3B0" w14:textId="77777777" w:rsidR="00D47D34" w:rsidRPr="00487A62" w:rsidRDefault="00D47D34" w:rsidP="00371871">
            <w:pPr>
              <w:jc w:val="right"/>
              <w:rPr>
                <w:rFonts w:eastAsia="Times New Roman" w:cs="Times New Roman"/>
                <w:color w:val="000000"/>
                <w:sz w:val="20"/>
                <w:szCs w:val="20"/>
              </w:rPr>
            </w:pPr>
          </w:p>
        </w:tc>
        <w:tc>
          <w:tcPr>
            <w:tcW w:w="992" w:type="dxa"/>
            <w:tcBorders>
              <w:top w:val="nil"/>
              <w:left w:val="single" w:sz="4" w:space="0" w:color="auto"/>
              <w:bottom w:val="nil"/>
              <w:right w:val="single" w:sz="12" w:space="0" w:color="auto"/>
            </w:tcBorders>
            <w:shd w:val="clear" w:color="auto" w:fill="auto"/>
            <w:noWrap/>
            <w:vAlign w:val="center"/>
          </w:tcPr>
          <w:p w14:paraId="295190D0" w14:textId="77777777" w:rsidR="00D47D34" w:rsidRPr="00487A62" w:rsidRDefault="00D47D34" w:rsidP="00371871">
            <w:pPr>
              <w:jc w:val="right"/>
              <w:rPr>
                <w:rFonts w:eastAsia="Times New Roman" w:cs="Times New Roman"/>
                <w:color w:val="000000"/>
                <w:sz w:val="20"/>
                <w:szCs w:val="20"/>
              </w:rPr>
            </w:pPr>
          </w:p>
        </w:tc>
        <w:tc>
          <w:tcPr>
            <w:tcW w:w="993" w:type="dxa"/>
            <w:tcBorders>
              <w:top w:val="nil"/>
              <w:left w:val="single" w:sz="12" w:space="0" w:color="auto"/>
              <w:bottom w:val="nil"/>
              <w:right w:val="single" w:sz="4" w:space="0" w:color="auto"/>
            </w:tcBorders>
            <w:shd w:val="clear" w:color="auto" w:fill="auto"/>
            <w:noWrap/>
            <w:vAlign w:val="center"/>
          </w:tcPr>
          <w:p w14:paraId="392D485D"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single" w:sz="4" w:space="0" w:color="auto"/>
              <w:bottom w:val="nil"/>
              <w:right w:val="double" w:sz="4" w:space="0" w:color="auto"/>
            </w:tcBorders>
            <w:shd w:val="clear" w:color="auto" w:fill="auto"/>
            <w:noWrap/>
            <w:vAlign w:val="center"/>
          </w:tcPr>
          <w:p w14:paraId="193DF898"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7976ACC4" w14:textId="77777777" w:rsidR="00D47D34" w:rsidRPr="002B25D4" w:rsidRDefault="00D47D34" w:rsidP="00371871">
            <w:pPr>
              <w:jc w:val="right"/>
              <w:rPr>
                <w:rFonts w:eastAsia="Times New Roman" w:cs="Times New Roman"/>
                <w:color w:val="000000" w:themeColor="text1"/>
                <w:sz w:val="20"/>
                <w:szCs w:val="20"/>
              </w:rPr>
            </w:pPr>
          </w:p>
        </w:tc>
        <w:tc>
          <w:tcPr>
            <w:tcW w:w="1134" w:type="dxa"/>
            <w:tcBorders>
              <w:top w:val="nil"/>
              <w:left w:val="single" w:sz="4" w:space="0" w:color="auto"/>
              <w:bottom w:val="nil"/>
              <w:right w:val="double" w:sz="4" w:space="0" w:color="auto"/>
            </w:tcBorders>
            <w:shd w:val="clear" w:color="auto" w:fill="auto"/>
            <w:noWrap/>
            <w:vAlign w:val="center"/>
          </w:tcPr>
          <w:p w14:paraId="58CEDB54" w14:textId="77777777" w:rsidR="00D47D34" w:rsidRPr="002B25D4" w:rsidRDefault="00D47D34" w:rsidP="00371871">
            <w:pPr>
              <w:jc w:val="right"/>
              <w:rPr>
                <w:rFonts w:eastAsia="Times New Roman" w:cs="Times New Roman"/>
                <w:color w:val="000000" w:themeColor="text1"/>
                <w:sz w:val="20"/>
                <w:szCs w:val="20"/>
              </w:rPr>
            </w:pPr>
          </w:p>
        </w:tc>
      </w:tr>
      <w:tr w:rsidR="00D47D34" w:rsidRPr="00487A62" w14:paraId="05399888" w14:textId="77777777" w:rsidTr="00FC5796">
        <w:trPr>
          <w:trHeight w:val="302"/>
        </w:trPr>
        <w:tc>
          <w:tcPr>
            <w:tcW w:w="3671" w:type="dxa"/>
            <w:tcBorders>
              <w:top w:val="nil"/>
              <w:left w:val="double" w:sz="4" w:space="0" w:color="auto"/>
              <w:bottom w:val="nil"/>
              <w:right w:val="single" w:sz="12" w:space="0" w:color="auto"/>
            </w:tcBorders>
            <w:shd w:val="clear" w:color="auto" w:fill="auto"/>
            <w:noWrap/>
            <w:vAlign w:val="center"/>
          </w:tcPr>
          <w:p w14:paraId="1491EF62" w14:textId="77777777" w:rsidR="00D47D34" w:rsidRPr="00487A62" w:rsidRDefault="00D47D34" w:rsidP="00371871">
            <w:pPr>
              <w:rPr>
                <w:rFonts w:eastAsia="Times New Roman" w:cs="Times New Roman"/>
                <w:color w:val="000000"/>
                <w:sz w:val="20"/>
                <w:szCs w:val="20"/>
              </w:rPr>
            </w:pPr>
            <w:r w:rsidRPr="00487A62">
              <w:rPr>
                <w:rFonts w:eastAsia="Times New Roman" w:cs="Times New Roman"/>
                <w:color w:val="000000"/>
                <w:sz w:val="20"/>
                <w:szCs w:val="20"/>
              </w:rPr>
              <w:t xml:space="preserve">  6</w:t>
            </w:r>
            <w:r>
              <w:rPr>
                <w:rFonts w:eastAsia="Times New Roman" w:cs="Times New Roman"/>
                <w:color w:val="000000"/>
                <w:sz w:val="20"/>
                <w:szCs w:val="20"/>
              </w:rPr>
              <w:t>4</w:t>
            </w:r>
            <w:r w:rsidRPr="00487A62">
              <w:rPr>
                <w:rFonts w:eastAsia="Times New Roman" w:cs="Times New Roman"/>
                <w:color w:val="000000"/>
                <w:sz w:val="20"/>
                <w:szCs w:val="20"/>
              </w:rPr>
              <w:t xml:space="preserve"> or older</w:t>
            </w:r>
          </w:p>
        </w:tc>
        <w:tc>
          <w:tcPr>
            <w:tcW w:w="865" w:type="dxa"/>
            <w:tcBorders>
              <w:top w:val="nil"/>
              <w:left w:val="single" w:sz="12" w:space="0" w:color="auto"/>
              <w:bottom w:val="nil"/>
              <w:right w:val="single" w:sz="4" w:space="0" w:color="auto"/>
            </w:tcBorders>
            <w:shd w:val="clear" w:color="auto" w:fill="auto"/>
            <w:noWrap/>
            <w:vAlign w:val="center"/>
          </w:tcPr>
          <w:p w14:paraId="3D994836" w14:textId="64E911AA" w:rsidR="00D47D34" w:rsidRPr="00487A62" w:rsidRDefault="002410C0" w:rsidP="00371871">
            <w:pPr>
              <w:jc w:val="right"/>
              <w:rPr>
                <w:rFonts w:eastAsia="Times New Roman" w:cs="Times New Roman"/>
                <w:color w:val="000000"/>
                <w:sz w:val="20"/>
                <w:szCs w:val="20"/>
              </w:rPr>
            </w:pPr>
            <w:r>
              <w:rPr>
                <w:rFonts w:eastAsia="Times New Roman" w:cs="Times New Roman"/>
                <w:color w:val="000000"/>
                <w:sz w:val="20"/>
                <w:szCs w:val="20"/>
              </w:rPr>
              <w:t>--</w:t>
            </w:r>
          </w:p>
        </w:tc>
        <w:tc>
          <w:tcPr>
            <w:tcW w:w="836" w:type="dxa"/>
            <w:tcBorders>
              <w:top w:val="nil"/>
              <w:left w:val="single" w:sz="4" w:space="0" w:color="auto"/>
              <w:bottom w:val="nil"/>
              <w:right w:val="double" w:sz="4" w:space="0" w:color="auto"/>
            </w:tcBorders>
            <w:shd w:val="clear" w:color="auto" w:fill="auto"/>
            <w:noWrap/>
            <w:vAlign w:val="center"/>
          </w:tcPr>
          <w:p w14:paraId="3C740FA4" w14:textId="77777777" w:rsidR="00D47D34" w:rsidRPr="00487A62" w:rsidRDefault="00D47D34" w:rsidP="00371871">
            <w:pPr>
              <w:jc w:val="right"/>
              <w:rPr>
                <w:rFonts w:eastAsia="Times New Roman" w:cs="Times New Roman"/>
                <w:color w:val="000000"/>
                <w:sz w:val="20"/>
                <w:szCs w:val="20"/>
              </w:rPr>
            </w:pPr>
          </w:p>
        </w:tc>
        <w:tc>
          <w:tcPr>
            <w:tcW w:w="876" w:type="dxa"/>
            <w:tcBorders>
              <w:top w:val="nil"/>
              <w:left w:val="double" w:sz="4" w:space="0" w:color="auto"/>
              <w:bottom w:val="nil"/>
              <w:right w:val="single" w:sz="4" w:space="0" w:color="auto"/>
            </w:tcBorders>
            <w:shd w:val="clear" w:color="auto" w:fill="auto"/>
            <w:noWrap/>
            <w:vAlign w:val="center"/>
          </w:tcPr>
          <w:p w14:paraId="4B88E01E"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-0.</w:t>
            </w:r>
            <w:r>
              <w:rPr>
                <w:rFonts w:eastAsia="Times New Roman" w:cs="Times New Roman"/>
                <w:color w:val="000000"/>
                <w:sz w:val="20"/>
                <w:szCs w:val="20"/>
              </w:rPr>
              <w:t>277</w:t>
            </w:r>
          </w:p>
        </w:tc>
        <w:tc>
          <w:tcPr>
            <w:tcW w:w="825" w:type="dxa"/>
            <w:tcBorders>
              <w:top w:val="nil"/>
              <w:left w:val="single" w:sz="4" w:space="0" w:color="auto"/>
              <w:bottom w:val="nil"/>
              <w:right w:val="double" w:sz="4" w:space="0" w:color="auto"/>
            </w:tcBorders>
            <w:shd w:val="clear" w:color="auto" w:fill="auto"/>
            <w:noWrap/>
            <w:vAlign w:val="center"/>
          </w:tcPr>
          <w:p w14:paraId="5D0ABB0F"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w:t>
            </w:r>
            <w:r>
              <w:rPr>
                <w:rFonts w:eastAsia="Times New Roman" w:cs="Times New Roman"/>
                <w:color w:val="000000"/>
                <w:sz w:val="20"/>
                <w:szCs w:val="20"/>
              </w:rPr>
              <w:t>2.58</w:t>
            </w:r>
          </w:p>
        </w:tc>
        <w:tc>
          <w:tcPr>
            <w:tcW w:w="992" w:type="dxa"/>
            <w:tcBorders>
              <w:top w:val="nil"/>
              <w:left w:val="double" w:sz="4" w:space="0" w:color="auto"/>
              <w:bottom w:val="nil"/>
              <w:right w:val="single" w:sz="4" w:space="0" w:color="auto"/>
            </w:tcBorders>
            <w:shd w:val="clear" w:color="auto" w:fill="auto"/>
            <w:noWrap/>
            <w:vAlign w:val="center"/>
          </w:tcPr>
          <w:p w14:paraId="7FB71852"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-0.</w:t>
            </w:r>
            <w:r>
              <w:rPr>
                <w:rFonts w:eastAsia="Times New Roman" w:cs="Times New Roman"/>
                <w:color w:val="000000"/>
                <w:sz w:val="20"/>
                <w:szCs w:val="20"/>
              </w:rPr>
              <w:t>165</w:t>
            </w:r>
          </w:p>
        </w:tc>
        <w:tc>
          <w:tcPr>
            <w:tcW w:w="992" w:type="dxa"/>
            <w:tcBorders>
              <w:top w:val="nil"/>
              <w:left w:val="single" w:sz="4" w:space="0" w:color="auto"/>
              <w:bottom w:val="nil"/>
              <w:right w:val="single" w:sz="12" w:space="0" w:color="auto"/>
            </w:tcBorders>
            <w:shd w:val="clear" w:color="auto" w:fill="auto"/>
            <w:noWrap/>
            <w:vAlign w:val="center"/>
          </w:tcPr>
          <w:p w14:paraId="2E2CF4E1"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w:t>
            </w:r>
            <w:r>
              <w:rPr>
                <w:rFonts w:eastAsia="Times New Roman" w:cs="Times New Roman"/>
                <w:color w:val="000000"/>
                <w:sz w:val="20"/>
                <w:szCs w:val="20"/>
              </w:rPr>
              <w:t>1.73</w:t>
            </w:r>
          </w:p>
        </w:tc>
        <w:tc>
          <w:tcPr>
            <w:tcW w:w="993" w:type="dxa"/>
            <w:tcBorders>
              <w:top w:val="nil"/>
              <w:left w:val="single" w:sz="12" w:space="0" w:color="auto"/>
              <w:bottom w:val="nil"/>
              <w:right w:val="single" w:sz="4" w:space="0" w:color="auto"/>
            </w:tcBorders>
            <w:shd w:val="clear" w:color="auto" w:fill="auto"/>
            <w:noWrap/>
            <w:vAlign w:val="center"/>
          </w:tcPr>
          <w:p w14:paraId="0DBB3595" w14:textId="77777777" w:rsidR="00D47D34" w:rsidRPr="002B25D4" w:rsidRDefault="00D47D34" w:rsidP="00371871">
            <w:pPr>
              <w:jc w:val="right"/>
              <w:rPr>
                <w:rFonts w:eastAsia="Times New Roman" w:cs="Times New Roman"/>
                <w:color w:val="000000" w:themeColor="text1"/>
                <w:sz w:val="20"/>
                <w:szCs w:val="20"/>
              </w:rPr>
            </w:pPr>
            <w:r w:rsidRPr="002B25D4">
              <w:rPr>
                <w:rFonts w:eastAsia="Times New Roman" w:cs="Times New Roman"/>
                <w:color w:val="000000" w:themeColor="text1"/>
                <w:sz w:val="20"/>
                <w:szCs w:val="20"/>
              </w:rPr>
              <w:t>-0.2</w:t>
            </w:r>
            <w:r>
              <w:rPr>
                <w:rFonts w:eastAsia="Times New Roman" w:cs="Times New Roman"/>
                <w:color w:val="000000" w:themeColor="text1"/>
                <w:sz w:val="20"/>
                <w:szCs w:val="20"/>
              </w:rPr>
              <w:t>52</w:t>
            </w:r>
          </w:p>
        </w:tc>
        <w:tc>
          <w:tcPr>
            <w:tcW w:w="992" w:type="dxa"/>
            <w:tcBorders>
              <w:top w:val="nil"/>
              <w:left w:val="single" w:sz="4" w:space="0" w:color="auto"/>
              <w:bottom w:val="nil"/>
              <w:right w:val="double" w:sz="4" w:space="0" w:color="auto"/>
            </w:tcBorders>
            <w:shd w:val="clear" w:color="auto" w:fill="auto"/>
            <w:noWrap/>
            <w:vAlign w:val="center"/>
          </w:tcPr>
          <w:p w14:paraId="62034070" w14:textId="77777777" w:rsidR="00D47D34" w:rsidRPr="002B25D4" w:rsidRDefault="00D47D34" w:rsidP="00371871">
            <w:pPr>
              <w:jc w:val="right"/>
              <w:rPr>
                <w:rFonts w:eastAsia="Times New Roman" w:cs="Times New Roman"/>
                <w:color w:val="000000" w:themeColor="text1"/>
                <w:sz w:val="20"/>
                <w:szCs w:val="20"/>
              </w:rPr>
            </w:pPr>
            <w:r w:rsidRPr="002B25D4">
              <w:rPr>
                <w:rFonts w:eastAsia="Times New Roman" w:cs="Times New Roman"/>
                <w:color w:val="000000" w:themeColor="text1"/>
                <w:sz w:val="20"/>
                <w:szCs w:val="20"/>
              </w:rPr>
              <w:t>-1.</w:t>
            </w:r>
            <w:r>
              <w:rPr>
                <w:rFonts w:eastAsia="Times New Roman" w:cs="Times New Roman"/>
                <w:color w:val="000000" w:themeColor="text1"/>
                <w:sz w:val="20"/>
                <w:szCs w:val="20"/>
              </w:rPr>
              <w:t>76</w:t>
            </w:r>
          </w:p>
        </w:tc>
        <w:tc>
          <w:tcPr>
            <w:tcW w:w="992" w:type="dxa"/>
            <w:tcBorders>
              <w:top w:val="nil"/>
              <w:left w:val="double" w:sz="4" w:space="0" w:color="auto"/>
              <w:bottom w:val="nil"/>
              <w:right w:val="single" w:sz="4" w:space="0" w:color="auto"/>
            </w:tcBorders>
            <w:shd w:val="clear" w:color="auto" w:fill="auto"/>
            <w:noWrap/>
            <w:vAlign w:val="center"/>
          </w:tcPr>
          <w:p w14:paraId="31CBE214" w14:textId="77777777" w:rsidR="00D47D34" w:rsidRPr="002B25D4" w:rsidRDefault="00D47D34" w:rsidP="00371871">
            <w:pPr>
              <w:jc w:val="right"/>
              <w:rPr>
                <w:rFonts w:eastAsia="Times New Roman" w:cs="Times New Roman"/>
                <w:color w:val="000000" w:themeColor="text1"/>
                <w:sz w:val="20"/>
                <w:szCs w:val="20"/>
              </w:rPr>
            </w:pPr>
            <w:r w:rsidRPr="002B25D4">
              <w:rPr>
                <w:rFonts w:eastAsia="Times New Roman" w:cs="Times New Roman"/>
                <w:color w:val="000000" w:themeColor="text1"/>
                <w:sz w:val="20"/>
                <w:szCs w:val="20"/>
              </w:rPr>
              <w:t>-0.2</w:t>
            </w:r>
            <w:r>
              <w:rPr>
                <w:rFonts w:eastAsia="Times New Roman" w:cs="Times New Roman"/>
                <w:color w:val="000000" w:themeColor="text1"/>
                <w:sz w:val="20"/>
                <w:szCs w:val="20"/>
              </w:rPr>
              <w:t>52</w:t>
            </w:r>
          </w:p>
        </w:tc>
        <w:tc>
          <w:tcPr>
            <w:tcW w:w="1134" w:type="dxa"/>
            <w:tcBorders>
              <w:top w:val="nil"/>
              <w:left w:val="single" w:sz="4" w:space="0" w:color="auto"/>
              <w:bottom w:val="nil"/>
              <w:right w:val="double" w:sz="4" w:space="0" w:color="auto"/>
            </w:tcBorders>
            <w:shd w:val="clear" w:color="auto" w:fill="auto"/>
            <w:noWrap/>
            <w:vAlign w:val="center"/>
          </w:tcPr>
          <w:p w14:paraId="75ACE77D" w14:textId="77777777" w:rsidR="00D47D34" w:rsidRPr="002B25D4" w:rsidRDefault="00D47D34" w:rsidP="00371871">
            <w:pPr>
              <w:jc w:val="right"/>
              <w:rPr>
                <w:rFonts w:eastAsia="Times New Roman" w:cs="Times New Roman"/>
                <w:color w:val="000000" w:themeColor="text1"/>
                <w:sz w:val="20"/>
                <w:szCs w:val="20"/>
              </w:rPr>
            </w:pPr>
            <w:r w:rsidRPr="002B25D4">
              <w:rPr>
                <w:rFonts w:eastAsia="Times New Roman" w:cs="Times New Roman"/>
                <w:color w:val="000000" w:themeColor="text1"/>
                <w:sz w:val="20"/>
                <w:szCs w:val="20"/>
              </w:rPr>
              <w:t>-1.</w:t>
            </w:r>
            <w:r>
              <w:rPr>
                <w:rFonts w:eastAsia="Times New Roman" w:cs="Times New Roman"/>
                <w:color w:val="000000" w:themeColor="text1"/>
                <w:sz w:val="20"/>
                <w:szCs w:val="20"/>
              </w:rPr>
              <w:t>76</w:t>
            </w:r>
          </w:p>
        </w:tc>
      </w:tr>
      <w:tr w:rsidR="00D47D34" w:rsidRPr="00487A62" w14:paraId="48CC1EAD" w14:textId="77777777" w:rsidTr="00FC5796">
        <w:trPr>
          <w:trHeight w:val="302"/>
        </w:trPr>
        <w:tc>
          <w:tcPr>
            <w:tcW w:w="3671" w:type="dxa"/>
            <w:tcBorders>
              <w:top w:val="nil"/>
              <w:left w:val="double" w:sz="4" w:space="0" w:color="auto"/>
              <w:bottom w:val="nil"/>
              <w:right w:val="single" w:sz="12" w:space="0" w:color="auto"/>
            </w:tcBorders>
            <w:shd w:val="clear" w:color="auto" w:fill="auto"/>
            <w:noWrap/>
            <w:vAlign w:val="bottom"/>
          </w:tcPr>
          <w:p w14:paraId="0D9D3F19" w14:textId="77777777" w:rsidR="00D47D34" w:rsidRPr="00487A62" w:rsidRDefault="00D47D34" w:rsidP="00371871">
            <w:pPr>
              <w:rPr>
                <w:rFonts w:eastAsia="Times New Roman" w:cs="Times New Roman"/>
                <w:color w:val="000000"/>
                <w:sz w:val="20"/>
                <w:szCs w:val="20"/>
              </w:rPr>
            </w:pPr>
            <w:r w:rsidRPr="00755E6C">
              <w:rPr>
                <w:rFonts w:eastAsia="Times New Roman" w:cs="Times New Roman"/>
                <w:b/>
                <w:color w:val="000000"/>
                <w:sz w:val="20"/>
                <w:szCs w:val="20"/>
              </w:rPr>
              <w:t>Income (&lt;$100,000)</w:t>
            </w:r>
          </w:p>
        </w:tc>
        <w:tc>
          <w:tcPr>
            <w:tcW w:w="865" w:type="dxa"/>
            <w:tcBorders>
              <w:top w:val="nil"/>
              <w:left w:val="single" w:sz="12" w:space="0" w:color="auto"/>
              <w:bottom w:val="nil"/>
              <w:right w:val="single" w:sz="4" w:space="0" w:color="auto"/>
            </w:tcBorders>
            <w:shd w:val="clear" w:color="auto" w:fill="auto"/>
            <w:noWrap/>
            <w:vAlign w:val="center"/>
          </w:tcPr>
          <w:p w14:paraId="648A6391" w14:textId="77777777" w:rsidR="00D47D34" w:rsidRPr="00487A62" w:rsidRDefault="00D47D34" w:rsidP="00371871">
            <w:pPr>
              <w:jc w:val="right"/>
              <w:rPr>
                <w:rFonts w:eastAsia="Times New Roman" w:cs="Times New Roman"/>
                <w:color w:val="000000"/>
                <w:sz w:val="20"/>
                <w:szCs w:val="20"/>
              </w:rPr>
            </w:pPr>
          </w:p>
        </w:tc>
        <w:tc>
          <w:tcPr>
            <w:tcW w:w="836" w:type="dxa"/>
            <w:tcBorders>
              <w:top w:val="nil"/>
              <w:left w:val="single" w:sz="4" w:space="0" w:color="auto"/>
              <w:bottom w:val="nil"/>
              <w:right w:val="double" w:sz="4" w:space="0" w:color="auto"/>
            </w:tcBorders>
            <w:shd w:val="clear" w:color="auto" w:fill="auto"/>
            <w:noWrap/>
            <w:vAlign w:val="center"/>
          </w:tcPr>
          <w:p w14:paraId="2C1AA870" w14:textId="77777777" w:rsidR="00D47D34" w:rsidRPr="00487A62" w:rsidRDefault="00D47D34" w:rsidP="00371871">
            <w:pPr>
              <w:jc w:val="right"/>
              <w:rPr>
                <w:rFonts w:eastAsia="Times New Roman" w:cs="Times New Roman"/>
                <w:color w:val="000000"/>
                <w:sz w:val="20"/>
                <w:szCs w:val="20"/>
              </w:rPr>
            </w:pPr>
          </w:p>
        </w:tc>
        <w:tc>
          <w:tcPr>
            <w:tcW w:w="876" w:type="dxa"/>
            <w:tcBorders>
              <w:top w:val="nil"/>
              <w:left w:val="double" w:sz="4" w:space="0" w:color="auto"/>
              <w:bottom w:val="nil"/>
              <w:right w:val="single" w:sz="4" w:space="0" w:color="auto"/>
            </w:tcBorders>
            <w:shd w:val="clear" w:color="auto" w:fill="auto"/>
            <w:noWrap/>
            <w:vAlign w:val="center"/>
          </w:tcPr>
          <w:p w14:paraId="15BCA6B5" w14:textId="77777777" w:rsidR="00D47D34" w:rsidRPr="00487A62" w:rsidRDefault="00D47D34" w:rsidP="00371871">
            <w:pPr>
              <w:jc w:val="right"/>
              <w:rPr>
                <w:rFonts w:eastAsia="Times New Roman" w:cs="Times New Roman"/>
                <w:color w:val="000000"/>
                <w:sz w:val="20"/>
                <w:szCs w:val="20"/>
              </w:rPr>
            </w:pPr>
          </w:p>
        </w:tc>
        <w:tc>
          <w:tcPr>
            <w:tcW w:w="825" w:type="dxa"/>
            <w:tcBorders>
              <w:top w:val="nil"/>
              <w:left w:val="single" w:sz="4" w:space="0" w:color="auto"/>
              <w:bottom w:val="nil"/>
              <w:right w:val="double" w:sz="4" w:space="0" w:color="auto"/>
            </w:tcBorders>
            <w:shd w:val="clear" w:color="auto" w:fill="auto"/>
            <w:noWrap/>
            <w:vAlign w:val="center"/>
          </w:tcPr>
          <w:p w14:paraId="01543551" w14:textId="77777777" w:rsidR="00D47D34" w:rsidRPr="00487A62" w:rsidRDefault="00D47D34" w:rsidP="00371871">
            <w:pPr>
              <w:jc w:val="right"/>
              <w:rPr>
                <w:rFonts w:eastAsia="Times New Roman" w:cs="Times New Roman"/>
                <w:color w:val="000000"/>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168E0373" w14:textId="77777777" w:rsidR="00D47D34" w:rsidRPr="00487A62" w:rsidRDefault="00D47D34" w:rsidP="00371871">
            <w:pPr>
              <w:jc w:val="right"/>
              <w:rPr>
                <w:rFonts w:eastAsia="Times New Roman" w:cs="Times New Roman"/>
                <w:color w:val="000000"/>
                <w:sz w:val="20"/>
                <w:szCs w:val="20"/>
              </w:rPr>
            </w:pPr>
          </w:p>
        </w:tc>
        <w:tc>
          <w:tcPr>
            <w:tcW w:w="992" w:type="dxa"/>
            <w:tcBorders>
              <w:top w:val="nil"/>
              <w:left w:val="single" w:sz="4" w:space="0" w:color="auto"/>
              <w:bottom w:val="nil"/>
              <w:right w:val="single" w:sz="12" w:space="0" w:color="auto"/>
            </w:tcBorders>
            <w:shd w:val="clear" w:color="auto" w:fill="auto"/>
            <w:noWrap/>
            <w:vAlign w:val="center"/>
          </w:tcPr>
          <w:p w14:paraId="61270DE5" w14:textId="77777777" w:rsidR="00D47D34" w:rsidRPr="00487A62" w:rsidRDefault="00D47D34" w:rsidP="00371871">
            <w:pPr>
              <w:jc w:val="right"/>
              <w:rPr>
                <w:rFonts w:eastAsia="Times New Roman" w:cs="Times New Roman"/>
                <w:color w:val="000000"/>
                <w:sz w:val="20"/>
                <w:szCs w:val="20"/>
              </w:rPr>
            </w:pPr>
          </w:p>
        </w:tc>
        <w:tc>
          <w:tcPr>
            <w:tcW w:w="993" w:type="dxa"/>
            <w:tcBorders>
              <w:top w:val="nil"/>
              <w:left w:val="single" w:sz="12" w:space="0" w:color="auto"/>
              <w:bottom w:val="nil"/>
              <w:right w:val="single" w:sz="4" w:space="0" w:color="auto"/>
            </w:tcBorders>
            <w:shd w:val="clear" w:color="auto" w:fill="auto"/>
            <w:noWrap/>
            <w:vAlign w:val="center"/>
          </w:tcPr>
          <w:p w14:paraId="324CFB99"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single" w:sz="4" w:space="0" w:color="auto"/>
              <w:bottom w:val="nil"/>
              <w:right w:val="double" w:sz="4" w:space="0" w:color="auto"/>
            </w:tcBorders>
            <w:shd w:val="clear" w:color="auto" w:fill="auto"/>
            <w:noWrap/>
            <w:vAlign w:val="center"/>
          </w:tcPr>
          <w:p w14:paraId="4E5CDFDE"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5C0525D5" w14:textId="77777777" w:rsidR="00D47D34" w:rsidRPr="002B25D4" w:rsidRDefault="00D47D34" w:rsidP="00371871">
            <w:pPr>
              <w:jc w:val="right"/>
              <w:rPr>
                <w:rFonts w:eastAsia="Times New Roman" w:cs="Times New Roman"/>
                <w:color w:val="000000" w:themeColor="text1"/>
                <w:sz w:val="20"/>
                <w:szCs w:val="20"/>
              </w:rPr>
            </w:pPr>
          </w:p>
        </w:tc>
        <w:tc>
          <w:tcPr>
            <w:tcW w:w="1134" w:type="dxa"/>
            <w:tcBorders>
              <w:top w:val="nil"/>
              <w:left w:val="single" w:sz="4" w:space="0" w:color="auto"/>
              <w:bottom w:val="nil"/>
              <w:right w:val="double" w:sz="4" w:space="0" w:color="auto"/>
            </w:tcBorders>
            <w:shd w:val="clear" w:color="auto" w:fill="auto"/>
            <w:noWrap/>
            <w:vAlign w:val="center"/>
          </w:tcPr>
          <w:p w14:paraId="4C894295" w14:textId="77777777" w:rsidR="00D47D34" w:rsidRPr="002B25D4" w:rsidRDefault="00D47D34" w:rsidP="00371871">
            <w:pPr>
              <w:jc w:val="right"/>
              <w:rPr>
                <w:rFonts w:eastAsia="Times New Roman" w:cs="Times New Roman"/>
                <w:color w:val="000000" w:themeColor="text1"/>
                <w:sz w:val="20"/>
                <w:szCs w:val="20"/>
              </w:rPr>
            </w:pPr>
          </w:p>
        </w:tc>
      </w:tr>
      <w:tr w:rsidR="00D47D34" w:rsidRPr="00487A62" w14:paraId="68B95A7D" w14:textId="77777777" w:rsidTr="00FC5796">
        <w:trPr>
          <w:trHeight w:val="302"/>
        </w:trPr>
        <w:tc>
          <w:tcPr>
            <w:tcW w:w="3671" w:type="dxa"/>
            <w:tcBorders>
              <w:top w:val="nil"/>
              <w:left w:val="double" w:sz="4" w:space="0" w:color="auto"/>
              <w:bottom w:val="nil"/>
              <w:right w:val="single" w:sz="12" w:space="0" w:color="auto"/>
            </w:tcBorders>
            <w:shd w:val="clear" w:color="auto" w:fill="auto"/>
            <w:noWrap/>
            <w:vAlign w:val="bottom"/>
          </w:tcPr>
          <w:p w14:paraId="59C1B6CD" w14:textId="77777777" w:rsidR="00D47D34" w:rsidRPr="00487A62" w:rsidRDefault="00D47D34" w:rsidP="00371871">
            <w:pPr>
              <w:rPr>
                <w:rFonts w:eastAsia="Times New Roman" w:cs="Times New Roman"/>
                <w:color w:val="000000"/>
                <w:sz w:val="20"/>
                <w:szCs w:val="20"/>
              </w:rPr>
            </w:pPr>
            <w:r w:rsidRPr="00487A62">
              <w:rPr>
                <w:rFonts w:eastAsia="Times New Roman" w:cs="Times New Roman"/>
                <w:color w:val="000000"/>
                <w:sz w:val="20"/>
                <w:szCs w:val="20"/>
              </w:rPr>
              <w:t xml:space="preserve">  ≥$100,000</w:t>
            </w:r>
          </w:p>
        </w:tc>
        <w:tc>
          <w:tcPr>
            <w:tcW w:w="865" w:type="dxa"/>
            <w:tcBorders>
              <w:top w:val="nil"/>
              <w:left w:val="single" w:sz="12" w:space="0" w:color="auto"/>
              <w:bottom w:val="nil"/>
              <w:right w:val="single" w:sz="4" w:space="0" w:color="auto"/>
            </w:tcBorders>
            <w:shd w:val="clear" w:color="auto" w:fill="auto"/>
            <w:noWrap/>
            <w:vAlign w:val="center"/>
          </w:tcPr>
          <w:p w14:paraId="778EBC26" w14:textId="28F22572" w:rsidR="00D47D34" w:rsidRPr="00487A62" w:rsidRDefault="002410C0" w:rsidP="00371871">
            <w:pPr>
              <w:jc w:val="right"/>
              <w:rPr>
                <w:rFonts w:eastAsia="Times New Roman" w:cs="Times New Roman"/>
                <w:color w:val="000000"/>
                <w:sz w:val="20"/>
                <w:szCs w:val="20"/>
              </w:rPr>
            </w:pPr>
            <w:r>
              <w:rPr>
                <w:rFonts w:eastAsia="Times New Roman" w:cs="Times New Roman"/>
                <w:color w:val="000000"/>
                <w:sz w:val="20"/>
                <w:szCs w:val="20"/>
              </w:rPr>
              <w:t>--</w:t>
            </w:r>
          </w:p>
        </w:tc>
        <w:tc>
          <w:tcPr>
            <w:tcW w:w="836" w:type="dxa"/>
            <w:tcBorders>
              <w:top w:val="nil"/>
              <w:left w:val="single" w:sz="4" w:space="0" w:color="auto"/>
              <w:bottom w:val="nil"/>
              <w:right w:val="double" w:sz="4" w:space="0" w:color="auto"/>
            </w:tcBorders>
            <w:shd w:val="clear" w:color="auto" w:fill="auto"/>
            <w:noWrap/>
            <w:vAlign w:val="center"/>
          </w:tcPr>
          <w:p w14:paraId="39D4EA4D" w14:textId="77777777" w:rsidR="00D47D34" w:rsidRPr="00487A62" w:rsidRDefault="00D47D34" w:rsidP="00371871">
            <w:pPr>
              <w:jc w:val="right"/>
              <w:rPr>
                <w:rFonts w:eastAsia="Times New Roman" w:cs="Times New Roman"/>
                <w:color w:val="000000"/>
                <w:sz w:val="20"/>
                <w:szCs w:val="20"/>
              </w:rPr>
            </w:pPr>
          </w:p>
        </w:tc>
        <w:tc>
          <w:tcPr>
            <w:tcW w:w="876" w:type="dxa"/>
            <w:tcBorders>
              <w:top w:val="nil"/>
              <w:left w:val="double" w:sz="4" w:space="0" w:color="auto"/>
              <w:bottom w:val="nil"/>
              <w:right w:val="single" w:sz="4" w:space="0" w:color="auto"/>
            </w:tcBorders>
            <w:shd w:val="clear" w:color="auto" w:fill="auto"/>
            <w:noWrap/>
            <w:vAlign w:val="center"/>
          </w:tcPr>
          <w:p w14:paraId="382D6669"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w:t>
            </w:r>
          </w:p>
        </w:tc>
        <w:tc>
          <w:tcPr>
            <w:tcW w:w="825" w:type="dxa"/>
            <w:tcBorders>
              <w:top w:val="nil"/>
              <w:left w:val="single" w:sz="4" w:space="0" w:color="auto"/>
              <w:bottom w:val="nil"/>
              <w:right w:val="double" w:sz="4" w:space="0" w:color="auto"/>
            </w:tcBorders>
            <w:shd w:val="clear" w:color="auto" w:fill="auto"/>
            <w:noWrap/>
            <w:vAlign w:val="center"/>
          </w:tcPr>
          <w:p w14:paraId="40BEAD33" w14:textId="77777777" w:rsidR="00D47D34" w:rsidRPr="00487A62" w:rsidRDefault="00D47D34" w:rsidP="00371871">
            <w:pPr>
              <w:jc w:val="right"/>
              <w:rPr>
                <w:rFonts w:eastAsia="Times New Roman" w:cs="Times New Roman"/>
                <w:color w:val="000000"/>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6E075C4F"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w:t>
            </w:r>
          </w:p>
        </w:tc>
        <w:tc>
          <w:tcPr>
            <w:tcW w:w="992" w:type="dxa"/>
            <w:tcBorders>
              <w:top w:val="nil"/>
              <w:left w:val="single" w:sz="4" w:space="0" w:color="auto"/>
              <w:bottom w:val="nil"/>
              <w:right w:val="single" w:sz="12" w:space="0" w:color="auto"/>
            </w:tcBorders>
            <w:shd w:val="clear" w:color="auto" w:fill="auto"/>
            <w:noWrap/>
            <w:vAlign w:val="center"/>
          </w:tcPr>
          <w:p w14:paraId="2B6D3A49" w14:textId="77777777" w:rsidR="00D47D34" w:rsidRPr="00487A62" w:rsidRDefault="00D47D34" w:rsidP="00371871">
            <w:pPr>
              <w:jc w:val="right"/>
              <w:rPr>
                <w:rFonts w:eastAsia="Times New Roman" w:cs="Times New Roman"/>
                <w:color w:val="000000"/>
                <w:sz w:val="20"/>
                <w:szCs w:val="20"/>
              </w:rPr>
            </w:pPr>
          </w:p>
        </w:tc>
        <w:tc>
          <w:tcPr>
            <w:tcW w:w="993" w:type="dxa"/>
            <w:tcBorders>
              <w:top w:val="nil"/>
              <w:left w:val="single" w:sz="12" w:space="0" w:color="auto"/>
              <w:bottom w:val="nil"/>
              <w:right w:val="single" w:sz="4" w:space="0" w:color="auto"/>
            </w:tcBorders>
            <w:shd w:val="clear" w:color="auto" w:fill="auto"/>
            <w:noWrap/>
            <w:vAlign w:val="center"/>
          </w:tcPr>
          <w:p w14:paraId="1861D877" w14:textId="77777777" w:rsidR="00D47D34" w:rsidRPr="002B25D4" w:rsidRDefault="00D47D34" w:rsidP="00371871">
            <w:pPr>
              <w:jc w:val="right"/>
              <w:rPr>
                <w:rFonts w:eastAsia="Times New Roman" w:cs="Times New Roman"/>
                <w:color w:val="000000" w:themeColor="text1"/>
                <w:sz w:val="20"/>
                <w:szCs w:val="20"/>
              </w:rPr>
            </w:pPr>
            <w:r w:rsidRPr="002B25D4">
              <w:rPr>
                <w:rFonts w:eastAsia="Times New Roman" w:cs="Times New Roman"/>
                <w:color w:val="000000" w:themeColor="text1"/>
                <w:sz w:val="20"/>
                <w:szCs w:val="20"/>
              </w:rPr>
              <w:t>0.5</w:t>
            </w:r>
            <w:r>
              <w:rPr>
                <w:rFonts w:eastAsia="Times New Roman" w:cs="Times New Roman"/>
                <w:color w:val="000000" w:themeColor="text1"/>
                <w:sz w:val="20"/>
                <w:szCs w:val="20"/>
              </w:rPr>
              <w:t>33</w:t>
            </w:r>
          </w:p>
        </w:tc>
        <w:tc>
          <w:tcPr>
            <w:tcW w:w="992" w:type="dxa"/>
            <w:tcBorders>
              <w:top w:val="nil"/>
              <w:left w:val="single" w:sz="4" w:space="0" w:color="auto"/>
              <w:bottom w:val="nil"/>
              <w:right w:val="double" w:sz="4" w:space="0" w:color="auto"/>
            </w:tcBorders>
            <w:shd w:val="clear" w:color="auto" w:fill="auto"/>
            <w:noWrap/>
            <w:vAlign w:val="center"/>
          </w:tcPr>
          <w:p w14:paraId="7CBA0DD1" w14:textId="77777777" w:rsidR="00D47D34" w:rsidRPr="002B25D4" w:rsidRDefault="00D47D34" w:rsidP="00371871">
            <w:pPr>
              <w:jc w:val="right"/>
              <w:rPr>
                <w:rFonts w:eastAsia="Times New Roman" w:cs="Times New Roman"/>
                <w:color w:val="000000" w:themeColor="text1"/>
                <w:sz w:val="20"/>
                <w:szCs w:val="20"/>
              </w:rPr>
            </w:pPr>
            <w:r>
              <w:rPr>
                <w:rFonts w:eastAsia="Times New Roman" w:cs="Times New Roman"/>
                <w:color w:val="000000" w:themeColor="text1"/>
                <w:sz w:val="20"/>
                <w:szCs w:val="20"/>
              </w:rPr>
              <w:t>3.79</w:t>
            </w:r>
          </w:p>
        </w:tc>
        <w:tc>
          <w:tcPr>
            <w:tcW w:w="992" w:type="dxa"/>
            <w:tcBorders>
              <w:top w:val="nil"/>
              <w:left w:val="double" w:sz="4" w:space="0" w:color="auto"/>
              <w:bottom w:val="nil"/>
              <w:right w:val="single" w:sz="4" w:space="0" w:color="auto"/>
            </w:tcBorders>
            <w:shd w:val="clear" w:color="auto" w:fill="auto"/>
            <w:noWrap/>
            <w:vAlign w:val="center"/>
          </w:tcPr>
          <w:p w14:paraId="08B0FACC" w14:textId="77777777" w:rsidR="00D47D34" w:rsidRPr="002B25D4" w:rsidRDefault="00D47D34" w:rsidP="00371871">
            <w:pPr>
              <w:jc w:val="right"/>
              <w:rPr>
                <w:rFonts w:eastAsia="Times New Roman" w:cs="Times New Roman"/>
                <w:color w:val="000000" w:themeColor="text1"/>
                <w:sz w:val="20"/>
                <w:szCs w:val="20"/>
              </w:rPr>
            </w:pPr>
            <w:r>
              <w:rPr>
                <w:rFonts w:eastAsia="Times New Roman" w:cs="Times New Roman"/>
                <w:color w:val="000000" w:themeColor="text1"/>
                <w:sz w:val="20"/>
                <w:szCs w:val="20"/>
              </w:rPr>
              <w:t>--</w:t>
            </w:r>
          </w:p>
        </w:tc>
        <w:tc>
          <w:tcPr>
            <w:tcW w:w="1134" w:type="dxa"/>
            <w:tcBorders>
              <w:top w:val="nil"/>
              <w:left w:val="single" w:sz="4" w:space="0" w:color="auto"/>
              <w:bottom w:val="nil"/>
              <w:right w:val="double" w:sz="4" w:space="0" w:color="auto"/>
            </w:tcBorders>
            <w:shd w:val="clear" w:color="auto" w:fill="auto"/>
            <w:noWrap/>
            <w:vAlign w:val="center"/>
          </w:tcPr>
          <w:p w14:paraId="08921EEF" w14:textId="77777777" w:rsidR="00D47D34" w:rsidRPr="002B25D4" w:rsidRDefault="00D47D34" w:rsidP="00371871">
            <w:pPr>
              <w:jc w:val="right"/>
              <w:rPr>
                <w:rFonts w:eastAsia="Times New Roman" w:cs="Times New Roman"/>
                <w:color w:val="000000" w:themeColor="text1"/>
                <w:sz w:val="20"/>
                <w:szCs w:val="20"/>
              </w:rPr>
            </w:pPr>
          </w:p>
        </w:tc>
      </w:tr>
      <w:tr w:rsidR="00D47D34" w:rsidRPr="00487A62" w14:paraId="206696A2" w14:textId="77777777" w:rsidTr="00FC5796">
        <w:trPr>
          <w:trHeight w:val="302"/>
        </w:trPr>
        <w:tc>
          <w:tcPr>
            <w:tcW w:w="3671" w:type="dxa"/>
            <w:tcBorders>
              <w:top w:val="nil"/>
              <w:left w:val="double" w:sz="4" w:space="0" w:color="auto"/>
              <w:bottom w:val="nil"/>
              <w:right w:val="single" w:sz="12" w:space="0" w:color="auto"/>
            </w:tcBorders>
            <w:shd w:val="clear" w:color="auto" w:fill="auto"/>
            <w:noWrap/>
            <w:vAlign w:val="center"/>
          </w:tcPr>
          <w:p w14:paraId="29D158EF" w14:textId="77777777" w:rsidR="00D47D34" w:rsidRPr="00487A62" w:rsidRDefault="00D47D34" w:rsidP="00371871">
            <w:pPr>
              <w:rPr>
                <w:rFonts w:eastAsia="Times New Roman" w:cs="Times New Roman"/>
                <w:color w:val="000000"/>
                <w:sz w:val="20"/>
                <w:szCs w:val="20"/>
              </w:rPr>
            </w:pPr>
            <w:r w:rsidRPr="00755E6C">
              <w:rPr>
                <w:rFonts w:eastAsia="Times New Roman" w:cs="Times New Roman"/>
                <w:b/>
                <w:color w:val="000000"/>
                <w:sz w:val="20"/>
                <w:szCs w:val="20"/>
              </w:rPr>
              <w:t>Vehicles per Household (no vehicles)</w:t>
            </w:r>
          </w:p>
        </w:tc>
        <w:tc>
          <w:tcPr>
            <w:tcW w:w="865" w:type="dxa"/>
            <w:tcBorders>
              <w:top w:val="nil"/>
              <w:left w:val="single" w:sz="12" w:space="0" w:color="auto"/>
              <w:bottom w:val="nil"/>
              <w:right w:val="single" w:sz="4" w:space="0" w:color="auto"/>
            </w:tcBorders>
            <w:shd w:val="clear" w:color="auto" w:fill="auto"/>
            <w:noWrap/>
            <w:vAlign w:val="center"/>
          </w:tcPr>
          <w:p w14:paraId="5F4D9566" w14:textId="77777777" w:rsidR="00D47D34" w:rsidRPr="00487A62" w:rsidRDefault="00D47D34" w:rsidP="00371871">
            <w:pPr>
              <w:jc w:val="right"/>
              <w:rPr>
                <w:rFonts w:eastAsia="Times New Roman" w:cs="Times New Roman"/>
                <w:color w:val="000000"/>
                <w:sz w:val="20"/>
                <w:szCs w:val="20"/>
              </w:rPr>
            </w:pPr>
          </w:p>
        </w:tc>
        <w:tc>
          <w:tcPr>
            <w:tcW w:w="836" w:type="dxa"/>
            <w:tcBorders>
              <w:top w:val="nil"/>
              <w:left w:val="single" w:sz="4" w:space="0" w:color="auto"/>
              <w:bottom w:val="nil"/>
              <w:right w:val="double" w:sz="4" w:space="0" w:color="auto"/>
            </w:tcBorders>
            <w:shd w:val="clear" w:color="auto" w:fill="auto"/>
            <w:noWrap/>
            <w:vAlign w:val="center"/>
          </w:tcPr>
          <w:p w14:paraId="3E695C52" w14:textId="77777777" w:rsidR="00D47D34" w:rsidRPr="00487A62" w:rsidRDefault="00D47D34" w:rsidP="00371871">
            <w:pPr>
              <w:jc w:val="right"/>
              <w:rPr>
                <w:rFonts w:eastAsia="Times New Roman" w:cs="Times New Roman"/>
                <w:color w:val="000000"/>
                <w:sz w:val="20"/>
                <w:szCs w:val="20"/>
              </w:rPr>
            </w:pPr>
          </w:p>
        </w:tc>
        <w:tc>
          <w:tcPr>
            <w:tcW w:w="876" w:type="dxa"/>
            <w:tcBorders>
              <w:top w:val="nil"/>
              <w:left w:val="double" w:sz="4" w:space="0" w:color="auto"/>
              <w:bottom w:val="nil"/>
              <w:right w:val="single" w:sz="4" w:space="0" w:color="auto"/>
            </w:tcBorders>
            <w:shd w:val="clear" w:color="auto" w:fill="auto"/>
            <w:noWrap/>
            <w:vAlign w:val="center"/>
          </w:tcPr>
          <w:p w14:paraId="6B078FB3" w14:textId="77777777" w:rsidR="00D47D34" w:rsidRPr="00487A62" w:rsidRDefault="00D47D34" w:rsidP="00371871">
            <w:pPr>
              <w:jc w:val="right"/>
              <w:rPr>
                <w:rFonts w:eastAsia="Times New Roman" w:cs="Times New Roman"/>
                <w:color w:val="000000"/>
                <w:sz w:val="20"/>
                <w:szCs w:val="20"/>
              </w:rPr>
            </w:pPr>
          </w:p>
        </w:tc>
        <w:tc>
          <w:tcPr>
            <w:tcW w:w="825" w:type="dxa"/>
            <w:tcBorders>
              <w:top w:val="nil"/>
              <w:left w:val="single" w:sz="4" w:space="0" w:color="auto"/>
              <w:bottom w:val="nil"/>
              <w:right w:val="double" w:sz="4" w:space="0" w:color="auto"/>
            </w:tcBorders>
            <w:shd w:val="clear" w:color="auto" w:fill="auto"/>
            <w:noWrap/>
            <w:vAlign w:val="center"/>
          </w:tcPr>
          <w:p w14:paraId="1C20C509" w14:textId="77777777" w:rsidR="00D47D34" w:rsidRPr="00487A62" w:rsidRDefault="00D47D34" w:rsidP="00371871">
            <w:pPr>
              <w:jc w:val="right"/>
              <w:rPr>
                <w:rFonts w:eastAsia="Times New Roman" w:cs="Times New Roman"/>
                <w:color w:val="000000"/>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30339940" w14:textId="77777777" w:rsidR="00D47D34" w:rsidRPr="00487A62" w:rsidRDefault="00D47D34" w:rsidP="00371871">
            <w:pPr>
              <w:jc w:val="right"/>
              <w:rPr>
                <w:rFonts w:eastAsia="Times New Roman" w:cs="Times New Roman"/>
                <w:color w:val="000000"/>
                <w:sz w:val="20"/>
                <w:szCs w:val="20"/>
              </w:rPr>
            </w:pPr>
          </w:p>
        </w:tc>
        <w:tc>
          <w:tcPr>
            <w:tcW w:w="992" w:type="dxa"/>
            <w:tcBorders>
              <w:top w:val="nil"/>
              <w:left w:val="single" w:sz="4" w:space="0" w:color="auto"/>
              <w:bottom w:val="nil"/>
              <w:right w:val="single" w:sz="12" w:space="0" w:color="auto"/>
            </w:tcBorders>
            <w:shd w:val="clear" w:color="auto" w:fill="auto"/>
            <w:noWrap/>
            <w:vAlign w:val="center"/>
          </w:tcPr>
          <w:p w14:paraId="468B01D1" w14:textId="77777777" w:rsidR="00D47D34" w:rsidRPr="00487A62" w:rsidRDefault="00D47D34" w:rsidP="00371871">
            <w:pPr>
              <w:jc w:val="right"/>
              <w:rPr>
                <w:rFonts w:eastAsia="Times New Roman" w:cs="Times New Roman"/>
                <w:color w:val="000000"/>
                <w:sz w:val="20"/>
                <w:szCs w:val="20"/>
              </w:rPr>
            </w:pPr>
          </w:p>
        </w:tc>
        <w:tc>
          <w:tcPr>
            <w:tcW w:w="993" w:type="dxa"/>
            <w:tcBorders>
              <w:top w:val="nil"/>
              <w:left w:val="single" w:sz="12" w:space="0" w:color="auto"/>
              <w:bottom w:val="nil"/>
              <w:right w:val="single" w:sz="4" w:space="0" w:color="auto"/>
            </w:tcBorders>
            <w:shd w:val="clear" w:color="auto" w:fill="auto"/>
            <w:noWrap/>
            <w:vAlign w:val="center"/>
          </w:tcPr>
          <w:p w14:paraId="5DD19966"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single" w:sz="4" w:space="0" w:color="auto"/>
              <w:bottom w:val="nil"/>
              <w:right w:val="double" w:sz="4" w:space="0" w:color="auto"/>
            </w:tcBorders>
            <w:shd w:val="clear" w:color="auto" w:fill="auto"/>
            <w:noWrap/>
            <w:vAlign w:val="center"/>
          </w:tcPr>
          <w:p w14:paraId="4CF6BC2A"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309D767E" w14:textId="77777777" w:rsidR="00D47D34" w:rsidRPr="002B25D4" w:rsidRDefault="00D47D34" w:rsidP="00371871">
            <w:pPr>
              <w:jc w:val="right"/>
              <w:rPr>
                <w:rFonts w:eastAsia="Times New Roman" w:cs="Times New Roman"/>
                <w:color w:val="000000" w:themeColor="text1"/>
                <w:sz w:val="20"/>
                <w:szCs w:val="20"/>
              </w:rPr>
            </w:pPr>
          </w:p>
        </w:tc>
        <w:tc>
          <w:tcPr>
            <w:tcW w:w="1134" w:type="dxa"/>
            <w:tcBorders>
              <w:top w:val="nil"/>
              <w:left w:val="single" w:sz="4" w:space="0" w:color="auto"/>
              <w:bottom w:val="nil"/>
              <w:right w:val="double" w:sz="4" w:space="0" w:color="auto"/>
            </w:tcBorders>
            <w:shd w:val="clear" w:color="auto" w:fill="auto"/>
            <w:noWrap/>
            <w:vAlign w:val="center"/>
          </w:tcPr>
          <w:p w14:paraId="23D79472" w14:textId="77777777" w:rsidR="00D47D34" w:rsidRPr="002B25D4" w:rsidRDefault="00D47D34" w:rsidP="00371871">
            <w:pPr>
              <w:jc w:val="right"/>
              <w:rPr>
                <w:rFonts w:eastAsia="Times New Roman" w:cs="Times New Roman"/>
                <w:color w:val="000000" w:themeColor="text1"/>
                <w:sz w:val="20"/>
                <w:szCs w:val="20"/>
              </w:rPr>
            </w:pPr>
          </w:p>
        </w:tc>
      </w:tr>
      <w:tr w:rsidR="00D47D34" w:rsidRPr="00487A62" w14:paraId="62CB9188" w14:textId="77777777" w:rsidTr="00FC5796">
        <w:trPr>
          <w:trHeight w:val="302"/>
        </w:trPr>
        <w:tc>
          <w:tcPr>
            <w:tcW w:w="3671" w:type="dxa"/>
            <w:tcBorders>
              <w:top w:val="nil"/>
              <w:left w:val="double" w:sz="4" w:space="0" w:color="auto"/>
              <w:bottom w:val="nil"/>
              <w:right w:val="single" w:sz="12" w:space="0" w:color="auto"/>
            </w:tcBorders>
            <w:shd w:val="clear" w:color="auto" w:fill="auto"/>
            <w:noWrap/>
            <w:vAlign w:val="center"/>
          </w:tcPr>
          <w:p w14:paraId="1AAD87B1" w14:textId="77777777" w:rsidR="00D47D34" w:rsidRPr="00487A62" w:rsidRDefault="00D47D34" w:rsidP="00371871">
            <w:pPr>
              <w:rPr>
                <w:rFonts w:eastAsia="Times New Roman" w:cs="Times New Roman"/>
                <w:color w:val="000000"/>
                <w:sz w:val="20"/>
                <w:szCs w:val="20"/>
              </w:rPr>
            </w:pPr>
            <w:r w:rsidRPr="00487A62">
              <w:rPr>
                <w:rFonts w:eastAsia="Times New Roman" w:cs="Times New Roman"/>
                <w:color w:val="000000"/>
                <w:sz w:val="20"/>
                <w:szCs w:val="20"/>
              </w:rPr>
              <w:t xml:space="preserve">  </w:t>
            </w:r>
            <w:r>
              <w:rPr>
                <w:rFonts w:eastAsia="Times New Roman" w:cs="Times New Roman"/>
                <w:color w:val="000000"/>
                <w:sz w:val="20"/>
                <w:szCs w:val="20"/>
              </w:rPr>
              <w:t>At least one vehicle present</w:t>
            </w:r>
          </w:p>
        </w:tc>
        <w:tc>
          <w:tcPr>
            <w:tcW w:w="865" w:type="dxa"/>
            <w:tcBorders>
              <w:top w:val="nil"/>
              <w:left w:val="single" w:sz="12" w:space="0" w:color="auto"/>
              <w:bottom w:val="nil"/>
              <w:right w:val="single" w:sz="4" w:space="0" w:color="auto"/>
            </w:tcBorders>
            <w:shd w:val="clear" w:color="auto" w:fill="auto"/>
            <w:noWrap/>
            <w:vAlign w:val="center"/>
          </w:tcPr>
          <w:p w14:paraId="0E3B45AE" w14:textId="6CB55139" w:rsidR="00D47D34" w:rsidRPr="00487A62" w:rsidRDefault="002410C0" w:rsidP="00371871">
            <w:pPr>
              <w:jc w:val="right"/>
              <w:rPr>
                <w:rFonts w:eastAsia="Times New Roman" w:cs="Times New Roman"/>
                <w:color w:val="000000"/>
                <w:sz w:val="20"/>
                <w:szCs w:val="20"/>
              </w:rPr>
            </w:pPr>
            <w:r>
              <w:rPr>
                <w:rFonts w:eastAsia="Times New Roman" w:cs="Times New Roman"/>
                <w:color w:val="000000"/>
                <w:sz w:val="20"/>
                <w:szCs w:val="20"/>
              </w:rPr>
              <w:t>--</w:t>
            </w:r>
          </w:p>
        </w:tc>
        <w:tc>
          <w:tcPr>
            <w:tcW w:w="836" w:type="dxa"/>
            <w:tcBorders>
              <w:top w:val="nil"/>
              <w:left w:val="single" w:sz="4" w:space="0" w:color="auto"/>
              <w:bottom w:val="nil"/>
              <w:right w:val="double" w:sz="4" w:space="0" w:color="auto"/>
            </w:tcBorders>
            <w:shd w:val="clear" w:color="auto" w:fill="auto"/>
            <w:noWrap/>
            <w:vAlign w:val="center"/>
          </w:tcPr>
          <w:p w14:paraId="12ECD66A" w14:textId="77777777" w:rsidR="00D47D34" w:rsidRPr="00487A62" w:rsidRDefault="00D47D34" w:rsidP="00371871">
            <w:pPr>
              <w:jc w:val="right"/>
              <w:rPr>
                <w:rFonts w:eastAsia="Times New Roman" w:cs="Times New Roman"/>
                <w:color w:val="000000"/>
                <w:sz w:val="20"/>
                <w:szCs w:val="20"/>
              </w:rPr>
            </w:pPr>
          </w:p>
        </w:tc>
        <w:tc>
          <w:tcPr>
            <w:tcW w:w="876" w:type="dxa"/>
            <w:tcBorders>
              <w:top w:val="nil"/>
              <w:left w:val="double" w:sz="4" w:space="0" w:color="auto"/>
              <w:bottom w:val="nil"/>
              <w:right w:val="single" w:sz="4" w:space="0" w:color="auto"/>
            </w:tcBorders>
            <w:shd w:val="clear" w:color="auto" w:fill="auto"/>
            <w:noWrap/>
            <w:vAlign w:val="center"/>
          </w:tcPr>
          <w:p w14:paraId="22EA6ECF"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-0.</w:t>
            </w:r>
            <w:r>
              <w:rPr>
                <w:rFonts w:eastAsia="Times New Roman" w:cs="Times New Roman"/>
                <w:color w:val="000000"/>
                <w:sz w:val="20"/>
                <w:szCs w:val="20"/>
              </w:rPr>
              <w:t>100</w:t>
            </w:r>
          </w:p>
        </w:tc>
        <w:tc>
          <w:tcPr>
            <w:tcW w:w="825" w:type="dxa"/>
            <w:tcBorders>
              <w:top w:val="nil"/>
              <w:left w:val="single" w:sz="4" w:space="0" w:color="auto"/>
              <w:bottom w:val="nil"/>
              <w:right w:val="double" w:sz="4" w:space="0" w:color="auto"/>
            </w:tcBorders>
            <w:shd w:val="clear" w:color="auto" w:fill="auto"/>
            <w:noWrap/>
            <w:vAlign w:val="center"/>
          </w:tcPr>
          <w:p w14:paraId="16A9CDEC"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-1.</w:t>
            </w:r>
            <w:r>
              <w:rPr>
                <w:rFonts w:eastAsia="Times New Roman" w:cs="Times New Roman"/>
                <w:color w:val="000000"/>
                <w:sz w:val="20"/>
                <w:szCs w:val="20"/>
              </w:rPr>
              <w:t>61</w:t>
            </w:r>
          </w:p>
        </w:tc>
        <w:tc>
          <w:tcPr>
            <w:tcW w:w="992" w:type="dxa"/>
            <w:tcBorders>
              <w:top w:val="nil"/>
              <w:left w:val="double" w:sz="4" w:space="0" w:color="auto"/>
              <w:bottom w:val="nil"/>
              <w:right w:val="single" w:sz="4" w:space="0" w:color="auto"/>
            </w:tcBorders>
            <w:shd w:val="clear" w:color="auto" w:fill="auto"/>
            <w:noWrap/>
            <w:vAlign w:val="center"/>
          </w:tcPr>
          <w:p w14:paraId="0B4D9E98"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-0.</w:t>
            </w:r>
            <w:r>
              <w:rPr>
                <w:rFonts w:eastAsia="Times New Roman" w:cs="Times New Roman"/>
                <w:color w:val="000000"/>
                <w:sz w:val="20"/>
                <w:szCs w:val="20"/>
              </w:rPr>
              <w:t>201</w:t>
            </w:r>
          </w:p>
        </w:tc>
        <w:tc>
          <w:tcPr>
            <w:tcW w:w="992" w:type="dxa"/>
            <w:tcBorders>
              <w:top w:val="nil"/>
              <w:left w:val="single" w:sz="4" w:space="0" w:color="auto"/>
              <w:bottom w:val="nil"/>
              <w:right w:val="single" w:sz="12" w:space="0" w:color="auto"/>
            </w:tcBorders>
            <w:shd w:val="clear" w:color="auto" w:fill="auto"/>
            <w:noWrap/>
            <w:vAlign w:val="center"/>
          </w:tcPr>
          <w:p w14:paraId="3BC9E81D"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-3.</w:t>
            </w:r>
            <w:r>
              <w:rPr>
                <w:rFonts w:eastAsia="Times New Roman" w:cs="Times New Roman"/>
                <w:color w:val="000000"/>
                <w:sz w:val="20"/>
                <w:szCs w:val="20"/>
              </w:rPr>
              <w:t>23</w:t>
            </w:r>
          </w:p>
        </w:tc>
        <w:tc>
          <w:tcPr>
            <w:tcW w:w="993" w:type="dxa"/>
            <w:tcBorders>
              <w:top w:val="nil"/>
              <w:left w:val="single" w:sz="12" w:space="0" w:color="auto"/>
              <w:bottom w:val="nil"/>
              <w:right w:val="single" w:sz="4" w:space="0" w:color="auto"/>
            </w:tcBorders>
            <w:shd w:val="clear" w:color="auto" w:fill="auto"/>
            <w:noWrap/>
            <w:vAlign w:val="center"/>
          </w:tcPr>
          <w:p w14:paraId="4BDA7188" w14:textId="77777777" w:rsidR="00D47D34" w:rsidRPr="002B25D4" w:rsidRDefault="00D47D34" w:rsidP="00371871">
            <w:pPr>
              <w:jc w:val="right"/>
              <w:rPr>
                <w:rFonts w:eastAsia="Times New Roman" w:cs="Times New Roman"/>
                <w:color w:val="000000" w:themeColor="text1"/>
                <w:sz w:val="20"/>
                <w:szCs w:val="20"/>
              </w:rPr>
            </w:pPr>
            <w:r w:rsidRPr="002B25D4">
              <w:rPr>
                <w:rFonts w:eastAsia="Times New Roman" w:cs="Times New Roman"/>
                <w:color w:val="000000" w:themeColor="text1"/>
                <w:sz w:val="20"/>
                <w:szCs w:val="20"/>
              </w:rPr>
              <w:t>--</w:t>
            </w:r>
          </w:p>
        </w:tc>
        <w:tc>
          <w:tcPr>
            <w:tcW w:w="992" w:type="dxa"/>
            <w:tcBorders>
              <w:top w:val="nil"/>
              <w:left w:val="single" w:sz="4" w:space="0" w:color="auto"/>
              <w:bottom w:val="nil"/>
              <w:right w:val="double" w:sz="4" w:space="0" w:color="auto"/>
            </w:tcBorders>
            <w:shd w:val="clear" w:color="auto" w:fill="auto"/>
            <w:noWrap/>
            <w:vAlign w:val="center"/>
          </w:tcPr>
          <w:p w14:paraId="164255CF"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09E2B327" w14:textId="77777777" w:rsidR="00D47D34" w:rsidRPr="002B25D4" w:rsidRDefault="00D47D34" w:rsidP="00371871">
            <w:pPr>
              <w:jc w:val="right"/>
              <w:rPr>
                <w:rFonts w:eastAsia="Times New Roman" w:cs="Times New Roman"/>
                <w:color w:val="000000" w:themeColor="text1"/>
                <w:sz w:val="20"/>
                <w:szCs w:val="20"/>
              </w:rPr>
            </w:pPr>
            <w:r w:rsidRPr="002B25D4">
              <w:rPr>
                <w:rFonts w:eastAsia="Times New Roman" w:cs="Times New Roman"/>
                <w:color w:val="000000" w:themeColor="text1"/>
                <w:sz w:val="20"/>
                <w:szCs w:val="20"/>
              </w:rPr>
              <w:t>--</w:t>
            </w:r>
          </w:p>
        </w:tc>
        <w:tc>
          <w:tcPr>
            <w:tcW w:w="1134" w:type="dxa"/>
            <w:tcBorders>
              <w:top w:val="nil"/>
              <w:left w:val="single" w:sz="4" w:space="0" w:color="auto"/>
              <w:bottom w:val="nil"/>
              <w:right w:val="double" w:sz="4" w:space="0" w:color="auto"/>
            </w:tcBorders>
            <w:shd w:val="clear" w:color="auto" w:fill="auto"/>
            <w:noWrap/>
            <w:vAlign w:val="center"/>
          </w:tcPr>
          <w:p w14:paraId="58FFA78C" w14:textId="77777777" w:rsidR="00D47D34" w:rsidRPr="002B25D4" w:rsidRDefault="00D47D34" w:rsidP="00371871">
            <w:pPr>
              <w:jc w:val="right"/>
              <w:rPr>
                <w:rFonts w:eastAsia="Times New Roman" w:cs="Times New Roman"/>
                <w:color w:val="000000" w:themeColor="text1"/>
                <w:sz w:val="20"/>
                <w:szCs w:val="20"/>
              </w:rPr>
            </w:pPr>
          </w:p>
        </w:tc>
      </w:tr>
      <w:tr w:rsidR="00D47D34" w:rsidRPr="00487A62" w14:paraId="4140A885" w14:textId="77777777" w:rsidTr="00FC5796">
        <w:trPr>
          <w:trHeight w:val="302"/>
        </w:trPr>
        <w:tc>
          <w:tcPr>
            <w:tcW w:w="3671" w:type="dxa"/>
            <w:tcBorders>
              <w:top w:val="nil"/>
              <w:left w:val="double" w:sz="4" w:space="0" w:color="auto"/>
              <w:bottom w:val="nil"/>
              <w:right w:val="single" w:sz="12" w:space="0" w:color="auto"/>
            </w:tcBorders>
            <w:shd w:val="clear" w:color="auto" w:fill="auto"/>
            <w:noWrap/>
            <w:vAlign w:val="bottom"/>
          </w:tcPr>
          <w:p w14:paraId="369AE8EC" w14:textId="77777777" w:rsidR="00D47D34" w:rsidRPr="00487A62" w:rsidRDefault="00D47D34" w:rsidP="00371871">
            <w:pPr>
              <w:rPr>
                <w:rFonts w:eastAsia="Times New Roman" w:cs="Times New Roman"/>
                <w:color w:val="000000"/>
                <w:sz w:val="20"/>
                <w:szCs w:val="20"/>
              </w:rPr>
            </w:pPr>
            <w:r w:rsidRPr="00A53BF7">
              <w:rPr>
                <w:rFonts w:eastAsia="Times New Roman" w:cs="Times New Roman"/>
                <w:b/>
                <w:color w:val="000000"/>
                <w:sz w:val="20"/>
                <w:szCs w:val="20"/>
              </w:rPr>
              <w:t>Vehicle/service attributes</w:t>
            </w:r>
          </w:p>
        </w:tc>
        <w:tc>
          <w:tcPr>
            <w:tcW w:w="865" w:type="dxa"/>
            <w:tcBorders>
              <w:top w:val="nil"/>
              <w:left w:val="single" w:sz="12" w:space="0" w:color="auto"/>
              <w:bottom w:val="nil"/>
              <w:right w:val="single" w:sz="4" w:space="0" w:color="auto"/>
            </w:tcBorders>
            <w:shd w:val="clear" w:color="auto" w:fill="auto"/>
            <w:noWrap/>
            <w:vAlign w:val="center"/>
          </w:tcPr>
          <w:p w14:paraId="6FE66964" w14:textId="77777777" w:rsidR="00D47D34" w:rsidRPr="00487A62" w:rsidRDefault="00D47D34" w:rsidP="00371871">
            <w:pPr>
              <w:jc w:val="right"/>
              <w:rPr>
                <w:rFonts w:eastAsia="Times New Roman" w:cs="Times New Roman"/>
                <w:color w:val="000000"/>
                <w:sz w:val="20"/>
                <w:szCs w:val="20"/>
              </w:rPr>
            </w:pPr>
          </w:p>
        </w:tc>
        <w:tc>
          <w:tcPr>
            <w:tcW w:w="836" w:type="dxa"/>
            <w:tcBorders>
              <w:top w:val="nil"/>
              <w:left w:val="single" w:sz="4" w:space="0" w:color="auto"/>
              <w:bottom w:val="nil"/>
              <w:right w:val="double" w:sz="4" w:space="0" w:color="auto"/>
            </w:tcBorders>
            <w:shd w:val="clear" w:color="auto" w:fill="auto"/>
            <w:noWrap/>
            <w:vAlign w:val="center"/>
          </w:tcPr>
          <w:p w14:paraId="7566225A" w14:textId="77777777" w:rsidR="00D47D34" w:rsidRPr="00487A62" w:rsidRDefault="00D47D34" w:rsidP="00371871">
            <w:pPr>
              <w:jc w:val="right"/>
              <w:rPr>
                <w:rFonts w:eastAsia="Times New Roman" w:cs="Times New Roman"/>
                <w:color w:val="000000"/>
                <w:sz w:val="20"/>
                <w:szCs w:val="20"/>
              </w:rPr>
            </w:pPr>
          </w:p>
        </w:tc>
        <w:tc>
          <w:tcPr>
            <w:tcW w:w="876" w:type="dxa"/>
            <w:tcBorders>
              <w:top w:val="nil"/>
              <w:left w:val="double" w:sz="4" w:space="0" w:color="auto"/>
              <w:bottom w:val="nil"/>
              <w:right w:val="single" w:sz="4" w:space="0" w:color="auto"/>
            </w:tcBorders>
            <w:shd w:val="clear" w:color="auto" w:fill="auto"/>
            <w:noWrap/>
            <w:vAlign w:val="center"/>
          </w:tcPr>
          <w:p w14:paraId="6A40CECE" w14:textId="77777777" w:rsidR="00D47D34" w:rsidRPr="00487A62" w:rsidRDefault="00D47D34" w:rsidP="00371871">
            <w:pPr>
              <w:jc w:val="right"/>
              <w:rPr>
                <w:rFonts w:eastAsia="Times New Roman" w:cs="Times New Roman"/>
                <w:color w:val="000000"/>
                <w:sz w:val="20"/>
                <w:szCs w:val="20"/>
              </w:rPr>
            </w:pPr>
          </w:p>
        </w:tc>
        <w:tc>
          <w:tcPr>
            <w:tcW w:w="825" w:type="dxa"/>
            <w:tcBorders>
              <w:top w:val="nil"/>
              <w:left w:val="single" w:sz="4" w:space="0" w:color="auto"/>
              <w:bottom w:val="nil"/>
              <w:right w:val="double" w:sz="4" w:space="0" w:color="auto"/>
            </w:tcBorders>
            <w:shd w:val="clear" w:color="auto" w:fill="auto"/>
            <w:noWrap/>
            <w:vAlign w:val="center"/>
          </w:tcPr>
          <w:p w14:paraId="534A9545" w14:textId="77777777" w:rsidR="00D47D34" w:rsidRPr="00487A62" w:rsidRDefault="00D47D34" w:rsidP="00371871">
            <w:pPr>
              <w:jc w:val="right"/>
              <w:rPr>
                <w:rFonts w:eastAsia="Times New Roman" w:cs="Times New Roman"/>
                <w:color w:val="000000"/>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6F4D4923" w14:textId="77777777" w:rsidR="00D47D34" w:rsidRPr="00487A62" w:rsidRDefault="00D47D34" w:rsidP="00371871">
            <w:pPr>
              <w:jc w:val="right"/>
              <w:rPr>
                <w:rFonts w:eastAsia="Times New Roman" w:cs="Times New Roman"/>
                <w:color w:val="000000"/>
                <w:sz w:val="20"/>
                <w:szCs w:val="20"/>
              </w:rPr>
            </w:pPr>
          </w:p>
        </w:tc>
        <w:tc>
          <w:tcPr>
            <w:tcW w:w="992" w:type="dxa"/>
            <w:tcBorders>
              <w:top w:val="nil"/>
              <w:left w:val="single" w:sz="4" w:space="0" w:color="auto"/>
              <w:bottom w:val="nil"/>
              <w:right w:val="single" w:sz="12" w:space="0" w:color="auto"/>
            </w:tcBorders>
            <w:shd w:val="clear" w:color="auto" w:fill="auto"/>
            <w:noWrap/>
            <w:vAlign w:val="center"/>
          </w:tcPr>
          <w:p w14:paraId="02FBB217" w14:textId="77777777" w:rsidR="00D47D34" w:rsidRPr="00487A62" w:rsidRDefault="00D47D34" w:rsidP="00371871">
            <w:pPr>
              <w:jc w:val="right"/>
              <w:rPr>
                <w:rFonts w:eastAsia="Times New Roman" w:cs="Times New Roman"/>
                <w:color w:val="000000"/>
                <w:sz w:val="20"/>
                <w:szCs w:val="20"/>
              </w:rPr>
            </w:pPr>
          </w:p>
        </w:tc>
        <w:tc>
          <w:tcPr>
            <w:tcW w:w="993" w:type="dxa"/>
            <w:tcBorders>
              <w:top w:val="nil"/>
              <w:left w:val="single" w:sz="12" w:space="0" w:color="auto"/>
              <w:bottom w:val="nil"/>
              <w:right w:val="single" w:sz="4" w:space="0" w:color="auto"/>
            </w:tcBorders>
            <w:shd w:val="clear" w:color="auto" w:fill="auto"/>
            <w:noWrap/>
            <w:vAlign w:val="center"/>
          </w:tcPr>
          <w:p w14:paraId="0CEBBEE7"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single" w:sz="4" w:space="0" w:color="auto"/>
              <w:bottom w:val="nil"/>
              <w:right w:val="double" w:sz="4" w:space="0" w:color="auto"/>
            </w:tcBorders>
            <w:shd w:val="clear" w:color="auto" w:fill="auto"/>
            <w:noWrap/>
            <w:vAlign w:val="center"/>
          </w:tcPr>
          <w:p w14:paraId="4B074D48"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722C97D0" w14:textId="77777777" w:rsidR="00D47D34" w:rsidRPr="002B25D4" w:rsidRDefault="00D47D34" w:rsidP="00371871">
            <w:pPr>
              <w:jc w:val="right"/>
              <w:rPr>
                <w:rFonts w:eastAsia="Times New Roman" w:cs="Times New Roman"/>
                <w:color w:val="000000" w:themeColor="text1"/>
                <w:sz w:val="20"/>
                <w:szCs w:val="20"/>
              </w:rPr>
            </w:pPr>
          </w:p>
        </w:tc>
        <w:tc>
          <w:tcPr>
            <w:tcW w:w="1134" w:type="dxa"/>
            <w:tcBorders>
              <w:top w:val="nil"/>
              <w:left w:val="single" w:sz="4" w:space="0" w:color="auto"/>
              <w:bottom w:val="nil"/>
              <w:right w:val="double" w:sz="4" w:space="0" w:color="auto"/>
            </w:tcBorders>
            <w:shd w:val="clear" w:color="auto" w:fill="auto"/>
            <w:noWrap/>
            <w:vAlign w:val="center"/>
          </w:tcPr>
          <w:p w14:paraId="33C90139" w14:textId="77777777" w:rsidR="00D47D34" w:rsidRPr="002B25D4" w:rsidRDefault="00D47D34" w:rsidP="00371871">
            <w:pPr>
              <w:jc w:val="right"/>
              <w:rPr>
                <w:rFonts w:eastAsia="Times New Roman" w:cs="Times New Roman"/>
                <w:color w:val="000000" w:themeColor="text1"/>
                <w:sz w:val="20"/>
                <w:szCs w:val="20"/>
              </w:rPr>
            </w:pPr>
          </w:p>
        </w:tc>
      </w:tr>
      <w:tr w:rsidR="00D47D34" w:rsidRPr="00487A62" w14:paraId="5D15AE68" w14:textId="77777777" w:rsidTr="00FC5796">
        <w:trPr>
          <w:trHeight w:val="302"/>
        </w:trPr>
        <w:tc>
          <w:tcPr>
            <w:tcW w:w="3671" w:type="dxa"/>
            <w:tcBorders>
              <w:top w:val="nil"/>
              <w:left w:val="double" w:sz="4" w:space="0" w:color="auto"/>
              <w:bottom w:val="nil"/>
              <w:right w:val="single" w:sz="12" w:space="0" w:color="auto"/>
            </w:tcBorders>
            <w:shd w:val="clear" w:color="auto" w:fill="auto"/>
            <w:noWrap/>
            <w:vAlign w:val="bottom"/>
          </w:tcPr>
          <w:p w14:paraId="688DD4B9" w14:textId="77777777" w:rsidR="00D47D34" w:rsidRPr="00487A62" w:rsidRDefault="00D47D34" w:rsidP="00371871">
            <w:pPr>
              <w:rPr>
                <w:rFonts w:eastAsia="Times New Roman" w:cs="Times New Roman"/>
                <w:color w:val="000000"/>
                <w:sz w:val="20"/>
                <w:szCs w:val="20"/>
              </w:rPr>
            </w:pPr>
            <w:r w:rsidRPr="00487A62">
              <w:rPr>
                <w:rFonts w:eastAsia="Times New Roman" w:cs="Times New Roman"/>
                <w:color w:val="000000"/>
                <w:sz w:val="20"/>
                <w:szCs w:val="20"/>
              </w:rPr>
              <w:t xml:space="preserve">  Fixed cost</w:t>
            </w:r>
            <w:r>
              <w:rPr>
                <w:rFonts w:eastAsia="Times New Roman" w:cs="Times New Roman"/>
                <w:color w:val="000000"/>
                <w:sz w:val="20"/>
                <w:szCs w:val="20"/>
              </w:rPr>
              <w:t xml:space="preserve"> per month (in 1000’s of $)</w:t>
            </w:r>
          </w:p>
        </w:tc>
        <w:tc>
          <w:tcPr>
            <w:tcW w:w="865" w:type="dxa"/>
            <w:tcBorders>
              <w:top w:val="nil"/>
              <w:left w:val="single" w:sz="12" w:space="0" w:color="auto"/>
              <w:bottom w:val="nil"/>
              <w:right w:val="single" w:sz="4" w:space="0" w:color="auto"/>
            </w:tcBorders>
            <w:shd w:val="clear" w:color="auto" w:fill="auto"/>
            <w:noWrap/>
            <w:vAlign w:val="center"/>
          </w:tcPr>
          <w:p w14:paraId="2426B851"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w:t>
            </w:r>
            <w:r>
              <w:rPr>
                <w:rFonts w:eastAsia="Times New Roman" w:cs="Times New Roman"/>
                <w:color w:val="000000"/>
                <w:sz w:val="20"/>
                <w:szCs w:val="20"/>
              </w:rPr>
              <w:t>0.955</w:t>
            </w:r>
          </w:p>
        </w:tc>
        <w:tc>
          <w:tcPr>
            <w:tcW w:w="836" w:type="dxa"/>
            <w:tcBorders>
              <w:top w:val="nil"/>
              <w:left w:val="single" w:sz="4" w:space="0" w:color="auto"/>
              <w:bottom w:val="nil"/>
              <w:right w:val="double" w:sz="4" w:space="0" w:color="auto"/>
            </w:tcBorders>
            <w:shd w:val="clear" w:color="auto" w:fill="auto"/>
            <w:noWrap/>
            <w:vAlign w:val="center"/>
          </w:tcPr>
          <w:p w14:paraId="7C79BF9B"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w:t>
            </w:r>
            <w:r>
              <w:rPr>
                <w:rFonts w:eastAsia="Times New Roman" w:cs="Times New Roman"/>
                <w:color w:val="000000"/>
                <w:sz w:val="20"/>
                <w:szCs w:val="20"/>
              </w:rPr>
              <w:t>6.08</w:t>
            </w:r>
          </w:p>
        </w:tc>
        <w:tc>
          <w:tcPr>
            <w:tcW w:w="876" w:type="dxa"/>
            <w:tcBorders>
              <w:top w:val="nil"/>
              <w:left w:val="double" w:sz="4" w:space="0" w:color="auto"/>
              <w:bottom w:val="nil"/>
              <w:right w:val="single" w:sz="4" w:space="0" w:color="auto"/>
            </w:tcBorders>
            <w:shd w:val="clear" w:color="auto" w:fill="auto"/>
            <w:noWrap/>
            <w:vAlign w:val="center"/>
          </w:tcPr>
          <w:p w14:paraId="65B8A8C0"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w:t>
            </w:r>
            <w:r>
              <w:rPr>
                <w:rFonts w:eastAsia="Times New Roman" w:cs="Times New Roman"/>
                <w:color w:val="000000"/>
                <w:sz w:val="20"/>
                <w:szCs w:val="20"/>
              </w:rPr>
              <w:t>0.955</w:t>
            </w:r>
          </w:p>
        </w:tc>
        <w:tc>
          <w:tcPr>
            <w:tcW w:w="825" w:type="dxa"/>
            <w:tcBorders>
              <w:top w:val="nil"/>
              <w:left w:val="single" w:sz="4" w:space="0" w:color="auto"/>
              <w:bottom w:val="nil"/>
              <w:right w:val="double" w:sz="4" w:space="0" w:color="auto"/>
            </w:tcBorders>
            <w:shd w:val="clear" w:color="auto" w:fill="auto"/>
            <w:noWrap/>
            <w:vAlign w:val="center"/>
          </w:tcPr>
          <w:p w14:paraId="782EA8EF"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w:t>
            </w:r>
            <w:r>
              <w:rPr>
                <w:rFonts w:eastAsia="Times New Roman" w:cs="Times New Roman"/>
                <w:color w:val="000000"/>
                <w:sz w:val="20"/>
                <w:szCs w:val="20"/>
              </w:rPr>
              <w:t>6.08</w:t>
            </w:r>
          </w:p>
        </w:tc>
        <w:tc>
          <w:tcPr>
            <w:tcW w:w="992" w:type="dxa"/>
            <w:tcBorders>
              <w:top w:val="nil"/>
              <w:left w:val="double" w:sz="4" w:space="0" w:color="auto"/>
              <w:bottom w:val="nil"/>
              <w:right w:val="single" w:sz="4" w:space="0" w:color="auto"/>
            </w:tcBorders>
            <w:shd w:val="clear" w:color="auto" w:fill="auto"/>
            <w:noWrap/>
            <w:vAlign w:val="center"/>
          </w:tcPr>
          <w:p w14:paraId="3113DB33" w14:textId="77777777" w:rsidR="00D47D34" w:rsidRPr="00487A62" w:rsidRDefault="00D47D34" w:rsidP="00371871">
            <w:pPr>
              <w:jc w:val="right"/>
              <w:rPr>
                <w:rFonts w:eastAsia="Times New Roman" w:cs="Times New Roman"/>
                <w:color w:val="000000"/>
                <w:sz w:val="20"/>
                <w:szCs w:val="20"/>
              </w:rPr>
            </w:pPr>
            <w:r>
              <w:rPr>
                <w:rFonts w:eastAsia="Times New Roman" w:cs="Times New Roman"/>
                <w:color w:val="000000"/>
                <w:sz w:val="20"/>
                <w:szCs w:val="20"/>
              </w:rPr>
              <w:t>NA</w:t>
            </w:r>
          </w:p>
        </w:tc>
        <w:tc>
          <w:tcPr>
            <w:tcW w:w="992" w:type="dxa"/>
            <w:tcBorders>
              <w:top w:val="nil"/>
              <w:left w:val="single" w:sz="4" w:space="0" w:color="auto"/>
              <w:bottom w:val="nil"/>
              <w:right w:val="single" w:sz="12" w:space="0" w:color="auto"/>
            </w:tcBorders>
            <w:shd w:val="clear" w:color="auto" w:fill="auto"/>
            <w:noWrap/>
            <w:vAlign w:val="center"/>
          </w:tcPr>
          <w:p w14:paraId="61CD0F76" w14:textId="77777777" w:rsidR="00D47D34" w:rsidRPr="00487A62" w:rsidRDefault="00D47D34" w:rsidP="00371871">
            <w:pPr>
              <w:jc w:val="right"/>
              <w:rPr>
                <w:rFonts w:eastAsia="Times New Roman" w:cs="Times New Roman"/>
                <w:color w:val="000000"/>
                <w:sz w:val="20"/>
                <w:szCs w:val="20"/>
              </w:rPr>
            </w:pPr>
          </w:p>
        </w:tc>
        <w:tc>
          <w:tcPr>
            <w:tcW w:w="993" w:type="dxa"/>
            <w:tcBorders>
              <w:top w:val="nil"/>
              <w:left w:val="single" w:sz="12" w:space="0" w:color="auto"/>
              <w:bottom w:val="nil"/>
              <w:right w:val="single" w:sz="4" w:space="0" w:color="auto"/>
            </w:tcBorders>
            <w:shd w:val="clear" w:color="auto" w:fill="auto"/>
            <w:noWrap/>
            <w:vAlign w:val="center"/>
          </w:tcPr>
          <w:p w14:paraId="12D71D34" w14:textId="77777777" w:rsidR="00D47D34" w:rsidRPr="002B25D4" w:rsidRDefault="00D47D34" w:rsidP="00371871">
            <w:pPr>
              <w:jc w:val="right"/>
              <w:rPr>
                <w:rFonts w:eastAsia="Times New Roman" w:cs="Times New Roman"/>
                <w:color w:val="000000" w:themeColor="text1"/>
                <w:sz w:val="20"/>
                <w:szCs w:val="20"/>
              </w:rPr>
            </w:pPr>
            <w:r w:rsidRPr="002B25D4">
              <w:rPr>
                <w:rFonts w:eastAsia="Times New Roman" w:cs="Times New Roman"/>
                <w:color w:val="000000" w:themeColor="text1"/>
                <w:sz w:val="20"/>
                <w:szCs w:val="20"/>
              </w:rPr>
              <w:t>NA</w:t>
            </w:r>
          </w:p>
        </w:tc>
        <w:tc>
          <w:tcPr>
            <w:tcW w:w="992" w:type="dxa"/>
            <w:tcBorders>
              <w:top w:val="nil"/>
              <w:left w:val="single" w:sz="4" w:space="0" w:color="auto"/>
              <w:bottom w:val="nil"/>
              <w:right w:val="double" w:sz="4" w:space="0" w:color="auto"/>
            </w:tcBorders>
            <w:shd w:val="clear" w:color="auto" w:fill="auto"/>
            <w:noWrap/>
            <w:vAlign w:val="center"/>
          </w:tcPr>
          <w:p w14:paraId="6188069E"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double" w:sz="4" w:space="0" w:color="auto"/>
              <w:bottom w:val="nil"/>
              <w:right w:val="single" w:sz="4" w:space="0" w:color="auto"/>
            </w:tcBorders>
            <w:shd w:val="clear" w:color="auto" w:fill="auto"/>
            <w:noWrap/>
            <w:vAlign w:val="center"/>
          </w:tcPr>
          <w:p w14:paraId="3A72B41D" w14:textId="77777777" w:rsidR="00D47D34" w:rsidRPr="002B25D4" w:rsidRDefault="00D47D34" w:rsidP="00371871">
            <w:pPr>
              <w:jc w:val="right"/>
              <w:rPr>
                <w:rFonts w:eastAsia="Times New Roman" w:cs="Times New Roman"/>
                <w:color w:val="000000" w:themeColor="text1"/>
                <w:sz w:val="20"/>
                <w:szCs w:val="20"/>
              </w:rPr>
            </w:pPr>
            <w:r w:rsidRPr="002B25D4">
              <w:rPr>
                <w:rFonts w:eastAsia="Times New Roman" w:cs="Times New Roman"/>
                <w:color w:val="000000" w:themeColor="text1"/>
                <w:sz w:val="20"/>
                <w:szCs w:val="20"/>
              </w:rPr>
              <w:t>NA</w:t>
            </w:r>
          </w:p>
        </w:tc>
        <w:tc>
          <w:tcPr>
            <w:tcW w:w="1134" w:type="dxa"/>
            <w:tcBorders>
              <w:top w:val="nil"/>
              <w:left w:val="single" w:sz="4" w:space="0" w:color="auto"/>
              <w:bottom w:val="nil"/>
              <w:right w:val="double" w:sz="4" w:space="0" w:color="auto"/>
            </w:tcBorders>
            <w:shd w:val="clear" w:color="auto" w:fill="auto"/>
            <w:noWrap/>
            <w:vAlign w:val="center"/>
          </w:tcPr>
          <w:p w14:paraId="5D7498C5" w14:textId="77777777" w:rsidR="00D47D34" w:rsidRPr="002B25D4" w:rsidRDefault="00D47D34" w:rsidP="00371871">
            <w:pPr>
              <w:jc w:val="right"/>
              <w:rPr>
                <w:rFonts w:eastAsia="Times New Roman" w:cs="Times New Roman"/>
                <w:color w:val="000000" w:themeColor="text1"/>
                <w:sz w:val="20"/>
                <w:szCs w:val="20"/>
              </w:rPr>
            </w:pPr>
          </w:p>
        </w:tc>
      </w:tr>
      <w:tr w:rsidR="00D47D34" w:rsidRPr="00487A62" w14:paraId="73D48B2B" w14:textId="77777777" w:rsidTr="00FC5796">
        <w:trPr>
          <w:trHeight w:val="302"/>
        </w:trPr>
        <w:tc>
          <w:tcPr>
            <w:tcW w:w="3671" w:type="dxa"/>
            <w:tcBorders>
              <w:top w:val="nil"/>
              <w:left w:val="double" w:sz="4" w:space="0" w:color="auto"/>
              <w:bottom w:val="double" w:sz="4" w:space="0" w:color="auto"/>
              <w:right w:val="single" w:sz="12" w:space="0" w:color="auto"/>
            </w:tcBorders>
            <w:shd w:val="clear" w:color="auto" w:fill="auto"/>
            <w:noWrap/>
            <w:vAlign w:val="bottom"/>
          </w:tcPr>
          <w:p w14:paraId="23D0BAC1" w14:textId="77777777" w:rsidR="00D47D34" w:rsidRPr="00487A62" w:rsidRDefault="00D47D34" w:rsidP="00371871">
            <w:pPr>
              <w:rPr>
                <w:rFonts w:eastAsia="Times New Roman" w:cs="Times New Roman"/>
                <w:color w:val="000000"/>
                <w:sz w:val="20"/>
                <w:szCs w:val="20"/>
              </w:rPr>
            </w:pPr>
            <w:r w:rsidRPr="00487A62">
              <w:rPr>
                <w:rFonts w:eastAsia="Times New Roman" w:cs="Times New Roman"/>
                <w:color w:val="000000"/>
                <w:sz w:val="20"/>
                <w:szCs w:val="20"/>
              </w:rPr>
              <w:t xml:space="preserve">  Variable cost</w:t>
            </w:r>
            <w:r>
              <w:rPr>
                <w:rFonts w:eastAsia="Times New Roman" w:cs="Times New Roman"/>
                <w:color w:val="000000"/>
                <w:sz w:val="20"/>
                <w:szCs w:val="20"/>
              </w:rPr>
              <w:t xml:space="preserve"> (in $ per mile)</w:t>
            </w:r>
          </w:p>
        </w:tc>
        <w:tc>
          <w:tcPr>
            <w:tcW w:w="865" w:type="dxa"/>
            <w:tcBorders>
              <w:top w:val="nil"/>
              <w:left w:val="single" w:sz="12" w:space="0" w:color="auto"/>
              <w:bottom w:val="double" w:sz="4" w:space="0" w:color="auto"/>
              <w:right w:val="single" w:sz="4" w:space="0" w:color="auto"/>
            </w:tcBorders>
            <w:shd w:val="clear" w:color="auto" w:fill="auto"/>
            <w:noWrap/>
            <w:vAlign w:val="center"/>
          </w:tcPr>
          <w:p w14:paraId="199931F7"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-0.</w:t>
            </w:r>
            <w:r>
              <w:rPr>
                <w:rFonts w:eastAsia="Times New Roman" w:cs="Times New Roman"/>
                <w:color w:val="000000"/>
                <w:sz w:val="20"/>
                <w:szCs w:val="20"/>
              </w:rPr>
              <w:t>161</w:t>
            </w:r>
          </w:p>
        </w:tc>
        <w:tc>
          <w:tcPr>
            <w:tcW w:w="836" w:type="dxa"/>
            <w:tcBorders>
              <w:top w:val="nil"/>
              <w:left w:val="single" w:sz="4" w:space="0" w:color="auto"/>
              <w:bottom w:val="double" w:sz="4" w:space="0" w:color="auto"/>
              <w:right w:val="double" w:sz="4" w:space="0" w:color="auto"/>
            </w:tcBorders>
            <w:shd w:val="clear" w:color="auto" w:fill="auto"/>
            <w:noWrap/>
            <w:vAlign w:val="center"/>
          </w:tcPr>
          <w:p w14:paraId="251E9EE2"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-4.</w:t>
            </w:r>
            <w:r>
              <w:rPr>
                <w:rFonts w:eastAsia="Times New Roman" w:cs="Times New Roman"/>
                <w:color w:val="000000"/>
                <w:sz w:val="20"/>
                <w:szCs w:val="20"/>
              </w:rPr>
              <w:t>72</w:t>
            </w:r>
          </w:p>
        </w:tc>
        <w:tc>
          <w:tcPr>
            <w:tcW w:w="876" w:type="dxa"/>
            <w:tcBorders>
              <w:top w:val="nil"/>
              <w:left w:val="double" w:sz="4" w:space="0" w:color="auto"/>
              <w:bottom w:val="double" w:sz="4" w:space="0" w:color="auto"/>
              <w:right w:val="single" w:sz="4" w:space="0" w:color="auto"/>
            </w:tcBorders>
            <w:shd w:val="clear" w:color="auto" w:fill="auto"/>
            <w:noWrap/>
            <w:vAlign w:val="center"/>
          </w:tcPr>
          <w:p w14:paraId="22C208E3"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-0.</w:t>
            </w:r>
            <w:r>
              <w:rPr>
                <w:rFonts w:eastAsia="Times New Roman" w:cs="Times New Roman"/>
                <w:color w:val="000000"/>
                <w:sz w:val="20"/>
                <w:szCs w:val="20"/>
              </w:rPr>
              <w:t>161</w:t>
            </w:r>
          </w:p>
        </w:tc>
        <w:tc>
          <w:tcPr>
            <w:tcW w:w="825" w:type="dxa"/>
            <w:tcBorders>
              <w:top w:val="nil"/>
              <w:left w:val="single" w:sz="4" w:space="0" w:color="auto"/>
              <w:bottom w:val="double" w:sz="4" w:space="0" w:color="auto"/>
              <w:right w:val="double" w:sz="4" w:space="0" w:color="auto"/>
            </w:tcBorders>
            <w:shd w:val="clear" w:color="auto" w:fill="auto"/>
            <w:noWrap/>
            <w:vAlign w:val="center"/>
          </w:tcPr>
          <w:p w14:paraId="08DBBC91"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-4.</w:t>
            </w:r>
            <w:r>
              <w:rPr>
                <w:rFonts w:eastAsia="Times New Roman" w:cs="Times New Roman"/>
                <w:color w:val="000000"/>
                <w:sz w:val="20"/>
                <w:szCs w:val="20"/>
              </w:rPr>
              <w:t>72</w:t>
            </w:r>
          </w:p>
        </w:tc>
        <w:tc>
          <w:tcPr>
            <w:tcW w:w="992" w:type="dxa"/>
            <w:tcBorders>
              <w:top w:val="nil"/>
              <w:left w:val="double" w:sz="4" w:space="0" w:color="auto"/>
              <w:bottom w:val="double" w:sz="4" w:space="0" w:color="auto"/>
              <w:right w:val="single" w:sz="4" w:space="0" w:color="auto"/>
            </w:tcBorders>
            <w:shd w:val="clear" w:color="auto" w:fill="auto"/>
            <w:noWrap/>
            <w:vAlign w:val="center"/>
          </w:tcPr>
          <w:p w14:paraId="70DDC0D1"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-0.</w:t>
            </w:r>
            <w:r>
              <w:rPr>
                <w:rFonts w:eastAsia="Times New Roman" w:cs="Times New Roman"/>
                <w:color w:val="000000"/>
                <w:sz w:val="20"/>
                <w:szCs w:val="20"/>
              </w:rPr>
              <w:t>161</w:t>
            </w:r>
          </w:p>
        </w:tc>
        <w:tc>
          <w:tcPr>
            <w:tcW w:w="992" w:type="dxa"/>
            <w:tcBorders>
              <w:top w:val="nil"/>
              <w:left w:val="single" w:sz="4" w:space="0" w:color="auto"/>
              <w:bottom w:val="double" w:sz="4" w:space="0" w:color="auto"/>
              <w:right w:val="single" w:sz="12" w:space="0" w:color="auto"/>
            </w:tcBorders>
            <w:shd w:val="clear" w:color="auto" w:fill="auto"/>
            <w:noWrap/>
            <w:vAlign w:val="center"/>
          </w:tcPr>
          <w:p w14:paraId="063B1055" w14:textId="77777777" w:rsidR="00D47D34" w:rsidRPr="00487A62" w:rsidRDefault="00D47D34" w:rsidP="00371871">
            <w:pPr>
              <w:jc w:val="right"/>
              <w:rPr>
                <w:rFonts w:eastAsia="Times New Roman" w:cs="Times New Roman"/>
                <w:color w:val="000000"/>
                <w:sz w:val="20"/>
                <w:szCs w:val="20"/>
              </w:rPr>
            </w:pPr>
            <w:r w:rsidRPr="00487A62">
              <w:rPr>
                <w:rFonts w:eastAsia="Times New Roman" w:cs="Times New Roman"/>
                <w:color w:val="000000"/>
                <w:sz w:val="20"/>
                <w:szCs w:val="20"/>
              </w:rPr>
              <w:t>-</w:t>
            </w:r>
            <w:r>
              <w:rPr>
                <w:rFonts w:eastAsia="Times New Roman" w:cs="Times New Roman"/>
                <w:color w:val="000000"/>
                <w:sz w:val="20"/>
                <w:szCs w:val="20"/>
              </w:rPr>
              <w:t>4.72</w:t>
            </w:r>
          </w:p>
        </w:tc>
        <w:tc>
          <w:tcPr>
            <w:tcW w:w="993" w:type="dxa"/>
            <w:tcBorders>
              <w:top w:val="nil"/>
              <w:left w:val="single" w:sz="12" w:space="0" w:color="auto"/>
              <w:bottom w:val="double" w:sz="4" w:space="0" w:color="auto"/>
              <w:right w:val="single" w:sz="4" w:space="0" w:color="auto"/>
            </w:tcBorders>
            <w:shd w:val="clear" w:color="auto" w:fill="auto"/>
            <w:noWrap/>
            <w:vAlign w:val="center"/>
          </w:tcPr>
          <w:p w14:paraId="22EE50D7" w14:textId="77777777" w:rsidR="00D47D34" w:rsidRPr="002B25D4" w:rsidRDefault="00D47D34" w:rsidP="00371871">
            <w:pPr>
              <w:jc w:val="right"/>
              <w:rPr>
                <w:rFonts w:eastAsia="Times New Roman" w:cs="Times New Roman"/>
                <w:color w:val="000000" w:themeColor="text1"/>
                <w:sz w:val="20"/>
                <w:szCs w:val="20"/>
              </w:rPr>
            </w:pPr>
            <w:r w:rsidRPr="002B25D4">
              <w:rPr>
                <w:rFonts w:eastAsia="Times New Roman" w:cs="Times New Roman"/>
                <w:color w:val="000000" w:themeColor="text1"/>
                <w:sz w:val="20"/>
                <w:szCs w:val="20"/>
              </w:rPr>
              <w:t>NA</w:t>
            </w:r>
          </w:p>
        </w:tc>
        <w:tc>
          <w:tcPr>
            <w:tcW w:w="992" w:type="dxa"/>
            <w:tcBorders>
              <w:top w:val="nil"/>
              <w:left w:val="single" w:sz="4" w:space="0" w:color="auto"/>
              <w:bottom w:val="double" w:sz="4" w:space="0" w:color="auto"/>
              <w:right w:val="double" w:sz="4" w:space="0" w:color="auto"/>
            </w:tcBorders>
            <w:shd w:val="clear" w:color="auto" w:fill="auto"/>
            <w:noWrap/>
            <w:vAlign w:val="center"/>
          </w:tcPr>
          <w:p w14:paraId="2BA01848" w14:textId="77777777" w:rsidR="00D47D34" w:rsidRPr="002B25D4" w:rsidRDefault="00D47D34" w:rsidP="00371871">
            <w:pPr>
              <w:jc w:val="right"/>
              <w:rPr>
                <w:rFonts w:eastAsia="Times New Roman" w:cs="Times New Roman"/>
                <w:color w:val="000000" w:themeColor="text1"/>
                <w:sz w:val="20"/>
                <w:szCs w:val="20"/>
              </w:rPr>
            </w:pPr>
          </w:p>
        </w:tc>
        <w:tc>
          <w:tcPr>
            <w:tcW w:w="992" w:type="dxa"/>
            <w:tcBorders>
              <w:top w:val="nil"/>
              <w:left w:val="double" w:sz="4" w:space="0" w:color="auto"/>
              <w:bottom w:val="double" w:sz="4" w:space="0" w:color="auto"/>
              <w:right w:val="single" w:sz="4" w:space="0" w:color="auto"/>
            </w:tcBorders>
            <w:shd w:val="clear" w:color="auto" w:fill="auto"/>
            <w:noWrap/>
            <w:vAlign w:val="center"/>
          </w:tcPr>
          <w:p w14:paraId="37D04345" w14:textId="77777777" w:rsidR="00D47D34" w:rsidRPr="002B25D4" w:rsidRDefault="00D47D34" w:rsidP="00371871">
            <w:pPr>
              <w:jc w:val="right"/>
              <w:rPr>
                <w:rFonts w:eastAsia="Times New Roman" w:cs="Times New Roman"/>
                <w:color w:val="000000" w:themeColor="text1"/>
                <w:sz w:val="20"/>
                <w:szCs w:val="20"/>
              </w:rPr>
            </w:pPr>
            <w:r w:rsidRPr="002B25D4">
              <w:rPr>
                <w:rFonts w:eastAsia="Times New Roman" w:cs="Times New Roman"/>
                <w:color w:val="000000" w:themeColor="text1"/>
                <w:sz w:val="20"/>
                <w:szCs w:val="20"/>
              </w:rPr>
              <w:t>NA</w:t>
            </w:r>
          </w:p>
        </w:tc>
        <w:tc>
          <w:tcPr>
            <w:tcW w:w="1134" w:type="dxa"/>
            <w:tcBorders>
              <w:top w:val="nil"/>
              <w:left w:val="single" w:sz="4" w:space="0" w:color="auto"/>
              <w:bottom w:val="double" w:sz="4" w:space="0" w:color="auto"/>
              <w:right w:val="double" w:sz="4" w:space="0" w:color="auto"/>
            </w:tcBorders>
            <w:shd w:val="clear" w:color="auto" w:fill="auto"/>
            <w:noWrap/>
            <w:vAlign w:val="center"/>
          </w:tcPr>
          <w:p w14:paraId="4BB181FC" w14:textId="77777777" w:rsidR="00D47D34" w:rsidRPr="002B25D4" w:rsidRDefault="00D47D34" w:rsidP="00371871">
            <w:pPr>
              <w:jc w:val="right"/>
              <w:rPr>
                <w:rFonts w:eastAsia="Times New Roman" w:cs="Times New Roman"/>
                <w:color w:val="000000" w:themeColor="text1"/>
                <w:sz w:val="20"/>
                <w:szCs w:val="20"/>
              </w:rPr>
            </w:pPr>
          </w:p>
        </w:tc>
      </w:tr>
      <w:bookmarkEnd w:id="14"/>
    </w:tbl>
    <w:p w14:paraId="3BEBDCAB" w14:textId="77777777" w:rsidR="00D47D34" w:rsidRDefault="00D47D34" w:rsidP="00D47D34"/>
    <w:p w14:paraId="627D6343" w14:textId="77777777" w:rsidR="00D47D34" w:rsidRDefault="00D47D34" w:rsidP="00D47D34">
      <w:pPr>
        <w:sectPr w:rsidR="00D47D34" w:rsidSect="00371871">
          <w:pgSz w:w="15840" w:h="12240" w:orient="landscape"/>
          <w:pgMar w:top="1440" w:right="1440" w:bottom="1440" w:left="1440" w:header="720" w:footer="720" w:gutter="0"/>
          <w:cols w:space="720"/>
          <w:docGrid w:linePitch="360"/>
        </w:sectPr>
      </w:pPr>
      <w:r>
        <w:br w:type="page"/>
      </w:r>
    </w:p>
    <w:p w14:paraId="7F55E4B1" w14:textId="4DAAA73C" w:rsidR="00D47D34" w:rsidRPr="00312CEC" w:rsidRDefault="00D47D34" w:rsidP="00746048">
      <w:pPr>
        <w:spacing w:after="120"/>
        <w:rPr>
          <w:rFonts w:cs="Times New Roman"/>
          <w:b/>
          <w:szCs w:val="24"/>
        </w:rPr>
      </w:pPr>
      <w:r w:rsidRPr="00312CEC">
        <w:rPr>
          <w:rFonts w:cs="Times New Roman"/>
          <w:b/>
          <w:szCs w:val="24"/>
        </w:rPr>
        <w:lastRenderedPageBreak/>
        <w:t xml:space="preserve">Table </w:t>
      </w:r>
      <w:r w:rsidR="006B3123">
        <w:rPr>
          <w:rFonts w:cs="Times New Roman"/>
          <w:b/>
          <w:szCs w:val="24"/>
        </w:rPr>
        <w:t>5</w:t>
      </w:r>
      <w:r w:rsidRPr="00312CEC">
        <w:rPr>
          <w:rFonts w:cs="Times New Roman"/>
          <w:b/>
          <w:szCs w:val="24"/>
        </w:rPr>
        <w:t>. Disaggregate Data Fit Measures</w:t>
      </w:r>
    </w:p>
    <w:tbl>
      <w:tblPr>
        <w:tblW w:w="9250" w:type="dxa"/>
        <w:jc w:val="center"/>
        <w:tblLayout w:type="fixed"/>
        <w:tblLook w:val="04A0" w:firstRow="1" w:lastRow="0" w:firstColumn="1" w:lastColumn="0" w:noHBand="0" w:noVBand="1"/>
      </w:tblPr>
      <w:tblGrid>
        <w:gridCol w:w="5377"/>
        <w:gridCol w:w="1936"/>
        <w:gridCol w:w="1937"/>
      </w:tblGrid>
      <w:tr w:rsidR="00D47D34" w:rsidRPr="0019203E" w14:paraId="57DF1D1F" w14:textId="77777777" w:rsidTr="00746048">
        <w:trPr>
          <w:trHeight w:val="360"/>
          <w:jc w:val="center"/>
        </w:trPr>
        <w:tc>
          <w:tcPr>
            <w:tcW w:w="5377" w:type="dxa"/>
            <w:vMerge w:val="restart"/>
            <w:tcBorders>
              <w:top w:val="double" w:sz="6" w:space="0" w:color="auto"/>
              <w:left w:val="double" w:sz="6" w:space="0" w:color="auto"/>
              <w:bottom w:val="single" w:sz="4" w:space="0" w:color="auto"/>
              <w:right w:val="double" w:sz="6" w:space="0" w:color="auto"/>
            </w:tcBorders>
            <w:shd w:val="clear" w:color="auto" w:fill="auto"/>
            <w:noWrap/>
            <w:vAlign w:val="bottom"/>
            <w:hideMark/>
          </w:tcPr>
          <w:p w14:paraId="1D3354F6" w14:textId="77777777" w:rsidR="00D47D34" w:rsidRPr="00595E11" w:rsidRDefault="00D47D34" w:rsidP="00782AC8">
            <w:pPr>
              <w:jc w:val="center"/>
              <w:rPr>
                <w:rFonts w:eastAsia="Times New Roman" w:cs="Times New Roman"/>
                <w:b/>
                <w:bCs/>
                <w:color w:val="000000"/>
                <w:szCs w:val="24"/>
              </w:rPr>
            </w:pPr>
            <w:r w:rsidRPr="00595E11">
              <w:rPr>
                <w:rFonts w:eastAsia="Times New Roman" w:cs="Times New Roman"/>
                <w:b/>
                <w:bCs/>
                <w:color w:val="000000"/>
                <w:szCs w:val="24"/>
              </w:rPr>
              <w:t>Summary Statistics</w:t>
            </w:r>
          </w:p>
        </w:tc>
        <w:tc>
          <w:tcPr>
            <w:tcW w:w="3873" w:type="dxa"/>
            <w:gridSpan w:val="2"/>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554F222E" w14:textId="77777777" w:rsidR="00D47D34" w:rsidRPr="00D33E4B" w:rsidRDefault="00D47D34" w:rsidP="00782AC8">
            <w:pPr>
              <w:jc w:val="center"/>
              <w:rPr>
                <w:rFonts w:eastAsia="Times New Roman" w:cs="Times New Roman"/>
                <w:b/>
                <w:color w:val="000000"/>
                <w:szCs w:val="24"/>
              </w:rPr>
            </w:pPr>
            <w:r w:rsidRPr="00D33E4B">
              <w:rPr>
                <w:rFonts w:eastAsia="Times New Roman" w:cs="Times New Roman"/>
                <w:b/>
                <w:color w:val="000000"/>
                <w:szCs w:val="24"/>
              </w:rPr>
              <w:t>Model</w:t>
            </w:r>
          </w:p>
        </w:tc>
      </w:tr>
      <w:tr w:rsidR="00D47D34" w:rsidRPr="0019203E" w14:paraId="44CB6652" w14:textId="77777777" w:rsidTr="00746048">
        <w:trPr>
          <w:trHeight w:val="324"/>
          <w:jc w:val="center"/>
        </w:trPr>
        <w:tc>
          <w:tcPr>
            <w:tcW w:w="5377" w:type="dxa"/>
            <w:vMerge/>
            <w:tcBorders>
              <w:top w:val="double" w:sz="6" w:space="0" w:color="auto"/>
              <w:left w:val="double" w:sz="6" w:space="0" w:color="auto"/>
              <w:bottom w:val="double" w:sz="4" w:space="0" w:color="auto"/>
              <w:right w:val="double" w:sz="6" w:space="0" w:color="auto"/>
            </w:tcBorders>
            <w:vAlign w:val="center"/>
            <w:hideMark/>
          </w:tcPr>
          <w:p w14:paraId="256D0302" w14:textId="77777777" w:rsidR="00D47D34" w:rsidRPr="00D33E4B" w:rsidRDefault="00D47D34" w:rsidP="00782AC8">
            <w:pPr>
              <w:jc w:val="both"/>
              <w:rPr>
                <w:rFonts w:eastAsia="Times New Roman" w:cs="Times New Roman"/>
                <w:color w:val="000000"/>
                <w:szCs w:val="24"/>
              </w:rPr>
            </w:pPr>
          </w:p>
        </w:tc>
        <w:tc>
          <w:tcPr>
            <w:tcW w:w="1936" w:type="dxa"/>
            <w:tcBorders>
              <w:top w:val="single" w:sz="4" w:space="0" w:color="auto"/>
              <w:left w:val="double" w:sz="6" w:space="0" w:color="auto"/>
              <w:bottom w:val="double" w:sz="4" w:space="0" w:color="auto"/>
              <w:right w:val="single" w:sz="4" w:space="0" w:color="auto"/>
            </w:tcBorders>
            <w:shd w:val="clear" w:color="auto" w:fill="auto"/>
            <w:noWrap/>
            <w:vAlign w:val="bottom"/>
            <w:hideMark/>
          </w:tcPr>
          <w:p w14:paraId="621927E9" w14:textId="407B0253" w:rsidR="00D47D34" w:rsidRPr="00D33E4B" w:rsidRDefault="00D47D34" w:rsidP="00782AC8">
            <w:pPr>
              <w:jc w:val="center"/>
              <w:rPr>
                <w:rFonts w:eastAsia="Times New Roman" w:cs="Times New Roman"/>
                <w:b/>
                <w:color w:val="000000"/>
                <w:szCs w:val="24"/>
              </w:rPr>
            </w:pPr>
            <w:r w:rsidRPr="00D33E4B">
              <w:rPr>
                <w:rFonts w:eastAsia="Times New Roman" w:cs="Times New Roman"/>
                <w:b/>
                <w:color w:val="000000"/>
                <w:szCs w:val="24"/>
              </w:rPr>
              <w:t>Joint Model</w:t>
            </w:r>
          </w:p>
        </w:tc>
        <w:tc>
          <w:tcPr>
            <w:tcW w:w="1937" w:type="dxa"/>
            <w:tcBorders>
              <w:top w:val="single" w:sz="4" w:space="0" w:color="auto"/>
              <w:left w:val="nil"/>
              <w:bottom w:val="double" w:sz="4" w:space="0" w:color="auto"/>
              <w:right w:val="double" w:sz="6" w:space="0" w:color="auto"/>
            </w:tcBorders>
            <w:shd w:val="clear" w:color="auto" w:fill="auto"/>
            <w:noWrap/>
            <w:vAlign w:val="bottom"/>
            <w:hideMark/>
          </w:tcPr>
          <w:p w14:paraId="7A1CFAB8" w14:textId="77777777" w:rsidR="00D47D34" w:rsidRPr="00D33E4B" w:rsidRDefault="00D47D34" w:rsidP="00782AC8">
            <w:pPr>
              <w:jc w:val="center"/>
              <w:rPr>
                <w:rFonts w:eastAsia="Times New Roman" w:cs="Times New Roman"/>
                <w:b/>
                <w:color w:val="000000"/>
                <w:szCs w:val="24"/>
              </w:rPr>
            </w:pPr>
            <w:r w:rsidRPr="00D33E4B">
              <w:rPr>
                <w:rFonts w:eastAsia="Times New Roman" w:cs="Times New Roman"/>
                <w:b/>
                <w:color w:val="000000"/>
                <w:szCs w:val="24"/>
              </w:rPr>
              <w:t>Indep. Model</w:t>
            </w:r>
          </w:p>
        </w:tc>
      </w:tr>
      <w:tr w:rsidR="00D47D34" w:rsidRPr="0019203E" w14:paraId="5837EED7" w14:textId="77777777" w:rsidTr="00746048">
        <w:trPr>
          <w:trHeight w:val="360"/>
          <w:jc w:val="center"/>
        </w:trPr>
        <w:tc>
          <w:tcPr>
            <w:tcW w:w="5377" w:type="dxa"/>
            <w:tcBorders>
              <w:top w:val="nil"/>
              <w:left w:val="double" w:sz="6" w:space="0" w:color="auto"/>
              <w:bottom w:val="single" w:sz="4" w:space="0" w:color="auto"/>
              <w:right w:val="double" w:sz="6" w:space="0" w:color="auto"/>
            </w:tcBorders>
            <w:shd w:val="clear" w:color="auto" w:fill="auto"/>
            <w:noWrap/>
            <w:vAlign w:val="center"/>
            <w:hideMark/>
          </w:tcPr>
          <w:p w14:paraId="4A212CD5" w14:textId="77777777" w:rsidR="00D47D34" w:rsidRPr="00B25BE6" w:rsidRDefault="00D47D34" w:rsidP="00B25BE6">
            <w:pPr>
              <w:rPr>
                <w:rFonts w:eastAsia="Times New Roman" w:cs="Times New Roman"/>
                <w:color w:val="000000"/>
                <w:szCs w:val="24"/>
              </w:rPr>
            </w:pPr>
            <w:r w:rsidRPr="00B25BE6">
              <w:rPr>
                <w:rFonts w:eastAsia="Times New Roman" w:cs="Times New Roman"/>
                <w:color w:val="000000"/>
                <w:szCs w:val="24"/>
              </w:rPr>
              <w:t>Predictive log-likelihood at convergence</w:t>
            </w:r>
          </w:p>
        </w:tc>
        <w:tc>
          <w:tcPr>
            <w:tcW w:w="1936" w:type="dxa"/>
            <w:tcBorders>
              <w:top w:val="nil"/>
              <w:left w:val="double" w:sz="6" w:space="0" w:color="auto"/>
              <w:bottom w:val="single" w:sz="4" w:space="0" w:color="auto"/>
              <w:right w:val="single" w:sz="4" w:space="0" w:color="auto"/>
            </w:tcBorders>
            <w:shd w:val="clear" w:color="auto" w:fill="auto"/>
            <w:noWrap/>
            <w:vAlign w:val="center"/>
            <w:hideMark/>
          </w:tcPr>
          <w:p w14:paraId="75C1C76F" w14:textId="3BC6F023" w:rsidR="00D47D34" w:rsidRPr="00D33E4B" w:rsidRDefault="00D47D34" w:rsidP="00A94CB5">
            <w:pPr>
              <w:jc w:val="right"/>
              <w:rPr>
                <w:rFonts w:eastAsia="Times New Roman" w:cs="Times New Roman"/>
                <w:color w:val="000000"/>
                <w:szCs w:val="24"/>
              </w:rPr>
            </w:pPr>
            <w:r w:rsidRPr="00D33E4B">
              <w:rPr>
                <w:rFonts w:eastAsia="Times New Roman" w:cs="Times New Roman"/>
                <w:color w:val="000000"/>
                <w:szCs w:val="24"/>
              </w:rPr>
              <w:t xml:space="preserve">  -</w:t>
            </w:r>
            <w:r w:rsidR="0006250B">
              <w:rPr>
                <w:rFonts w:eastAsia="Times New Roman" w:cs="Times New Roman"/>
                <w:color w:val="000000"/>
                <w:szCs w:val="24"/>
              </w:rPr>
              <w:t>2</w:t>
            </w:r>
            <w:r w:rsidR="008764FA">
              <w:rPr>
                <w:rFonts w:eastAsia="Times New Roman" w:cs="Times New Roman"/>
                <w:color w:val="000000"/>
                <w:szCs w:val="24"/>
              </w:rPr>
              <w:t>593</w:t>
            </w:r>
            <w:r w:rsidR="0006250B">
              <w:rPr>
                <w:rFonts w:eastAsia="Times New Roman" w:cs="Times New Roman"/>
                <w:color w:val="000000"/>
                <w:szCs w:val="24"/>
              </w:rPr>
              <w:t>.</w:t>
            </w:r>
            <w:r w:rsidR="008764FA">
              <w:rPr>
                <w:rFonts w:eastAsia="Times New Roman" w:cs="Times New Roman"/>
                <w:color w:val="000000"/>
                <w:szCs w:val="24"/>
              </w:rPr>
              <w:t>34</w:t>
            </w:r>
            <w:r w:rsidR="0006250B">
              <w:rPr>
                <w:rFonts w:eastAsia="Times New Roman" w:cs="Times New Roman"/>
                <w:color w:val="000000"/>
                <w:szCs w:val="24"/>
              </w:rPr>
              <w:t>0</w:t>
            </w:r>
          </w:p>
        </w:tc>
        <w:tc>
          <w:tcPr>
            <w:tcW w:w="1937" w:type="dxa"/>
            <w:tcBorders>
              <w:top w:val="nil"/>
              <w:left w:val="nil"/>
              <w:bottom w:val="single" w:sz="4" w:space="0" w:color="auto"/>
              <w:right w:val="double" w:sz="6" w:space="0" w:color="auto"/>
            </w:tcBorders>
            <w:shd w:val="clear" w:color="auto" w:fill="auto"/>
            <w:noWrap/>
            <w:vAlign w:val="center"/>
            <w:hideMark/>
          </w:tcPr>
          <w:p w14:paraId="260CE849" w14:textId="30AFE5B2" w:rsidR="00D47D34" w:rsidRPr="00D33E4B" w:rsidRDefault="00D47D34" w:rsidP="00A94CB5">
            <w:pPr>
              <w:jc w:val="right"/>
              <w:rPr>
                <w:rFonts w:eastAsia="Times New Roman" w:cs="Times New Roman"/>
                <w:color w:val="000000"/>
                <w:szCs w:val="24"/>
              </w:rPr>
            </w:pPr>
            <w:r w:rsidRPr="00D33E4B">
              <w:rPr>
                <w:rFonts w:eastAsia="Times New Roman" w:cs="Times New Roman"/>
                <w:color w:val="000000"/>
                <w:szCs w:val="24"/>
              </w:rPr>
              <w:t xml:space="preserve">  -</w:t>
            </w:r>
            <w:r w:rsidR="007A1C08">
              <w:rPr>
                <w:rFonts w:eastAsia="Times New Roman" w:cs="Times New Roman"/>
                <w:color w:val="000000"/>
                <w:szCs w:val="24"/>
              </w:rPr>
              <w:t>2731.104</w:t>
            </w:r>
          </w:p>
        </w:tc>
      </w:tr>
      <w:tr w:rsidR="00D47D34" w:rsidRPr="0019203E" w14:paraId="09326AC7" w14:textId="77777777" w:rsidTr="00746048">
        <w:trPr>
          <w:trHeight w:val="360"/>
          <w:jc w:val="center"/>
        </w:trPr>
        <w:tc>
          <w:tcPr>
            <w:tcW w:w="5377" w:type="dxa"/>
            <w:tcBorders>
              <w:top w:val="nil"/>
              <w:left w:val="double" w:sz="6" w:space="0" w:color="auto"/>
              <w:bottom w:val="single" w:sz="4" w:space="0" w:color="auto"/>
              <w:right w:val="double" w:sz="6" w:space="0" w:color="auto"/>
            </w:tcBorders>
            <w:shd w:val="clear" w:color="auto" w:fill="auto"/>
            <w:noWrap/>
            <w:vAlign w:val="center"/>
          </w:tcPr>
          <w:p w14:paraId="74D2A264" w14:textId="77777777" w:rsidR="00D47D34" w:rsidRPr="00B25BE6" w:rsidRDefault="00D47D34" w:rsidP="00B25BE6">
            <w:pPr>
              <w:rPr>
                <w:rFonts w:eastAsia="Times New Roman" w:cs="Times New Roman"/>
                <w:color w:val="000000"/>
                <w:szCs w:val="24"/>
              </w:rPr>
            </w:pPr>
            <w:r w:rsidRPr="00B25BE6">
              <w:rPr>
                <w:rFonts w:eastAsia="Times New Roman" w:cs="Times New Roman"/>
                <w:color w:val="000000"/>
                <w:szCs w:val="24"/>
              </w:rPr>
              <w:t>Number of parameters</w:t>
            </w:r>
          </w:p>
        </w:tc>
        <w:tc>
          <w:tcPr>
            <w:tcW w:w="1936" w:type="dxa"/>
            <w:tcBorders>
              <w:top w:val="nil"/>
              <w:left w:val="double" w:sz="6" w:space="0" w:color="auto"/>
              <w:bottom w:val="single" w:sz="4" w:space="0" w:color="auto"/>
              <w:right w:val="single" w:sz="4" w:space="0" w:color="auto"/>
            </w:tcBorders>
            <w:shd w:val="clear" w:color="auto" w:fill="auto"/>
            <w:noWrap/>
            <w:vAlign w:val="center"/>
          </w:tcPr>
          <w:p w14:paraId="4FACD2EF" w14:textId="506A9CDA" w:rsidR="00D47D34" w:rsidRPr="00D33E4B" w:rsidRDefault="0006250B" w:rsidP="00A94CB5">
            <w:pPr>
              <w:jc w:val="right"/>
              <w:rPr>
                <w:rFonts w:eastAsia="Times New Roman" w:cs="Times New Roman"/>
                <w:color w:val="000000"/>
                <w:szCs w:val="24"/>
              </w:rPr>
            </w:pPr>
            <w:r>
              <w:rPr>
                <w:rFonts w:eastAsia="Times New Roman" w:cs="Times New Roman"/>
                <w:color w:val="000000"/>
                <w:szCs w:val="24"/>
              </w:rPr>
              <w:t>47</w:t>
            </w:r>
          </w:p>
        </w:tc>
        <w:tc>
          <w:tcPr>
            <w:tcW w:w="1937" w:type="dxa"/>
            <w:tcBorders>
              <w:top w:val="nil"/>
              <w:left w:val="nil"/>
              <w:bottom w:val="single" w:sz="4" w:space="0" w:color="auto"/>
              <w:right w:val="double" w:sz="6" w:space="0" w:color="auto"/>
            </w:tcBorders>
            <w:shd w:val="clear" w:color="auto" w:fill="auto"/>
            <w:noWrap/>
            <w:vAlign w:val="center"/>
          </w:tcPr>
          <w:p w14:paraId="3424F75D" w14:textId="298C2056" w:rsidR="00D47D34" w:rsidRPr="00D33E4B" w:rsidRDefault="007A1C08" w:rsidP="00A94CB5">
            <w:pPr>
              <w:jc w:val="right"/>
              <w:rPr>
                <w:rFonts w:eastAsia="Times New Roman" w:cs="Times New Roman"/>
                <w:color w:val="000000"/>
                <w:szCs w:val="24"/>
              </w:rPr>
            </w:pPr>
            <w:r>
              <w:rPr>
                <w:rFonts w:eastAsia="Times New Roman" w:cs="Times New Roman"/>
                <w:color w:val="000000"/>
                <w:szCs w:val="24"/>
              </w:rPr>
              <w:t>25</w:t>
            </w:r>
          </w:p>
        </w:tc>
      </w:tr>
      <w:tr w:rsidR="00D47D34" w:rsidRPr="0019203E" w14:paraId="6B2CB704" w14:textId="77777777" w:rsidTr="00746048">
        <w:trPr>
          <w:trHeight w:val="360"/>
          <w:jc w:val="center"/>
        </w:trPr>
        <w:tc>
          <w:tcPr>
            <w:tcW w:w="5377" w:type="dxa"/>
            <w:tcBorders>
              <w:top w:val="nil"/>
              <w:left w:val="double" w:sz="6" w:space="0" w:color="auto"/>
              <w:bottom w:val="single" w:sz="4" w:space="0" w:color="auto"/>
              <w:right w:val="double" w:sz="6" w:space="0" w:color="auto"/>
            </w:tcBorders>
            <w:shd w:val="clear" w:color="auto" w:fill="auto"/>
            <w:noWrap/>
            <w:vAlign w:val="center"/>
          </w:tcPr>
          <w:p w14:paraId="6E370C69" w14:textId="77777777" w:rsidR="00D47D34" w:rsidRPr="00B25BE6" w:rsidRDefault="00D47D34" w:rsidP="00B25BE6">
            <w:pPr>
              <w:rPr>
                <w:rFonts w:eastAsia="Times New Roman" w:cs="Times New Roman"/>
                <w:color w:val="000000"/>
                <w:szCs w:val="24"/>
              </w:rPr>
            </w:pPr>
            <w:r w:rsidRPr="00B25BE6">
              <w:rPr>
                <w:rFonts w:eastAsia="Times New Roman" w:cs="Times New Roman"/>
                <w:color w:val="000000"/>
                <w:szCs w:val="24"/>
              </w:rPr>
              <w:t>Bayesian Information Criterion (BIC)</w:t>
            </w:r>
          </w:p>
        </w:tc>
        <w:tc>
          <w:tcPr>
            <w:tcW w:w="1936" w:type="dxa"/>
            <w:tcBorders>
              <w:top w:val="nil"/>
              <w:left w:val="double" w:sz="6" w:space="0" w:color="auto"/>
              <w:bottom w:val="single" w:sz="4" w:space="0" w:color="auto"/>
              <w:right w:val="single" w:sz="4" w:space="0" w:color="auto"/>
            </w:tcBorders>
            <w:shd w:val="clear" w:color="auto" w:fill="auto"/>
            <w:noWrap/>
            <w:vAlign w:val="center"/>
          </w:tcPr>
          <w:p w14:paraId="50E41A38" w14:textId="278BB737" w:rsidR="00D47D34" w:rsidRPr="00D33E4B" w:rsidRDefault="009A7E33" w:rsidP="00A94CB5">
            <w:pPr>
              <w:jc w:val="right"/>
              <w:rPr>
                <w:rFonts w:eastAsia="Times New Roman" w:cs="Times New Roman"/>
                <w:color w:val="000000"/>
                <w:szCs w:val="24"/>
              </w:rPr>
            </w:pPr>
            <w:r>
              <w:rPr>
                <w:rFonts w:eastAsia="Times New Roman" w:cs="Times New Roman"/>
                <w:color w:val="000000"/>
                <w:szCs w:val="24"/>
              </w:rPr>
              <w:t>2756.160</w:t>
            </w:r>
          </w:p>
        </w:tc>
        <w:tc>
          <w:tcPr>
            <w:tcW w:w="1937" w:type="dxa"/>
            <w:tcBorders>
              <w:top w:val="nil"/>
              <w:left w:val="nil"/>
              <w:bottom w:val="single" w:sz="4" w:space="0" w:color="auto"/>
              <w:right w:val="double" w:sz="6" w:space="0" w:color="auto"/>
            </w:tcBorders>
            <w:shd w:val="clear" w:color="auto" w:fill="auto"/>
            <w:noWrap/>
            <w:vAlign w:val="center"/>
          </w:tcPr>
          <w:p w14:paraId="59CEBCC5" w14:textId="76E762EF" w:rsidR="00D47D34" w:rsidRPr="00D33E4B" w:rsidRDefault="009A7E33" w:rsidP="00A94CB5">
            <w:pPr>
              <w:jc w:val="right"/>
              <w:rPr>
                <w:rFonts w:eastAsia="Times New Roman" w:cs="Times New Roman"/>
                <w:color w:val="000000"/>
                <w:szCs w:val="24"/>
              </w:rPr>
            </w:pPr>
            <w:r>
              <w:rPr>
                <w:rFonts w:eastAsia="Times New Roman" w:cs="Times New Roman"/>
                <w:color w:val="000000"/>
                <w:szCs w:val="24"/>
              </w:rPr>
              <w:t>2817.711</w:t>
            </w:r>
          </w:p>
        </w:tc>
      </w:tr>
      <w:tr w:rsidR="00D47D34" w:rsidRPr="0019203E" w14:paraId="79E543ED" w14:textId="77777777" w:rsidTr="00746048">
        <w:trPr>
          <w:trHeight w:val="360"/>
          <w:jc w:val="center"/>
        </w:trPr>
        <w:tc>
          <w:tcPr>
            <w:tcW w:w="5377" w:type="dxa"/>
            <w:tcBorders>
              <w:top w:val="nil"/>
              <w:left w:val="double" w:sz="6" w:space="0" w:color="auto"/>
              <w:bottom w:val="single" w:sz="4" w:space="0" w:color="auto"/>
              <w:right w:val="double" w:sz="6" w:space="0" w:color="auto"/>
            </w:tcBorders>
            <w:shd w:val="clear" w:color="auto" w:fill="auto"/>
            <w:noWrap/>
            <w:vAlign w:val="center"/>
            <w:hideMark/>
          </w:tcPr>
          <w:p w14:paraId="2D761269" w14:textId="77777777" w:rsidR="00D47D34" w:rsidRPr="00B25BE6" w:rsidRDefault="00D47D34" w:rsidP="00B25BE6">
            <w:pPr>
              <w:rPr>
                <w:rFonts w:eastAsia="Times New Roman" w:cs="Times New Roman"/>
                <w:color w:val="000000"/>
                <w:szCs w:val="24"/>
              </w:rPr>
            </w:pPr>
            <w:r w:rsidRPr="00B25BE6">
              <w:rPr>
                <w:rFonts w:eastAsia="Times New Roman" w:cs="Times New Roman"/>
                <w:color w:val="000000"/>
                <w:szCs w:val="24"/>
              </w:rPr>
              <w:t>Constants-only predictive log-likelihood</w:t>
            </w:r>
          </w:p>
        </w:tc>
        <w:tc>
          <w:tcPr>
            <w:tcW w:w="3873" w:type="dxa"/>
            <w:gridSpan w:val="2"/>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25AD06A9" w14:textId="30BEC088" w:rsidR="00D47D34" w:rsidRPr="00D33E4B" w:rsidRDefault="00D47D34" w:rsidP="00A94CB5">
            <w:pPr>
              <w:jc w:val="right"/>
              <w:rPr>
                <w:rFonts w:eastAsia="Times New Roman" w:cs="Times New Roman"/>
                <w:color w:val="000000"/>
                <w:szCs w:val="24"/>
              </w:rPr>
            </w:pPr>
            <w:r w:rsidRPr="00D33E4B">
              <w:rPr>
                <w:rFonts w:eastAsia="Times New Roman" w:cs="Times New Roman"/>
                <w:color w:val="000000"/>
                <w:szCs w:val="24"/>
              </w:rPr>
              <w:t>-</w:t>
            </w:r>
            <w:r w:rsidR="007A1C08">
              <w:rPr>
                <w:rFonts w:eastAsia="Times New Roman" w:cs="Times New Roman"/>
                <w:color w:val="000000"/>
                <w:szCs w:val="24"/>
              </w:rPr>
              <w:t>2</w:t>
            </w:r>
            <w:r w:rsidR="003E0F35">
              <w:rPr>
                <w:rFonts w:eastAsia="Times New Roman" w:cs="Times New Roman"/>
                <w:color w:val="000000"/>
                <w:szCs w:val="24"/>
              </w:rPr>
              <w:t>84</w:t>
            </w:r>
            <w:r w:rsidR="007A1C08">
              <w:rPr>
                <w:rFonts w:eastAsia="Times New Roman" w:cs="Times New Roman"/>
                <w:color w:val="000000"/>
                <w:szCs w:val="24"/>
              </w:rPr>
              <w:t>1.526</w:t>
            </w:r>
          </w:p>
        </w:tc>
      </w:tr>
      <w:tr w:rsidR="00D47D34" w:rsidRPr="0019203E" w14:paraId="72AC94AF" w14:textId="77777777" w:rsidTr="00746048">
        <w:trPr>
          <w:trHeight w:val="360"/>
          <w:jc w:val="center"/>
        </w:trPr>
        <w:tc>
          <w:tcPr>
            <w:tcW w:w="5377" w:type="dxa"/>
            <w:tcBorders>
              <w:top w:val="nil"/>
              <w:left w:val="double" w:sz="6" w:space="0" w:color="auto"/>
              <w:bottom w:val="single" w:sz="4" w:space="0" w:color="auto"/>
              <w:right w:val="double" w:sz="6" w:space="0" w:color="auto"/>
            </w:tcBorders>
            <w:shd w:val="clear" w:color="auto" w:fill="auto"/>
            <w:noWrap/>
            <w:vAlign w:val="center"/>
            <w:hideMark/>
          </w:tcPr>
          <w:p w14:paraId="6B6BE6B0" w14:textId="77777777" w:rsidR="00D47D34" w:rsidRPr="00B25BE6" w:rsidRDefault="00D47D34" w:rsidP="00B25BE6">
            <w:pPr>
              <w:rPr>
                <w:rFonts w:eastAsia="Times New Roman" w:cs="Times New Roman"/>
                <w:color w:val="000000"/>
                <w:szCs w:val="24"/>
              </w:rPr>
            </w:pPr>
            <w:r w:rsidRPr="00B25BE6">
              <w:rPr>
                <w:rFonts w:eastAsia="Times New Roman" w:cs="Times New Roman"/>
                <w:color w:val="000000"/>
                <w:szCs w:val="24"/>
              </w:rPr>
              <w:t>Predictive adjusted likelihood ratio index</w:t>
            </w:r>
          </w:p>
        </w:tc>
        <w:tc>
          <w:tcPr>
            <w:tcW w:w="1936" w:type="dxa"/>
            <w:tcBorders>
              <w:top w:val="nil"/>
              <w:left w:val="double" w:sz="6" w:space="0" w:color="auto"/>
              <w:bottom w:val="single" w:sz="4" w:space="0" w:color="auto"/>
              <w:right w:val="single" w:sz="4" w:space="0" w:color="auto"/>
            </w:tcBorders>
            <w:shd w:val="clear" w:color="auto" w:fill="auto"/>
            <w:noWrap/>
            <w:vAlign w:val="bottom"/>
            <w:hideMark/>
          </w:tcPr>
          <w:p w14:paraId="257DD710" w14:textId="2F7C420C" w:rsidR="00D47D34" w:rsidRPr="00D33E4B" w:rsidRDefault="008764FA" w:rsidP="00A94CB5">
            <w:pPr>
              <w:jc w:val="right"/>
              <w:rPr>
                <w:rFonts w:eastAsia="Times New Roman" w:cs="Times New Roman"/>
                <w:color w:val="000000"/>
                <w:szCs w:val="24"/>
              </w:rPr>
            </w:pPr>
            <w:r>
              <w:rPr>
                <w:rFonts w:eastAsia="Times New Roman" w:cs="Times New Roman"/>
                <w:color w:val="000000"/>
                <w:szCs w:val="24"/>
              </w:rPr>
              <w:t>0.0708</w:t>
            </w:r>
          </w:p>
        </w:tc>
        <w:tc>
          <w:tcPr>
            <w:tcW w:w="1937" w:type="dxa"/>
            <w:tcBorders>
              <w:top w:val="nil"/>
              <w:left w:val="nil"/>
              <w:bottom w:val="single" w:sz="4" w:space="0" w:color="auto"/>
              <w:right w:val="double" w:sz="6" w:space="0" w:color="auto"/>
            </w:tcBorders>
            <w:shd w:val="clear" w:color="auto" w:fill="auto"/>
            <w:noWrap/>
            <w:vAlign w:val="bottom"/>
            <w:hideMark/>
          </w:tcPr>
          <w:p w14:paraId="67B054A8" w14:textId="0AE23652" w:rsidR="00D47D34" w:rsidRPr="00D33E4B" w:rsidRDefault="003735D5" w:rsidP="00A94CB5">
            <w:pPr>
              <w:jc w:val="right"/>
              <w:rPr>
                <w:rFonts w:eastAsia="Times New Roman" w:cs="Times New Roman"/>
                <w:color w:val="000000"/>
                <w:szCs w:val="24"/>
              </w:rPr>
            </w:pPr>
            <w:r>
              <w:rPr>
                <w:rFonts w:eastAsia="Times New Roman" w:cs="Times New Roman"/>
                <w:color w:val="000000"/>
                <w:szCs w:val="24"/>
              </w:rPr>
              <w:t>0.0301</w:t>
            </w:r>
          </w:p>
        </w:tc>
      </w:tr>
      <w:tr w:rsidR="00D47D34" w:rsidRPr="0019203E" w14:paraId="79E71463" w14:textId="77777777" w:rsidTr="00746048">
        <w:trPr>
          <w:trHeight w:val="360"/>
          <w:jc w:val="center"/>
        </w:trPr>
        <w:tc>
          <w:tcPr>
            <w:tcW w:w="5377" w:type="dxa"/>
            <w:tcBorders>
              <w:top w:val="single" w:sz="4" w:space="0" w:color="auto"/>
              <w:left w:val="double" w:sz="6" w:space="0" w:color="auto"/>
              <w:bottom w:val="single" w:sz="4" w:space="0" w:color="auto"/>
              <w:right w:val="double" w:sz="6" w:space="0" w:color="auto"/>
            </w:tcBorders>
            <w:shd w:val="clear" w:color="auto" w:fill="auto"/>
            <w:noWrap/>
            <w:vAlign w:val="center"/>
            <w:hideMark/>
          </w:tcPr>
          <w:p w14:paraId="61D0EDBD" w14:textId="77777777" w:rsidR="00D47D34" w:rsidRPr="00B25BE6" w:rsidRDefault="00D47D34" w:rsidP="00B25BE6">
            <w:pPr>
              <w:rPr>
                <w:rFonts w:eastAsia="Times New Roman" w:cs="Times New Roman"/>
                <w:color w:val="000000"/>
                <w:szCs w:val="24"/>
              </w:rPr>
            </w:pPr>
            <w:r w:rsidRPr="00B25BE6">
              <w:rPr>
                <w:rFonts w:eastAsia="Times New Roman" w:cs="Times New Roman"/>
                <w:color w:val="000000"/>
                <w:szCs w:val="24"/>
              </w:rPr>
              <w:t>Informal non-nested adjusted likelihood ratio test:      Joint model versus Indep. Model</w:t>
            </w:r>
          </w:p>
        </w:tc>
        <w:tc>
          <w:tcPr>
            <w:tcW w:w="3873" w:type="dxa"/>
            <w:gridSpan w:val="2"/>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273D68B8" w14:textId="08C709E1" w:rsidR="00D47D34" w:rsidRPr="00D33E4B" w:rsidRDefault="00D47D34" w:rsidP="00A94CB5">
            <w:pPr>
              <w:jc w:val="center"/>
              <w:rPr>
                <w:rFonts w:eastAsia="Times New Roman" w:cs="Times New Roman"/>
                <w:color w:val="000000"/>
                <w:szCs w:val="24"/>
              </w:rPr>
            </w:pPr>
            <w:r w:rsidRPr="00D33E4B">
              <w:rPr>
                <w:rFonts w:eastAsia="Times New Roman" w:cs="Times New Roman"/>
                <w:color w:val="000000"/>
                <w:szCs w:val="24"/>
              </w:rPr>
              <w:t>Φ [-</w:t>
            </w:r>
            <w:r w:rsidR="009A7E33">
              <w:rPr>
                <w:rFonts w:eastAsia="Times New Roman" w:cs="Times New Roman"/>
                <w:color w:val="000000"/>
                <w:szCs w:val="24"/>
              </w:rPr>
              <w:t>15.915</w:t>
            </w:r>
            <w:r w:rsidRPr="00D33E4B">
              <w:rPr>
                <w:rFonts w:eastAsia="Times New Roman" w:cs="Times New Roman"/>
                <w:color w:val="000000"/>
                <w:szCs w:val="24"/>
              </w:rPr>
              <w:t>] &lt;&lt; 0.001</w:t>
            </w:r>
          </w:p>
        </w:tc>
      </w:tr>
      <w:tr w:rsidR="00D47D34" w:rsidRPr="0019203E" w14:paraId="47248C6C" w14:textId="77777777" w:rsidTr="00746048">
        <w:trPr>
          <w:trHeight w:val="360"/>
          <w:jc w:val="center"/>
        </w:trPr>
        <w:tc>
          <w:tcPr>
            <w:tcW w:w="5377" w:type="dxa"/>
            <w:tcBorders>
              <w:top w:val="single" w:sz="4" w:space="0" w:color="auto"/>
              <w:left w:val="double" w:sz="6" w:space="0" w:color="auto"/>
              <w:bottom w:val="double" w:sz="4" w:space="0" w:color="auto"/>
              <w:right w:val="double" w:sz="6" w:space="0" w:color="auto"/>
            </w:tcBorders>
            <w:shd w:val="clear" w:color="auto" w:fill="auto"/>
            <w:noWrap/>
            <w:vAlign w:val="center"/>
          </w:tcPr>
          <w:p w14:paraId="310606FD" w14:textId="77777777" w:rsidR="00D47D34" w:rsidRPr="00B25BE6" w:rsidRDefault="00D47D34" w:rsidP="00B25BE6">
            <w:pPr>
              <w:rPr>
                <w:rFonts w:eastAsia="Times New Roman" w:cs="Times New Roman"/>
                <w:color w:val="000000"/>
                <w:szCs w:val="24"/>
              </w:rPr>
            </w:pPr>
            <w:r w:rsidRPr="00B25BE6">
              <w:rPr>
                <w:rFonts w:eastAsia="Times New Roman" w:cs="Times New Roman"/>
                <w:color w:val="000000"/>
                <w:szCs w:val="24"/>
              </w:rPr>
              <w:t>Average probability of correct prediction</w:t>
            </w:r>
          </w:p>
        </w:tc>
        <w:tc>
          <w:tcPr>
            <w:tcW w:w="1936" w:type="dxa"/>
            <w:tcBorders>
              <w:top w:val="single" w:sz="4" w:space="0" w:color="auto"/>
              <w:left w:val="double" w:sz="6" w:space="0" w:color="auto"/>
              <w:bottom w:val="double" w:sz="4" w:space="0" w:color="auto"/>
              <w:right w:val="single" w:sz="4" w:space="0" w:color="auto"/>
            </w:tcBorders>
            <w:shd w:val="clear" w:color="auto" w:fill="auto"/>
            <w:noWrap/>
            <w:vAlign w:val="center"/>
          </w:tcPr>
          <w:p w14:paraId="4F46D67A" w14:textId="7D0F541D" w:rsidR="00D47D34" w:rsidRPr="00D33E4B" w:rsidRDefault="00607AD8" w:rsidP="00A94CB5">
            <w:pPr>
              <w:jc w:val="right"/>
              <w:rPr>
                <w:rFonts w:eastAsia="Times New Roman" w:cs="Times New Roman"/>
                <w:color w:val="000000"/>
                <w:szCs w:val="24"/>
              </w:rPr>
            </w:pPr>
            <w:r>
              <w:rPr>
                <w:rFonts w:eastAsia="Times New Roman" w:cs="Times New Roman"/>
                <w:color w:val="000000"/>
                <w:szCs w:val="24"/>
              </w:rPr>
              <w:t>0.1303</w:t>
            </w:r>
          </w:p>
        </w:tc>
        <w:tc>
          <w:tcPr>
            <w:tcW w:w="1937" w:type="dxa"/>
            <w:tcBorders>
              <w:top w:val="single" w:sz="4" w:space="0" w:color="auto"/>
              <w:left w:val="single" w:sz="4" w:space="0" w:color="auto"/>
              <w:bottom w:val="double" w:sz="4" w:space="0" w:color="auto"/>
              <w:right w:val="double" w:sz="6" w:space="0" w:color="000000"/>
            </w:tcBorders>
            <w:shd w:val="clear" w:color="auto" w:fill="auto"/>
            <w:vAlign w:val="center"/>
          </w:tcPr>
          <w:p w14:paraId="6B9ED37E" w14:textId="713666D5" w:rsidR="00D47D34" w:rsidRPr="00D33E4B" w:rsidRDefault="007A1C08" w:rsidP="00A94CB5">
            <w:pPr>
              <w:jc w:val="right"/>
              <w:rPr>
                <w:rFonts w:eastAsia="Times New Roman" w:cs="Times New Roman"/>
                <w:color w:val="000000"/>
                <w:szCs w:val="24"/>
              </w:rPr>
            </w:pPr>
            <w:r>
              <w:rPr>
                <w:rFonts w:eastAsia="Times New Roman" w:cs="Times New Roman"/>
                <w:color w:val="000000"/>
                <w:szCs w:val="24"/>
              </w:rPr>
              <w:t>0.0902</w:t>
            </w:r>
          </w:p>
        </w:tc>
      </w:tr>
    </w:tbl>
    <w:p w14:paraId="602BEA9E" w14:textId="77777777" w:rsidR="00D47D34" w:rsidRDefault="00D47D34" w:rsidP="00D47D34"/>
    <w:p w14:paraId="0FD49202" w14:textId="36690165" w:rsidR="00D47D34" w:rsidRDefault="00D47D34" w:rsidP="00D47D34"/>
    <w:p w14:paraId="756740E0" w14:textId="1530D2A1" w:rsidR="00746048" w:rsidRDefault="00746048" w:rsidP="00D47D34"/>
    <w:p w14:paraId="0D0D2AB5" w14:textId="77777777" w:rsidR="00746048" w:rsidRDefault="00746048" w:rsidP="00D47D34"/>
    <w:p w14:paraId="68F20BB3" w14:textId="3FDC492F" w:rsidR="00D47D34" w:rsidRPr="00312CEC" w:rsidRDefault="00D47D34" w:rsidP="00746048">
      <w:pPr>
        <w:spacing w:after="120"/>
        <w:jc w:val="both"/>
        <w:rPr>
          <w:rFonts w:cs="Times New Roman"/>
          <w:b/>
          <w:szCs w:val="24"/>
        </w:rPr>
      </w:pPr>
      <w:r w:rsidRPr="00312CEC">
        <w:rPr>
          <w:rFonts w:cs="Times New Roman"/>
          <w:b/>
          <w:szCs w:val="24"/>
        </w:rPr>
        <w:t xml:space="preserve">Table </w:t>
      </w:r>
      <w:r w:rsidR="006B3123">
        <w:rPr>
          <w:rFonts w:cs="Times New Roman"/>
          <w:b/>
          <w:szCs w:val="24"/>
        </w:rPr>
        <w:t>6</w:t>
      </w:r>
      <w:r w:rsidRPr="00312CEC">
        <w:rPr>
          <w:rFonts w:cs="Times New Roman"/>
          <w:b/>
          <w:szCs w:val="24"/>
        </w:rPr>
        <w:t>. Aggregate Data Fit Measures</w:t>
      </w:r>
    </w:p>
    <w:tbl>
      <w:tblPr>
        <w:tblW w:w="9292" w:type="dxa"/>
        <w:tblLook w:val="04A0" w:firstRow="1" w:lastRow="0" w:firstColumn="1" w:lastColumn="0" w:noHBand="0" w:noVBand="1"/>
      </w:tblPr>
      <w:tblGrid>
        <w:gridCol w:w="1958"/>
        <w:gridCol w:w="1799"/>
        <w:gridCol w:w="1203"/>
        <w:gridCol w:w="13"/>
        <w:gridCol w:w="1229"/>
        <w:gridCol w:w="878"/>
        <w:gridCol w:w="13"/>
        <w:gridCol w:w="1190"/>
        <w:gridCol w:w="996"/>
        <w:gridCol w:w="13"/>
      </w:tblGrid>
      <w:tr w:rsidR="00D47D34" w:rsidRPr="0019203E" w14:paraId="1042D147" w14:textId="77777777" w:rsidTr="00746048">
        <w:trPr>
          <w:gridAfter w:val="1"/>
          <w:wAfter w:w="13" w:type="dxa"/>
          <w:trHeight w:val="432"/>
        </w:trPr>
        <w:tc>
          <w:tcPr>
            <w:tcW w:w="3757" w:type="dxa"/>
            <w:gridSpan w:val="2"/>
            <w:tcBorders>
              <w:top w:val="double" w:sz="6" w:space="0" w:color="auto"/>
              <w:left w:val="double" w:sz="6" w:space="0" w:color="auto"/>
              <w:bottom w:val="single" w:sz="4" w:space="0" w:color="auto"/>
              <w:right w:val="nil"/>
            </w:tcBorders>
            <w:shd w:val="clear" w:color="auto" w:fill="auto"/>
            <w:vAlign w:val="center"/>
            <w:hideMark/>
          </w:tcPr>
          <w:p w14:paraId="28B7BBFA" w14:textId="77777777" w:rsidR="00D47D34" w:rsidRPr="00D33E4B" w:rsidRDefault="00D47D34" w:rsidP="00782AC8">
            <w:pPr>
              <w:jc w:val="center"/>
              <w:rPr>
                <w:rFonts w:eastAsia="Times New Roman" w:cs="Times New Roman"/>
                <w:b/>
                <w:bCs/>
                <w:color w:val="000000"/>
                <w:szCs w:val="24"/>
              </w:rPr>
            </w:pPr>
            <w:r w:rsidRPr="00D33E4B">
              <w:rPr>
                <w:rFonts w:eastAsia="Times New Roman" w:cs="Times New Roman"/>
                <w:b/>
                <w:bCs/>
                <w:color w:val="000000"/>
                <w:szCs w:val="24"/>
              </w:rPr>
              <w:t>Alternative</w:t>
            </w:r>
          </w:p>
        </w:tc>
        <w:tc>
          <w:tcPr>
            <w:tcW w:w="1203" w:type="dxa"/>
            <w:vMerge w:val="restart"/>
            <w:tcBorders>
              <w:top w:val="double" w:sz="6" w:space="0" w:color="auto"/>
              <w:left w:val="double" w:sz="6" w:space="0" w:color="auto"/>
              <w:right w:val="nil"/>
            </w:tcBorders>
            <w:shd w:val="clear" w:color="auto" w:fill="auto"/>
            <w:vAlign w:val="center"/>
            <w:hideMark/>
          </w:tcPr>
          <w:p w14:paraId="2BB33984" w14:textId="5D138507" w:rsidR="00D47D34" w:rsidRPr="00D33E4B" w:rsidRDefault="00D47D34" w:rsidP="00782AC8">
            <w:pPr>
              <w:jc w:val="center"/>
              <w:rPr>
                <w:rFonts w:eastAsia="Times New Roman" w:cs="Times New Roman"/>
                <w:b/>
                <w:bCs/>
                <w:color w:val="000000"/>
                <w:szCs w:val="24"/>
              </w:rPr>
            </w:pPr>
            <w:r w:rsidRPr="00D33E4B">
              <w:rPr>
                <w:rFonts w:eastAsia="Calibri" w:cs="Times New Roman"/>
                <w:b/>
                <w:bCs/>
                <w:color w:val="000000"/>
                <w:szCs w:val="24"/>
              </w:rPr>
              <w:t>Observed Share</w:t>
            </w:r>
            <w:r w:rsidR="002516E9">
              <w:rPr>
                <w:rFonts w:eastAsia="Calibri" w:cs="Times New Roman"/>
                <w:b/>
                <w:bCs/>
                <w:color w:val="000000"/>
                <w:szCs w:val="24"/>
              </w:rPr>
              <w:t xml:space="preserve"> (%)</w:t>
            </w:r>
          </w:p>
        </w:tc>
        <w:tc>
          <w:tcPr>
            <w:tcW w:w="2120" w:type="dxa"/>
            <w:gridSpan w:val="3"/>
            <w:tcBorders>
              <w:top w:val="double" w:sz="6" w:space="0" w:color="auto"/>
              <w:left w:val="double" w:sz="6" w:space="0" w:color="auto"/>
              <w:bottom w:val="single" w:sz="4" w:space="0" w:color="auto"/>
              <w:right w:val="double" w:sz="6" w:space="0" w:color="000000"/>
            </w:tcBorders>
            <w:shd w:val="clear" w:color="auto" w:fill="auto"/>
            <w:vAlign w:val="center"/>
            <w:hideMark/>
          </w:tcPr>
          <w:p w14:paraId="15B252AD" w14:textId="77777777" w:rsidR="00D47D34" w:rsidRPr="00D33E4B" w:rsidRDefault="00D47D34" w:rsidP="00782AC8">
            <w:pPr>
              <w:jc w:val="center"/>
              <w:rPr>
                <w:rFonts w:eastAsia="Times New Roman" w:cs="Times New Roman"/>
                <w:b/>
                <w:bCs/>
                <w:color w:val="000000"/>
                <w:szCs w:val="24"/>
              </w:rPr>
            </w:pPr>
            <w:r w:rsidRPr="00D33E4B">
              <w:rPr>
                <w:rFonts w:eastAsia="Calibri" w:cs="Times New Roman"/>
                <w:b/>
                <w:bCs/>
                <w:color w:val="000000"/>
                <w:szCs w:val="24"/>
              </w:rPr>
              <w:t>Joint Model</w:t>
            </w:r>
          </w:p>
        </w:tc>
        <w:tc>
          <w:tcPr>
            <w:tcW w:w="2199" w:type="dxa"/>
            <w:gridSpan w:val="3"/>
            <w:tcBorders>
              <w:top w:val="double" w:sz="6" w:space="0" w:color="auto"/>
              <w:left w:val="nil"/>
              <w:bottom w:val="single" w:sz="4" w:space="0" w:color="auto"/>
              <w:right w:val="double" w:sz="6" w:space="0" w:color="000000"/>
            </w:tcBorders>
            <w:shd w:val="clear" w:color="auto" w:fill="auto"/>
            <w:vAlign w:val="center"/>
            <w:hideMark/>
          </w:tcPr>
          <w:p w14:paraId="751A6287" w14:textId="539912BF" w:rsidR="00D47D34" w:rsidRPr="00D33E4B" w:rsidRDefault="00EB23E8" w:rsidP="00782AC8">
            <w:pPr>
              <w:jc w:val="center"/>
              <w:rPr>
                <w:rFonts w:eastAsia="Times New Roman" w:cs="Times New Roman"/>
                <w:b/>
                <w:bCs/>
                <w:color w:val="000000"/>
                <w:szCs w:val="24"/>
              </w:rPr>
            </w:pPr>
            <w:r>
              <w:rPr>
                <w:rFonts w:eastAsia="Calibri" w:cs="Times New Roman"/>
                <w:b/>
                <w:bCs/>
                <w:color w:val="000000"/>
                <w:szCs w:val="24"/>
              </w:rPr>
              <w:t>Indep.</w:t>
            </w:r>
            <w:r w:rsidR="00D47D34" w:rsidRPr="00D33E4B">
              <w:rPr>
                <w:rFonts w:eastAsia="Calibri" w:cs="Times New Roman"/>
                <w:b/>
                <w:bCs/>
                <w:color w:val="000000"/>
                <w:szCs w:val="24"/>
              </w:rPr>
              <w:t xml:space="preserve"> Model</w:t>
            </w:r>
          </w:p>
        </w:tc>
      </w:tr>
      <w:tr w:rsidR="00D47D34" w:rsidRPr="0019203E" w14:paraId="72382CC9" w14:textId="77777777" w:rsidTr="00746048">
        <w:trPr>
          <w:gridAfter w:val="1"/>
          <w:wAfter w:w="13" w:type="dxa"/>
          <w:trHeight w:val="576"/>
        </w:trPr>
        <w:tc>
          <w:tcPr>
            <w:tcW w:w="1958" w:type="dxa"/>
            <w:tcBorders>
              <w:top w:val="single" w:sz="4" w:space="0" w:color="auto"/>
              <w:left w:val="double" w:sz="6" w:space="0" w:color="auto"/>
              <w:bottom w:val="double" w:sz="6" w:space="0" w:color="auto"/>
              <w:right w:val="double" w:sz="6" w:space="0" w:color="auto"/>
            </w:tcBorders>
            <w:shd w:val="clear" w:color="auto" w:fill="auto"/>
            <w:vAlign w:val="bottom"/>
            <w:hideMark/>
          </w:tcPr>
          <w:p w14:paraId="6E634A8F" w14:textId="77777777" w:rsidR="00D47D34" w:rsidRPr="00D33E4B" w:rsidRDefault="00D47D34" w:rsidP="00782AC8">
            <w:pPr>
              <w:jc w:val="center"/>
              <w:rPr>
                <w:rFonts w:eastAsia="Times New Roman" w:cs="Times New Roman"/>
                <w:b/>
                <w:bCs/>
                <w:color w:val="000000"/>
                <w:szCs w:val="24"/>
              </w:rPr>
            </w:pPr>
            <w:r w:rsidRPr="00D33E4B">
              <w:rPr>
                <w:rFonts w:eastAsia="Times New Roman" w:cs="Times New Roman"/>
                <w:b/>
                <w:bCs/>
                <w:color w:val="000000"/>
                <w:szCs w:val="24"/>
              </w:rPr>
              <w:t>AVD</w:t>
            </w:r>
          </w:p>
        </w:tc>
        <w:tc>
          <w:tcPr>
            <w:tcW w:w="1799" w:type="dxa"/>
            <w:tcBorders>
              <w:top w:val="single" w:sz="4" w:space="0" w:color="auto"/>
              <w:left w:val="nil"/>
              <w:bottom w:val="double" w:sz="6" w:space="0" w:color="auto"/>
              <w:right w:val="nil"/>
            </w:tcBorders>
            <w:shd w:val="clear" w:color="auto" w:fill="auto"/>
            <w:vAlign w:val="bottom"/>
            <w:hideMark/>
          </w:tcPr>
          <w:p w14:paraId="723051DF" w14:textId="77777777" w:rsidR="00D47D34" w:rsidRPr="00D33E4B" w:rsidRDefault="00D47D34" w:rsidP="00782AC8">
            <w:pPr>
              <w:jc w:val="center"/>
              <w:rPr>
                <w:rFonts w:eastAsia="Times New Roman" w:cs="Times New Roman"/>
                <w:b/>
                <w:bCs/>
                <w:color w:val="000000"/>
                <w:szCs w:val="24"/>
              </w:rPr>
            </w:pPr>
            <w:r w:rsidRPr="00D33E4B">
              <w:rPr>
                <w:rFonts w:eastAsia="Times New Roman" w:cs="Times New Roman"/>
                <w:b/>
                <w:bCs/>
                <w:color w:val="000000"/>
                <w:szCs w:val="24"/>
              </w:rPr>
              <w:t>DAD</w:t>
            </w:r>
          </w:p>
        </w:tc>
        <w:tc>
          <w:tcPr>
            <w:tcW w:w="1203" w:type="dxa"/>
            <w:vMerge/>
            <w:tcBorders>
              <w:left w:val="double" w:sz="6" w:space="0" w:color="auto"/>
              <w:bottom w:val="double" w:sz="6" w:space="0" w:color="000000"/>
              <w:right w:val="nil"/>
            </w:tcBorders>
            <w:vAlign w:val="center"/>
            <w:hideMark/>
          </w:tcPr>
          <w:p w14:paraId="42C1D704" w14:textId="77777777" w:rsidR="00D47D34" w:rsidRPr="00D33E4B" w:rsidRDefault="00D47D34" w:rsidP="00782AC8">
            <w:pPr>
              <w:jc w:val="center"/>
              <w:rPr>
                <w:rFonts w:eastAsia="Times New Roman" w:cs="Times New Roman"/>
                <w:b/>
                <w:bCs/>
                <w:color w:val="000000"/>
                <w:szCs w:val="24"/>
              </w:rPr>
            </w:pPr>
          </w:p>
        </w:tc>
        <w:tc>
          <w:tcPr>
            <w:tcW w:w="1242" w:type="dxa"/>
            <w:gridSpan w:val="2"/>
            <w:tcBorders>
              <w:top w:val="single" w:sz="4" w:space="0" w:color="auto"/>
              <w:left w:val="double" w:sz="6" w:space="0" w:color="auto"/>
              <w:bottom w:val="double" w:sz="6" w:space="0" w:color="auto"/>
              <w:right w:val="single" w:sz="8" w:space="0" w:color="auto"/>
            </w:tcBorders>
            <w:shd w:val="clear" w:color="auto" w:fill="auto"/>
            <w:vAlign w:val="center"/>
            <w:hideMark/>
          </w:tcPr>
          <w:p w14:paraId="216289CC" w14:textId="77777777" w:rsidR="00D47D34" w:rsidRPr="00D33E4B" w:rsidRDefault="00D47D34" w:rsidP="00782AC8">
            <w:pPr>
              <w:jc w:val="center"/>
              <w:rPr>
                <w:rFonts w:eastAsia="Times New Roman" w:cs="Times New Roman"/>
                <w:b/>
                <w:bCs/>
                <w:color w:val="000000"/>
                <w:szCs w:val="24"/>
              </w:rPr>
            </w:pPr>
            <w:r w:rsidRPr="00D33E4B">
              <w:rPr>
                <w:rFonts w:eastAsia="Calibri" w:cs="Times New Roman"/>
                <w:b/>
                <w:bCs/>
                <w:color w:val="000000"/>
                <w:szCs w:val="24"/>
              </w:rPr>
              <w:t>Predicted Share</w:t>
            </w:r>
          </w:p>
        </w:tc>
        <w:tc>
          <w:tcPr>
            <w:tcW w:w="878" w:type="dxa"/>
            <w:tcBorders>
              <w:top w:val="single" w:sz="4" w:space="0" w:color="auto"/>
              <w:left w:val="nil"/>
              <w:bottom w:val="double" w:sz="6" w:space="0" w:color="auto"/>
              <w:right w:val="double" w:sz="6" w:space="0" w:color="auto"/>
            </w:tcBorders>
            <w:shd w:val="clear" w:color="auto" w:fill="auto"/>
            <w:vAlign w:val="center"/>
            <w:hideMark/>
          </w:tcPr>
          <w:p w14:paraId="5C4D2CAD" w14:textId="77777777" w:rsidR="00D47D34" w:rsidRPr="00D33E4B" w:rsidRDefault="00D47D34" w:rsidP="00782AC8">
            <w:pPr>
              <w:jc w:val="center"/>
              <w:rPr>
                <w:rFonts w:eastAsia="Times New Roman" w:cs="Times New Roman"/>
                <w:b/>
                <w:bCs/>
                <w:color w:val="000000"/>
                <w:szCs w:val="24"/>
              </w:rPr>
            </w:pPr>
            <w:r w:rsidRPr="00D33E4B">
              <w:rPr>
                <w:rFonts w:eastAsia="Calibri" w:cs="Times New Roman"/>
                <w:b/>
                <w:bCs/>
                <w:color w:val="000000"/>
                <w:szCs w:val="24"/>
              </w:rPr>
              <w:t>APE*</w:t>
            </w:r>
          </w:p>
        </w:tc>
        <w:tc>
          <w:tcPr>
            <w:tcW w:w="1203" w:type="dxa"/>
            <w:gridSpan w:val="2"/>
            <w:tcBorders>
              <w:top w:val="single" w:sz="4" w:space="0" w:color="auto"/>
              <w:left w:val="nil"/>
              <w:bottom w:val="double" w:sz="4" w:space="0" w:color="auto"/>
              <w:right w:val="single" w:sz="8" w:space="0" w:color="auto"/>
            </w:tcBorders>
            <w:shd w:val="clear" w:color="auto" w:fill="auto"/>
            <w:vAlign w:val="center"/>
            <w:hideMark/>
          </w:tcPr>
          <w:p w14:paraId="17B7D353" w14:textId="77777777" w:rsidR="00D47D34" w:rsidRPr="00D33E4B" w:rsidRDefault="00D47D34" w:rsidP="00782AC8">
            <w:pPr>
              <w:jc w:val="center"/>
              <w:rPr>
                <w:rFonts w:eastAsia="Times New Roman" w:cs="Times New Roman"/>
                <w:b/>
                <w:bCs/>
                <w:color w:val="000000"/>
                <w:szCs w:val="24"/>
              </w:rPr>
            </w:pPr>
            <w:r w:rsidRPr="00D33E4B">
              <w:rPr>
                <w:rFonts w:eastAsia="Calibri" w:cs="Times New Roman"/>
                <w:b/>
                <w:bCs/>
                <w:color w:val="000000"/>
                <w:szCs w:val="24"/>
              </w:rPr>
              <w:t>Predicted Share</w:t>
            </w:r>
          </w:p>
        </w:tc>
        <w:tc>
          <w:tcPr>
            <w:tcW w:w="996" w:type="dxa"/>
            <w:tcBorders>
              <w:top w:val="single" w:sz="4" w:space="0" w:color="auto"/>
              <w:left w:val="nil"/>
              <w:bottom w:val="double" w:sz="4" w:space="0" w:color="auto"/>
              <w:right w:val="double" w:sz="6" w:space="0" w:color="auto"/>
            </w:tcBorders>
            <w:shd w:val="clear" w:color="auto" w:fill="auto"/>
            <w:vAlign w:val="center"/>
            <w:hideMark/>
          </w:tcPr>
          <w:p w14:paraId="0232CEE7" w14:textId="77777777" w:rsidR="00D47D34" w:rsidRPr="00D33E4B" w:rsidRDefault="00D47D34" w:rsidP="00782AC8">
            <w:pPr>
              <w:jc w:val="center"/>
              <w:rPr>
                <w:rFonts w:eastAsia="Times New Roman" w:cs="Times New Roman"/>
                <w:b/>
                <w:bCs/>
                <w:color w:val="000000"/>
                <w:szCs w:val="24"/>
              </w:rPr>
            </w:pPr>
            <w:r w:rsidRPr="00D33E4B">
              <w:rPr>
                <w:rFonts w:eastAsia="Calibri" w:cs="Times New Roman"/>
                <w:b/>
                <w:bCs/>
                <w:color w:val="000000"/>
                <w:szCs w:val="24"/>
              </w:rPr>
              <w:t>APE*</w:t>
            </w:r>
          </w:p>
        </w:tc>
      </w:tr>
      <w:tr w:rsidR="008764FA" w:rsidRPr="0019203E" w14:paraId="3D06BD8C" w14:textId="77777777" w:rsidTr="00FA69D9">
        <w:trPr>
          <w:gridAfter w:val="1"/>
          <w:wAfter w:w="13" w:type="dxa"/>
          <w:trHeight w:val="345"/>
        </w:trPr>
        <w:tc>
          <w:tcPr>
            <w:tcW w:w="1958" w:type="dxa"/>
            <w:vMerge w:val="restart"/>
            <w:tcBorders>
              <w:top w:val="double" w:sz="6" w:space="0" w:color="auto"/>
              <w:left w:val="double" w:sz="6" w:space="0" w:color="auto"/>
              <w:bottom w:val="double" w:sz="4" w:space="0" w:color="auto"/>
              <w:right w:val="double" w:sz="6" w:space="0" w:color="auto"/>
            </w:tcBorders>
            <w:shd w:val="clear" w:color="auto" w:fill="auto"/>
            <w:vAlign w:val="center"/>
            <w:hideMark/>
          </w:tcPr>
          <w:p w14:paraId="701B160D" w14:textId="77777777" w:rsidR="008764FA" w:rsidRPr="00637B34" w:rsidRDefault="008764FA" w:rsidP="00B25BE6">
            <w:pPr>
              <w:rPr>
                <w:rFonts w:eastAsia="Times New Roman" w:cs="Times New Roman"/>
                <w:i/>
                <w:iCs/>
                <w:color w:val="000000"/>
                <w:szCs w:val="24"/>
              </w:rPr>
            </w:pPr>
            <w:r w:rsidRPr="00637B34">
              <w:rPr>
                <w:rFonts w:eastAsia="Times New Roman" w:cs="Times New Roman"/>
                <w:i/>
                <w:iCs/>
                <w:color w:val="000000"/>
                <w:szCs w:val="24"/>
              </w:rPr>
              <w:t>Regular Vehicle</w:t>
            </w:r>
          </w:p>
          <w:p w14:paraId="5A29EB61" w14:textId="77777777" w:rsidR="008764FA" w:rsidRPr="00637B34" w:rsidRDefault="008764FA" w:rsidP="00B25BE6">
            <w:pPr>
              <w:rPr>
                <w:rFonts w:eastAsia="Times New Roman" w:cs="Times New Roman"/>
                <w:i/>
                <w:iCs/>
                <w:color w:val="000000"/>
                <w:szCs w:val="24"/>
              </w:rPr>
            </w:pPr>
            <w:r w:rsidRPr="00637B34">
              <w:rPr>
                <w:rFonts w:eastAsia="Times New Roman" w:cs="Times New Roman"/>
                <w:i/>
                <w:iCs/>
                <w:color w:val="000000"/>
                <w:szCs w:val="24"/>
              </w:rPr>
              <w:t>(RV)</w:t>
            </w:r>
          </w:p>
        </w:tc>
        <w:tc>
          <w:tcPr>
            <w:tcW w:w="1799" w:type="dxa"/>
            <w:tcBorders>
              <w:top w:val="double" w:sz="6" w:space="0" w:color="auto"/>
              <w:left w:val="nil"/>
              <w:bottom w:val="single" w:sz="4" w:space="0" w:color="auto"/>
              <w:right w:val="double" w:sz="6" w:space="0" w:color="auto"/>
            </w:tcBorders>
            <w:shd w:val="clear" w:color="auto" w:fill="auto"/>
            <w:vAlign w:val="center"/>
            <w:hideMark/>
          </w:tcPr>
          <w:p w14:paraId="1537CF6B" w14:textId="77777777" w:rsidR="008764FA" w:rsidRPr="00D33E4B" w:rsidRDefault="008764FA" w:rsidP="00B25BE6">
            <w:pPr>
              <w:rPr>
                <w:rFonts w:eastAsia="Times New Roman" w:cs="Times New Roman"/>
                <w:color w:val="000000"/>
                <w:szCs w:val="24"/>
              </w:rPr>
            </w:pPr>
            <w:r w:rsidRPr="00D33E4B">
              <w:rPr>
                <w:rFonts w:eastAsia="Times New Roman" w:cs="Times New Roman"/>
                <w:color w:val="000000"/>
                <w:szCs w:val="24"/>
              </w:rPr>
              <w:t>Never Buy</w:t>
            </w:r>
          </w:p>
          <w:p w14:paraId="191CF3EC" w14:textId="77777777" w:rsidR="008764FA" w:rsidRPr="00D33E4B" w:rsidRDefault="008764FA" w:rsidP="00B25BE6">
            <w:pPr>
              <w:rPr>
                <w:rFonts w:eastAsia="Times New Roman" w:cs="Times New Roman"/>
                <w:color w:val="000000"/>
                <w:szCs w:val="24"/>
              </w:rPr>
            </w:pPr>
            <w:r w:rsidRPr="00D33E4B">
              <w:rPr>
                <w:rFonts w:eastAsia="Times New Roman" w:cs="Times New Roman"/>
                <w:color w:val="000000"/>
                <w:szCs w:val="24"/>
              </w:rPr>
              <w:t>(NB)</w:t>
            </w:r>
          </w:p>
        </w:tc>
        <w:tc>
          <w:tcPr>
            <w:tcW w:w="1203" w:type="dxa"/>
            <w:tcBorders>
              <w:top w:val="double" w:sz="4" w:space="0" w:color="auto"/>
              <w:left w:val="nil"/>
              <w:bottom w:val="single" w:sz="4" w:space="0" w:color="auto"/>
              <w:right w:val="nil"/>
            </w:tcBorders>
            <w:shd w:val="clear" w:color="auto" w:fill="auto"/>
            <w:vAlign w:val="center"/>
          </w:tcPr>
          <w:p w14:paraId="06C6531E" w14:textId="7438C9E3" w:rsidR="008764FA" w:rsidRPr="00D33E4B" w:rsidRDefault="008764FA" w:rsidP="00782AC8">
            <w:pPr>
              <w:jc w:val="right"/>
              <w:rPr>
                <w:rFonts w:eastAsia="Times New Roman" w:cs="Times New Roman"/>
                <w:color w:val="000000"/>
                <w:szCs w:val="24"/>
              </w:rPr>
            </w:pPr>
            <w:r>
              <w:rPr>
                <w:rFonts w:eastAsia="Times New Roman" w:cs="Times New Roman"/>
                <w:color w:val="000000"/>
                <w:szCs w:val="24"/>
              </w:rPr>
              <w:t>20.813</w:t>
            </w:r>
          </w:p>
        </w:tc>
        <w:tc>
          <w:tcPr>
            <w:tcW w:w="1242" w:type="dxa"/>
            <w:gridSpan w:val="2"/>
            <w:tcBorders>
              <w:top w:val="double" w:sz="4" w:space="0" w:color="auto"/>
              <w:left w:val="double" w:sz="6" w:space="0" w:color="auto"/>
              <w:bottom w:val="single" w:sz="4" w:space="0" w:color="auto"/>
              <w:right w:val="single" w:sz="8" w:space="0" w:color="auto"/>
            </w:tcBorders>
            <w:shd w:val="clear" w:color="auto" w:fill="auto"/>
            <w:vAlign w:val="center"/>
          </w:tcPr>
          <w:p w14:paraId="016F6A16" w14:textId="283C1CF6" w:rsidR="008764FA" w:rsidRPr="00E360B5" w:rsidRDefault="008764FA" w:rsidP="00782AC8">
            <w:pPr>
              <w:jc w:val="right"/>
              <w:rPr>
                <w:rFonts w:eastAsia="Times New Roman" w:cs="Times New Roman"/>
                <w:color w:val="000000"/>
                <w:szCs w:val="24"/>
              </w:rPr>
            </w:pPr>
            <w:r w:rsidRPr="00E360B5">
              <w:rPr>
                <w:color w:val="000000"/>
              </w:rPr>
              <w:t>17.411</w:t>
            </w:r>
          </w:p>
        </w:tc>
        <w:tc>
          <w:tcPr>
            <w:tcW w:w="878" w:type="dxa"/>
            <w:tcBorders>
              <w:top w:val="double" w:sz="4" w:space="0" w:color="auto"/>
              <w:left w:val="nil"/>
              <w:bottom w:val="single" w:sz="4" w:space="0" w:color="auto"/>
              <w:right w:val="double" w:sz="6" w:space="0" w:color="auto"/>
            </w:tcBorders>
            <w:shd w:val="clear" w:color="auto" w:fill="auto"/>
            <w:vAlign w:val="center"/>
          </w:tcPr>
          <w:p w14:paraId="2A458CB5" w14:textId="393DCB3F" w:rsidR="008764FA" w:rsidRPr="00E360B5" w:rsidRDefault="008764FA" w:rsidP="00782AC8">
            <w:pPr>
              <w:jc w:val="right"/>
              <w:rPr>
                <w:rFonts w:eastAsia="Times New Roman" w:cs="Times New Roman"/>
                <w:color w:val="000000"/>
                <w:szCs w:val="24"/>
              </w:rPr>
            </w:pPr>
            <w:r>
              <w:rPr>
                <w:color w:val="000000"/>
              </w:rPr>
              <w:t>16.346</w:t>
            </w:r>
          </w:p>
        </w:tc>
        <w:tc>
          <w:tcPr>
            <w:tcW w:w="1203" w:type="dxa"/>
            <w:gridSpan w:val="2"/>
            <w:tcBorders>
              <w:top w:val="double" w:sz="4" w:space="0" w:color="auto"/>
              <w:left w:val="nil"/>
              <w:bottom w:val="single" w:sz="4" w:space="0" w:color="auto"/>
              <w:right w:val="single" w:sz="8" w:space="0" w:color="auto"/>
            </w:tcBorders>
            <w:shd w:val="clear" w:color="auto" w:fill="auto"/>
            <w:vAlign w:val="center"/>
          </w:tcPr>
          <w:p w14:paraId="4933D6DE" w14:textId="3E9AFC37" w:rsidR="008764FA" w:rsidRPr="00E360B5" w:rsidRDefault="008764FA" w:rsidP="00782AC8">
            <w:pPr>
              <w:jc w:val="right"/>
              <w:rPr>
                <w:rFonts w:eastAsia="Times New Roman" w:cs="Times New Roman"/>
                <w:color w:val="000000"/>
                <w:szCs w:val="24"/>
              </w:rPr>
            </w:pPr>
            <w:r w:rsidRPr="00E360B5">
              <w:rPr>
                <w:rFonts w:eastAsia="Times New Roman" w:cs="Times New Roman"/>
                <w:color w:val="000000"/>
                <w:szCs w:val="24"/>
              </w:rPr>
              <w:t>12.421</w:t>
            </w:r>
          </w:p>
        </w:tc>
        <w:tc>
          <w:tcPr>
            <w:tcW w:w="996" w:type="dxa"/>
            <w:tcBorders>
              <w:top w:val="double" w:sz="4" w:space="0" w:color="auto"/>
              <w:left w:val="nil"/>
              <w:bottom w:val="single" w:sz="4" w:space="0" w:color="auto"/>
              <w:right w:val="double" w:sz="4" w:space="0" w:color="auto"/>
            </w:tcBorders>
            <w:shd w:val="clear" w:color="auto" w:fill="auto"/>
            <w:vAlign w:val="center"/>
          </w:tcPr>
          <w:p w14:paraId="64C6E331" w14:textId="6ACC204D" w:rsidR="008764FA" w:rsidRPr="00E360B5" w:rsidRDefault="008764FA" w:rsidP="00782AC8">
            <w:pPr>
              <w:jc w:val="right"/>
              <w:rPr>
                <w:rFonts w:eastAsia="Times New Roman" w:cs="Times New Roman"/>
                <w:color w:val="000000"/>
                <w:szCs w:val="24"/>
              </w:rPr>
            </w:pPr>
            <w:r>
              <w:rPr>
                <w:color w:val="000000"/>
              </w:rPr>
              <w:t>40.321</w:t>
            </w:r>
          </w:p>
        </w:tc>
      </w:tr>
      <w:tr w:rsidR="008764FA" w:rsidRPr="0019203E" w14:paraId="23E55D68" w14:textId="77777777" w:rsidTr="00FA69D9">
        <w:trPr>
          <w:gridAfter w:val="1"/>
          <w:wAfter w:w="13" w:type="dxa"/>
          <w:trHeight w:val="330"/>
        </w:trPr>
        <w:tc>
          <w:tcPr>
            <w:tcW w:w="1958" w:type="dxa"/>
            <w:vMerge/>
            <w:tcBorders>
              <w:top w:val="single" w:sz="8" w:space="0" w:color="000000"/>
              <w:left w:val="double" w:sz="6" w:space="0" w:color="auto"/>
              <w:bottom w:val="double" w:sz="4" w:space="0" w:color="auto"/>
              <w:right w:val="double" w:sz="6" w:space="0" w:color="auto"/>
            </w:tcBorders>
            <w:vAlign w:val="center"/>
            <w:hideMark/>
          </w:tcPr>
          <w:p w14:paraId="46A2692B" w14:textId="77777777" w:rsidR="008764FA" w:rsidRPr="00637B34" w:rsidRDefault="008764FA" w:rsidP="00B25BE6">
            <w:pPr>
              <w:rPr>
                <w:rFonts w:eastAsia="Times New Roman" w:cs="Times New Roman"/>
                <w:i/>
                <w:iCs/>
                <w:color w:val="000000"/>
                <w:szCs w:val="24"/>
              </w:rPr>
            </w:pPr>
          </w:p>
        </w:tc>
        <w:tc>
          <w:tcPr>
            <w:tcW w:w="1799" w:type="dxa"/>
            <w:tcBorders>
              <w:top w:val="single" w:sz="4" w:space="0" w:color="auto"/>
              <w:left w:val="nil"/>
              <w:bottom w:val="single" w:sz="4" w:space="0" w:color="auto"/>
              <w:right w:val="double" w:sz="6" w:space="0" w:color="auto"/>
            </w:tcBorders>
            <w:shd w:val="clear" w:color="auto" w:fill="auto"/>
            <w:vAlign w:val="center"/>
            <w:hideMark/>
          </w:tcPr>
          <w:p w14:paraId="5FA97122" w14:textId="77777777" w:rsidR="008764FA" w:rsidRPr="00D33E4B" w:rsidRDefault="008764FA" w:rsidP="00B25BE6">
            <w:pPr>
              <w:rPr>
                <w:rFonts w:eastAsia="Times New Roman" w:cs="Times New Roman"/>
                <w:color w:val="000000"/>
                <w:szCs w:val="24"/>
              </w:rPr>
            </w:pPr>
            <w:r w:rsidRPr="00D33E4B">
              <w:rPr>
                <w:rFonts w:eastAsia="Times New Roman" w:cs="Times New Roman"/>
                <w:color w:val="000000"/>
                <w:szCs w:val="24"/>
              </w:rPr>
              <w:t>First Buy</w:t>
            </w:r>
          </w:p>
          <w:p w14:paraId="02660F61" w14:textId="77777777" w:rsidR="008764FA" w:rsidRPr="00D33E4B" w:rsidRDefault="008764FA" w:rsidP="00B25BE6">
            <w:pPr>
              <w:rPr>
                <w:rFonts w:eastAsia="Times New Roman" w:cs="Times New Roman"/>
                <w:color w:val="000000"/>
                <w:szCs w:val="24"/>
              </w:rPr>
            </w:pPr>
            <w:r w:rsidRPr="00D33E4B">
              <w:rPr>
                <w:rFonts w:eastAsia="Times New Roman" w:cs="Times New Roman"/>
                <w:color w:val="000000"/>
                <w:szCs w:val="24"/>
              </w:rPr>
              <w:t>(FB)</w:t>
            </w:r>
          </w:p>
        </w:tc>
        <w:tc>
          <w:tcPr>
            <w:tcW w:w="1203" w:type="dxa"/>
            <w:tcBorders>
              <w:top w:val="single" w:sz="4" w:space="0" w:color="auto"/>
              <w:left w:val="nil"/>
              <w:bottom w:val="single" w:sz="4" w:space="0" w:color="auto"/>
              <w:right w:val="nil"/>
            </w:tcBorders>
            <w:shd w:val="clear" w:color="auto" w:fill="auto"/>
            <w:vAlign w:val="center"/>
          </w:tcPr>
          <w:p w14:paraId="2068B08A" w14:textId="79A801AD" w:rsidR="008764FA" w:rsidRPr="00D33E4B" w:rsidRDefault="008764FA" w:rsidP="00782AC8">
            <w:pPr>
              <w:jc w:val="right"/>
              <w:rPr>
                <w:rFonts w:eastAsia="Times New Roman" w:cs="Times New Roman"/>
                <w:color w:val="000000"/>
                <w:szCs w:val="24"/>
              </w:rPr>
            </w:pPr>
            <w:r>
              <w:rPr>
                <w:rFonts w:eastAsia="Times New Roman" w:cs="Times New Roman"/>
                <w:color w:val="000000"/>
                <w:szCs w:val="24"/>
              </w:rPr>
              <w:t>1.077</w:t>
            </w:r>
          </w:p>
        </w:tc>
        <w:tc>
          <w:tcPr>
            <w:tcW w:w="1242" w:type="dxa"/>
            <w:gridSpan w:val="2"/>
            <w:tcBorders>
              <w:top w:val="single" w:sz="4" w:space="0" w:color="auto"/>
              <w:left w:val="double" w:sz="6" w:space="0" w:color="auto"/>
              <w:bottom w:val="single" w:sz="4" w:space="0" w:color="auto"/>
              <w:right w:val="single" w:sz="8" w:space="0" w:color="auto"/>
            </w:tcBorders>
            <w:shd w:val="clear" w:color="auto" w:fill="auto"/>
            <w:vAlign w:val="center"/>
          </w:tcPr>
          <w:p w14:paraId="6B496FBB" w14:textId="7F53C499" w:rsidR="008764FA" w:rsidRPr="00E360B5" w:rsidRDefault="008764FA" w:rsidP="00782AC8">
            <w:pPr>
              <w:jc w:val="right"/>
              <w:rPr>
                <w:rFonts w:eastAsia="Times New Roman" w:cs="Times New Roman"/>
                <w:color w:val="000000"/>
                <w:szCs w:val="24"/>
              </w:rPr>
            </w:pPr>
            <w:r w:rsidRPr="00E360B5">
              <w:rPr>
                <w:color w:val="000000"/>
              </w:rPr>
              <w:t>1.339</w:t>
            </w:r>
          </w:p>
        </w:tc>
        <w:tc>
          <w:tcPr>
            <w:tcW w:w="878" w:type="dxa"/>
            <w:tcBorders>
              <w:top w:val="single" w:sz="4" w:space="0" w:color="auto"/>
              <w:left w:val="nil"/>
              <w:bottom w:val="single" w:sz="4" w:space="0" w:color="auto"/>
              <w:right w:val="double" w:sz="6" w:space="0" w:color="auto"/>
            </w:tcBorders>
            <w:shd w:val="clear" w:color="auto" w:fill="auto"/>
            <w:vAlign w:val="center"/>
          </w:tcPr>
          <w:p w14:paraId="7B50425B" w14:textId="12AAF460" w:rsidR="008764FA" w:rsidRPr="00E360B5" w:rsidRDefault="008764FA" w:rsidP="00782AC8">
            <w:pPr>
              <w:jc w:val="right"/>
              <w:rPr>
                <w:rFonts w:eastAsia="Times New Roman" w:cs="Times New Roman"/>
                <w:color w:val="000000"/>
                <w:szCs w:val="24"/>
              </w:rPr>
            </w:pPr>
            <w:r>
              <w:rPr>
                <w:color w:val="000000"/>
              </w:rPr>
              <w:t>24.327</w:t>
            </w:r>
          </w:p>
        </w:tc>
        <w:tc>
          <w:tcPr>
            <w:tcW w:w="1203" w:type="dxa"/>
            <w:gridSpan w:val="2"/>
            <w:tcBorders>
              <w:top w:val="single" w:sz="4" w:space="0" w:color="auto"/>
              <w:left w:val="nil"/>
              <w:bottom w:val="single" w:sz="4" w:space="0" w:color="auto"/>
              <w:right w:val="single" w:sz="8" w:space="0" w:color="auto"/>
            </w:tcBorders>
            <w:shd w:val="clear" w:color="auto" w:fill="auto"/>
            <w:vAlign w:val="center"/>
          </w:tcPr>
          <w:p w14:paraId="510E8CC7" w14:textId="0D525DEE" w:rsidR="008764FA" w:rsidRPr="00E360B5" w:rsidRDefault="008764FA" w:rsidP="00782AC8">
            <w:pPr>
              <w:jc w:val="right"/>
              <w:rPr>
                <w:rFonts w:eastAsia="Times New Roman" w:cs="Times New Roman"/>
                <w:color w:val="000000"/>
                <w:szCs w:val="24"/>
              </w:rPr>
            </w:pPr>
            <w:r w:rsidRPr="00E360B5">
              <w:rPr>
                <w:rFonts w:eastAsia="Times New Roman" w:cs="Times New Roman"/>
                <w:color w:val="000000"/>
                <w:szCs w:val="24"/>
              </w:rPr>
              <w:t>2.120</w:t>
            </w:r>
          </w:p>
        </w:tc>
        <w:tc>
          <w:tcPr>
            <w:tcW w:w="996" w:type="dxa"/>
            <w:tcBorders>
              <w:top w:val="single" w:sz="4" w:space="0" w:color="auto"/>
              <w:left w:val="nil"/>
              <w:bottom w:val="single" w:sz="4" w:space="0" w:color="auto"/>
              <w:right w:val="double" w:sz="4" w:space="0" w:color="auto"/>
            </w:tcBorders>
            <w:shd w:val="clear" w:color="auto" w:fill="auto"/>
            <w:vAlign w:val="center"/>
          </w:tcPr>
          <w:p w14:paraId="363B818A" w14:textId="340025FB" w:rsidR="008764FA" w:rsidRPr="00E360B5" w:rsidRDefault="008764FA" w:rsidP="00782AC8">
            <w:pPr>
              <w:jc w:val="right"/>
              <w:rPr>
                <w:rFonts w:eastAsia="Times New Roman" w:cs="Times New Roman"/>
                <w:color w:val="000000"/>
                <w:szCs w:val="24"/>
              </w:rPr>
            </w:pPr>
            <w:r>
              <w:rPr>
                <w:color w:val="000000"/>
              </w:rPr>
              <w:t>96.843</w:t>
            </w:r>
          </w:p>
        </w:tc>
      </w:tr>
      <w:tr w:rsidR="008764FA" w:rsidRPr="0019203E" w14:paraId="45CFCE3E" w14:textId="77777777" w:rsidTr="00FA69D9">
        <w:trPr>
          <w:gridAfter w:val="1"/>
          <w:wAfter w:w="13" w:type="dxa"/>
          <w:trHeight w:val="330"/>
        </w:trPr>
        <w:tc>
          <w:tcPr>
            <w:tcW w:w="1958" w:type="dxa"/>
            <w:vMerge/>
            <w:tcBorders>
              <w:top w:val="single" w:sz="8" w:space="0" w:color="000000"/>
              <w:left w:val="double" w:sz="6" w:space="0" w:color="auto"/>
              <w:bottom w:val="double" w:sz="4" w:space="0" w:color="auto"/>
              <w:right w:val="double" w:sz="6" w:space="0" w:color="auto"/>
            </w:tcBorders>
            <w:vAlign w:val="center"/>
            <w:hideMark/>
          </w:tcPr>
          <w:p w14:paraId="313D2331" w14:textId="77777777" w:rsidR="008764FA" w:rsidRPr="00637B34" w:rsidRDefault="008764FA" w:rsidP="00B25BE6">
            <w:pPr>
              <w:rPr>
                <w:rFonts w:eastAsia="Times New Roman" w:cs="Times New Roman"/>
                <w:i/>
                <w:iCs/>
                <w:color w:val="000000"/>
                <w:szCs w:val="24"/>
              </w:rPr>
            </w:pPr>
          </w:p>
        </w:tc>
        <w:tc>
          <w:tcPr>
            <w:tcW w:w="1799" w:type="dxa"/>
            <w:tcBorders>
              <w:top w:val="single" w:sz="4" w:space="0" w:color="auto"/>
              <w:left w:val="nil"/>
              <w:bottom w:val="double" w:sz="4" w:space="0" w:color="auto"/>
              <w:right w:val="double" w:sz="6" w:space="0" w:color="auto"/>
            </w:tcBorders>
            <w:shd w:val="clear" w:color="auto" w:fill="auto"/>
            <w:vAlign w:val="center"/>
            <w:hideMark/>
          </w:tcPr>
          <w:p w14:paraId="117BE26D" w14:textId="77777777" w:rsidR="008764FA" w:rsidRPr="00D33E4B" w:rsidRDefault="008764FA" w:rsidP="00B25BE6">
            <w:pPr>
              <w:rPr>
                <w:rFonts w:eastAsia="Times New Roman" w:cs="Times New Roman"/>
                <w:color w:val="000000"/>
                <w:szCs w:val="24"/>
              </w:rPr>
            </w:pPr>
            <w:r w:rsidRPr="00D33E4B">
              <w:rPr>
                <w:rFonts w:eastAsia="Times New Roman" w:cs="Times New Roman"/>
                <w:color w:val="000000"/>
                <w:szCs w:val="24"/>
              </w:rPr>
              <w:t>Eventually Buy</w:t>
            </w:r>
          </w:p>
          <w:p w14:paraId="58AA17FC" w14:textId="77777777" w:rsidR="008764FA" w:rsidRPr="00D33E4B" w:rsidRDefault="008764FA" w:rsidP="00B25BE6">
            <w:pPr>
              <w:rPr>
                <w:rFonts w:eastAsia="Times New Roman" w:cs="Times New Roman"/>
                <w:color w:val="000000"/>
                <w:szCs w:val="24"/>
              </w:rPr>
            </w:pPr>
            <w:r w:rsidRPr="00D33E4B">
              <w:rPr>
                <w:rFonts w:eastAsia="Times New Roman" w:cs="Times New Roman"/>
                <w:color w:val="000000"/>
                <w:szCs w:val="24"/>
              </w:rPr>
              <w:t>(EB)</w:t>
            </w:r>
          </w:p>
        </w:tc>
        <w:tc>
          <w:tcPr>
            <w:tcW w:w="1203" w:type="dxa"/>
            <w:tcBorders>
              <w:top w:val="single" w:sz="4" w:space="0" w:color="auto"/>
              <w:left w:val="nil"/>
              <w:bottom w:val="double" w:sz="4" w:space="0" w:color="auto"/>
              <w:right w:val="nil"/>
            </w:tcBorders>
            <w:shd w:val="clear" w:color="auto" w:fill="auto"/>
            <w:vAlign w:val="center"/>
          </w:tcPr>
          <w:p w14:paraId="1066F4B8" w14:textId="1682FD6E" w:rsidR="008764FA" w:rsidRPr="00D33E4B" w:rsidRDefault="008764FA" w:rsidP="00782AC8">
            <w:pPr>
              <w:jc w:val="right"/>
              <w:rPr>
                <w:rFonts w:eastAsia="Times New Roman" w:cs="Times New Roman"/>
                <w:color w:val="000000"/>
                <w:szCs w:val="24"/>
              </w:rPr>
            </w:pPr>
            <w:r>
              <w:rPr>
                <w:rFonts w:eastAsia="Times New Roman" w:cs="Times New Roman"/>
                <w:color w:val="000000"/>
                <w:szCs w:val="24"/>
              </w:rPr>
              <w:t>24.045</w:t>
            </w:r>
          </w:p>
        </w:tc>
        <w:tc>
          <w:tcPr>
            <w:tcW w:w="1242" w:type="dxa"/>
            <w:gridSpan w:val="2"/>
            <w:tcBorders>
              <w:top w:val="single" w:sz="4" w:space="0" w:color="auto"/>
              <w:left w:val="double" w:sz="6" w:space="0" w:color="auto"/>
              <w:bottom w:val="double" w:sz="4" w:space="0" w:color="auto"/>
              <w:right w:val="single" w:sz="8" w:space="0" w:color="auto"/>
            </w:tcBorders>
            <w:shd w:val="clear" w:color="auto" w:fill="auto"/>
            <w:vAlign w:val="center"/>
          </w:tcPr>
          <w:p w14:paraId="58C6E5F9" w14:textId="6623CF81" w:rsidR="008764FA" w:rsidRPr="00E360B5" w:rsidRDefault="008764FA" w:rsidP="00782AC8">
            <w:pPr>
              <w:jc w:val="right"/>
              <w:rPr>
                <w:rFonts w:eastAsia="Times New Roman" w:cs="Times New Roman"/>
                <w:color w:val="000000"/>
                <w:szCs w:val="24"/>
              </w:rPr>
            </w:pPr>
            <w:r w:rsidRPr="00E360B5">
              <w:rPr>
                <w:color w:val="000000"/>
              </w:rPr>
              <w:t>27.602</w:t>
            </w:r>
          </w:p>
        </w:tc>
        <w:tc>
          <w:tcPr>
            <w:tcW w:w="878" w:type="dxa"/>
            <w:tcBorders>
              <w:top w:val="single" w:sz="4" w:space="0" w:color="auto"/>
              <w:left w:val="nil"/>
              <w:bottom w:val="double" w:sz="4" w:space="0" w:color="auto"/>
              <w:right w:val="double" w:sz="6" w:space="0" w:color="auto"/>
            </w:tcBorders>
            <w:shd w:val="clear" w:color="auto" w:fill="auto"/>
            <w:vAlign w:val="center"/>
          </w:tcPr>
          <w:p w14:paraId="617164F6" w14:textId="436DBB1A" w:rsidR="008764FA" w:rsidRPr="00E360B5" w:rsidRDefault="008764FA" w:rsidP="00782AC8">
            <w:pPr>
              <w:jc w:val="right"/>
              <w:rPr>
                <w:rFonts w:eastAsia="Times New Roman" w:cs="Times New Roman"/>
                <w:color w:val="000000"/>
                <w:szCs w:val="24"/>
              </w:rPr>
            </w:pPr>
            <w:r>
              <w:rPr>
                <w:color w:val="000000"/>
              </w:rPr>
              <w:t>14.793</w:t>
            </w:r>
          </w:p>
        </w:tc>
        <w:tc>
          <w:tcPr>
            <w:tcW w:w="1203" w:type="dxa"/>
            <w:gridSpan w:val="2"/>
            <w:tcBorders>
              <w:top w:val="single" w:sz="4" w:space="0" w:color="auto"/>
              <w:left w:val="nil"/>
              <w:bottom w:val="double" w:sz="4" w:space="0" w:color="auto"/>
              <w:right w:val="single" w:sz="8" w:space="0" w:color="auto"/>
            </w:tcBorders>
            <w:shd w:val="clear" w:color="auto" w:fill="auto"/>
            <w:vAlign w:val="center"/>
          </w:tcPr>
          <w:p w14:paraId="563B1399" w14:textId="3BB40CE5" w:rsidR="008764FA" w:rsidRPr="00E360B5" w:rsidRDefault="008764FA" w:rsidP="00782AC8">
            <w:pPr>
              <w:jc w:val="right"/>
              <w:rPr>
                <w:rFonts w:eastAsia="Times New Roman" w:cs="Times New Roman"/>
                <w:color w:val="000000"/>
                <w:szCs w:val="24"/>
              </w:rPr>
            </w:pPr>
            <w:r w:rsidRPr="00E360B5">
              <w:rPr>
                <w:rFonts w:eastAsia="Times New Roman" w:cs="Times New Roman"/>
                <w:color w:val="000000"/>
                <w:szCs w:val="24"/>
              </w:rPr>
              <w:t>31.247</w:t>
            </w:r>
          </w:p>
        </w:tc>
        <w:tc>
          <w:tcPr>
            <w:tcW w:w="996" w:type="dxa"/>
            <w:tcBorders>
              <w:top w:val="single" w:sz="4" w:space="0" w:color="auto"/>
              <w:left w:val="nil"/>
              <w:bottom w:val="double" w:sz="4" w:space="0" w:color="auto"/>
              <w:right w:val="double" w:sz="4" w:space="0" w:color="auto"/>
            </w:tcBorders>
            <w:shd w:val="clear" w:color="auto" w:fill="auto"/>
            <w:vAlign w:val="center"/>
          </w:tcPr>
          <w:p w14:paraId="336BB371" w14:textId="04BDD957" w:rsidR="008764FA" w:rsidRPr="00E360B5" w:rsidRDefault="008764FA" w:rsidP="00782AC8">
            <w:pPr>
              <w:jc w:val="right"/>
              <w:rPr>
                <w:rFonts w:eastAsia="Times New Roman" w:cs="Times New Roman"/>
                <w:color w:val="000000"/>
                <w:szCs w:val="24"/>
              </w:rPr>
            </w:pPr>
            <w:r>
              <w:rPr>
                <w:color w:val="000000"/>
              </w:rPr>
              <w:t>29.952</w:t>
            </w:r>
          </w:p>
        </w:tc>
      </w:tr>
      <w:tr w:rsidR="008764FA" w:rsidRPr="0019203E" w14:paraId="2AB82926" w14:textId="77777777" w:rsidTr="00FA69D9">
        <w:trPr>
          <w:gridAfter w:val="1"/>
          <w:wAfter w:w="13" w:type="dxa"/>
          <w:trHeight w:val="330"/>
        </w:trPr>
        <w:tc>
          <w:tcPr>
            <w:tcW w:w="1958" w:type="dxa"/>
            <w:vMerge w:val="restart"/>
            <w:tcBorders>
              <w:top w:val="double" w:sz="4" w:space="0" w:color="auto"/>
              <w:left w:val="double" w:sz="6" w:space="0" w:color="auto"/>
              <w:bottom w:val="double" w:sz="4" w:space="0" w:color="auto"/>
              <w:right w:val="double" w:sz="6" w:space="0" w:color="auto"/>
            </w:tcBorders>
            <w:shd w:val="clear" w:color="auto" w:fill="auto"/>
            <w:vAlign w:val="center"/>
            <w:hideMark/>
          </w:tcPr>
          <w:p w14:paraId="5027F258" w14:textId="77777777" w:rsidR="008764FA" w:rsidRPr="00637B34" w:rsidRDefault="008764FA" w:rsidP="00B25BE6">
            <w:pPr>
              <w:rPr>
                <w:rFonts w:eastAsia="Times New Roman" w:cs="Times New Roman"/>
                <w:i/>
                <w:iCs/>
                <w:color w:val="000000"/>
                <w:szCs w:val="24"/>
              </w:rPr>
            </w:pPr>
            <w:r w:rsidRPr="00637B34">
              <w:rPr>
                <w:rFonts w:eastAsia="Times New Roman" w:cs="Times New Roman"/>
                <w:i/>
                <w:iCs/>
                <w:color w:val="000000"/>
                <w:szCs w:val="24"/>
              </w:rPr>
              <w:t>Autonomous Vehicle</w:t>
            </w:r>
          </w:p>
          <w:p w14:paraId="2789014C" w14:textId="77777777" w:rsidR="008764FA" w:rsidRPr="00637B34" w:rsidRDefault="008764FA" w:rsidP="00B25BE6">
            <w:pPr>
              <w:rPr>
                <w:rFonts w:eastAsia="Times New Roman" w:cs="Times New Roman"/>
                <w:i/>
                <w:iCs/>
                <w:color w:val="000000"/>
                <w:szCs w:val="24"/>
              </w:rPr>
            </w:pPr>
            <w:r w:rsidRPr="00637B34">
              <w:rPr>
                <w:rFonts w:eastAsia="Times New Roman" w:cs="Times New Roman"/>
                <w:i/>
                <w:iCs/>
                <w:color w:val="000000"/>
                <w:szCs w:val="24"/>
              </w:rPr>
              <w:t>(AV)</w:t>
            </w:r>
          </w:p>
        </w:tc>
        <w:tc>
          <w:tcPr>
            <w:tcW w:w="1799" w:type="dxa"/>
            <w:tcBorders>
              <w:top w:val="double" w:sz="4" w:space="0" w:color="auto"/>
              <w:left w:val="nil"/>
              <w:bottom w:val="single" w:sz="4" w:space="0" w:color="auto"/>
              <w:right w:val="double" w:sz="6" w:space="0" w:color="auto"/>
            </w:tcBorders>
            <w:shd w:val="clear" w:color="auto" w:fill="auto"/>
            <w:vAlign w:val="center"/>
            <w:hideMark/>
          </w:tcPr>
          <w:p w14:paraId="4E038698" w14:textId="77777777" w:rsidR="008764FA" w:rsidRPr="00D33E4B" w:rsidRDefault="008764FA" w:rsidP="00B25BE6">
            <w:pPr>
              <w:rPr>
                <w:rFonts w:eastAsia="Times New Roman" w:cs="Times New Roman"/>
                <w:color w:val="000000"/>
                <w:szCs w:val="24"/>
              </w:rPr>
            </w:pPr>
            <w:r w:rsidRPr="00D33E4B">
              <w:rPr>
                <w:rFonts w:eastAsia="Times New Roman" w:cs="Times New Roman"/>
                <w:color w:val="000000"/>
                <w:szCs w:val="24"/>
              </w:rPr>
              <w:t>Never Buy</w:t>
            </w:r>
          </w:p>
          <w:p w14:paraId="784F41B8" w14:textId="77777777" w:rsidR="008764FA" w:rsidRPr="00D33E4B" w:rsidRDefault="008764FA" w:rsidP="00B25BE6">
            <w:pPr>
              <w:rPr>
                <w:rFonts w:eastAsia="Times New Roman" w:cs="Times New Roman"/>
                <w:color w:val="000000"/>
                <w:szCs w:val="24"/>
              </w:rPr>
            </w:pPr>
            <w:r w:rsidRPr="00D33E4B">
              <w:rPr>
                <w:rFonts w:eastAsia="Times New Roman" w:cs="Times New Roman"/>
                <w:color w:val="000000"/>
                <w:szCs w:val="24"/>
              </w:rPr>
              <w:t>(NB)</w:t>
            </w:r>
          </w:p>
        </w:tc>
        <w:tc>
          <w:tcPr>
            <w:tcW w:w="1203" w:type="dxa"/>
            <w:tcBorders>
              <w:top w:val="double" w:sz="4" w:space="0" w:color="auto"/>
              <w:left w:val="nil"/>
              <w:bottom w:val="single" w:sz="4" w:space="0" w:color="auto"/>
              <w:right w:val="nil"/>
            </w:tcBorders>
            <w:shd w:val="clear" w:color="auto" w:fill="auto"/>
            <w:vAlign w:val="center"/>
          </w:tcPr>
          <w:p w14:paraId="13991B25" w14:textId="13BE2E3D" w:rsidR="008764FA" w:rsidRPr="00D33E4B" w:rsidRDefault="008764FA" w:rsidP="00782AC8">
            <w:pPr>
              <w:jc w:val="right"/>
              <w:rPr>
                <w:rFonts w:eastAsia="Times New Roman" w:cs="Times New Roman"/>
                <w:color w:val="000000"/>
                <w:szCs w:val="24"/>
              </w:rPr>
            </w:pPr>
            <w:r>
              <w:rPr>
                <w:rFonts w:eastAsia="Times New Roman" w:cs="Times New Roman"/>
                <w:color w:val="000000"/>
                <w:szCs w:val="24"/>
              </w:rPr>
              <w:t>3.036</w:t>
            </w:r>
          </w:p>
        </w:tc>
        <w:tc>
          <w:tcPr>
            <w:tcW w:w="1242" w:type="dxa"/>
            <w:gridSpan w:val="2"/>
            <w:tcBorders>
              <w:top w:val="double" w:sz="4" w:space="0" w:color="auto"/>
              <w:left w:val="double" w:sz="6" w:space="0" w:color="auto"/>
              <w:bottom w:val="single" w:sz="4" w:space="0" w:color="auto"/>
              <w:right w:val="single" w:sz="8" w:space="0" w:color="auto"/>
            </w:tcBorders>
            <w:shd w:val="clear" w:color="auto" w:fill="auto"/>
            <w:vAlign w:val="center"/>
          </w:tcPr>
          <w:p w14:paraId="73B3121C" w14:textId="2CF25DD1" w:rsidR="008764FA" w:rsidRPr="00E360B5" w:rsidRDefault="008764FA" w:rsidP="00782AC8">
            <w:pPr>
              <w:jc w:val="right"/>
              <w:rPr>
                <w:rFonts w:eastAsia="Times New Roman" w:cs="Times New Roman"/>
                <w:color w:val="000000"/>
                <w:szCs w:val="24"/>
              </w:rPr>
            </w:pPr>
            <w:r w:rsidRPr="00E360B5">
              <w:rPr>
                <w:color w:val="000000"/>
              </w:rPr>
              <w:t>4.499</w:t>
            </w:r>
          </w:p>
        </w:tc>
        <w:tc>
          <w:tcPr>
            <w:tcW w:w="878" w:type="dxa"/>
            <w:tcBorders>
              <w:top w:val="double" w:sz="4" w:space="0" w:color="auto"/>
              <w:left w:val="nil"/>
              <w:bottom w:val="single" w:sz="4" w:space="0" w:color="auto"/>
              <w:right w:val="double" w:sz="6" w:space="0" w:color="auto"/>
            </w:tcBorders>
            <w:shd w:val="clear" w:color="auto" w:fill="auto"/>
            <w:vAlign w:val="center"/>
          </w:tcPr>
          <w:p w14:paraId="37CABACD" w14:textId="63AF9F12" w:rsidR="008764FA" w:rsidRPr="00E360B5" w:rsidRDefault="008764FA" w:rsidP="00782AC8">
            <w:pPr>
              <w:jc w:val="right"/>
              <w:rPr>
                <w:rFonts w:eastAsia="Times New Roman" w:cs="Times New Roman"/>
                <w:color w:val="000000"/>
                <w:szCs w:val="24"/>
              </w:rPr>
            </w:pPr>
            <w:r>
              <w:rPr>
                <w:color w:val="000000"/>
              </w:rPr>
              <w:t>48.188</w:t>
            </w:r>
          </w:p>
        </w:tc>
        <w:tc>
          <w:tcPr>
            <w:tcW w:w="1203" w:type="dxa"/>
            <w:gridSpan w:val="2"/>
            <w:tcBorders>
              <w:top w:val="double" w:sz="4" w:space="0" w:color="auto"/>
              <w:left w:val="nil"/>
              <w:bottom w:val="single" w:sz="4" w:space="0" w:color="auto"/>
              <w:right w:val="single" w:sz="8" w:space="0" w:color="auto"/>
            </w:tcBorders>
            <w:shd w:val="clear" w:color="auto" w:fill="auto"/>
            <w:vAlign w:val="center"/>
          </w:tcPr>
          <w:p w14:paraId="776D2369" w14:textId="24485E60" w:rsidR="008764FA" w:rsidRPr="00E360B5" w:rsidRDefault="008764FA" w:rsidP="00782AC8">
            <w:pPr>
              <w:jc w:val="right"/>
              <w:rPr>
                <w:rFonts w:eastAsia="Times New Roman" w:cs="Times New Roman"/>
                <w:color w:val="000000"/>
                <w:szCs w:val="24"/>
              </w:rPr>
            </w:pPr>
            <w:r w:rsidRPr="00E360B5">
              <w:rPr>
                <w:rFonts w:eastAsia="Times New Roman" w:cs="Times New Roman"/>
                <w:color w:val="000000"/>
                <w:szCs w:val="24"/>
              </w:rPr>
              <w:t>10.404</w:t>
            </w:r>
          </w:p>
        </w:tc>
        <w:tc>
          <w:tcPr>
            <w:tcW w:w="996" w:type="dxa"/>
            <w:tcBorders>
              <w:top w:val="double" w:sz="4" w:space="0" w:color="auto"/>
              <w:left w:val="nil"/>
              <w:bottom w:val="single" w:sz="4" w:space="0" w:color="auto"/>
              <w:right w:val="double" w:sz="4" w:space="0" w:color="auto"/>
            </w:tcBorders>
            <w:shd w:val="clear" w:color="auto" w:fill="auto"/>
            <w:vAlign w:val="center"/>
          </w:tcPr>
          <w:p w14:paraId="30F4644A" w14:textId="02479934" w:rsidR="008764FA" w:rsidRPr="00E360B5" w:rsidRDefault="008764FA" w:rsidP="00782AC8">
            <w:pPr>
              <w:jc w:val="right"/>
              <w:rPr>
                <w:rFonts w:eastAsia="Times New Roman" w:cs="Times New Roman"/>
                <w:color w:val="000000"/>
                <w:szCs w:val="24"/>
              </w:rPr>
            </w:pPr>
            <w:r>
              <w:rPr>
                <w:color w:val="000000"/>
              </w:rPr>
              <w:t>242.688</w:t>
            </w:r>
          </w:p>
        </w:tc>
      </w:tr>
      <w:tr w:rsidR="008764FA" w:rsidRPr="0019203E" w14:paraId="11B78C37" w14:textId="77777777" w:rsidTr="00FA69D9">
        <w:trPr>
          <w:gridAfter w:val="1"/>
          <w:wAfter w:w="13" w:type="dxa"/>
          <w:trHeight w:val="330"/>
        </w:trPr>
        <w:tc>
          <w:tcPr>
            <w:tcW w:w="1958" w:type="dxa"/>
            <w:vMerge/>
            <w:tcBorders>
              <w:top w:val="single" w:sz="8" w:space="0" w:color="000000"/>
              <w:left w:val="double" w:sz="6" w:space="0" w:color="auto"/>
              <w:bottom w:val="double" w:sz="4" w:space="0" w:color="auto"/>
              <w:right w:val="double" w:sz="6" w:space="0" w:color="auto"/>
            </w:tcBorders>
            <w:vAlign w:val="center"/>
            <w:hideMark/>
          </w:tcPr>
          <w:p w14:paraId="760F6E78" w14:textId="77777777" w:rsidR="008764FA" w:rsidRPr="00637B34" w:rsidRDefault="008764FA" w:rsidP="00B25BE6">
            <w:pPr>
              <w:rPr>
                <w:rFonts w:eastAsia="Times New Roman" w:cs="Times New Roman"/>
                <w:i/>
                <w:iCs/>
                <w:color w:val="000000"/>
                <w:szCs w:val="24"/>
              </w:rPr>
            </w:pPr>
          </w:p>
        </w:tc>
        <w:tc>
          <w:tcPr>
            <w:tcW w:w="1799" w:type="dxa"/>
            <w:tcBorders>
              <w:top w:val="single" w:sz="4" w:space="0" w:color="auto"/>
              <w:left w:val="nil"/>
              <w:bottom w:val="single" w:sz="4" w:space="0" w:color="auto"/>
              <w:right w:val="double" w:sz="6" w:space="0" w:color="auto"/>
            </w:tcBorders>
            <w:shd w:val="clear" w:color="auto" w:fill="auto"/>
            <w:vAlign w:val="center"/>
            <w:hideMark/>
          </w:tcPr>
          <w:p w14:paraId="490DDF5D" w14:textId="77777777" w:rsidR="008764FA" w:rsidRPr="00D33E4B" w:rsidRDefault="008764FA" w:rsidP="00B25BE6">
            <w:pPr>
              <w:rPr>
                <w:rFonts w:eastAsia="Times New Roman" w:cs="Times New Roman"/>
                <w:color w:val="000000"/>
                <w:szCs w:val="24"/>
              </w:rPr>
            </w:pPr>
            <w:r w:rsidRPr="00D33E4B">
              <w:rPr>
                <w:rFonts w:eastAsia="Times New Roman" w:cs="Times New Roman"/>
                <w:color w:val="000000"/>
                <w:szCs w:val="24"/>
              </w:rPr>
              <w:t>First Buy</w:t>
            </w:r>
          </w:p>
          <w:p w14:paraId="343ED0AC" w14:textId="77777777" w:rsidR="008764FA" w:rsidRPr="00D33E4B" w:rsidRDefault="008764FA" w:rsidP="00B25BE6">
            <w:pPr>
              <w:rPr>
                <w:rFonts w:eastAsia="Times New Roman" w:cs="Times New Roman"/>
                <w:color w:val="000000"/>
                <w:szCs w:val="24"/>
              </w:rPr>
            </w:pPr>
            <w:r w:rsidRPr="00D33E4B">
              <w:rPr>
                <w:rFonts w:eastAsia="Times New Roman" w:cs="Times New Roman"/>
                <w:color w:val="000000"/>
                <w:szCs w:val="24"/>
              </w:rPr>
              <w:t>(FB)</w:t>
            </w:r>
          </w:p>
        </w:tc>
        <w:tc>
          <w:tcPr>
            <w:tcW w:w="1203" w:type="dxa"/>
            <w:tcBorders>
              <w:top w:val="single" w:sz="4" w:space="0" w:color="auto"/>
              <w:left w:val="nil"/>
              <w:bottom w:val="single" w:sz="4" w:space="0" w:color="auto"/>
              <w:right w:val="nil"/>
            </w:tcBorders>
            <w:shd w:val="clear" w:color="auto" w:fill="auto"/>
            <w:vAlign w:val="center"/>
          </w:tcPr>
          <w:p w14:paraId="68D820D0" w14:textId="1BBF7FB2" w:rsidR="008764FA" w:rsidRPr="00D33E4B" w:rsidRDefault="008764FA" w:rsidP="00782AC8">
            <w:pPr>
              <w:jc w:val="right"/>
              <w:rPr>
                <w:rFonts w:eastAsia="Times New Roman" w:cs="Times New Roman"/>
                <w:color w:val="000000"/>
                <w:szCs w:val="24"/>
              </w:rPr>
            </w:pPr>
            <w:r>
              <w:rPr>
                <w:rFonts w:eastAsia="Times New Roman" w:cs="Times New Roman"/>
                <w:color w:val="000000"/>
                <w:szCs w:val="24"/>
              </w:rPr>
              <w:t>3.183</w:t>
            </w:r>
          </w:p>
        </w:tc>
        <w:tc>
          <w:tcPr>
            <w:tcW w:w="1242" w:type="dxa"/>
            <w:gridSpan w:val="2"/>
            <w:tcBorders>
              <w:top w:val="single" w:sz="4" w:space="0" w:color="auto"/>
              <w:left w:val="double" w:sz="6" w:space="0" w:color="auto"/>
              <w:bottom w:val="single" w:sz="4" w:space="0" w:color="auto"/>
              <w:right w:val="single" w:sz="8" w:space="0" w:color="auto"/>
            </w:tcBorders>
            <w:shd w:val="clear" w:color="auto" w:fill="auto"/>
            <w:vAlign w:val="center"/>
          </w:tcPr>
          <w:p w14:paraId="466FAC98" w14:textId="3C6E32F2" w:rsidR="008764FA" w:rsidRPr="00E360B5" w:rsidRDefault="008764FA" w:rsidP="00782AC8">
            <w:pPr>
              <w:jc w:val="right"/>
              <w:rPr>
                <w:rFonts w:eastAsia="Times New Roman" w:cs="Times New Roman"/>
                <w:color w:val="000000"/>
                <w:szCs w:val="24"/>
              </w:rPr>
            </w:pPr>
            <w:r w:rsidRPr="00E360B5">
              <w:rPr>
                <w:color w:val="000000"/>
              </w:rPr>
              <w:t>2.736</w:t>
            </w:r>
          </w:p>
        </w:tc>
        <w:tc>
          <w:tcPr>
            <w:tcW w:w="878" w:type="dxa"/>
            <w:tcBorders>
              <w:top w:val="single" w:sz="4" w:space="0" w:color="auto"/>
              <w:left w:val="nil"/>
              <w:bottom w:val="single" w:sz="4" w:space="0" w:color="auto"/>
              <w:right w:val="double" w:sz="6" w:space="0" w:color="auto"/>
            </w:tcBorders>
            <w:shd w:val="clear" w:color="auto" w:fill="auto"/>
            <w:vAlign w:val="center"/>
          </w:tcPr>
          <w:p w14:paraId="453D25AD" w14:textId="63767271" w:rsidR="008764FA" w:rsidRPr="00E360B5" w:rsidRDefault="008764FA" w:rsidP="00782AC8">
            <w:pPr>
              <w:jc w:val="right"/>
              <w:rPr>
                <w:rFonts w:eastAsia="Times New Roman" w:cs="Times New Roman"/>
                <w:color w:val="000000"/>
                <w:szCs w:val="24"/>
              </w:rPr>
            </w:pPr>
            <w:r>
              <w:rPr>
                <w:color w:val="000000"/>
              </w:rPr>
              <w:t>14.043</w:t>
            </w:r>
          </w:p>
        </w:tc>
        <w:tc>
          <w:tcPr>
            <w:tcW w:w="1203" w:type="dxa"/>
            <w:gridSpan w:val="2"/>
            <w:tcBorders>
              <w:top w:val="single" w:sz="4" w:space="0" w:color="auto"/>
              <w:left w:val="nil"/>
              <w:bottom w:val="single" w:sz="4" w:space="0" w:color="auto"/>
              <w:right w:val="single" w:sz="8" w:space="0" w:color="auto"/>
            </w:tcBorders>
            <w:shd w:val="clear" w:color="auto" w:fill="auto"/>
            <w:vAlign w:val="center"/>
          </w:tcPr>
          <w:p w14:paraId="55DB2B3F" w14:textId="161D27B2" w:rsidR="008764FA" w:rsidRPr="00E360B5" w:rsidRDefault="008764FA" w:rsidP="00782AC8">
            <w:pPr>
              <w:jc w:val="right"/>
              <w:rPr>
                <w:rFonts w:eastAsia="Times New Roman" w:cs="Times New Roman"/>
                <w:color w:val="000000"/>
                <w:szCs w:val="24"/>
              </w:rPr>
            </w:pPr>
            <w:r w:rsidRPr="00E360B5">
              <w:rPr>
                <w:rFonts w:eastAsia="Times New Roman" w:cs="Times New Roman"/>
                <w:color w:val="000000"/>
                <w:szCs w:val="24"/>
              </w:rPr>
              <w:t>2.055</w:t>
            </w:r>
          </w:p>
        </w:tc>
        <w:tc>
          <w:tcPr>
            <w:tcW w:w="996" w:type="dxa"/>
            <w:tcBorders>
              <w:top w:val="single" w:sz="4" w:space="0" w:color="auto"/>
              <w:left w:val="nil"/>
              <w:bottom w:val="single" w:sz="4" w:space="0" w:color="auto"/>
              <w:right w:val="double" w:sz="4" w:space="0" w:color="auto"/>
            </w:tcBorders>
            <w:shd w:val="clear" w:color="auto" w:fill="auto"/>
            <w:vAlign w:val="center"/>
          </w:tcPr>
          <w:p w14:paraId="54170214" w14:textId="0FCD1505" w:rsidR="008764FA" w:rsidRPr="00E360B5" w:rsidRDefault="008764FA" w:rsidP="00782AC8">
            <w:pPr>
              <w:jc w:val="right"/>
              <w:rPr>
                <w:rFonts w:eastAsia="Times New Roman" w:cs="Times New Roman"/>
                <w:color w:val="000000"/>
                <w:szCs w:val="24"/>
              </w:rPr>
            </w:pPr>
            <w:r>
              <w:rPr>
                <w:color w:val="000000"/>
              </w:rPr>
              <w:t>35.438</w:t>
            </w:r>
          </w:p>
        </w:tc>
      </w:tr>
      <w:tr w:rsidR="008764FA" w:rsidRPr="0019203E" w14:paraId="21258C7E" w14:textId="77777777" w:rsidTr="00FA69D9">
        <w:trPr>
          <w:gridAfter w:val="1"/>
          <w:wAfter w:w="13" w:type="dxa"/>
          <w:trHeight w:val="330"/>
        </w:trPr>
        <w:tc>
          <w:tcPr>
            <w:tcW w:w="1958" w:type="dxa"/>
            <w:vMerge/>
            <w:tcBorders>
              <w:top w:val="single" w:sz="8" w:space="0" w:color="000000"/>
              <w:left w:val="double" w:sz="6" w:space="0" w:color="auto"/>
              <w:bottom w:val="double" w:sz="4" w:space="0" w:color="auto"/>
              <w:right w:val="double" w:sz="6" w:space="0" w:color="auto"/>
            </w:tcBorders>
            <w:vAlign w:val="center"/>
            <w:hideMark/>
          </w:tcPr>
          <w:p w14:paraId="498AD061" w14:textId="77777777" w:rsidR="008764FA" w:rsidRPr="00637B34" w:rsidRDefault="008764FA" w:rsidP="00B25BE6">
            <w:pPr>
              <w:rPr>
                <w:rFonts w:eastAsia="Times New Roman" w:cs="Times New Roman"/>
                <w:i/>
                <w:iCs/>
                <w:color w:val="000000"/>
                <w:szCs w:val="24"/>
              </w:rPr>
            </w:pPr>
          </w:p>
        </w:tc>
        <w:tc>
          <w:tcPr>
            <w:tcW w:w="1799" w:type="dxa"/>
            <w:tcBorders>
              <w:top w:val="single" w:sz="4" w:space="0" w:color="auto"/>
              <w:left w:val="nil"/>
              <w:bottom w:val="double" w:sz="4" w:space="0" w:color="auto"/>
              <w:right w:val="double" w:sz="6" w:space="0" w:color="auto"/>
            </w:tcBorders>
            <w:shd w:val="clear" w:color="auto" w:fill="auto"/>
            <w:vAlign w:val="center"/>
            <w:hideMark/>
          </w:tcPr>
          <w:p w14:paraId="6D68EE21" w14:textId="77777777" w:rsidR="008764FA" w:rsidRPr="00D33E4B" w:rsidRDefault="008764FA" w:rsidP="00B25BE6">
            <w:pPr>
              <w:rPr>
                <w:rFonts w:eastAsia="Times New Roman" w:cs="Times New Roman"/>
                <w:color w:val="000000"/>
                <w:szCs w:val="24"/>
              </w:rPr>
            </w:pPr>
            <w:r w:rsidRPr="00D33E4B">
              <w:rPr>
                <w:rFonts w:eastAsia="Times New Roman" w:cs="Times New Roman"/>
                <w:color w:val="000000"/>
                <w:szCs w:val="24"/>
              </w:rPr>
              <w:t>Eventually Buy</w:t>
            </w:r>
          </w:p>
          <w:p w14:paraId="6D846078" w14:textId="77777777" w:rsidR="008764FA" w:rsidRPr="00D33E4B" w:rsidRDefault="008764FA" w:rsidP="00B25BE6">
            <w:pPr>
              <w:rPr>
                <w:rFonts w:eastAsia="Times New Roman" w:cs="Times New Roman"/>
                <w:color w:val="000000"/>
                <w:szCs w:val="24"/>
              </w:rPr>
            </w:pPr>
            <w:r w:rsidRPr="00D33E4B">
              <w:rPr>
                <w:rFonts w:eastAsia="Times New Roman" w:cs="Times New Roman"/>
                <w:color w:val="000000"/>
                <w:szCs w:val="24"/>
              </w:rPr>
              <w:t>(EB)</w:t>
            </w:r>
          </w:p>
        </w:tc>
        <w:tc>
          <w:tcPr>
            <w:tcW w:w="1203" w:type="dxa"/>
            <w:tcBorders>
              <w:top w:val="single" w:sz="4" w:space="0" w:color="auto"/>
              <w:left w:val="nil"/>
              <w:bottom w:val="double" w:sz="4" w:space="0" w:color="auto"/>
              <w:right w:val="nil"/>
            </w:tcBorders>
            <w:shd w:val="clear" w:color="auto" w:fill="auto"/>
            <w:vAlign w:val="center"/>
          </w:tcPr>
          <w:p w14:paraId="0A75DECC" w14:textId="6A075272" w:rsidR="008764FA" w:rsidRPr="00D33E4B" w:rsidRDefault="008764FA" w:rsidP="00782AC8">
            <w:pPr>
              <w:jc w:val="right"/>
              <w:rPr>
                <w:rFonts w:eastAsia="Times New Roman" w:cs="Times New Roman"/>
                <w:color w:val="000000"/>
                <w:szCs w:val="24"/>
              </w:rPr>
            </w:pPr>
            <w:r>
              <w:rPr>
                <w:rFonts w:eastAsia="Times New Roman" w:cs="Times New Roman"/>
                <w:color w:val="000000"/>
                <w:szCs w:val="24"/>
              </w:rPr>
              <w:t>34.721</w:t>
            </w:r>
          </w:p>
        </w:tc>
        <w:tc>
          <w:tcPr>
            <w:tcW w:w="1242" w:type="dxa"/>
            <w:gridSpan w:val="2"/>
            <w:tcBorders>
              <w:top w:val="single" w:sz="4" w:space="0" w:color="auto"/>
              <w:left w:val="double" w:sz="6" w:space="0" w:color="auto"/>
              <w:bottom w:val="double" w:sz="4" w:space="0" w:color="auto"/>
              <w:right w:val="single" w:sz="8" w:space="0" w:color="auto"/>
            </w:tcBorders>
            <w:shd w:val="clear" w:color="auto" w:fill="auto"/>
            <w:vAlign w:val="center"/>
          </w:tcPr>
          <w:p w14:paraId="66F0EDAE" w14:textId="40E83597" w:rsidR="008764FA" w:rsidRPr="00E360B5" w:rsidRDefault="008764FA" w:rsidP="00782AC8">
            <w:pPr>
              <w:jc w:val="right"/>
              <w:rPr>
                <w:rFonts w:eastAsia="Times New Roman" w:cs="Times New Roman"/>
                <w:color w:val="000000"/>
                <w:szCs w:val="24"/>
              </w:rPr>
            </w:pPr>
            <w:r w:rsidRPr="00E360B5">
              <w:rPr>
                <w:color w:val="000000"/>
              </w:rPr>
              <w:t>33.491</w:t>
            </w:r>
          </w:p>
        </w:tc>
        <w:tc>
          <w:tcPr>
            <w:tcW w:w="878" w:type="dxa"/>
            <w:tcBorders>
              <w:top w:val="single" w:sz="4" w:space="0" w:color="auto"/>
              <w:left w:val="nil"/>
              <w:bottom w:val="double" w:sz="4" w:space="0" w:color="auto"/>
              <w:right w:val="double" w:sz="6" w:space="0" w:color="auto"/>
            </w:tcBorders>
            <w:shd w:val="clear" w:color="auto" w:fill="auto"/>
            <w:vAlign w:val="center"/>
          </w:tcPr>
          <w:p w14:paraId="43DB278B" w14:textId="52115163" w:rsidR="008764FA" w:rsidRPr="00E360B5" w:rsidRDefault="008764FA" w:rsidP="00782AC8">
            <w:pPr>
              <w:jc w:val="right"/>
              <w:rPr>
                <w:rFonts w:eastAsia="Times New Roman" w:cs="Times New Roman"/>
                <w:color w:val="000000"/>
                <w:szCs w:val="24"/>
              </w:rPr>
            </w:pPr>
            <w:r>
              <w:rPr>
                <w:color w:val="000000"/>
              </w:rPr>
              <w:t>3.543</w:t>
            </w:r>
          </w:p>
        </w:tc>
        <w:tc>
          <w:tcPr>
            <w:tcW w:w="1203" w:type="dxa"/>
            <w:gridSpan w:val="2"/>
            <w:tcBorders>
              <w:top w:val="single" w:sz="4" w:space="0" w:color="auto"/>
              <w:left w:val="nil"/>
              <w:bottom w:val="double" w:sz="4" w:space="0" w:color="auto"/>
              <w:right w:val="single" w:sz="8" w:space="0" w:color="auto"/>
            </w:tcBorders>
            <w:shd w:val="clear" w:color="auto" w:fill="auto"/>
            <w:vAlign w:val="center"/>
          </w:tcPr>
          <w:p w14:paraId="4988D896" w14:textId="11B48A25" w:rsidR="008764FA" w:rsidRPr="00E360B5" w:rsidRDefault="008764FA" w:rsidP="00782AC8">
            <w:pPr>
              <w:jc w:val="right"/>
              <w:rPr>
                <w:rFonts w:eastAsia="Times New Roman" w:cs="Times New Roman"/>
                <w:color w:val="000000"/>
                <w:szCs w:val="24"/>
              </w:rPr>
            </w:pPr>
            <w:r w:rsidRPr="00E360B5">
              <w:rPr>
                <w:color w:val="000000"/>
              </w:rPr>
              <w:t>28.367</w:t>
            </w:r>
          </w:p>
        </w:tc>
        <w:tc>
          <w:tcPr>
            <w:tcW w:w="996" w:type="dxa"/>
            <w:tcBorders>
              <w:top w:val="single" w:sz="4" w:space="0" w:color="auto"/>
              <w:left w:val="nil"/>
              <w:bottom w:val="double" w:sz="4" w:space="0" w:color="auto"/>
              <w:right w:val="double" w:sz="4" w:space="0" w:color="auto"/>
            </w:tcBorders>
            <w:shd w:val="clear" w:color="auto" w:fill="auto"/>
            <w:vAlign w:val="center"/>
          </w:tcPr>
          <w:p w14:paraId="21E9CB36" w14:textId="49AC0BFA" w:rsidR="008764FA" w:rsidRPr="00E360B5" w:rsidRDefault="008764FA" w:rsidP="00782AC8">
            <w:pPr>
              <w:jc w:val="right"/>
              <w:rPr>
                <w:rFonts w:eastAsia="Times New Roman" w:cs="Times New Roman"/>
                <w:color w:val="000000"/>
                <w:szCs w:val="24"/>
              </w:rPr>
            </w:pPr>
            <w:r>
              <w:rPr>
                <w:color w:val="000000"/>
              </w:rPr>
              <w:t>18.300</w:t>
            </w:r>
          </w:p>
        </w:tc>
      </w:tr>
      <w:tr w:rsidR="008764FA" w:rsidRPr="0019203E" w14:paraId="7BF291AE" w14:textId="77777777" w:rsidTr="00746048">
        <w:trPr>
          <w:gridAfter w:val="1"/>
          <w:wAfter w:w="13" w:type="dxa"/>
          <w:trHeight w:val="330"/>
        </w:trPr>
        <w:tc>
          <w:tcPr>
            <w:tcW w:w="1958" w:type="dxa"/>
            <w:tcBorders>
              <w:top w:val="double" w:sz="4" w:space="0" w:color="auto"/>
              <w:left w:val="double" w:sz="6" w:space="0" w:color="auto"/>
              <w:right w:val="nil"/>
            </w:tcBorders>
            <w:shd w:val="clear" w:color="auto" w:fill="auto"/>
            <w:vAlign w:val="center"/>
          </w:tcPr>
          <w:p w14:paraId="388B8841" w14:textId="77777777" w:rsidR="008764FA" w:rsidRPr="00637B34" w:rsidRDefault="008764FA" w:rsidP="00B25BE6">
            <w:pPr>
              <w:rPr>
                <w:rFonts w:eastAsia="Times New Roman" w:cs="Times New Roman"/>
                <w:b/>
                <w:bCs/>
                <w:i/>
                <w:iCs/>
                <w:color w:val="000000"/>
                <w:szCs w:val="24"/>
              </w:rPr>
            </w:pPr>
          </w:p>
        </w:tc>
        <w:tc>
          <w:tcPr>
            <w:tcW w:w="1799" w:type="dxa"/>
            <w:tcBorders>
              <w:top w:val="double" w:sz="4" w:space="0" w:color="auto"/>
              <w:left w:val="double" w:sz="6" w:space="0" w:color="auto"/>
              <w:bottom w:val="single" w:sz="4" w:space="0" w:color="auto"/>
              <w:right w:val="nil"/>
            </w:tcBorders>
            <w:shd w:val="clear" w:color="auto" w:fill="auto"/>
            <w:vAlign w:val="center"/>
          </w:tcPr>
          <w:p w14:paraId="5BF6EE38" w14:textId="77777777" w:rsidR="008764FA" w:rsidRPr="00D33E4B" w:rsidRDefault="008764FA" w:rsidP="00B25BE6">
            <w:pPr>
              <w:rPr>
                <w:rFonts w:eastAsia="Times New Roman" w:cs="Times New Roman"/>
                <w:bCs/>
                <w:color w:val="000000"/>
                <w:szCs w:val="24"/>
              </w:rPr>
            </w:pPr>
            <w:r w:rsidRPr="00D33E4B">
              <w:rPr>
                <w:rFonts w:eastAsia="Times New Roman" w:cs="Times New Roman"/>
                <w:bCs/>
                <w:color w:val="000000"/>
                <w:szCs w:val="24"/>
              </w:rPr>
              <w:t>Never Buy</w:t>
            </w:r>
          </w:p>
          <w:p w14:paraId="2B1DB48F" w14:textId="77777777" w:rsidR="008764FA" w:rsidRPr="00D33E4B" w:rsidRDefault="008764FA" w:rsidP="00B25BE6">
            <w:pPr>
              <w:rPr>
                <w:rFonts w:eastAsia="Times New Roman" w:cs="Times New Roman"/>
                <w:bCs/>
                <w:color w:val="000000"/>
                <w:szCs w:val="24"/>
              </w:rPr>
            </w:pPr>
            <w:r w:rsidRPr="00D33E4B">
              <w:rPr>
                <w:rFonts w:eastAsia="Times New Roman" w:cs="Times New Roman"/>
                <w:bCs/>
                <w:color w:val="000000"/>
                <w:szCs w:val="24"/>
              </w:rPr>
              <w:t>(NB)</w:t>
            </w:r>
          </w:p>
        </w:tc>
        <w:tc>
          <w:tcPr>
            <w:tcW w:w="1203" w:type="dxa"/>
            <w:tcBorders>
              <w:top w:val="double" w:sz="4" w:space="0" w:color="auto"/>
              <w:left w:val="double" w:sz="6" w:space="0" w:color="auto"/>
              <w:bottom w:val="single" w:sz="4" w:space="0" w:color="auto"/>
              <w:right w:val="nil"/>
            </w:tcBorders>
            <w:shd w:val="clear" w:color="auto" w:fill="auto"/>
            <w:vAlign w:val="center"/>
          </w:tcPr>
          <w:p w14:paraId="2DA4A01A" w14:textId="5B889212" w:rsidR="008764FA" w:rsidRPr="00595E11" w:rsidRDefault="008764FA" w:rsidP="00782AC8">
            <w:pPr>
              <w:jc w:val="right"/>
              <w:rPr>
                <w:rFonts w:eastAsia="Times New Roman" w:cs="Times New Roman"/>
                <w:color w:val="000000"/>
                <w:szCs w:val="24"/>
              </w:rPr>
            </w:pPr>
            <w:r w:rsidRPr="00595E11">
              <w:rPr>
                <w:rFonts w:eastAsia="Times New Roman" w:cs="Times New Roman"/>
                <w:color w:val="000000"/>
                <w:szCs w:val="24"/>
              </w:rPr>
              <w:t>2.938</w:t>
            </w:r>
          </w:p>
        </w:tc>
        <w:tc>
          <w:tcPr>
            <w:tcW w:w="1242" w:type="dxa"/>
            <w:gridSpan w:val="2"/>
            <w:tcBorders>
              <w:top w:val="double" w:sz="4" w:space="0" w:color="auto"/>
              <w:left w:val="double" w:sz="6" w:space="0" w:color="auto"/>
              <w:bottom w:val="single" w:sz="4" w:space="0" w:color="auto"/>
              <w:right w:val="single" w:sz="4" w:space="0" w:color="auto"/>
            </w:tcBorders>
            <w:shd w:val="clear" w:color="auto" w:fill="auto"/>
            <w:vAlign w:val="center"/>
          </w:tcPr>
          <w:p w14:paraId="1F9ECA3B" w14:textId="77B27E96" w:rsidR="008764FA" w:rsidRPr="00E360B5" w:rsidRDefault="008764FA" w:rsidP="00782AC8">
            <w:pPr>
              <w:jc w:val="right"/>
              <w:rPr>
                <w:rFonts w:eastAsia="Times New Roman" w:cs="Times New Roman"/>
                <w:color w:val="000000"/>
                <w:szCs w:val="24"/>
              </w:rPr>
            </w:pPr>
            <w:r w:rsidRPr="00E360B5">
              <w:rPr>
                <w:color w:val="000000"/>
              </w:rPr>
              <w:t>3.327</w:t>
            </w:r>
          </w:p>
        </w:tc>
        <w:tc>
          <w:tcPr>
            <w:tcW w:w="878" w:type="dxa"/>
            <w:tcBorders>
              <w:top w:val="double" w:sz="4" w:space="0" w:color="auto"/>
              <w:left w:val="single" w:sz="4" w:space="0" w:color="auto"/>
              <w:bottom w:val="single" w:sz="4" w:space="0" w:color="auto"/>
              <w:right w:val="double" w:sz="6" w:space="0" w:color="000000"/>
            </w:tcBorders>
            <w:shd w:val="clear" w:color="auto" w:fill="auto"/>
            <w:vAlign w:val="center"/>
          </w:tcPr>
          <w:p w14:paraId="29C10989" w14:textId="7D6C11DC" w:rsidR="008764FA" w:rsidRPr="00E360B5" w:rsidRDefault="008764FA" w:rsidP="00782AC8">
            <w:pPr>
              <w:jc w:val="right"/>
              <w:rPr>
                <w:rFonts w:eastAsia="Times New Roman" w:cs="Times New Roman"/>
                <w:color w:val="000000"/>
                <w:szCs w:val="24"/>
              </w:rPr>
            </w:pPr>
            <w:r>
              <w:rPr>
                <w:color w:val="000000"/>
              </w:rPr>
              <w:t>13.240</w:t>
            </w:r>
          </w:p>
        </w:tc>
        <w:tc>
          <w:tcPr>
            <w:tcW w:w="1203" w:type="dxa"/>
            <w:gridSpan w:val="2"/>
            <w:tcBorders>
              <w:top w:val="double" w:sz="4" w:space="0" w:color="auto"/>
              <w:left w:val="nil"/>
              <w:bottom w:val="single" w:sz="4" w:space="0" w:color="auto"/>
              <w:right w:val="single" w:sz="4" w:space="0" w:color="auto"/>
            </w:tcBorders>
            <w:shd w:val="clear" w:color="auto" w:fill="auto"/>
            <w:vAlign w:val="center"/>
          </w:tcPr>
          <w:p w14:paraId="6D9786E9" w14:textId="476C81E1" w:rsidR="008764FA" w:rsidRPr="00E360B5" w:rsidRDefault="008764FA" w:rsidP="00782AC8">
            <w:pPr>
              <w:jc w:val="right"/>
              <w:rPr>
                <w:rFonts w:eastAsia="Times New Roman" w:cs="Times New Roman"/>
                <w:color w:val="000000"/>
                <w:szCs w:val="24"/>
              </w:rPr>
            </w:pPr>
            <w:r w:rsidRPr="00E360B5">
              <w:rPr>
                <w:rFonts w:eastAsia="Times New Roman" w:cs="Times New Roman"/>
                <w:color w:val="000000"/>
                <w:szCs w:val="24"/>
              </w:rPr>
              <w:t>3.368</w:t>
            </w:r>
          </w:p>
        </w:tc>
        <w:tc>
          <w:tcPr>
            <w:tcW w:w="996" w:type="dxa"/>
            <w:tcBorders>
              <w:top w:val="double" w:sz="4" w:space="0" w:color="auto"/>
              <w:left w:val="single" w:sz="4" w:space="0" w:color="auto"/>
              <w:bottom w:val="single" w:sz="4" w:space="0" w:color="auto"/>
              <w:right w:val="double" w:sz="6" w:space="0" w:color="000000"/>
            </w:tcBorders>
            <w:shd w:val="clear" w:color="auto" w:fill="auto"/>
            <w:vAlign w:val="center"/>
          </w:tcPr>
          <w:p w14:paraId="691F970C" w14:textId="68545846" w:rsidR="008764FA" w:rsidRPr="00E360B5" w:rsidRDefault="008764FA" w:rsidP="00782AC8">
            <w:pPr>
              <w:jc w:val="right"/>
              <w:rPr>
                <w:rFonts w:eastAsia="Times New Roman" w:cs="Times New Roman"/>
                <w:color w:val="000000"/>
                <w:szCs w:val="24"/>
              </w:rPr>
            </w:pPr>
            <w:r>
              <w:rPr>
                <w:color w:val="000000"/>
              </w:rPr>
              <w:t>14.636</w:t>
            </w:r>
          </w:p>
        </w:tc>
      </w:tr>
      <w:tr w:rsidR="008764FA" w:rsidRPr="0019203E" w14:paraId="3EE71521" w14:textId="77777777" w:rsidTr="00746048">
        <w:trPr>
          <w:gridAfter w:val="1"/>
          <w:wAfter w:w="13" w:type="dxa"/>
          <w:trHeight w:val="330"/>
        </w:trPr>
        <w:tc>
          <w:tcPr>
            <w:tcW w:w="1958" w:type="dxa"/>
            <w:tcBorders>
              <w:left w:val="double" w:sz="6" w:space="0" w:color="auto"/>
              <w:right w:val="nil"/>
            </w:tcBorders>
            <w:shd w:val="clear" w:color="auto" w:fill="auto"/>
            <w:vAlign w:val="center"/>
          </w:tcPr>
          <w:p w14:paraId="23CBB6C0" w14:textId="77777777" w:rsidR="008764FA" w:rsidRPr="00637B34" w:rsidRDefault="008764FA" w:rsidP="00B25BE6">
            <w:pPr>
              <w:rPr>
                <w:rFonts w:eastAsia="Times New Roman" w:cs="Times New Roman"/>
                <w:bCs/>
                <w:i/>
                <w:iCs/>
                <w:color w:val="000000"/>
                <w:szCs w:val="24"/>
              </w:rPr>
            </w:pPr>
            <w:r w:rsidRPr="00637B34">
              <w:rPr>
                <w:rFonts w:eastAsia="Times New Roman" w:cs="Times New Roman"/>
                <w:bCs/>
                <w:i/>
                <w:iCs/>
                <w:color w:val="000000"/>
                <w:szCs w:val="24"/>
              </w:rPr>
              <w:t>Shared AV</w:t>
            </w:r>
          </w:p>
          <w:p w14:paraId="592EA503" w14:textId="77777777" w:rsidR="008764FA" w:rsidRPr="00637B34" w:rsidRDefault="008764FA" w:rsidP="00B25BE6">
            <w:pPr>
              <w:rPr>
                <w:rFonts w:eastAsia="Times New Roman" w:cs="Times New Roman"/>
                <w:b/>
                <w:bCs/>
                <w:i/>
                <w:iCs/>
                <w:color w:val="000000"/>
                <w:szCs w:val="24"/>
              </w:rPr>
            </w:pPr>
            <w:r w:rsidRPr="00637B34">
              <w:rPr>
                <w:rFonts w:eastAsia="Times New Roman" w:cs="Times New Roman"/>
                <w:bCs/>
                <w:i/>
                <w:iCs/>
                <w:color w:val="000000"/>
                <w:szCs w:val="24"/>
              </w:rPr>
              <w:t>(SAV)</w:t>
            </w:r>
          </w:p>
        </w:tc>
        <w:tc>
          <w:tcPr>
            <w:tcW w:w="1799" w:type="dxa"/>
            <w:tcBorders>
              <w:top w:val="single" w:sz="4" w:space="0" w:color="auto"/>
              <w:left w:val="double" w:sz="6" w:space="0" w:color="auto"/>
              <w:bottom w:val="single" w:sz="4" w:space="0" w:color="auto"/>
              <w:right w:val="nil"/>
            </w:tcBorders>
            <w:shd w:val="clear" w:color="auto" w:fill="auto"/>
            <w:vAlign w:val="center"/>
          </w:tcPr>
          <w:p w14:paraId="6D7D45F2" w14:textId="77777777" w:rsidR="008764FA" w:rsidRPr="00D33E4B" w:rsidRDefault="008764FA" w:rsidP="00B25BE6">
            <w:pPr>
              <w:rPr>
                <w:rFonts w:eastAsia="Times New Roman" w:cs="Times New Roman"/>
                <w:bCs/>
                <w:color w:val="000000"/>
                <w:szCs w:val="24"/>
              </w:rPr>
            </w:pPr>
            <w:r w:rsidRPr="00D33E4B">
              <w:rPr>
                <w:rFonts w:eastAsia="Times New Roman" w:cs="Times New Roman"/>
                <w:bCs/>
                <w:color w:val="000000"/>
                <w:szCs w:val="24"/>
              </w:rPr>
              <w:t>First Buy</w:t>
            </w:r>
          </w:p>
          <w:p w14:paraId="79F1374B" w14:textId="77777777" w:rsidR="008764FA" w:rsidRPr="00D33E4B" w:rsidRDefault="008764FA" w:rsidP="00B25BE6">
            <w:pPr>
              <w:rPr>
                <w:rFonts w:eastAsia="Times New Roman" w:cs="Times New Roman"/>
                <w:bCs/>
                <w:color w:val="000000"/>
                <w:szCs w:val="24"/>
              </w:rPr>
            </w:pPr>
            <w:r w:rsidRPr="00D33E4B">
              <w:rPr>
                <w:rFonts w:eastAsia="Times New Roman" w:cs="Times New Roman"/>
                <w:bCs/>
                <w:color w:val="000000"/>
                <w:szCs w:val="24"/>
              </w:rPr>
              <w:t>(FB)</w:t>
            </w:r>
          </w:p>
        </w:tc>
        <w:tc>
          <w:tcPr>
            <w:tcW w:w="1203" w:type="dxa"/>
            <w:tcBorders>
              <w:top w:val="single" w:sz="4" w:space="0" w:color="auto"/>
              <w:left w:val="double" w:sz="6" w:space="0" w:color="auto"/>
              <w:bottom w:val="single" w:sz="4" w:space="0" w:color="auto"/>
              <w:right w:val="nil"/>
            </w:tcBorders>
            <w:shd w:val="clear" w:color="auto" w:fill="auto"/>
            <w:vAlign w:val="center"/>
          </w:tcPr>
          <w:p w14:paraId="35E3251E" w14:textId="4DFEE1CF" w:rsidR="008764FA" w:rsidRPr="00595E11" w:rsidRDefault="008764FA" w:rsidP="00782AC8">
            <w:pPr>
              <w:jc w:val="right"/>
              <w:rPr>
                <w:rFonts w:eastAsia="Times New Roman" w:cs="Times New Roman"/>
                <w:color w:val="000000"/>
                <w:szCs w:val="24"/>
              </w:rPr>
            </w:pPr>
            <w:r w:rsidRPr="00595E11">
              <w:rPr>
                <w:rFonts w:eastAsia="Times New Roman" w:cs="Times New Roman"/>
                <w:color w:val="000000"/>
                <w:szCs w:val="24"/>
              </w:rPr>
              <w:t>0.539</w:t>
            </w:r>
          </w:p>
        </w:tc>
        <w:tc>
          <w:tcPr>
            <w:tcW w:w="1242" w:type="dxa"/>
            <w:gridSpan w:val="2"/>
            <w:tcBorders>
              <w:top w:val="single" w:sz="4" w:space="0" w:color="auto"/>
              <w:left w:val="double" w:sz="6" w:space="0" w:color="auto"/>
              <w:bottom w:val="single" w:sz="4" w:space="0" w:color="auto"/>
              <w:right w:val="single" w:sz="4" w:space="0" w:color="auto"/>
            </w:tcBorders>
            <w:shd w:val="clear" w:color="auto" w:fill="auto"/>
            <w:vAlign w:val="center"/>
          </w:tcPr>
          <w:p w14:paraId="6613C6E3" w14:textId="008550A7" w:rsidR="008764FA" w:rsidRPr="00E360B5" w:rsidRDefault="008764FA" w:rsidP="00782AC8">
            <w:pPr>
              <w:jc w:val="right"/>
              <w:rPr>
                <w:rFonts w:eastAsia="Times New Roman" w:cs="Times New Roman"/>
                <w:color w:val="000000"/>
                <w:szCs w:val="24"/>
              </w:rPr>
            </w:pPr>
            <w:r w:rsidRPr="00E360B5">
              <w:rPr>
                <w:color w:val="000000"/>
              </w:rPr>
              <w:t>0.689</w:t>
            </w:r>
          </w:p>
        </w:tc>
        <w:tc>
          <w:tcPr>
            <w:tcW w:w="878" w:type="dxa"/>
            <w:tcBorders>
              <w:top w:val="single" w:sz="4" w:space="0" w:color="auto"/>
              <w:left w:val="single" w:sz="4" w:space="0" w:color="auto"/>
              <w:bottom w:val="single" w:sz="4" w:space="0" w:color="auto"/>
              <w:right w:val="double" w:sz="6" w:space="0" w:color="000000"/>
            </w:tcBorders>
            <w:shd w:val="clear" w:color="auto" w:fill="auto"/>
            <w:vAlign w:val="center"/>
          </w:tcPr>
          <w:p w14:paraId="1FC1EE40" w14:textId="35F62F64" w:rsidR="008764FA" w:rsidRPr="00E360B5" w:rsidRDefault="008764FA" w:rsidP="00782AC8">
            <w:pPr>
              <w:jc w:val="right"/>
              <w:rPr>
                <w:rFonts w:eastAsia="Times New Roman" w:cs="Times New Roman"/>
                <w:color w:val="000000"/>
                <w:szCs w:val="24"/>
              </w:rPr>
            </w:pPr>
            <w:r>
              <w:rPr>
                <w:color w:val="000000"/>
              </w:rPr>
              <w:t>27.829</w:t>
            </w: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6DDDC36C" w14:textId="134293DC" w:rsidR="008764FA" w:rsidRPr="00E360B5" w:rsidRDefault="008764FA" w:rsidP="00782AC8">
            <w:pPr>
              <w:jc w:val="right"/>
              <w:rPr>
                <w:rFonts w:eastAsia="Times New Roman" w:cs="Times New Roman"/>
                <w:color w:val="000000"/>
                <w:szCs w:val="24"/>
              </w:rPr>
            </w:pPr>
            <w:r w:rsidRPr="00E360B5">
              <w:rPr>
                <w:rFonts w:eastAsia="Times New Roman" w:cs="Times New Roman"/>
                <w:color w:val="000000"/>
                <w:szCs w:val="24"/>
              </w:rPr>
              <w:t>0.654</w:t>
            </w:r>
          </w:p>
        </w:tc>
        <w:tc>
          <w:tcPr>
            <w:tcW w:w="996" w:type="dxa"/>
            <w:tcBorders>
              <w:top w:val="single" w:sz="4" w:space="0" w:color="auto"/>
              <w:left w:val="single" w:sz="4" w:space="0" w:color="auto"/>
              <w:bottom w:val="single" w:sz="4" w:space="0" w:color="auto"/>
              <w:right w:val="double" w:sz="6" w:space="0" w:color="000000"/>
            </w:tcBorders>
            <w:shd w:val="clear" w:color="auto" w:fill="auto"/>
            <w:vAlign w:val="center"/>
          </w:tcPr>
          <w:p w14:paraId="6F9EEC95" w14:textId="06CB6933" w:rsidR="008764FA" w:rsidRPr="00E360B5" w:rsidRDefault="008764FA" w:rsidP="00782AC8">
            <w:pPr>
              <w:jc w:val="right"/>
              <w:rPr>
                <w:rFonts w:eastAsia="Times New Roman" w:cs="Times New Roman"/>
                <w:color w:val="000000"/>
                <w:szCs w:val="24"/>
              </w:rPr>
            </w:pPr>
            <w:r>
              <w:rPr>
                <w:color w:val="000000"/>
              </w:rPr>
              <w:t>21.336</w:t>
            </w:r>
          </w:p>
        </w:tc>
      </w:tr>
      <w:tr w:rsidR="008764FA" w:rsidRPr="0019203E" w14:paraId="065ACA68" w14:textId="77777777" w:rsidTr="00746048">
        <w:trPr>
          <w:gridAfter w:val="1"/>
          <w:wAfter w:w="13" w:type="dxa"/>
          <w:trHeight w:val="330"/>
        </w:trPr>
        <w:tc>
          <w:tcPr>
            <w:tcW w:w="1958" w:type="dxa"/>
            <w:tcBorders>
              <w:left w:val="double" w:sz="6" w:space="0" w:color="auto"/>
              <w:bottom w:val="double" w:sz="4" w:space="0" w:color="auto"/>
              <w:right w:val="nil"/>
            </w:tcBorders>
            <w:shd w:val="clear" w:color="auto" w:fill="auto"/>
            <w:vAlign w:val="center"/>
          </w:tcPr>
          <w:p w14:paraId="42225659" w14:textId="77777777" w:rsidR="008764FA" w:rsidRPr="00D33E4B" w:rsidRDefault="008764FA" w:rsidP="00B25BE6">
            <w:pPr>
              <w:rPr>
                <w:rFonts w:eastAsia="Times New Roman" w:cs="Times New Roman"/>
                <w:b/>
                <w:bCs/>
                <w:color w:val="000000"/>
                <w:szCs w:val="24"/>
              </w:rPr>
            </w:pPr>
          </w:p>
        </w:tc>
        <w:tc>
          <w:tcPr>
            <w:tcW w:w="1799" w:type="dxa"/>
            <w:tcBorders>
              <w:top w:val="single" w:sz="4" w:space="0" w:color="auto"/>
              <w:left w:val="double" w:sz="6" w:space="0" w:color="auto"/>
              <w:bottom w:val="double" w:sz="4" w:space="0" w:color="auto"/>
              <w:right w:val="nil"/>
            </w:tcBorders>
            <w:shd w:val="clear" w:color="auto" w:fill="auto"/>
            <w:vAlign w:val="center"/>
          </w:tcPr>
          <w:p w14:paraId="3A57797C" w14:textId="77777777" w:rsidR="008764FA" w:rsidRPr="00D33E4B" w:rsidRDefault="008764FA" w:rsidP="00B25BE6">
            <w:pPr>
              <w:rPr>
                <w:rFonts w:eastAsia="Times New Roman" w:cs="Times New Roman"/>
                <w:bCs/>
                <w:color w:val="000000"/>
                <w:szCs w:val="24"/>
              </w:rPr>
            </w:pPr>
            <w:r w:rsidRPr="00D33E4B">
              <w:rPr>
                <w:rFonts w:eastAsia="Times New Roman" w:cs="Times New Roman"/>
                <w:bCs/>
                <w:color w:val="000000"/>
                <w:szCs w:val="24"/>
              </w:rPr>
              <w:t>Eventually Buy</w:t>
            </w:r>
          </w:p>
          <w:p w14:paraId="48DC6C21" w14:textId="77777777" w:rsidR="008764FA" w:rsidRPr="00D33E4B" w:rsidRDefault="008764FA" w:rsidP="00B25BE6">
            <w:pPr>
              <w:rPr>
                <w:rFonts w:eastAsia="Times New Roman" w:cs="Times New Roman"/>
                <w:bCs/>
                <w:color w:val="000000"/>
                <w:szCs w:val="24"/>
              </w:rPr>
            </w:pPr>
            <w:r w:rsidRPr="00D33E4B">
              <w:rPr>
                <w:rFonts w:eastAsia="Times New Roman" w:cs="Times New Roman"/>
                <w:bCs/>
                <w:color w:val="000000"/>
                <w:szCs w:val="24"/>
              </w:rPr>
              <w:t>(EB)</w:t>
            </w:r>
          </w:p>
        </w:tc>
        <w:tc>
          <w:tcPr>
            <w:tcW w:w="1203" w:type="dxa"/>
            <w:tcBorders>
              <w:top w:val="single" w:sz="4" w:space="0" w:color="auto"/>
              <w:left w:val="double" w:sz="6" w:space="0" w:color="auto"/>
              <w:bottom w:val="double" w:sz="4" w:space="0" w:color="auto"/>
              <w:right w:val="nil"/>
            </w:tcBorders>
            <w:shd w:val="clear" w:color="auto" w:fill="auto"/>
            <w:vAlign w:val="center"/>
          </w:tcPr>
          <w:p w14:paraId="4B2CFEE9" w14:textId="0A8236BF" w:rsidR="008764FA" w:rsidRPr="00595E11" w:rsidRDefault="008764FA" w:rsidP="00782AC8">
            <w:pPr>
              <w:jc w:val="right"/>
              <w:rPr>
                <w:rFonts w:eastAsia="Times New Roman" w:cs="Times New Roman"/>
                <w:color w:val="000000"/>
                <w:szCs w:val="24"/>
              </w:rPr>
            </w:pPr>
            <w:r w:rsidRPr="00595E11">
              <w:rPr>
                <w:rFonts w:eastAsia="Times New Roman" w:cs="Times New Roman"/>
                <w:color w:val="000000"/>
                <w:szCs w:val="24"/>
              </w:rPr>
              <w:t>9.648</w:t>
            </w:r>
          </w:p>
        </w:tc>
        <w:tc>
          <w:tcPr>
            <w:tcW w:w="1242" w:type="dxa"/>
            <w:gridSpan w:val="2"/>
            <w:tcBorders>
              <w:top w:val="single" w:sz="4" w:space="0" w:color="auto"/>
              <w:left w:val="double" w:sz="6" w:space="0" w:color="auto"/>
              <w:bottom w:val="double" w:sz="6" w:space="0" w:color="auto"/>
              <w:right w:val="single" w:sz="4" w:space="0" w:color="auto"/>
            </w:tcBorders>
            <w:shd w:val="clear" w:color="auto" w:fill="auto"/>
            <w:vAlign w:val="center"/>
          </w:tcPr>
          <w:p w14:paraId="183C1114" w14:textId="154CE88F" w:rsidR="008764FA" w:rsidRPr="00E360B5" w:rsidRDefault="008764FA" w:rsidP="00782AC8">
            <w:pPr>
              <w:jc w:val="right"/>
              <w:rPr>
                <w:rFonts w:eastAsia="Times New Roman" w:cs="Times New Roman"/>
                <w:color w:val="000000"/>
                <w:szCs w:val="24"/>
              </w:rPr>
            </w:pPr>
            <w:r w:rsidRPr="00E360B5">
              <w:rPr>
                <w:color w:val="000000"/>
              </w:rPr>
              <w:t>8.906</w:t>
            </w:r>
          </w:p>
        </w:tc>
        <w:tc>
          <w:tcPr>
            <w:tcW w:w="878" w:type="dxa"/>
            <w:tcBorders>
              <w:top w:val="single" w:sz="4" w:space="0" w:color="auto"/>
              <w:left w:val="single" w:sz="4" w:space="0" w:color="auto"/>
              <w:bottom w:val="double" w:sz="6" w:space="0" w:color="auto"/>
              <w:right w:val="double" w:sz="6" w:space="0" w:color="000000"/>
            </w:tcBorders>
            <w:shd w:val="clear" w:color="auto" w:fill="auto"/>
            <w:vAlign w:val="center"/>
          </w:tcPr>
          <w:p w14:paraId="5367FD56" w14:textId="4084DC94" w:rsidR="008764FA" w:rsidRPr="00E360B5" w:rsidRDefault="008764FA" w:rsidP="00782AC8">
            <w:pPr>
              <w:jc w:val="right"/>
              <w:rPr>
                <w:rFonts w:eastAsia="Times New Roman" w:cs="Times New Roman"/>
                <w:color w:val="000000"/>
                <w:szCs w:val="24"/>
              </w:rPr>
            </w:pPr>
            <w:r>
              <w:rPr>
                <w:color w:val="000000"/>
              </w:rPr>
              <w:t>7.691</w:t>
            </w:r>
          </w:p>
        </w:tc>
        <w:tc>
          <w:tcPr>
            <w:tcW w:w="1203" w:type="dxa"/>
            <w:gridSpan w:val="2"/>
            <w:tcBorders>
              <w:top w:val="single" w:sz="4" w:space="0" w:color="auto"/>
              <w:left w:val="nil"/>
              <w:bottom w:val="double" w:sz="6" w:space="0" w:color="auto"/>
              <w:right w:val="single" w:sz="4" w:space="0" w:color="auto"/>
            </w:tcBorders>
            <w:shd w:val="clear" w:color="auto" w:fill="auto"/>
            <w:vAlign w:val="center"/>
          </w:tcPr>
          <w:p w14:paraId="576EBA9C" w14:textId="0810AA1B" w:rsidR="008764FA" w:rsidRPr="00E360B5" w:rsidRDefault="008764FA" w:rsidP="00782AC8">
            <w:pPr>
              <w:jc w:val="right"/>
              <w:rPr>
                <w:rFonts w:eastAsia="Times New Roman" w:cs="Times New Roman"/>
                <w:color w:val="000000"/>
                <w:szCs w:val="24"/>
              </w:rPr>
            </w:pPr>
            <w:r w:rsidRPr="00E360B5">
              <w:rPr>
                <w:rFonts w:eastAsia="Times New Roman" w:cs="Times New Roman"/>
                <w:color w:val="000000"/>
                <w:szCs w:val="24"/>
              </w:rPr>
              <w:t>9.364</w:t>
            </w:r>
          </w:p>
        </w:tc>
        <w:tc>
          <w:tcPr>
            <w:tcW w:w="996" w:type="dxa"/>
            <w:tcBorders>
              <w:top w:val="single" w:sz="4" w:space="0" w:color="auto"/>
              <w:left w:val="single" w:sz="4" w:space="0" w:color="auto"/>
              <w:bottom w:val="double" w:sz="6" w:space="0" w:color="auto"/>
              <w:right w:val="double" w:sz="6" w:space="0" w:color="000000"/>
            </w:tcBorders>
            <w:shd w:val="clear" w:color="auto" w:fill="auto"/>
            <w:vAlign w:val="center"/>
          </w:tcPr>
          <w:p w14:paraId="4DF9E1DD" w14:textId="448F6EFE" w:rsidR="008764FA" w:rsidRPr="00E360B5" w:rsidRDefault="008764FA" w:rsidP="00782AC8">
            <w:pPr>
              <w:jc w:val="right"/>
              <w:rPr>
                <w:rFonts w:eastAsia="Times New Roman" w:cs="Times New Roman"/>
                <w:color w:val="000000"/>
                <w:szCs w:val="24"/>
              </w:rPr>
            </w:pPr>
            <w:r>
              <w:rPr>
                <w:color w:val="000000"/>
              </w:rPr>
              <w:t>2.944</w:t>
            </w:r>
          </w:p>
        </w:tc>
      </w:tr>
      <w:tr w:rsidR="00D47D34" w:rsidRPr="0019203E" w14:paraId="5DB0FA9E" w14:textId="77777777" w:rsidTr="00B25BE6">
        <w:trPr>
          <w:trHeight w:val="432"/>
        </w:trPr>
        <w:tc>
          <w:tcPr>
            <w:tcW w:w="4973" w:type="dxa"/>
            <w:gridSpan w:val="4"/>
            <w:tcBorders>
              <w:top w:val="single" w:sz="8" w:space="0" w:color="auto"/>
              <w:left w:val="double" w:sz="6" w:space="0" w:color="auto"/>
              <w:bottom w:val="double" w:sz="6" w:space="0" w:color="auto"/>
              <w:right w:val="nil"/>
            </w:tcBorders>
            <w:shd w:val="clear" w:color="auto" w:fill="auto"/>
            <w:vAlign w:val="center"/>
            <w:hideMark/>
          </w:tcPr>
          <w:p w14:paraId="6413B991" w14:textId="6A1C0ECB" w:rsidR="00D47D34" w:rsidRPr="00D33E4B" w:rsidRDefault="00D47D34" w:rsidP="00782AC8">
            <w:pPr>
              <w:jc w:val="right"/>
              <w:rPr>
                <w:rFonts w:eastAsia="Times New Roman" w:cs="Times New Roman"/>
                <w:b/>
                <w:bCs/>
                <w:color w:val="000000"/>
                <w:szCs w:val="24"/>
              </w:rPr>
            </w:pPr>
            <w:r w:rsidRPr="00D33E4B">
              <w:rPr>
                <w:rFonts w:eastAsia="Times New Roman" w:cs="Times New Roman"/>
                <w:b/>
                <w:bCs/>
                <w:color w:val="000000"/>
                <w:szCs w:val="24"/>
              </w:rPr>
              <w:t>Weighted average across all combinations</w:t>
            </w:r>
            <w:r w:rsidR="008764FA">
              <w:rPr>
                <w:rFonts w:eastAsia="Times New Roman" w:cs="Times New Roman"/>
                <w:b/>
                <w:bCs/>
                <w:color w:val="000000"/>
                <w:szCs w:val="24"/>
              </w:rPr>
              <w:t xml:space="preserve"> (%)</w:t>
            </w:r>
          </w:p>
        </w:tc>
        <w:tc>
          <w:tcPr>
            <w:tcW w:w="2120" w:type="dxa"/>
            <w:gridSpan w:val="3"/>
            <w:tcBorders>
              <w:top w:val="single" w:sz="8" w:space="0" w:color="auto"/>
              <w:left w:val="double" w:sz="6" w:space="0" w:color="auto"/>
              <w:bottom w:val="double" w:sz="6" w:space="0" w:color="auto"/>
              <w:right w:val="double" w:sz="6" w:space="0" w:color="000000"/>
            </w:tcBorders>
            <w:shd w:val="clear" w:color="auto" w:fill="auto"/>
            <w:vAlign w:val="center"/>
          </w:tcPr>
          <w:p w14:paraId="63C2DBF2" w14:textId="4366DAB6" w:rsidR="00D47D34" w:rsidRPr="00D33E4B" w:rsidRDefault="00E360B5" w:rsidP="00782AC8">
            <w:pPr>
              <w:jc w:val="right"/>
              <w:rPr>
                <w:rFonts w:eastAsia="Times New Roman" w:cs="Times New Roman"/>
                <w:b/>
                <w:bCs/>
                <w:color w:val="000000"/>
                <w:szCs w:val="24"/>
              </w:rPr>
            </w:pPr>
            <w:r>
              <w:rPr>
                <w:rFonts w:eastAsia="Times New Roman" w:cs="Times New Roman"/>
                <w:b/>
                <w:bCs/>
                <w:color w:val="000000"/>
                <w:szCs w:val="24"/>
              </w:rPr>
              <w:t>11.64</w:t>
            </w:r>
          </w:p>
        </w:tc>
        <w:tc>
          <w:tcPr>
            <w:tcW w:w="2199" w:type="dxa"/>
            <w:gridSpan w:val="3"/>
            <w:tcBorders>
              <w:top w:val="nil"/>
              <w:left w:val="nil"/>
              <w:bottom w:val="double" w:sz="6" w:space="0" w:color="auto"/>
              <w:right w:val="double" w:sz="6" w:space="0" w:color="000000"/>
            </w:tcBorders>
            <w:shd w:val="clear" w:color="auto" w:fill="auto"/>
            <w:vAlign w:val="center"/>
          </w:tcPr>
          <w:p w14:paraId="457CBED0" w14:textId="57776308" w:rsidR="00D47D34" w:rsidRPr="00D33E4B" w:rsidRDefault="008764FA" w:rsidP="00782AC8">
            <w:pPr>
              <w:jc w:val="right"/>
              <w:rPr>
                <w:rFonts w:eastAsia="Times New Roman" w:cs="Times New Roman"/>
                <w:b/>
                <w:bCs/>
                <w:color w:val="000000"/>
                <w:szCs w:val="24"/>
              </w:rPr>
            </w:pPr>
            <w:r>
              <w:rPr>
                <w:rFonts w:eastAsia="Times New Roman" w:cs="Times New Roman"/>
                <w:b/>
                <w:bCs/>
                <w:color w:val="000000"/>
                <w:szCs w:val="24"/>
              </w:rPr>
              <w:t>32.3</w:t>
            </w:r>
            <w:r w:rsidR="000B0B28">
              <w:rPr>
                <w:rFonts w:eastAsia="Times New Roman" w:cs="Times New Roman"/>
                <w:b/>
                <w:bCs/>
                <w:color w:val="000000"/>
                <w:szCs w:val="24"/>
              </w:rPr>
              <w:t>2</w:t>
            </w:r>
          </w:p>
        </w:tc>
      </w:tr>
    </w:tbl>
    <w:p w14:paraId="698B5D0E" w14:textId="77777777" w:rsidR="00D47D34" w:rsidRPr="00BA29A9" w:rsidRDefault="00D47D34" w:rsidP="00D47D34">
      <w:pPr>
        <w:jc w:val="both"/>
        <w:rPr>
          <w:rFonts w:cs="Times New Roman"/>
          <w:sz w:val="22"/>
          <w:szCs w:val="24"/>
        </w:rPr>
      </w:pPr>
      <w:r w:rsidRPr="00BA29A9">
        <w:rPr>
          <w:rFonts w:cs="Times New Roman"/>
          <w:sz w:val="22"/>
          <w:szCs w:val="24"/>
        </w:rPr>
        <w:t>*APE: Absolute Percentage Error</w:t>
      </w:r>
    </w:p>
    <w:p w14:paraId="775AB65C" w14:textId="026453DE" w:rsidR="00D47D34" w:rsidRDefault="00D47D34">
      <w:pPr>
        <w:rPr>
          <w:rFonts w:cs="Times New Roman"/>
          <w:b/>
          <w:bCs/>
          <w:szCs w:val="24"/>
        </w:rPr>
      </w:pPr>
    </w:p>
    <w:p w14:paraId="409FC52B" w14:textId="77777777" w:rsidR="00C121E4" w:rsidRDefault="00C121E4" w:rsidP="00DF5476">
      <w:pPr>
        <w:tabs>
          <w:tab w:val="left" w:pos="3720"/>
        </w:tabs>
        <w:jc w:val="both"/>
        <w:rPr>
          <w:rFonts w:cs="Times New Roman"/>
          <w:b/>
          <w:bCs/>
          <w:szCs w:val="24"/>
        </w:rPr>
        <w:sectPr w:rsidR="00C121E4" w:rsidSect="006372E9">
          <w:pgSz w:w="12240" w:h="15840"/>
          <w:pgMar w:top="1440" w:right="1440" w:bottom="1440" w:left="1440" w:header="720" w:footer="720" w:gutter="0"/>
          <w:cols w:space="720"/>
          <w:docGrid w:linePitch="360"/>
        </w:sectPr>
      </w:pPr>
    </w:p>
    <w:p w14:paraId="687C85D9" w14:textId="51C081C5" w:rsidR="002410C0" w:rsidRPr="006C53C5" w:rsidRDefault="002410C0" w:rsidP="005D1838">
      <w:pPr>
        <w:spacing w:after="120"/>
        <w:rPr>
          <w:b/>
          <w:bCs/>
        </w:rPr>
      </w:pPr>
      <w:r w:rsidRPr="006C53C5">
        <w:rPr>
          <w:b/>
          <w:bCs/>
        </w:rPr>
        <w:lastRenderedPageBreak/>
        <w:t xml:space="preserve">Table </w:t>
      </w:r>
      <w:r w:rsidR="006B3123">
        <w:rPr>
          <w:b/>
          <w:bCs/>
        </w:rPr>
        <w:t>7</w:t>
      </w:r>
      <w:r w:rsidR="00B25BE6">
        <w:rPr>
          <w:b/>
          <w:bCs/>
        </w:rPr>
        <w:t>.</w:t>
      </w:r>
      <w:r w:rsidRPr="006C53C5">
        <w:rPr>
          <w:b/>
          <w:bCs/>
        </w:rPr>
        <w:t xml:space="preserve"> Sociodemographic </w:t>
      </w:r>
      <w:r w:rsidR="007C64E7">
        <w:rPr>
          <w:b/>
          <w:bCs/>
        </w:rPr>
        <w:t>Average Treatment Effect (</w:t>
      </w:r>
      <w:r w:rsidRPr="006C53C5">
        <w:rPr>
          <w:b/>
          <w:bCs/>
        </w:rPr>
        <w:t>ATE</w:t>
      </w:r>
      <w:r w:rsidR="007C64E7">
        <w:rPr>
          <w:b/>
          <w:bCs/>
        </w:rPr>
        <w:t>)</w:t>
      </w:r>
      <w:r w:rsidRPr="006C53C5">
        <w:rPr>
          <w:b/>
          <w:bCs/>
        </w:rPr>
        <w:t xml:space="preserve"> for the </w:t>
      </w:r>
      <w:r w:rsidR="007C64E7">
        <w:rPr>
          <w:b/>
          <w:bCs/>
        </w:rPr>
        <w:t>AV Adoption (</w:t>
      </w:r>
      <w:r w:rsidRPr="006C53C5">
        <w:rPr>
          <w:b/>
          <w:bCs/>
        </w:rPr>
        <w:t>AVD</w:t>
      </w:r>
      <w:r w:rsidR="007C64E7">
        <w:rPr>
          <w:b/>
          <w:bCs/>
        </w:rPr>
        <w:t>)</w:t>
      </w:r>
      <w:r w:rsidRPr="006C53C5">
        <w:rPr>
          <w:b/>
          <w:bCs/>
        </w:rPr>
        <w:t xml:space="preserve"> </w:t>
      </w:r>
      <w:r w:rsidR="00B25BE6">
        <w:rPr>
          <w:b/>
          <w:bCs/>
        </w:rPr>
        <w:t>D</w:t>
      </w:r>
      <w:r w:rsidRPr="006C53C5">
        <w:rPr>
          <w:b/>
          <w:bCs/>
        </w:rPr>
        <w:t>imension</w:t>
      </w:r>
    </w:p>
    <w:tbl>
      <w:tblPr>
        <w:tblW w:w="4941" w:type="pct"/>
        <w:tblLook w:val="04A0" w:firstRow="1" w:lastRow="0" w:firstColumn="1" w:lastColumn="0" w:noHBand="0" w:noVBand="1"/>
      </w:tblPr>
      <w:tblGrid>
        <w:gridCol w:w="2468"/>
        <w:gridCol w:w="1842"/>
        <w:gridCol w:w="2167"/>
        <w:gridCol w:w="1254"/>
        <w:gridCol w:w="1328"/>
        <w:gridCol w:w="1254"/>
        <w:gridCol w:w="1224"/>
        <w:gridCol w:w="1136"/>
        <w:gridCol w:w="1075"/>
      </w:tblGrid>
      <w:tr w:rsidR="002410C0" w:rsidRPr="004A3C2D" w14:paraId="418BD9E3" w14:textId="77777777" w:rsidTr="003B2A78">
        <w:trPr>
          <w:trHeight w:val="346"/>
        </w:trPr>
        <w:tc>
          <w:tcPr>
            <w:tcW w:w="898" w:type="pct"/>
            <w:vMerge w:val="restart"/>
            <w:tcBorders>
              <w:top w:val="double" w:sz="6" w:space="0" w:color="auto"/>
              <w:left w:val="double" w:sz="6" w:space="0" w:color="auto"/>
              <w:bottom w:val="double" w:sz="6" w:space="0" w:color="000000"/>
              <w:right w:val="single" w:sz="4" w:space="0" w:color="auto"/>
            </w:tcBorders>
            <w:shd w:val="clear" w:color="auto" w:fill="auto"/>
            <w:tcMar>
              <w:left w:w="58" w:type="dxa"/>
              <w:right w:w="58" w:type="dxa"/>
            </w:tcMar>
            <w:vAlign w:val="center"/>
            <w:hideMark/>
          </w:tcPr>
          <w:p w14:paraId="0C27BC1D" w14:textId="77777777" w:rsidR="002410C0" w:rsidRPr="004A3C2D" w:rsidRDefault="002410C0"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Variable</w:t>
            </w:r>
          </w:p>
        </w:tc>
        <w:tc>
          <w:tcPr>
            <w:tcW w:w="670" w:type="pct"/>
            <w:vMerge w:val="restart"/>
            <w:tcBorders>
              <w:top w:val="double" w:sz="6" w:space="0" w:color="auto"/>
              <w:left w:val="single" w:sz="4" w:space="0" w:color="auto"/>
              <w:bottom w:val="double" w:sz="6" w:space="0" w:color="000000"/>
              <w:right w:val="single" w:sz="4" w:space="0" w:color="A5A5A5" w:themeColor="accent3"/>
            </w:tcBorders>
            <w:shd w:val="clear" w:color="auto" w:fill="auto"/>
            <w:tcMar>
              <w:left w:w="58" w:type="dxa"/>
              <w:right w:w="58" w:type="dxa"/>
            </w:tcMar>
            <w:vAlign w:val="center"/>
            <w:hideMark/>
          </w:tcPr>
          <w:p w14:paraId="6B6855B0" w14:textId="77777777" w:rsidR="002410C0" w:rsidRPr="004A3C2D" w:rsidRDefault="002410C0"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Base Level</w:t>
            </w:r>
          </w:p>
        </w:tc>
        <w:tc>
          <w:tcPr>
            <w:tcW w:w="787" w:type="pct"/>
            <w:vMerge w:val="restart"/>
            <w:tcBorders>
              <w:top w:val="double" w:sz="6" w:space="0" w:color="auto"/>
              <w:left w:val="single" w:sz="4" w:space="0" w:color="A5A5A5" w:themeColor="accent3"/>
              <w:bottom w:val="double" w:sz="6" w:space="0" w:color="000000"/>
              <w:right w:val="nil"/>
            </w:tcBorders>
            <w:shd w:val="clear" w:color="auto" w:fill="auto"/>
            <w:tcMar>
              <w:left w:w="58" w:type="dxa"/>
              <w:right w:w="58" w:type="dxa"/>
            </w:tcMar>
            <w:vAlign w:val="center"/>
            <w:hideMark/>
          </w:tcPr>
          <w:p w14:paraId="1CAC20C6" w14:textId="77777777" w:rsidR="002410C0" w:rsidRPr="004A3C2D" w:rsidRDefault="002410C0"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Treatment Level</w:t>
            </w:r>
          </w:p>
        </w:tc>
        <w:tc>
          <w:tcPr>
            <w:tcW w:w="1840" w:type="pct"/>
            <w:gridSpan w:val="4"/>
            <w:tcBorders>
              <w:top w:val="double" w:sz="6" w:space="0" w:color="auto"/>
              <w:left w:val="single" w:sz="12" w:space="0" w:color="auto"/>
              <w:bottom w:val="single" w:sz="8" w:space="0" w:color="auto"/>
              <w:right w:val="single" w:sz="8" w:space="0" w:color="000000"/>
            </w:tcBorders>
            <w:shd w:val="clear" w:color="auto" w:fill="auto"/>
            <w:tcMar>
              <w:left w:w="58" w:type="dxa"/>
              <w:right w:w="58" w:type="dxa"/>
            </w:tcMar>
            <w:vAlign w:val="center"/>
            <w:hideMark/>
          </w:tcPr>
          <w:p w14:paraId="12720BB2" w14:textId="77777777" w:rsidR="002410C0" w:rsidRPr="004A3C2D" w:rsidRDefault="002410C0"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 Contribution by mediation through</w:t>
            </w:r>
          </w:p>
        </w:tc>
        <w:tc>
          <w:tcPr>
            <w:tcW w:w="413" w:type="pct"/>
            <w:vMerge w:val="restart"/>
            <w:tcBorders>
              <w:top w:val="double" w:sz="6" w:space="0" w:color="auto"/>
              <w:left w:val="single" w:sz="8" w:space="0" w:color="auto"/>
              <w:right w:val="single" w:sz="12" w:space="0" w:color="auto"/>
            </w:tcBorders>
            <w:shd w:val="clear" w:color="auto" w:fill="auto"/>
            <w:tcMar>
              <w:left w:w="58" w:type="dxa"/>
              <w:right w:w="58" w:type="dxa"/>
            </w:tcMar>
            <w:vAlign w:val="center"/>
            <w:hideMark/>
          </w:tcPr>
          <w:p w14:paraId="3C37753F" w14:textId="77777777" w:rsidR="002410C0" w:rsidRPr="004A3C2D" w:rsidRDefault="002410C0"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 Direct Effect</w:t>
            </w:r>
          </w:p>
        </w:tc>
        <w:tc>
          <w:tcPr>
            <w:tcW w:w="391" w:type="pct"/>
            <w:vMerge w:val="restart"/>
            <w:tcBorders>
              <w:top w:val="double" w:sz="6" w:space="0" w:color="auto"/>
              <w:left w:val="single" w:sz="4" w:space="0" w:color="auto"/>
              <w:right w:val="double" w:sz="6" w:space="0" w:color="auto"/>
            </w:tcBorders>
            <w:shd w:val="clear" w:color="auto" w:fill="auto"/>
            <w:tcMar>
              <w:left w:w="58" w:type="dxa"/>
              <w:right w:w="58" w:type="dxa"/>
            </w:tcMar>
            <w:vAlign w:val="center"/>
            <w:hideMark/>
          </w:tcPr>
          <w:p w14:paraId="3699B39A" w14:textId="77777777" w:rsidR="002410C0" w:rsidRPr="004A3C2D" w:rsidRDefault="002410C0"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Overall ATE</w:t>
            </w:r>
          </w:p>
        </w:tc>
      </w:tr>
      <w:tr w:rsidR="002410C0" w:rsidRPr="004A3C2D" w14:paraId="547139B3" w14:textId="77777777" w:rsidTr="003B2A78">
        <w:trPr>
          <w:trHeight w:val="346"/>
        </w:trPr>
        <w:tc>
          <w:tcPr>
            <w:tcW w:w="898" w:type="pct"/>
            <w:vMerge/>
            <w:tcBorders>
              <w:top w:val="double" w:sz="6" w:space="0" w:color="auto"/>
              <w:left w:val="double" w:sz="6" w:space="0" w:color="auto"/>
              <w:bottom w:val="double" w:sz="6" w:space="0" w:color="000000"/>
              <w:right w:val="single" w:sz="4" w:space="0" w:color="auto"/>
            </w:tcBorders>
            <w:tcMar>
              <w:left w:w="58" w:type="dxa"/>
              <w:right w:w="58" w:type="dxa"/>
            </w:tcMar>
            <w:vAlign w:val="center"/>
            <w:hideMark/>
          </w:tcPr>
          <w:p w14:paraId="2D32A31F" w14:textId="77777777" w:rsidR="002410C0" w:rsidRPr="004A3C2D" w:rsidRDefault="002410C0" w:rsidP="0076278B">
            <w:pPr>
              <w:rPr>
                <w:rFonts w:eastAsia="Times New Roman" w:cs="Times New Roman"/>
                <w:b/>
                <w:bCs/>
                <w:color w:val="000000"/>
                <w:sz w:val="20"/>
                <w:szCs w:val="20"/>
              </w:rPr>
            </w:pPr>
          </w:p>
        </w:tc>
        <w:tc>
          <w:tcPr>
            <w:tcW w:w="670" w:type="pct"/>
            <w:vMerge/>
            <w:tcBorders>
              <w:top w:val="double" w:sz="6" w:space="0" w:color="auto"/>
              <w:left w:val="single" w:sz="4" w:space="0" w:color="auto"/>
              <w:bottom w:val="double" w:sz="6" w:space="0" w:color="000000"/>
              <w:right w:val="single" w:sz="4" w:space="0" w:color="A5A5A5" w:themeColor="accent3"/>
            </w:tcBorders>
            <w:tcMar>
              <w:left w:w="58" w:type="dxa"/>
              <w:right w:w="58" w:type="dxa"/>
            </w:tcMar>
            <w:vAlign w:val="center"/>
            <w:hideMark/>
          </w:tcPr>
          <w:p w14:paraId="0AA8A4F2" w14:textId="77777777" w:rsidR="002410C0" w:rsidRPr="004A3C2D" w:rsidRDefault="002410C0" w:rsidP="0076278B">
            <w:pPr>
              <w:rPr>
                <w:rFonts w:eastAsia="Times New Roman" w:cs="Times New Roman"/>
                <w:b/>
                <w:bCs/>
                <w:color w:val="000000"/>
                <w:sz w:val="20"/>
                <w:szCs w:val="20"/>
              </w:rPr>
            </w:pPr>
          </w:p>
        </w:tc>
        <w:tc>
          <w:tcPr>
            <w:tcW w:w="787" w:type="pct"/>
            <w:vMerge/>
            <w:tcBorders>
              <w:top w:val="double" w:sz="6" w:space="0" w:color="auto"/>
              <w:left w:val="single" w:sz="4" w:space="0" w:color="A5A5A5" w:themeColor="accent3"/>
              <w:bottom w:val="double" w:sz="6" w:space="0" w:color="000000"/>
              <w:right w:val="single" w:sz="12" w:space="0" w:color="auto"/>
            </w:tcBorders>
            <w:tcMar>
              <w:left w:w="58" w:type="dxa"/>
              <w:right w:w="58" w:type="dxa"/>
            </w:tcMar>
            <w:vAlign w:val="center"/>
            <w:hideMark/>
          </w:tcPr>
          <w:p w14:paraId="02CC92BD" w14:textId="77777777" w:rsidR="002410C0" w:rsidRPr="004A3C2D" w:rsidRDefault="002410C0" w:rsidP="0076278B">
            <w:pPr>
              <w:rPr>
                <w:rFonts w:eastAsia="Times New Roman" w:cs="Times New Roman"/>
                <w:b/>
                <w:bCs/>
                <w:color w:val="000000"/>
                <w:sz w:val="20"/>
                <w:szCs w:val="20"/>
              </w:rPr>
            </w:pPr>
          </w:p>
        </w:tc>
        <w:tc>
          <w:tcPr>
            <w:tcW w:w="456" w:type="pct"/>
            <w:tcBorders>
              <w:top w:val="nil"/>
              <w:left w:val="single" w:sz="12" w:space="0" w:color="auto"/>
              <w:bottom w:val="double" w:sz="6" w:space="0" w:color="auto"/>
              <w:right w:val="single" w:sz="4" w:space="0" w:color="A5A5A5" w:themeColor="accent3"/>
            </w:tcBorders>
            <w:shd w:val="clear" w:color="auto" w:fill="auto"/>
            <w:tcMar>
              <w:left w:w="58" w:type="dxa"/>
              <w:right w:w="58" w:type="dxa"/>
            </w:tcMar>
            <w:vAlign w:val="center"/>
            <w:hideMark/>
          </w:tcPr>
          <w:p w14:paraId="7D260053" w14:textId="77777777" w:rsidR="002410C0" w:rsidRPr="004A3C2D" w:rsidRDefault="002410C0"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Driving Control</w:t>
            </w:r>
          </w:p>
          <w:p w14:paraId="35E75BAD" w14:textId="77777777" w:rsidR="002410C0" w:rsidRPr="004A3C2D" w:rsidRDefault="002410C0"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decrease</w:t>
            </w:r>
          </w:p>
        </w:tc>
        <w:tc>
          <w:tcPr>
            <w:tcW w:w="483" w:type="pct"/>
            <w:tcBorders>
              <w:top w:val="nil"/>
              <w:left w:val="single" w:sz="4" w:space="0" w:color="A5A5A5" w:themeColor="accent3"/>
              <w:bottom w:val="double" w:sz="6" w:space="0" w:color="auto"/>
              <w:right w:val="single" w:sz="4" w:space="0" w:color="A5A5A5" w:themeColor="accent3"/>
            </w:tcBorders>
            <w:shd w:val="clear" w:color="auto" w:fill="auto"/>
            <w:tcMar>
              <w:left w:w="58" w:type="dxa"/>
              <w:right w:w="58" w:type="dxa"/>
            </w:tcMar>
            <w:vAlign w:val="center"/>
            <w:hideMark/>
          </w:tcPr>
          <w:p w14:paraId="07B4DF6E" w14:textId="77777777" w:rsidR="002410C0" w:rsidRPr="004A3C2D" w:rsidRDefault="002410C0"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Mobility Control</w:t>
            </w:r>
          </w:p>
          <w:p w14:paraId="40EC41CC" w14:textId="77777777" w:rsidR="002410C0" w:rsidRPr="004A3C2D" w:rsidRDefault="002410C0"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increase</w:t>
            </w:r>
          </w:p>
        </w:tc>
        <w:tc>
          <w:tcPr>
            <w:tcW w:w="456" w:type="pct"/>
            <w:tcBorders>
              <w:top w:val="nil"/>
              <w:left w:val="single" w:sz="4" w:space="0" w:color="A5A5A5" w:themeColor="accent3"/>
              <w:bottom w:val="double" w:sz="6" w:space="0" w:color="auto"/>
              <w:right w:val="single" w:sz="4" w:space="0" w:color="A5A5A5" w:themeColor="accent3"/>
            </w:tcBorders>
            <w:shd w:val="clear" w:color="auto" w:fill="auto"/>
            <w:tcMar>
              <w:left w:w="58" w:type="dxa"/>
              <w:right w:w="58" w:type="dxa"/>
            </w:tcMar>
            <w:vAlign w:val="center"/>
            <w:hideMark/>
          </w:tcPr>
          <w:p w14:paraId="42A509D9" w14:textId="77777777" w:rsidR="002410C0" w:rsidRPr="004A3C2D" w:rsidRDefault="002410C0"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Safety Concern</w:t>
            </w:r>
          </w:p>
          <w:p w14:paraId="5077A266" w14:textId="77777777" w:rsidR="002410C0" w:rsidRPr="004A3C2D" w:rsidRDefault="002410C0"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decrease</w:t>
            </w:r>
          </w:p>
        </w:tc>
        <w:tc>
          <w:tcPr>
            <w:tcW w:w="445" w:type="pct"/>
            <w:tcBorders>
              <w:top w:val="nil"/>
              <w:left w:val="single" w:sz="4" w:space="0" w:color="A5A5A5" w:themeColor="accent3"/>
              <w:bottom w:val="double" w:sz="6" w:space="0" w:color="auto"/>
              <w:right w:val="single" w:sz="8" w:space="0" w:color="auto"/>
            </w:tcBorders>
            <w:shd w:val="clear" w:color="auto" w:fill="auto"/>
            <w:tcMar>
              <w:left w:w="58" w:type="dxa"/>
              <w:right w:w="58" w:type="dxa"/>
            </w:tcMar>
            <w:vAlign w:val="center"/>
            <w:hideMark/>
          </w:tcPr>
          <w:p w14:paraId="189DF15C" w14:textId="77777777" w:rsidR="002410C0" w:rsidRPr="004A3C2D" w:rsidRDefault="002410C0"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Tech-Savviness</w:t>
            </w:r>
          </w:p>
          <w:p w14:paraId="7E4102C7" w14:textId="77777777" w:rsidR="002410C0" w:rsidRPr="004A3C2D" w:rsidRDefault="002410C0"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increase</w:t>
            </w:r>
          </w:p>
        </w:tc>
        <w:tc>
          <w:tcPr>
            <w:tcW w:w="413" w:type="pct"/>
            <w:vMerge/>
            <w:tcBorders>
              <w:left w:val="single" w:sz="8" w:space="0" w:color="auto"/>
              <w:bottom w:val="double" w:sz="6" w:space="0" w:color="000000"/>
              <w:right w:val="single" w:sz="12" w:space="0" w:color="auto"/>
            </w:tcBorders>
            <w:tcMar>
              <w:left w:w="58" w:type="dxa"/>
              <w:right w:w="58" w:type="dxa"/>
            </w:tcMar>
            <w:vAlign w:val="center"/>
            <w:hideMark/>
          </w:tcPr>
          <w:p w14:paraId="1F147A84" w14:textId="77777777" w:rsidR="002410C0" w:rsidRPr="004A3C2D" w:rsidRDefault="002410C0" w:rsidP="0076278B">
            <w:pPr>
              <w:jc w:val="right"/>
              <w:rPr>
                <w:rFonts w:eastAsia="Times New Roman" w:cs="Times New Roman"/>
                <w:b/>
                <w:bCs/>
                <w:color w:val="000000"/>
                <w:sz w:val="20"/>
                <w:szCs w:val="20"/>
              </w:rPr>
            </w:pPr>
          </w:p>
        </w:tc>
        <w:tc>
          <w:tcPr>
            <w:tcW w:w="391" w:type="pct"/>
            <w:vMerge/>
            <w:tcBorders>
              <w:left w:val="single" w:sz="4" w:space="0" w:color="auto"/>
              <w:bottom w:val="double" w:sz="6" w:space="0" w:color="000000"/>
              <w:right w:val="double" w:sz="6" w:space="0" w:color="auto"/>
            </w:tcBorders>
            <w:tcMar>
              <w:left w:w="58" w:type="dxa"/>
              <w:right w:w="58" w:type="dxa"/>
            </w:tcMar>
            <w:vAlign w:val="center"/>
            <w:hideMark/>
          </w:tcPr>
          <w:p w14:paraId="6FACD4EB" w14:textId="77777777" w:rsidR="002410C0" w:rsidRPr="004A3C2D" w:rsidRDefault="002410C0" w:rsidP="0076278B">
            <w:pPr>
              <w:jc w:val="right"/>
              <w:rPr>
                <w:rFonts w:eastAsia="Times New Roman" w:cs="Times New Roman"/>
                <w:b/>
                <w:bCs/>
                <w:color w:val="000000"/>
                <w:sz w:val="20"/>
                <w:szCs w:val="20"/>
              </w:rPr>
            </w:pPr>
          </w:p>
        </w:tc>
      </w:tr>
      <w:tr w:rsidR="002410C0" w:rsidRPr="004A3C2D" w14:paraId="4BB2EC84" w14:textId="77777777" w:rsidTr="003B2A78">
        <w:trPr>
          <w:trHeight w:val="346"/>
        </w:trPr>
        <w:tc>
          <w:tcPr>
            <w:tcW w:w="2356" w:type="pct"/>
            <w:gridSpan w:val="3"/>
            <w:tcBorders>
              <w:top w:val="nil"/>
              <w:left w:val="double" w:sz="6" w:space="0" w:color="auto"/>
              <w:bottom w:val="single" w:sz="4" w:space="0" w:color="auto"/>
              <w:right w:val="single" w:sz="12" w:space="0" w:color="auto"/>
            </w:tcBorders>
            <w:shd w:val="clear" w:color="auto" w:fill="auto"/>
            <w:tcMar>
              <w:left w:w="58" w:type="dxa"/>
              <w:right w:w="58" w:type="dxa"/>
            </w:tcMar>
            <w:vAlign w:val="center"/>
            <w:hideMark/>
          </w:tcPr>
          <w:p w14:paraId="16BF6B76" w14:textId="77777777" w:rsidR="002410C0" w:rsidRPr="004A3C2D" w:rsidRDefault="002410C0" w:rsidP="0076278B">
            <w:pPr>
              <w:rPr>
                <w:rFonts w:eastAsia="Times New Roman" w:cs="Times New Roman"/>
                <w:sz w:val="20"/>
                <w:szCs w:val="20"/>
              </w:rPr>
            </w:pPr>
            <w:r w:rsidRPr="004A3C2D">
              <w:rPr>
                <w:rFonts w:eastAsia="Times New Roman" w:cs="Times New Roman"/>
                <w:b/>
                <w:bCs/>
                <w:color w:val="000000"/>
                <w:sz w:val="20"/>
                <w:szCs w:val="20"/>
              </w:rPr>
              <w:t>Next vehicle purchase is an AV (Base: Buy regular vehicle)</w:t>
            </w:r>
          </w:p>
        </w:tc>
        <w:tc>
          <w:tcPr>
            <w:tcW w:w="456" w:type="pct"/>
            <w:tcBorders>
              <w:top w:val="nil"/>
              <w:left w:val="single" w:sz="12" w:space="0" w:color="auto"/>
              <w:bottom w:val="single" w:sz="4" w:space="0" w:color="auto"/>
              <w:right w:val="single" w:sz="4" w:space="0" w:color="FFFFFF" w:themeColor="background1"/>
            </w:tcBorders>
            <w:shd w:val="clear" w:color="auto" w:fill="auto"/>
            <w:vAlign w:val="center"/>
            <w:hideMark/>
          </w:tcPr>
          <w:p w14:paraId="488A42C4"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483" w:type="pct"/>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14:paraId="7B303C2E"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456" w:type="pct"/>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14:paraId="0481AEE5"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445" w:type="pct"/>
            <w:tcBorders>
              <w:top w:val="nil"/>
              <w:left w:val="single" w:sz="4" w:space="0" w:color="FFFFFF" w:themeColor="background1"/>
              <w:bottom w:val="single" w:sz="4" w:space="0" w:color="auto"/>
              <w:right w:val="single" w:sz="8" w:space="0" w:color="auto"/>
            </w:tcBorders>
            <w:shd w:val="clear" w:color="auto" w:fill="auto"/>
            <w:vAlign w:val="center"/>
            <w:hideMark/>
          </w:tcPr>
          <w:p w14:paraId="7E1F362B"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413" w:type="pct"/>
            <w:tcBorders>
              <w:top w:val="nil"/>
              <w:left w:val="nil"/>
              <w:bottom w:val="single" w:sz="4" w:space="0" w:color="auto"/>
              <w:right w:val="single" w:sz="12" w:space="0" w:color="auto"/>
            </w:tcBorders>
            <w:shd w:val="clear" w:color="auto" w:fill="auto"/>
            <w:vAlign w:val="center"/>
            <w:hideMark/>
          </w:tcPr>
          <w:p w14:paraId="0E6E0B8E"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391" w:type="pct"/>
            <w:tcBorders>
              <w:top w:val="nil"/>
              <w:left w:val="single" w:sz="4" w:space="0" w:color="auto"/>
              <w:bottom w:val="single" w:sz="4" w:space="0" w:color="auto"/>
              <w:right w:val="double" w:sz="6" w:space="0" w:color="auto"/>
            </w:tcBorders>
            <w:shd w:val="clear" w:color="auto" w:fill="auto"/>
            <w:vAlign w:val="center"/>
            <w:hideMark/>
          </w:tcPr>
          <w:p w14:paraId="2EBE0AD9"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 </w:t>
            </w:r>
          </w:p>
        </w:tc>
      </w:tr>
      <w:tr w:rsidR="002410C0" w:rsidRPr="004A3C2D" w14:paraId="7BDD4EBA" w14:textId="77777777" w:rsidTr="003B2A78">
        <w:trPr>
          <w:trHeight w:val="346"/>
        </w:trPr>
        <w:tc>
          <w:tcPr>
            <w:tcW w:w="898" w:type="pct"/>
            <w:tcBorders>
              <w:top w:val="single" w:sz="4" w:space="0" w:color="auto"/>
              <w:left w:val="double" w:sz="6" w:space="0" w:color="auto"/>
              <w:bottom w:val="single" w:sz="4" w:space="0" w:color="000000" w:themeColor="text1"/>
              <w:right w:val="single" w:sz="4" w:space="0" w:color="FFFFFF" w:themeColor="background1"/>
            </w:tcBorders>
            <w:shd w:val="clear" w:color="auto" w:fill="auto"/>
            <w:tcMar>
              <w:left w:w="58" w:type="dxa"/>
              <w:right w:w="58" w:type="dxa"/>
            </w:tcMar>
            <w:vAlign w:val="center"/>
            <w:hideMark/>
          </w:tcPr>
          <w:p w14:paraId="2A285AF2" w14:textId="77777777" w:rsidR="002410C0" w:rsidRPr="004A3C2D" w:rsidRDefault="002410C0" w:rsidP="0076278B">
            <w:pPr>
              <w:rPr>
                <w:rFonts w:eastAsia="Times New Roman" w:cs="Times New Roman"/>
                <w:i/>
                <w:iCs/>
                <w:color w:val="000000"/>
                <w:sz w:val="20"/>
                <w:szCs w:val="20"/>
              </w:rPr>
            </w:pPr>
            <w:r w:rsidRPr="004A3C2D">
              <w:rPr>
                <w:rFonts w:eastAsia="Times New Roman" w:cs="Times New Roman"/>
                <w:i/>
                <w:iCs/>
                <w:color w:val="000000"/>
                <w:sz w:val="20"/>
                <w:szCs w:val="20"/>
              </w:rPr>
              <w:t>Socio-demographic</w:t>
            </w:r>
          </w:p>
        </w:tc>
        <w:tc>
          <w:tcPr>
            <w:tcW w:w="670"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auto"/>
            <w:tcMar>
              <w:left w:w="58" w:type="dxa"/>
              <w:right w:w="58" w:type="dxa"/>
            </w:tcMar>
            <w:vAlign w:val="center"/>
            <w:hideMark/>
          </w:tcPr>
          <w:p w14:paraId="6935CB55" w14:textId="77777777" w:rsidR="002410C0" w:rsidRPr="004A3C2D" w:rsidRDefault="002410C0" w:rsidP="0076278B">
            <w:pPr>
              <w:rPr>
                <w:rFonts w:eastAsia="Times New Roman" w:cs="Times New Roman"/>
                <w:i/>
                <w:iCs/>
                <w:color w:val="000000"/>
                <w:sz w:val="20"/>
                <w:szCs w:val="20"/>
              </w:rPr>
            </w:pPr>
          </w:p>
        </w:tc>
        <w:tc>
          <w:tcPr>
            <w:tcW w:w="787" w:type="pct"/>
            <w:tcBorders>
              <w:top w:val="single" w:sz="4" w:space="0" w:color="auto"/>
              <w:left w:val="single" w:sz="4" w:space="0" w:color="FFFFFF" w:themeColor="background1"/>
              <w:bottom w:val="single" w:sz="4" w:space="0" w:color="000000" w:themeColor="text1"/>
              <w:right w:val="single" w:sz="12" w:space="0" w:color="auto"/>
            </w:tcBorders>
            <w:shd w:val="clear" w:color="auto" w:fill="auto"/>
            <w:tcMar>
              <w:left w:w="58" w:type="dxa"/>
              <w:right w:w="58" w:type="dxa"/>
            </w:tcMar>
            <w:vAlign w:val="center"/>
            <w:hideMark/>
          </w:tcPr>
          <w:p w14:paraId="4FC6586A" w14:textId="77777777" w:rsidR="002410C0" w:rsidRPr="004A3C2D" w:rsidRDefault="002410C0" w:rsidP="0076278B">
            <w:pPr>
              <w:rPr>
                <w:rFonts w:eastAsia="Times New Roman" w:cs="Times New Roman"/>
                <w:sz w:val="20"/>
                <w:szCs w:val="20"/>
              </w:rPr>
            </w:pPr>
          </w:p>
        </w:tc>
        <w:tc>
          <w:tcPr>
            <w:tcW w:w="456" w:type="pct"/>
            <w:tcBorders>
              <w:top w:val="single" w:sz="4" w:space="0" w:color="auto"/>
              <w:left w:val="single" w:sz="12" w:space="0" w:color="auto"/>
              <w:bottom w:val="single" w:sz="4" w:space="0" w:color="000000" w:themeColor="text1"/>
              <w:right w:val="single" w:sz="4" w:space="0" w:color="FFFFFF" w:themeColor="background1"/>
            </w:tcBorders>
            <w:shd w:val="clear" w:color="auto" w:fill="auto"/>
            <w:vAlign w:val="center"/>
            <w:hideMark/>
          </w:tcPr>
          <w:p w14:paraId="073AC0DD"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483"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auto"/>
            <w:vAlign w:val="center"/>
            <w:hideMark/>
          </w:tcPr>
          <w:p w14:paraId="74059667"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456"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auto"/>
            <w:vAlign w:val="center"/>
            <w:hideMark/>
          </w:tcPr>
          <w:p w14:paraId="1567EF7F"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445" w:type="pct"/>
            <w:tcBorders>
              <w:top w:val="single" w:sz="4" w:space="0" w:color="auto"/>
              <w:left w:val="single" w:sz="4" w:space="0" w:color="FFFFFF" w:themeColor="background1"/>
              <w:bottom w:val="single" w:sz="4" w:space="0" w:color="000000" w:themeColor="text1"/>
              <w:right w:val="single" w:sz="8" w:space="0" w:color="auto"/>
            </w:tcBorders>
            <w:shd w:val="clear" w:color="auto" w:fill="auto"/>
            <w:vAlign w:val="center"/>
            <w:hideMark/>
          </w:tcPr>
          <w:p w14:paraId="4F5B9B33"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413" w:type="pct"/>
            <w:tcBorders>
              <w:top w:val="single" w:sz="4" w:space="0" w:color="auto"/>
              <w:left w:val="nil"/>
              <w:bottom w:val="single" w:sz="4" w:space="0" w:color="000000" w:themeColor="text1"/>
              <w:right w:val="single" w:sz="12" w:space="0" w:color="auto"/>
            </w:tcBorders>
            <w:shd w:val="clear" w:color="auto" w:fill="auto"/>
            <w:vAlign w:val="center"/>
            <w:hideMark/>
          </w:tcPr>
          <w:p w14:paraId="085DD8FC"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391" w:type="pct"/>
            <w:tcBorders>
              <w:top w:val="single" w:sz="4" w:space="0" w:color="auto"/>
              <w:left w:val="single" w:sz="4" w:space="0" w:color="auto"/>
              <w:bottom w:val="single" w:sz="4" w:space="0" w:color="000000" w:themeColor="text1"/>
              <w:right w:val="double" w:sz="6" w:space="0" w:color="auto"/>
            </w:tcBorders>
            <w:shd w:val="clear" w:color="auto" w:fill="auto"/>
            <w:vAlign w:val="center"/>
            <w:hideMark/>
          </w:tcPr>
          <w:p w14:paraId="1359ECC7"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 </w:t>
            </w:r>
          </w:p>
        </w:tc>
      </w:tr>
      <w:tr w:rsidR="002410C0" w:rsidRPr="004A3C2D" w14:paraId="70E8FC7E" w14:textId="77777777" w:rsidTr="003B2A78">
        <w:trPr>
          <w:trHeight w:val="346"/>
        </w:trPr>
        <w:tc>
          <w:tcPr>
            <w:tcW w:w="898" w:type="pct"/>
            <w:tcBorders>
              <w:top w:val="single" w:sz="4" w:space="0" w:color="000000" w:themeColor="text1"/>
              <w:left w:val="double" w:sz="6" w:space="0" w:color="auto"/>
              <w:bottom w:val="single" w:sz="4" w:space="0" w:color="A5A5A5" w:themeColor="accent3"/>
              <w:right w:val="single" w:sz="4" w:space="0" w:color="auto"/>
            </w:tcBorders>
            <w:shd w:val="clear" w:color="auto" w:fill="auto"/>
            <w:tcMar>
              <w:left w:w="58" w:type="dxa"/>
              <w:right w:w="58" w:type="dxa"/>
            </w:tcMar>
            <w:vAlign w:val="center"/>
            <w:hideMark/>
          </w:tcPr>
          <w:p w14:paraId="74223DDD"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Gender</w:t>
            </w:r>
          </w:p>
        </w:tc>
        <w:tc>
          <w:tcPr>
            <w:tcW w:w="670" w:type="pct"/>
            <w:tcBorders>
              <w:top w:val="single" w:sz="4" w:space="0" w:color="000000" w:themeColor="text1"/>
              <w:left w:val="single" w:sz="4" w:space="0" w:color="auto"/>
              <w:bottom w:val="single" w:sz="4" w:space="0" w:color="A5A5A5" w:themeColor="accent3"/>
              <w:right w:val="single" w:sz="4" w:space="0" w:color="A5A5A5" w:themeColor="accent3"/>
            </w:tcBorders>
            <w:shd w:val="clear" w:color="auto" w:fill="auto"/>
            <w:tcMar>
              <w:left w:w="58" w:type="dxa"/>
              <w:right w:w="58" w:type="dxa"/>
            </w:tcMar>
            <w:vAlign w:val="center"/>
            <w:hideMark/>
          </w:tcPr>
          <w:p w14:paraId="60AC30B5"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Male</w:t>
            </w:r>
          </w:p>
        </w:tc>
        <w:tc>
          <w:tcPr>
            <w:tcW w:w="787" w:type="pct"/>
            <w:tcBorders>
              <w:top w:val="single" w:sz="4" w:space="0" w:color="000000" w:themeColor="text1"/>
              <w:left w:val="single" w:sz="4" w:space="0" w:color="A5A5A5" w:themeColor="accent3"/>
              <w:bottom w:val="single" w:sz="4" w:space="0" w:color="A5A5A5" w:themeColor="accent3"/>
              <w:right w:val="single" w:sz="12" w:space="0" w:color="auto"/>
            </w:tcBorders>
            <w:shd w:val="clear" w:color="auto" w:fill="auto"/>
            <w:tcMar>
              <w:left w:w="58" w:type="dxa"/>
              <w:right w:w="58" w:type="dxa"/>
            </w:tcMar>
            <w:vAlign w:val="center"/>
            <w:hideMark/>
          </w:tcPr>
          <w:p w14:paraId="48D57F79"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Female</w:t>
            </w:r>
          </w:p>
        </w:tc>
        <w:tc>
          <w:tcPr>
            <w:tcW w:w="456" w:type="pct"/>
            <w:tcBorders>
              <w:top w:val="single" w:sz="4" w:space="0" w:color="000000" w:themeColor="text1"/>
              <w:left w:val="single" w:sz="12" w:space="0" w:color="auto"/>
              <w:bottom w:val="single" w:sz="4" w:space="0" w:color="A5A5A5" w:themeColor="accent3"/>
              <w:right w:val="single" w:sz="4" w:space="0" w:color="A5A5A5" w:themeColor="accent3"/>
            </w:tcBorders>
            <w:shd w:val="clear" w:color="auto" w:fill="auto"/>
            <w:vAlign w:val="center"/>
            <w:hideMark/>
          </w:tcPr>
          <w:p w14:paraId="41881821" w14:textId="77777777" w:rsidR="002410C0" w:rsidRPr="004A3C2D" w:rsidRDefault="002410C0" w:rsidP="0076278B">
            <w:pPr>
              <w:jc w:val="right"/>
              <w:rPr>
                <w:rFonts w:eastAsia="Times New Roman" w:cs="Times New Roman"/>
                <w:color w:val="000000"/>
                <w:sz w:val="20"/>
                <w:szCs w:val="20"/>
              </w:rPr>
            </w:pPr>
            <w:r>
              <w:rPr>
                <w:color w:val="000000"/>
                <w:sz w:val="20"/>
                <w:szCs w:val="20"/>
              </w:rPr>
              <w:t>-32</w:t>
            </w:r>
          </w:p>
        </w:tc>
        <w:tc>
          <w:tcPr>
            <w:tcW w:w="483" w:type="pct"/>
            <w:tcBorders>
              <w:top w:val="single" w:sz="4" w:space="0" w:color="000000" w:themeColor="text1"/>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1D12754B" w14:textId="77777777" w:rsidR="002410C0" w:rsidRPr="004A3C2D" w:rsidRDefault="002410C0" w:rsidP="0076278B">
            <w:pPr>
              <w:jc w:val="right"/>
              <w:rPr>
                <w:rFonts w:eastAsia="Times New Roman" w:cs="Times New Roman"/>
                <w:color w:val="000000"/>
                <w:sz w:val="20"/>
                <w:szCs w:val="20"/>
              </w:rPr>
            </w:pPr>
            <w:r>
              <w:rPr>
                <w:color w:val="000000"/>
                <w:sz w:val="20"/>
                <w:szCs w:val="20"/>
              </w:rPr>
              <w:t>5</w:t>
            </w:r>
          </w:p>
        </w:tc>
        <w:tc>
          <w:tcPr>
            <w:tcW w:w="456" w:type="pct"/>
            <w:tcBorders>
              <w:top w:val="single" w:sz="4" w:space="0" w:color="000000" w:themeColor="text1"/>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682A86C6" w14:textId="77777777" w:rsidR="002410C0" w:rsidRPr="004A3C2D" w:rsidRDefault="002410C0" w:rsidP="0076278B">
            <w:pPr>
              <w:jc w:val="right"/>
              <w:rPr>
                <w:rFonts w:eastAsia="Times New Roman" w:cs="Times New Roman"/>
                <w:color w:val="000000"/>
                <w:sz w:val="20"/>
                <w:szCs w:val="20"/>
              </w:rPr>
            </w:pPr>
            <w:r>
              <w:rPr>
                <w:color w:val="000000"/>
                <w:sz w:val="20"/>
                <w:szCs w:val="20"/>
              </w:rPr>
              <w:t>-51</w:t>
            </w:r>
          </w:p>
        </w:tc>
        <w:tc>
          <w:tcPr>
            <w:tcW w:w="445" w:type="pct"/>
            <w:tcBorders>
              <w:top w:val="single" w:sz="4" w:space="0" w:color="000000" w:themeColor="text1"/>
              <w:left w:val="single" w:sz="4" w:space="0" w:color="A5A5A5" w:themeColor="accent3"/>
              <w:bottom w:val="single" w:sz="4" w:space="0" w:color="A5A5A5" w:themeColor="accent3"/>
              <w:right w:val="single" w:sz="8" w:space="0" w:color="auto"/>
            </w:tcBorders>
            <w:shd w:val="clear" w:color="auto" w:fill="auto"/>
            <w:vAlign w:val="center"/>
            <w:hideMark/>
          </w:tcPr>
          <w:p w14:paraId="4281538A" w14:textId="77777777" w:rsidR="002410C0" w:rsidRPr="004A3C2D" w:rsidRDefault="002410C0" w:rsidP="0076278B">
            <w:pPr>
              <w:jc w:val="right"/>
              <w:rPr>
                <w:rFonts w:eastAsia="Times New Roman" w:cs="Times New Roman"/>
                <w:color w:val="000000"/>
                <w:sz w:val="20"/>
                <w:szCs w:val="20"/>
              </w:rPr>
            </w:pPr>
            <w:r>
              <w:rPr>
                <w:color w:val="000000"/>
                <w:sz w:val="20"/>
                <w:szCs w:val="20"/>
              </w:rPr>
              <w:t>-12</w:t>
            </w:r>
          </w:p>
        </w:tc>
        <w:tc>
          <w:tcPr>
            <w:tcW w:w="413" w:type="pct"/>
            <w:tcBorders>
              <w:top w:val="single" w:sz="4" w:space="0" w:color="000000" w:themeColor="text1"/>
              <w:left w:val="nil"/>
              <w:bottom w:val="single" w:sz="4" w:space="0" w:color="A5A5A5" w:themeColor="accent3"/>
              <w:right w:val="single" w:sz="12" w:space="0" w:color="auto"/>
            </w:tcBorders>
            <w:shd w:val="clear" w:color="auto" w:fill="auto"/>
            <w:vAlign w:val="center"/>
            <w:hideMark/>
          </w:tcPr>
          <w:p w14:paraId="766EA767" w14:textId="77777777" w:rsidR="002410C0" w:rsidRPr="004A3C2D" w:rsidRDefault="002410C0" w:rsidP="0076278B">
            <w:pPr>
              <w:jc w:val="right"/>
              <w:rPr>
                <w:rFonts w:eastAsia="Times New Roman" w:cs="Times New Roman"/>
                <w:color w:val="000000"/>
                <w:sz w:val="20"/>
                <w:szCs w:val="20"/>
              </w:rPr>
            </w:pPr>
            <w:r>
              <w:rPr>
                <w:color w:val="000000"/>
                <w:sz w:val="20"/>
                <w:szCs w:val="20"/>
              </w:rPr>
              <w:t>0</w:t>
            </w:r>
          </w:p>
        </w:tc>
        <w:tc>
          <w:tcPr>
            <w:tcW w:w="391" w:type="pct"/>
            <w:tcBorders>
              <w:top w:val="single" w:sz="4" w:space="0" w:color="000000" w:themeColor="text1"/>
              <w:left w:val="single" w:sz="4" w:space="0" w:color="auto"/>
              <w:bottom w:val="single" w:sz="4" w:space="0" w:color="A5A5A5" w:themeColor="accent3"/>
              <w:right w:val="double" w:sz="6" w:space="0" w:color="auto"/>
            </w:tcBorders>
            <w:shd w:val="clear" w:color="auto" w:fill="auto"/>
            <w:vAlign w:val="center"/>
          </w:tcPr>
          <w:p w14:paraId="0E190532"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-0.0570</w:t>
            </w:r>
          </w:p>
        </w:tc>
      </w:tr>
      <w:tr w:rsidR="002410C0" w:rsidRPr="004A3C2D" w14:paraId="18A4899A" w14:textId="77777777" w:rsidTr="003B2A78">
        <w:trPr>
          <w:trHeight w:val="346"/>
        </w:trPr>
        <w:tc>
          <w:tcPr>
            <w:tcW w:w="898" w:type="pct"/>
            <w:tcBorders>
              <w:top w:val="single" w:sz="4" w:space="0" w:color="A5A5A5" w:themeColor="accent3"/>
              <w:left w:val="double" w:sz="6" w:space="0" w:color="auto"/>
              <w:bottom w:val="single" w:sz="4" w:space="0" w:color="A5A5A5" w:themeColor="accent3"/>
              <w:right w:val="single" w:sz="4" w:space="0" w:color="auto"/>
            </w:tcBorders>
            <w:shd w:val="clear" w:color="auto" w:fill="auto"/>
            <w:tcMar>
              <w:left w:w="58" w:type="dxa"/>
              <w:right w:w="58" w:type="dxa"/>
            </w:tcMar>
            <w:vAlign w:val="center"/>
          </w:tcPr>
          <w:p w14:paraId="352B69DB"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Age</w:t>
            </w:r>
          </w:p>
        </w:tc>
        <w:tc>
          <w:tcPr>
            <w:tcW w:w="670" w:type="pct"/>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Mar>
              <w:left w:w="58" w:type="dxa"/>
              <w:right w:w="58" w:type="dxa"/>
            </w:tcMar>
            <w:vAlign w:val="center"/>
          </w:tcPr>
          <w:p w14:paraId="5D88C89B"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&lt;30</w:t>
            </w:r>
          </w:p>
        </w:tc>
        <w:tc>
          <w:tcPr>
            <w:tcW w:w="787" w:type="pct"/>
            <w:tcBorders>
              <w:top w:val="single" w:sz="4" w:space="0" w:color="A5A5A5" w:themeColor="accent3"/>
              <w:left w:val="single" w:sz="4" w:space="0" w:color="A5A5A5" w:themeColor="accent3"/>
              <w:bottom w:val="single" w:sz="4" w:space="0" w:color="A5A5A5" w:themeColor="accent3"/>
              <w:right w:val="single" w:sz="12" w:space="0" w:color="auto"/>
            </w:tcBorders>
            <w:shd w:val="clear" w:color="auto" w:fill="auto"/>
            <w:tcMar>
              <w:left w:w="58" w:type="dxa"/>
              <w:right w:w="58" w:type="dxa"/>
            </w:tcMar>
            <w:vAlign w:val="center"/>
          </w:tcPr>
          <w:p w14:paraId="6384B82D"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u w:val="single"/>
              </w:rPr>
              <w:t xml:space="preserve">&gt; </w:t>
            </w:r>
            <w:r w:rsidRPr="004A3C2D">
              <w:rPr>
                <w:rFonts w:eastAsia="Times New Roman" w:cs="Times New Roman"/>
                <w:color w:val="000000"/>
                <w:sz w:val="20"/>
                <w:szCs w:val="20"/>
              </w:rPr>
              <w:t>64</w:t>
            </w:r>
          </w:p>
        </w:tc>
        <w:tc>
          <w:tcPr>
            <w:tcW w:w="456" w:type="pct"/>
            <w:tcBorders>
              <w:top w:val="single" w:sz="4" w:space="0" w:color="A5A5A5" w:themeColor="accent3"/>
              <w:left w:val="single" w:sz="12" w:space="0" w:color="auto"/>
              <w:bottom w:val="single" w:sz="4" w:space="0" w:color="A5A5A5" w:themeColor="accent3"/>
              <w:right w:val="single" w:sz="4" w:space="0" w:color="A5A5A5" w:themeColor="accent3"/>
            </w:tcBorders>
            <w:shd w:val="clear" w:color="auto" w:fill="auto"/>
            <w:vAlign w:val="center"/>
          </w:tcPr>
          <w:p w14:paraId="759A7654" w14:textId="77777777" w:rsidR="002410C0" w:rsidRDefault="002410C0" w:rsidP="0076278B">
            <w:pPr>
              <w:jc w:val="right"/>
              <w:rPr>
                <w:color w:val="000000"/>
                <w:sz w:val="20"/>
                <w:szCs w:val="20"/>
              </w:rPr>
            </w:pPr>
            <w:r>
              <w:rPr>
                <w:color w:val="000000"/>
                <w:sz w:val="20"/>
                <w:szCs w:val="20"/>
              </w:rPr>
              <w:t>-20</w:t>
            </w:r>
          </w:p>
        </w:tc>
        <w:tc>
          <w:tcPr>
            <w:tcW w:w="483"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tcPr>
          <w:p w14:paraId="41BA6881" w14:textId="77777777" w:rsidR="002410C0" w:rsidRDefault="002410C0" w:rsidP="0076278B">
            <w:pPr>
              <w:jc w:val="right"/>
              <w:rPr>
                <w:color w:val="000000"/>
                <w:sz w:val="20"/>
                <w:szCs w:val="20"/>
              </w:rPr>
            </w:pPr>
            <w:r>
              <w:rPr>
                <w:color w:val="000000"/>
                <w:sz w:val="20"/>
                <w:szCs w:val="20"/>
              </w:rPr>
              <w:t>4</w:t>
            </w:r>
          </w:p>
        </w:tc>
        <w:tc>
          <w:tcPr>
            <w:tcW w:w="456"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tcPr>
          <w:p w14:paraId="2747FD99" w14:textId="77777777" w:rsidR="002410C0" w:rsidRDefault="002410C0" w:rsidP="0076278B">
            <w:pPr>
              <w:jc w:val="right"/>
              <w:rPr>
                <w:color w:val="000000"/>
                <w:sz w:val="20"/>
                <w:szCs w:val="20"/>
              </w:rPr>
            </w:pPr>
            <w:r>
              <w:rPr>
                <w:color w:val="000000"/>
                <w:sz w:val="20"/>
                <w:szCs w:val="20"/>
              </w:rPr>
              <w:t>-8</w:t>
            </w:r>
          </w:p>
        </w:tc>
        <w:tc>
          <w:tcPr>
            <w:tcW w:w="445" w:type="pct"/>
            <w:tcBorders>
              <w:top w:val="single" w:sz="4" w:space="0" w:color="A5A5A5" w:themeColor="accent3"/>
              <w:left w:val="single" w:sz="4" w:space="0" w:color="A5A5A5" w:themeColor="accent3"/>
              <w:bottom w:val="single" w:sz="4" w:space="0" w:color="A5A5A5" w:themeColor="accent3"/>
              <w:right w:val="single" w:sz="8" w:space="0" w:color="auto"/>
            </w:tcBorders>
            <w:shd w:val="clear" w:color="auto" w:fill="auto"/>
            <w:vAlign w:val="center"/>
          </w:tcPr>
          <w:p w14:paraId="0FD89D2B" w14:textId="77777777" w:rsidR="002410C0" w:rsidRDefault="002410C0" w:rsidP="0076278B">
            <w:pPr>
              <w:jc w:val="right"/>
              <w:rPr>
                <w:color w:val="000000"/>
                <w:sz w:val="20"/>
                <w:szCs w:val="20"/>
              </w:rPr>
            </w:pPr>
            <w:r>
              <w:rPr>
                <w:color w:val="000000"/>
                <w:sz w:val="20"/>
                <w:szCs w:val="20"/>
              </w:rPr>
              <w:t>-7</w:t>
            </w:r>
          </w:p>
        </w:tc>
        <w:tc>
          <w:tcPr>
            <w:tcW w:w="413" w:type="pct"/>
            <w:tcBorders>
              <w:top w:val="single" w:sz="4" w:space="0" w:color="A5A5A5" w:themeColor="accent3"/>
              <w:left w:val="nil"/>
              <w:bottom w:val="single" w:sz="4" w:space="0" w:color="A5A5A5" w:themeColor="accent3"/>
              <w:right w:val="single" w:sz="12" w:space="0" w:color="auto"/>
            </w:tcBorders>
            <w:shd w:val="clear" w:color="auto" w:fill="auto"/>
            <w:vAlign w:val="center"/>
          </w:tcPr>
          <w:p w14:paraId="04123226" w14:textId="77777777" w:rsidR="002410C0" w:rsidRDefault="002410C0" w:rsidP="0076278B">
            <w:pPr>
              <w:jc w:val="right"/>
              <w:rPr>
                <w:color w:val="000000"/>
                <w:sz w:val="20"/>
                <w:szCs w:val="20"/>
              </w:rPr>
            </w:pPr>
            <w:r>
              <w:rPr>
                <w:color w:val="000000"/>
                <w:sz w:val="20"/>
                <w:szCs w:val="20"/>
              </w:rPr>
              <w:t>-61</w:t>
            </w:r>
          </w:p>
        </w:tc>
        <w:tc>
          <w:tcPr>
            <w:tcW w:w="391" w:type="pct"/>
            <w:tcBorders>
              <w:top w:val="single" w:sz="4" w:space="0" w:color="A5A5A5" w:themeColor="accent3"/>
              <w:left w:val="single" w:sz="4" w:space="0" w:color="auto"/>
              <w:bottom w:val="single" w:sz="4" w:space="0" w:color="A5A5A5" w:themeColor="accent3"/>
              <w:right w:val="double" w:sz="6" w:space="0" w:color="auto"/>
            </w:tcBorders>
            <w:shd w:val="clear" w:color="auto" w:fill="auto"/>
            <w:vAlign w:val="center"/>
          </w:tcPr>
          <w:p w14:paraId="491A7FC5"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-0.2191</w:t>
            </w:r>
          </w:p>
        </w:tc>
      </w:tr>
      <w:tr w:rsidR="002410C0" w:rsidRPr="004A3C2D" w14:paraId="63F68D01" w14:textId="77777777" w:rsidTr="003B2A78">
        <w:trPr>
          <w:trHeight w:val="346"/>
        </w:trPr>
        <w:tc>
          <w:tcPr>
            <w:tcW w:w="898" w:type="pct"/>
            <w:tcBorders>
              <w:top w:val="single" w:sz="4" w:space="0" w:color="A5A5A5" w:themeColor="accent3"/>
              <w:left w:val="double" w:sz="6" w:space="0" w:color="auto"/>
              <w:bottom w:val="single" w:sz="4" w:space="0" w:color="A5A5A5" w:themeColor="accent3"/>
              <w:right w:val="single" w:sz="4" w:space="0" w:color="auto"/>
            </w:tcBorders>
            <w:shd w:val="clear" w:color="auto" w:fill="auto"/>
            <w:tcMar>
              <w:left w:w="58" w:type="dxa"/>
              <w:right w:w="58" w:type="dxa"/>
            </w:tcMar>
            <w:vAlign w:val="center"/>
            <w:hideMark/>
          </w:tcPr>
          <w:p w14:paraId="7B3F9509"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Employment Status</w:t>
            </w:r>
          </w:p>
        </w:tc>
        <w:tc>
          <w:tcPr>
            <w:tcW w:w="670" w:type="pct"/>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Mar>
              <w:left w:w="58" w:type="dxa"/>
              <w:right w:w="58" w:type="dxa"/>
            </w:tcMar>
            <w:vAlign w:val="center"/>
            <w:hideMark/>
          </w:tcPr>
          <w:p w14:paraId="51456E08"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Unemployed</w:t>
            </w:r>
          </w:p>
        </w:tc>
        <w:tc>
          <w:tcPr>
            <w:tcW w:w="787" w:type="pct"/>
            <w:tcBorders>
              <w:top w:val="single" w:sz="4" w:space="0" w:color="A5A5A5" w:themeColor="accent3"/>
              <w:left w:val="single" w:sz="4" w:space="0" w:color="A5A5A5" w:themeColor="accent3"/>
              <w:bottom w:val="single" w:sz="4" w:space="0" w:color="A5A5A5" w:themeColor="accent3"/>
              <w:right w:val="single" w:sz="12" w:space="0" w:color="auto"/>
            </w:tcBorders>
            <w:shd w:val="clear" w:color="auto" w:fill="auto"/>
            <w:tcMar>
              <w:left w:w="58" w:type="dxa"/>
              <w:right w:w="58" w:type="dxa"/>
            </w:tcMar>
            <w:vAlign w:val="center"/>
            <w:hideMark/>
          </w:tcPr>
          <w:p w14:paraId="6F9B1B2B"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Employed</w:t>
            </w:r>
          </w:p>
        </w:tc>
        <w:tc>
          <w:tcPr>
            <w:tcW w:w="456" w:type="pct"/>
            <w:tcBorders>
              <w:top w:val="single" w:sz="4" w:space="0" w:color="A5A5A5" w:themeColor="accent3"/>
              <w:left w:val="single" w:sz="12" w:space="0" w:color="auto"/>
              <w:bottom w:val="single" w:sz="4" w:space="0" w:color="A5A5A5" w:themeColor="accent3"/>
              <w:right w:val="single" w:sz="4" w:space="0" w:color="A5A5A5" w:themeColor="accent3"/>
            </w:tcBorders>
            <w:shd w:val="clear" w:color="auto" w:fill="auto"/>
            <w:vAlign w:val="center"/>
            <w:hideMark/>
          </w:tcPr>
          <w:p w14:paraId="2C6E40E6" w14:textId="77777777" w:rsidR="002410C0" w:rsidRPr="004A3C2D" w:rsidRDefault="002410C0" w:rsidP="0076278B">
            <w:pPr>
              <w:jc w:val="right"/>
              <w:rPr>
                <w:rFonts w:eastAsia="Times New Roman" w:cs="Times New Roman"/>
                <w:color w:val="000000"/>
                <w:sz w:val="20"/>
                <w:szCs w:val="20"/>
              </w:rPr>
            </w:pPr>
            <w:r>
              <w:rPr>
                <w:color w:val="000000"/>
                <w:sz w:val="20"/>
                <w:szCs w:val="20"/>
              </w:rPr>
              <w:t>0</w:t>
            </w:r>
          </w:p>
        </w:tc>
        <w:tc>
          <w:tcPr>
            <w:tcW w:w="483"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1CBC9033" w14:textId="77777777" w:rsidR="002410C0" w:rsidRPr="004A3C2D" w:rsidRDefault="002410C0" w:rsidP="0076278B">
            <w:pPr>
              <w:jc w:val="right"/>
              <w:rPr>
                <w:rFonts w:eastAsia="Times New Roman" w:cs="Times New Roman"/>
                <w:color w:val="000000"/>
                <w:sz w:val="20"/>
                <w:szCs w:val="20"/>
              </w:rPr>
            </w:pPr>
            <w:r>
              <w:rPr>
                <w:color w:val="000000"/>
                <w:sz w:val="20"/>
                <w:szCs w:val="20"/>
              </w:rPr>
              <w:t>0</w:t>
            </w:r>
          </w:p>
        </w:tc>
        <w:tc>
          <w:tcPr>
            <w:tcW w:w="456"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08F4A370" w14:textId="77777777" w:rsidR="002410C0" w:rsidRPr="004A3C2D" w:rsidRDefault="002410C0" w:rsidP="0076278B">
            <w:pPr>
              <w:jc w:val="right"/>
              <w:rPr>
                <w:rFonts w:eastAsia="Times New Roman" w:cs="Times New Roman"/>
                <w:color w:val="000000"/>
                <w:sz w:val="20"/>
                <w:szCs w:val="20"/>
              </w:rPr>
            </w:pPr>
            <w:r>
              <w:rPr>
                <w:color w:val="000000"/>
                <w:sz w:val="20"/>
                <w:szCs w:val="20"/>
              </w:rPr>
              <w:t>100</w:t>
            </w:r>
          </w:p>
        </w:tc>
        <w:tc>
          <w:tcPr>
            <w:tcW w:w="445" w:type="pct"/>
            <w:tcBorders>
              <w:top w:val="single" w:sz="4" w:space="0" w:color="A5A5A5" w:themeColor="accent3"/>
              <w:left w:val="single" w:sz="4" w:space="0" w:color="A5A5A5" w:themeColor="accent3"/>
              <w:bottom w:val="single" w:sz="4" w:space="0" w:color="A5A5A5" w:themeColor="accent3"/>
              <w:right w:val="single" w:sz="8" w:space="0" w:color="auto"/>
            </w:tcBorders>
            <w:shd w:val="clear" w:color="auto" w:fill="auto"/>
            <w:vAlign w:val="center"/>
            <w:hideMark/>
          </w:tcPr>
          <w:p w14:paraId="2C2EA7ED" w14:textId="77777777" w:rsidR="002410C0" w:rsidRPr="004A3C2D" w:rsidRDefault="002410C0" w:rsidP="0076278B">
            <w:pPr>
              <w:jc w:val="right"/>
              <w:rPr>
                <w:rFonts w:eastAsia="Times New Roman" w:cs="Times New Roman"/>
                <w:color w:val="000000"/>
                <w:sz w:val="20"/>
                <w:szCs w:val="20"/>
              </w:rPr>
            </w:pPr>
            <w:r>
              <w:rPr>
                <w:color w:val="000000"/>
                <w:sz w:val="20"/>
                <w:szCs w:val="20"/>
              </w:rPr>
              <w:t>0</w:t>
            </w:r>
          </w:p>
        </w:tc>
        <w:tc>
          <w:tcPr>
            <w:tcW w:w="413" w:type="pct"/>
            <w:tcBorders>
              <w:top w:val="single" w:sz="4" w:space="0" w:color="A5A5A5" w:themeColor="accent3"/>
              <w:left w:val="nil"/>
              <w:bottom w:val="single" w:sz="4" w:space="0" w:color="A5A5A5" w:themeColor="accent3"/>
              <w:right w:val="single" w:sz="12" w:space="0" w:color="auto"/>
            </w:tcBorders>
            <w:shd w:val="clear" w:color="auto" w:fill="auto"/>
            <w:vAlign w:val="center"/>
            <w:hideMark/>
          </w:tcPr>
          <w:p w14:paraId="14ECF755" w14:textId="77777777" w:rsidR="002410C0" w:rsidRPr="004A3C2D" w:rsidRDefault="002410C0" w:rsidP="0076278B">
            <w:pPr>
              <w:jc w:val="right"/>
              <w:rPr>
                <w:rFonts w:eastAsia="Times New Roman" w:cs="Times New Roman"/>
                <w:color w:val="000000"/>
                <w:sz w:val="20"/>
                <w:szCs w:val="20"/>
              </w:rPr>
            </w:pPr>
            <w:r>
              <w:rPr>
                <w:color w:val="000000"/>
                <w:sz w:val="20"/>
                <w:szCs w:val="20"/>
              </w:rPr>
              <w:t>0</w:t>
            </w:r>
          </w:p>
        </w:tc>
        <w:tc>
          <w:tcPr>
            <w:tcW w:w="391" w:type="pct"/>
            <w:tcBorders>
              <w:top w:val="single" w:sz="4" w:space="0" w:color="A5A5A5" w:themeColor="accent3"/>
              <w:left w:val="single" w:sz="4" w:space="0" w:color="auto"/>
              <w:bottom w:val="single" w:sz="4" w:space="0" w:color="A5A5A5" w:themeColor="accent3"/>
              <w:right w:val="double" w:sz="6" w:space="0" w:color="auto"/>
            </w:tcBorders>
            <w:shd w:val="clear" w:color="auto" w:fill="auto"/>
            <w:vAlign w:val="center"/>
          </w:tcPr>
          <w:p w14:paraId="61D92F40"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0.0012</w:t>
            </w:r>
          </w:p>
        </w:tc>
      </w:tr>
      <w:tr w:rsidR="002410C0" w:rsidRPr="004A3C2D" w14:paraId="73A7AD00" w14:textId="77777777" w:rsidTr="003B2A78">
        <w:trPr>
          <w:trHeight w:val="346"/>
        </w:trPr>
        <w:tc>
          <w:tcPr>
            <w:tcW w:w="898" w:type="pct"/>
            <w:tcBorders>
              <w:top w:val="single" w:sz="4" w:space="0" w:color="A5A5A5" w:themeColor="accent3"/>
              <w:left w:val="double" w:sz="6" w:space="0" w:color="auto"/>
              <w:bottom w:val="single" w:sz="4" w:space="0" w:color="A5A5A5" w:themeColor="accent3"/>
              <w:right w:val="single" w:sz="4" w:space="0" w:color="auto"/>
            </w:tcBorders>
            <w:shd w:val="clear" w:color="auto" w:fill="auto"/>
            <w:tcMar>
              <w:left w:w="58" w:type="dxa"/>
              <w:right w:w="58" w:type="dxa"/>
            </w:tcMar>
            <w:vAlign w:val="center"/>
          </w:tcPr>
          <w:p w14:paraId="048C48A4"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Education</w:t>
            </w:r>
          </w:p>
        </w:tc>
        <w:tc>
          <w:tcPr>
            <w:tcW w:w="670" w:type="pct"/>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Mar>
              <w:left w:w="58" w:type="dxa"/>
              <w:right w:w="58" w:type="dxa"/>
            </w:tcMar>
            <w:vAlign w:val="center"/>
          </w:tcPr>
          <w:p w14:paraId="14CB76ED"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High school or less</w:t>
            </w:r>
          </w:p>
        </w:tc>
        <w:tc>
          <w:tcPr>
            <w:tcW w:w="787" w:type="pct"/>
            <w:tcBorders>
              <w:top w:val="single" w:sz="4" w:space="0" w:color="A5A5A5" w:themeColor="accent3"/>
              <w:left w:val="single" w:sz="4" w:space="0" w:color="A5A5A5" w:themeColor="accent3"/>
              <w:bottom w:val="single" w:sz="4" w:space="0" w:color="A5A5A5" w:themeColor="accent3"/>
              <w:right w:val="single" w:sz="12" w:space="0" w:color="auto"/>
            </w:tcBorders>
            <w:shd w:val="clear" w:color="auto" w:fill="auto"/>
            <w:tcMar>
              <w:left w:w="58" w:type="dxa"/>
              <w:right w:w="58" w:type="dxa"/>
            </w:tcMar>
            <w:vAlign w:val="center"/>
          </w:tcPr>
          <w:p w14:paraId="5C9E102D"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Higher than high school</w:t>
            </w:r>
          </w:p>
        </w:tc>
        <w:tc>
          <w:tcPr>
            <w:tcW w:w="456" w:type="pct"/>
            <w:tcBorders>
              <w:top w:val="single" w:sz="4" w:space="0" w:color="A5A5A5" w:themeColor="accent3"/>
              <w:left w:val="single" w:sz="12" w:space="0" w:color="auto"/>
              <w:bottom w:val="single" w:sz="4" w:space="0" w:color="A5A5A5" w:themeColor="accent3"/>
              <w:right w:val="single" w:sz="4" w:space="0" w:color="A5A5A5" w:themeColor="accent3"/>
            </w:tcBorders>
            <w:shd w:val="clear" w:color="auto" w:fill="auto"/>
            <w:vAlign w:val="center"/>
          </w:tcPr>
          <w:p w14:paraId="36DF8363" w14:textId="77777777" w:rsidR="002410C0" w:rsidRDefault="002410C0" w:rsidP="0076278B">
            <w:pPr>
              <w:jc w:val="right"/>
              <w:rPr>
                <w:color w:val="000000"/>
                <w:sz w:val="20"/>
                <w:szCs w:val="20"/>
              </w:rPr>
            </w:pPr>
            <w:r>
              <w:rPr>
                <w:color w:val="000000"/>
                <w:sz w:val="20"/>
                <w:szCs w:val="20"/>
              </w:rPr>
              <w:t>79</w:t>
            </w:r>
          </w:p>
        </w:tc>
        <w:tc>
          <w:tcPr>
            <w:tcW w:w="483"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tcPr>
          <w:p w14:paraId="37C03C2A" w14:textId="77777777" w:rsidR="002410C0" w:rsidRDefault="002410C0" w:rsidP="0076278B">
            <w:pPr>
              <w:jc w:val="right"/>
              <w:rPr>
                <w:color w:val="000000"/>
                <w:sz w:val="20"/>
                <w:szCs w:val="20"/>
              </w:rPr>
            </w:pPr>
            <w:r>
              <w:rPr>
                <w:color w:val="000000"/>
                <w:sz w:val="20"/>
                <w:szCs w:val="20"/>
              </w:rPr>
              <w:t>0</w:t>
            </w:r>
          </w:p>
        </w:tc>
        <w:tc>
          <w:tcPr>
            <w:tcW w:w="456"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tcPr>
          <w:p w14:paraId="64D0F0DF" w14:textId="77777777" w:rsidR="002410C0" w:rsidRDefault="002410C0" w:rsidP="0076278B">
            <w:pPr>
              <w:jc w:val="right"/>
              <w:rPr>
                <w:color w:val="000000"/>
                <w:sz w:val="20"/>
                <w:szCs w:val="20"/>
              </w:rPr>
            </w:pPr>
            <w:r>
              <w:rPr>
                <w:color w:val="000000"/>
                <w:sz w:val="20"/>
                <w:szCs w:val="20"/>
              </w:rPr>
              <w:t>0</w:t>
            </w:r>
          </w:p>
        </w:tc>
        <w:tc>
          <w:tcPr>
            <w:tcW w:w="445" w:type="pct"/>
            <w:tcBorders>
              <w:top w:val="single" w:sz="4" w:space="0" w:color="A5A5A5" w:themeColor="accent3"/>
              <w:left w:val="single" w:sz="4" w:space="0" w:color="A5A5A5" w:themeColor="accent3"/>
              <w:bottom w:val="single" w:sz="4" w:space="0" w:color="A5A5A5" w:themeColor="accent3"/>
              <w:right w:val="single" w:sz="8" w:space="0" w:color="auto"/>
            </w:tcBorders>
            <w:shd w:val="clear" w:color="auto" w:fill="auto"/>
            <w:vAlign w:val="center"/>
          </w:tcPr>
          <w:p w14:paraId="3EB57E24" w14:textId="77777777" w:rsidR="002410C0" w:rsidRDefault="002410C0" w:rsidP="0076278B">
            <w:pPr>
              <w:jc w:val="right"/>
              <w:rPr>
                <w:color w:val="000000"/>
                <w:sz w:val="20"/>
                <w:szCs w:val="20"/>
              </w:rPr>
            </w:pPr>
            <w:r>
              <w:rPr>
                <w:color w:val="000000"/>
                <w:sz w:val="20"/>
                <w:szCs w:val="20"/>
              </w:rPr>
              <w:t>21</w:t>
            </w:r>
          </w:p>
        </w:tc>
        <w:tc>
          <w:tcPr>
            <w:tcW w:w="413" w:type="pct"/>
            <w:tcBorders>
              <w:top w:val="single" w:sz="4" w:space="0" w:color="A5A5A5" w:themeColor="accent3"/>
              <w:left w:val="nil"/>
              <w:bottom w:val="single" w:sz="4" w:space="0" w:color="A5A5A5" w:themeColor="accent3"/>
              <w:right w:val="single" w:sz="12" w:space="0" w:color="auto"/>
            </w:tcBorders>
            <w:shd w:val="clear" w:color="auto" w:fill="auto"/>
            <w:vAlign w:val="center"/>
          </w:tcPr>
          <w:p w14:paraId="53B510D4" w14:textId="77777777" w:rsidR="002410C0" w:rsidRDefault="002410C0" w:rsidP="0076278B">
            <w:pPr>
              <w:jc w:val="right"/>
              <w:rPr>
                <w:color w:val="000000"/>
                <w:sz w:val="20"/>
                <w:szCs w:val="20"/>
              </w:rPr>
            </w:pPr>
            <w:r>
              <w:rPr>
                <w:color w:val="000000"/>
                <w:sz w:val="20"/>
                <w:szCs w:val="20"/>
              </w:rPr>
              <w:t>0</w:t>
            </w:r>
          </w:p>
        </w:tc>
        <w:tc>
          <w:tcPr>
            <w:tcW w:w="391" w:type="pct"/>
            <w:tcBorders>
              <w:top w:val="single" w:sz="4" w:space="0" w:color="A5A5A5" w:themeColor="accent3"/>
              <w:left w:val="single" w:sz="4" w:space="0" w:color="auto"/>
              <w:bottom w:val="single" w:sz="4" w:space="0" w:color="A5A5A5" w:themeColor="accent3"/>
              <w:right w:val="double" w:sz="6" w:space="0" w:color="auto"/>
            </w:tcBorders>
            <w:shd w:val="clear" w:color="auto" w:fill="auto"/>
            <w:vAlign w:val="center"/>
          </w:tcPr>
          <w:p w14:paraId="6453887A"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0.0188</w:t>
            </w:r>
          </w:p>
        </w:tc>
      </w:tr>
      <w:tr w:rsidR="002410C0" w:rsidRPr="004A3C2D" w14:paraId="47D2F09E" w14:textId="77777777" w:rsidTr="003B2A78">
        <w:trPr>
          <w:trHeight w:val="346"/>
        </w:trPr>
        <w:tc>
          <w:tcPr>
            <w:tcW w:w="898" w:type="pct"/>
            <w:tcBorders>
              <w:top w:val="single" w:sz="4" w:space="0" w:color="A5A5A5" w:themeColor="accent3"/>
              <w:left w:val="double" w:sz="6" w:space="0" w:color="auto"/>
              <w:bottom w:val="single" w:sz="4" w:space="0" w:color="auto"/>
              <w:right w:val="single" w:sz="4" w:space="0" w:color="auto"/>
            </w:tcBorders>
            <w:shd w:val="clear" w:color="auto" w:fill="auto"/>
            <w:tcMar>
              <w:left w:w="58" w:type="dxa"/>
              <w:right w:w="58" w:type="dxa"/>
            </w:tcMar>
            <w:vAlign w:val="center"/>
            <w:hideMark/>
          </w:tcPr>
          <w:p w14:paraId="02A4BC6F"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Income</w:t>
            </w:r>
          </w:p>
        </w:tc>
        <w:tc>
          <w:tcPr>
            <w:tcW w:w="670" w:type="pct"/>
            <w:tcBorders>
              <w:top w:val="single" w:sz="4" w:space="0" w:color="A5A5A5" w:themeColor="accent3"/>
              <w:left w:val="single" w:sz="4" w:space="0" w:color="auto"/>
              <w:bottom w:val="single" w:sz="4" w:space="0" w:color="auto"/>
              <w:right w:val="single" w:sz="4" w:space="0" w:color="A5A5A5" w:themeColor="accent3"/>
            </w:tcBorders>
            <w:shd w:val="clear" w:color="auto" w:fill="auto"/>
            <w:tcMar>
              <w:left w:w="58" w:type="dxa"/>
              <w:right w:w="58" w:type="dxa"/>
            </w:tcMar>
            <w:vAlign w:val="center"/>
            <w:hideMark/>
          </w:tcPr>
          <w:p w14:paraId="04DDA34D" w14:textId="77777777" w:rsidR="002410C0" w:rsidRPr="004A3C2D" w:rsidRDefault="002410C0" w:rsidP="0076278B">
            <w:pPr>
              <w:rPr>
                <w:rFonts w:eastAsia="Times New Roman" w:cs="Times New Roman"/>
                <w:color w:val="000000"/>
                <w:sz w:val="20"/>
                <w:szCs w:val="20"/>
              </w:rPr>
            </w:pPr>
            <w:r w:rsidRPr="00A245F2">
              <w:rPr>
                <w:rFonts w:eastAsia="Times New Roman" w:cs="Times New Roman"/>
                <w:color w:val="000000"/>
                <w:sz w:val="20"/>
                <w:szCs w:val="20"/>
              </w:rPr>
              <w:t>&lt;</w:t>
            </w:r>
            <w:r w:rsidRPr="004A3C2D">
              <w:rPr>
                <w:rFonts w:eastAsia="Times New Roman" w:cs="Times New Roman"/>
                <w:color w:val="000000"/>
                <w:sz w:val="20"/>
                <w:szCs w:val="20"/>
              </w:rPr>
              <w:t>$100,000</w:t>
            </w:r>
          </w:p>
        </w:tc>
        <w:tc>
          <w:tcPr>
            <w:tcW w:w="787" w:type="pct"/>
            <w:tcBorders>
              <w:top w:val="single" w:sz="4" w:space="0" w:color="A5A5A5" w:themeColor="accent3"/>
              <w:left w:val="single" w:sz="4" w:space="0" w:color="A5A5A5" w:themeColor="accent3"/>
              <w:bottom w:val="single" w:sz="4" w:space="0" w:color="auto"/>
              <w:right w:val="single" w:sz="12" w:space="0" w:color="auto"/>
            </w:tcBorders>
            <w:shd w:val="clear" w:color="auto" w:fill="auto"/>
            <w:tcMar>
              <w:left w:w="58" w:type="dxa"/>
              <w:right w:w="58" w:type="dxa"/>
            </w:tcMar>
            <w:vAlign w:val="center"/>
            <w:hideMark/>
          </w:tcPr>
          <w:p w14:paraId="45CE848F" w14:textId="77777777" w:rsidR="002410C0" w:rsidRPr="004A3C2D" w:rsidRDefault="002410C0" w:rsidP="0076278B">
            <w:pPr>
              <w:rPr>
                <w:rFonts w:eastAsia="Times New Roman" w:cs="Times New Roman"/>
                <w:color w:val="000000"/>
                <w:sz w:val="20"/>
                <w:szCs w:val="20"/>
              </w:rPr>
            </w:pPr>
            <w:r w:rsidRPr="00A245F2">
              <w:rPr>
                <w:rFonts w:eastAsia="Times New Roman" w:cs="Times New Roman"/>
                <w:color w:val="000000"/>
                <w:sz w:val="20"/>
                <w:szCs w:val="20"/>
                <w:u w:val="single"/>
              </w:rPr>
              <w:t>&gt;</w:t>
            </w:r>
            <w:r w:rsidRPr="004A3C2D">
              <w:rPr>
                <w:rFonts w:eastAsia="Times New Roman" w:cs="Times New Roman"/>
                <w:color w:val="000000"/>
                <w:sz w:val="20"/>
                <w:szCs w:val="20"/>
              </w:rPr>
              <w:t xml:space="preserve">$100,000 </w:t>
            </w:r>
          </w:p>
        </w:tc>
        <w:tc>
          <w:tcPr>
            <w:tcW w:w="456" w:type="pct"/>
            <w:tcBorders>
              <w:top w:val="single" w:sz="4" w:space="0" w:color="A5A5A5" w:themeColor="accent3"/>
              <w:left w:val="single" w:sz="12" w:space="0" w:color="auto"/>
              <w:bottom w:val="single" w:sz="4" w:space="0" w:color="auto"/>
              <w:right w:val="single" w:sz="4" w:space="0" w:color="A5A5A5" w:themeColor="accent3"/>
            </w:tcBorders>
            <w:shd w:val="clear" w:color="auto" w:fill="auto"/>
            <w:vAlign w:val="center"/>
            <w:hideMark/>
          </w:tcPr>
          <w:p w14:paraId="1EC04CA4" w14:textId="77777777" w:rsidR="002410C0" w:rsidRPr="004A3C2D" w:rsidRDefault="002410C0" w:rsidP="0076278B">
            <w:pPr>
              <w:jc w:val="right"/>
              <w:rPr>
                <w:rFonts w:eastAsia="Times New Roman" w:cs="Times New Roman"/>
                <w:color w:val="000000"/>
                <w:sz w:val="20"/>
                <w:szCs w:val="20"/>
              </w:rPr>
            </w:pPr>
            <w:r>
              <w:rPr>
                <w:color w:val="000000"/>
                <w:sz w:val="20"/>
                <w:szCs w:val="20"/>
              </w:rPr>
              <w:t>0</w:t>
            </w:r>
          </w:p>
        </w:tc>
        <w:tc>
          <w:tcPr>
            <w:tcW w:w="483" w:type="pct"/>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auto"/>
            <w:vAlign w:val="center"/>
            <w:hideMark/>
          </w:tcPr>
          <w:p w14:paraId="5248ECF2" w14:textId="77777777" w:rsidR="002410C0" w:rsidRPr="004A3C2D" w:rsidRDefault="002410C0" w:rsidP="0076278B">
            <w:pPr>
              <w:jc w:val="right"/>
              <w:rPr>
                <w:rFonts w:eastAsia="Times New Roman" w:cs="Times New Roman"/>
                <w:color w:val="000000"/>
                <w:sz w:val="20"/>
                <w:szCs w:val="20"/>
              </w:rPr>
            </w:pPr>
            <w:r>
              <w:rPr>
                <w:color w:val="000000"/>
                <w:sz w:val="20"/>
                <w:szCs w:val="20"/>
              </w:rPr>
              <w:t>0</w:t>
            </w:r>
          </w:p>
        </w:tc>
        <w:tc>
          <w:tcPr>
            <w:tcW w:w="456" w:type="pct"/>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auto"/>
            <w:vAlign w:val="center"/>
            <w:hideMark/>
          </w:tcPr>
          <w:p w14:paraId="52B6D0B0" w14:textId="77777777" w:rsidR="002410C0" w:rsidRPr="004A3C2D" w:rsidRDefault="002410C0" w:rsidP="0076278B">
            <w:pPr>
              <w:jc w:val="right"/>
              <w:rPr>
                <w:rFonts w:eastAsia="Times New Roman" w:cs="Times New Roman"/>
                <w:color w:val="000000"/>
                <w:sz w:val="20"/>
                <w:szCs w:val="20"/>
              </w:rPr>
            </w:pPr>
            <w:r>
              <w:rPr>
                <w:color w:val="000000"/>
                <w:sz w:val="20"/>
                <w:szCs w:val="20"/>
              </w:rPr>
              <w:t>0</w:t>
            </w:r>
          </w:p>
        </w:tc>
        <w:tc>
          <w:tcPr>
            <w:tcW w:w="445" w:type="pct"/>
            <w:tcBorders>
              <w:top w:val="single" w:sz="4" w:space="0" w:color="A5A5A5" w:themeColor="accent3"/>
              <w:left w:val="single" w:sz="4" w:space="0" w:color="A5A5A5" w:themeColor="accent3"/>
              <w:bottom w:val="single" w:sz="4" w:space="0" w:color="auto"/>
              <w:right w:val="single" w:sz="8" w:space="0" w:color="auto"/>
            </w:tcBorders>
            <w:shd w:val="clear" w:color="auto" w:fill="auto"/>
            <w:vAlign w:val="center"/>
            <w:hideMark/>
          </w:tcPr>
          <w:p w14:paraId="4A70C26F" w14:textId="77777777" w:rsidR="002410C0" w:rsidRPr="004A3C2D" w:rsidRDefault="002410C0" w:rsidP="0076278B">
            <w:pPr>
              <w:jc w:val="right"/>
              <w:rPr>
                <w:rFonts w:eastAsia="Times New Roman" w:cs="Times New Roman"/>
                <w:color w:val="000000"/>
                <w:sz w:val="20"/>
                <w:szCs w:val="20"/>
              </w:rPr>
            </w:pPr>
            <w:r>
              <w:rPr>
                <w:color w:val="000000"/>
                <w:sz w:val="20"/>
                <w:szCs w:val="20"/>
              </w:rPr>
              <w:t>100</w:t>
            </w:r>
          </w:p>
        </w:tc>
        <w:tc>
          <w:tcPr>
            <w:tcW w:w="413" w:type="pct"/>
            <w:tcBorders>
              <w:top w:val="single" w:sz="4" w:space="0" w:color="A5A5A5" w:themeColor="accent3"/>
              <w:left w:val="nil"/>
              <w:bottom w:val="single" w:sz="4" w:space="0" w:color="auto"/>
              <w:right w:val="single" w:sz="12" w:space="0" w:color="auto"/>
            </w:tcBorders>
            <w:shd w:val="clear" w:color="auto" w:fill="auto"/>
            <w:vAlign w:val="center"/>
            <w:hideMark/>
          </w:tcPr>
          <w:p w14:paraId="62DFF5A3" w14:textId="77777777" w:rsidR="002410C0" w:rsidRPr="004A3C2D" w:rsidRDefault="002410C0" w:rsidP="0076278B">
            <w:pPr>
              <w:jc w:val="right"/>
              <w:rPr>
                <w:rFonts w:eastAsia="Times New Roman" w:cs="Times New Roman"/>
                <w:color w:val="000000"/>
                <w:sz w:val="20"/>
                <w:szCs w:val="20"/>
              </w:rPr>
            </w:pPr>
            <w:r>
              <w:rPr>
                <w:color w:val="000000"/>
                <w:sz w:val="20"/>
                <w:szCs w:val="20"/>
              </w:rPr>
              <w:t>0</w:t>
            </w:r>
          </w:p>
        </w:tc>
        <w:tc>
          <w:tcPr>
            <w:tcW w:w="391" w:type="pct"/>
            <w:tcBorders>
              <w:top w:val="single" w:sz="4" w:space="0" w:color="A5A5A5" w:themeColor="accent3"/>
              <w:left w:val="single" w:sz="4" w:space="0" w:color="auto"/>
              <w:bottom w:val="single" w:sz="4" w:space="0" w:color="auto"/>
              <w:right w:val="double" w:sz="6" w:space="0" w:color="auto"/>
            </w:tcBorders>
            <w:shd w:val="clear" w:color="auto" w:fill="auto"/>
            <w:vAlign w:val="center"/>
          </w:tcPr>
          <w:p w14:paraId="44DF5BD6"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0.0011</w:t>
            </w:r>
          </w:p>
        </w:tc>
      </w:tr>
      <w:tr w:rsidR="002410C0" w:rsidRPr="004A3C2D" w14:paraId="1DB7926D" w14:textId="77777777" w:rsidTr="003B2A78">
        <w:trPr>
          <w:trHeight w:val="346"/>
        </w:trPr>
        <w:tc>
          <w:tcPr>
            <w:tcW w:w="898" w:type="pct"/>
            <w:tcBorders>
              <w:top w:val="single" w:sz="4" w:space="0" w:color="BFBFBF" w:themeColor="background1" w:themeShade="BF"/>
              <w:left w:val="double" w:sz="6" w:space="0" w:color="auto"/>
              <w:bottom w:val="single" w:sz="4" w:space="0" w:color="auto"/>
              <w:right w:val="single" w:sz="4" w:space="0" w:color="FFFFFF" w:themeColor="background1"/>
            </w:tcBorders>
            <w:shd w:val="clear" w:color="auto" w:fill="auto"/>
            <w:tcMar>
              <w:left w:w="58" w:type="dxa"/>
              <w:right w:w="58" w:type="dxa"/>
            </w:tcMar>
            <w:vAlign w:val="center"/>
          </w:tcPr>
          <w:p w14:paraId="0265A901" w14:textId="77777777" w:rsidR="002410C0" w:rsidRPr="004A3C2D" w:rsidRDefault="002410C0" w:rsidP="0076278B">
            <w:pPr>
              <w:rPr>
                <w:rFonts w:eastAsia="Times New Roman" w:cs="Times New Roman"/>
                <w:i/>
                <w:iCs/>
                <w:color w:val="000000"/>
                <w:sz w:val="20"/>
                <w:szCs w:val="20"/>
              </w:rPr>
            </w:pPr>
            <w:r w:rsidRPr="004A3C2D">
              <w:rPr>
                <w:rFonts w:eastAsia="Times New Roman" w:cs="Times New Roman"/>
                <w:i/>
                <w:iCs/>
                <w:color w:val="000000"/>
                <w:sz w:val="20"/>
                <w:szCs w:val="20"/>
              </w:rPr>
              <w:t>Cost effects</w:t>
            </w:r>
          </w:p>
        </w:tc>
        <w:tc>
          <w:tcPr>
            <w:tcW w:w="670" w:type="pct"/>
            <w:tcBorders>
              <w:top w:val="single" w:sz="4" w:space="0" w:color="BFBFBF" w:themeColor="background1" w:themeShade="BF"/>
              <w:left w:val="single" w:sz="4" w:space="0" w:color="FFFFFF" w:themeColor="background1"/>
              <w:bottom w:val="single" w:sz="4" w:space="0" w:color="auto"/>
              <w:right w:val="single" w:sz="4" w:space="0" w:color="FFFFFF" w:themeColor="background1"/>
            </w:tcBorders>
            <w:shd w:val="clear" w:color="auto" w:fill="auto"/>
            <w:tcMar>
              <w:left w:w="58" w:type="dxa"/>
              <w:right w:w="58" w:type="dxa"/>
            </w:tcMar>
            <w:vAlign w:val="center"/>
          </w:tcPr>
          <w:p w14:paraId="11114968" w14:textId="77777777" w:rsidR="002410C0" w:rsidRPr="004A3C2D" w:rsidRDefault="002410C0" w:rsidP="0076278B">
            <w:pPr>
              <w:rPr>
                <w:rFonts w:eastAsia="Times New Roman" w:cs="Times New Roman"/>
                <w:color w:val="000000"/>
                <w:sz w:val="20"/>
                <w:szCs w:val="20"/>
                <w:u w:val="single"/>
              </w:rPr>
            </w:pPr>
          </w:p>
        </w:tc>
        <w:tc>
          <w:tcPr>
            <w:tcW w:w="787" w:type="pct"/>
            <w:tcBorders>
              <w:top w:val="single" w:sz="4" w:space="0" w:color="BFBFBF" w:themeColor="background1" w:themeShade="BF"/>
              <w:left w:val="single" w:sz="4" w:space="0" w:color="FFFFFF" w:themeColor="background1"/>
              <w:bottom w:val="single" w:sz="4" w:space="0" w:color="auto"/>
              <w:right w:val="single" w:sz="12" w:space="0" w:color="auto"/>
            </w:tcBorders>
            <w:shd w:val="clear" w:color="auto" w:fill="auto"/>
            <w:tcMar>
              <w:left w:w="58" w:type="dxa"/>
              <w:right w:w="58" w:type="dxa"/>
            </w:tcMar>
            <w:vAlign w:val="center"/>
          </w:tcPr>
          <w:p w14:paraId="5F39DD8B" w14:textId="77777777" w:rsidR="002410C0" w:rsidRPr="004A3C2D" w:rsidRDefault="002410C0" w:rsidP="0076278B">
            <w:pPr>
              <w:rPr>
                <w:rFonts w:eastAsia="Times New Roman" w:cs="Times New Roman"/>
                <w:color w:val="000000"/>
                <w:sz w:val="20"/>
                <w:szCs w:val="20"/>
              </w:rPr>
            </w:pPr>
          </w:p>
        </w:tc>
        <w:tc>
          <w:tcPr>
            <w:tcW w:w="456" w:type="pct"/>
            <w:tcBorders>
              <w:top w:val="single" w:sz="4" w:space="0" w:color="BFBFBF" w:themeColor="background1" w:themeShade="BF"/>
              <w:left w:val="single" w:sz="12" w:space="0" w:color="auto"/>
              <w:bottom w:val="single" w:sz="4" w:space="0" w:color="auto"/>
              <w:right w:val="single" w:sz="4" w:space="0" w:color="FFFFFF" w:themeColor="background1"/>
            </w:tcBorders>
            <w:shd w:val="clear" w:color="auto" w:fill="auto"/>
            <w:vAlign w:val="center"/>
          </w:tcPr>
          <w:p w14:paraId="49F50845" w14:textId="77777777" w:rsidR="002410C0" w:rsidRPr="004A3C2D" w:rsidRDefault="002410C0" w:rsidP="0076278B">
            <w:pPr>
              <w:jc w:val="right"/>
              <w:rPr>
                <w:rFonts w:cs="Times New Roman"/>
                <w:color w:val="000000"/>
                <w:sz w:val="20"/>
                <w:szCs w:val="20"/>
              </w:rPr>
            </w:pPr>
          </w:p>
        </w:tc>
        <w:tc>
          <w:tcPr>
            <w:tcW w:w="483" w:type="pct"/>
            <w:tcBorders>
              <w:top w:val="single" w:sz="4" w:space="0" w:color="BFBFBF" w:themeColor="background1" w:themeShade="BF"/>
              <w:left w:val="single" w:sz="4" w:space="0" w:color="FFFFFF" w:themeColor="background1"/>
              <w:bottom w:val="single" w:sz="4" w:space="0" w:color="auto"/>
              <w:right w:val="single" w:sz="4" w:space="0" w:color="FFFFFF" w:themeColor="background1"/>
            </w:tcBorders>
            <w:shd w:val="clear" w:color="auto" w:fill="auto"/>
            <w:vAlign w:val="center"/>
          </w:tcPr>
          <w:p w14:paraId="584B12AF" w14:textId="77777777" w:rsidR="002410C0" w:rsidRPr="004A3C2D" w:rsidRDefault="002410C0" w:rsidP="0076278B">
            <w:pPr>
              <w:jc w:val="right"/>
              <w:rPr>
                <w:rFonts w:cs="Times New Roman"/>
                <w:color w:val="000000"/>
                <w:sz w:val="20"/>
                <w:szCs w:val="20"/>
              </w:rPr>
            </w:pPr>
          </w:p>
        </w:tc>
        <w:tc>
          <w:tcPr>
            <w:tcW w:w="456" w:type="pct"/>
            <w:tcBorders>
              <w:top w:val="single" w:sz="4" w:space="0" w:color="BFBFBF" w:themeColor="background1" w:themeShade="BF"/>
              <w:left w:val="single" w:sz="4" w:space="0" w:color="FFFFFF" w:themeColor="background1"/>
              <w:bottom w:val="single" w:sz="4" w:space="0" w:color="auto"/>
              <w:right w:val="single" w:sz="4" w:space="0" w:color="FFFFFF" w:themeColor="background1"/>
            </w:tcBorders>
            <w:shd w:val="clear" w:color="auto" w:fill="auto"/>
            <w:vAlign w:val="center"/>
          </w:tcPr>
          <w:p w14:paraId="5318B8B0" w14:textId="77777777" w:rsidR="002410C0" w:rsidRPr="004A3C2D" w:rsidRDefault="002410C0" w:rsidP="0076278B">
            <w:pPr>
              <w:jc w:val="right"/>
              <w:rPr>
                <w:rFonts w:cs="Times New Roman"/>
                <w:color w:val="000000"/>
                <w:sz w:val="20"/>
                <w:szCs w:val="20"/>
              </w:rPr>
            </w:pPr>
          </w:p>
        </w:tc>
        <w:tc>
          <w:tcPr>
            <w:tcW w:w="445" w:type="pct"/>
            <w:tcBorders>
              <w:top w:val="single" w:sz="4" w:space="0" w:color="BFBFBF" w:themeColor="background1" w:themeShade="BF"/>
              <w:left w:val="single" w:sz="4" w:space="0" w:color="FFFFFF" w:themeColor="background1"/>
              <w:bottom w:val="single" w:sz="4" w:space="0" w:color="auto"/>
              <w:right w:val="single" w:sz="8" w:space="0" w:color="auto"/>
            </w:tcBorders>
            <w:shd w:val="clear" w:color="auto" w:fill="auto"/>
            <w:vAlign w:val="center"/>
          </w:tcPr>
          <w:p w14:paraId="76720E1A" w14:textId="77777777" w:rsidR="002410C0" w:rsidRPr="004A3C2D" w:rsidRDefault="002410C0" w:rsidP="0076278B">
            <w:pPr>
              <w:jc w:val="right"/>
              <w:rPr>
                <w:rFonts w:cs="Times New Roman"/>
                <w:color w:val="000000"/>
                <w:sz w:val="20"/>
                <w:szCs w:val="20"/>
              </w:rPr>
            </w:pPr>
          </w:p>
        </w:tc>
        <w:tc>
          <w:tcPr>
            <w:tcW w:w="413" w:type="pct"/>
            <w:tcBorders>
              <w:top w:val="single" w:sz="4" w:space="0" w:color="BFBFBF" w:themeColor="background1" w:themeShade="BF"/>
              <w:left w:val="nil"/>
              <w:bottom w:val="single" w:sz="4" w:space="0" w:color="auto"/>
              <w:right w:val="single" w:sz="12" w:space="0" w:color="auto"/>
            </w:tcBorders>
            <w:shd w:val="clear" w:color="auto" w:fill="auto"/>
            <w:vAlign w:val="center"/>
          </w:tcPr>
          <w:p w14:paraId="1093F74E" w14:textId="77777777" w:rsidR="002410C0" w:rsidRPr="004A3C2D" w:rsidRDefault="002410C0" w:rsidP="0076278B">
            <w:pPr>
              <w:jc w:val="right"/>
              <w:rPr>
                <w:rFonts w:cs="Times New Roman"/>
                <w:color w:val="000000"/>
                <w:sz w:val="20"/>
                <w:szCs w:val="20"/>
              </w:rPr>
            </w:pPr>
          </w:p>
        </w:tc>
        <w:tc>
          <w:tcPr>
            <w:tcW w:w="391" w:type="pct"/>
            <w:tcBorders>
              <w:top w:val="single" w:sz="4" w:space="0" w:color="BFBFBF" w:themeColor="background1" w:themeShade="BF"/>
              <w:left w:val="single" w:sz="4" w:space="0" w:color="auto"/>
              <w:bottom w:val="single" w:sz="4" w:space="0" w:color="auto"/>
              <w:right w:val="double" w:sz="6" w:space="0" w:color="auto"/>
            </w:tcBorders>
            <w:shd w:val="clear" w:color="auto" w:fill="auto"/>
            <w:vAlign w:val="center"/>
          </w:tcPr>
          <w:p w14:paraId="1783288E" w14:textId="77777777" w:rsidR="002410C0" w:rsidRPr="004A3C2D" w:rsidRDefault="002410C0" w:rsidP="0076278B">
            <w:pPr>
              <w:jc w:val="right"/>
              <w:rPr>
                <w:rFonts w:eastAsia="Times New Roman" w:cs="Times New Roman"/>
                <w:color w:val="000000"/>
                <w:sz w:val="20"/>
                <w:szCs w:val="20"/>
              </w:rPr>
            </w:pPr>
          </w:p>
        </w:tc>
      </w:tr>
      <w:tr w:rsidR="002410C0" w:rsidRPr="004A3C2D" w14:paraId="6A8F5A06" w14:textId="77777777" w:rsidTr="003B2A78">
        <w:trPr>
          <w:trHeight w:val="346"/>
        </w:trPr>
        <w:tc>
          <w:tcPr>
            <w:tcW w:w="898" w:type="pct"/>
            <w:tcBorders>
              <w:top w:val="single" w:sz="4" w:space="0" w:color="BFBFBF" w:themeColor="background1" w:themeShade="BF"/>
              <w:left w:val="double" w:sz="6" w:space="0" w:color="auto"/>
              <w:bottom w:val="single" w:sz="4" w:space="0" w:color="A5A5A5" w:themeColor="accent3"/>
              <w:right w:val="single" w:sz="4" w:space="0" w:color="auto"/>
            </w:tcBorders>
            <w:shd w:val="clear" w:color="auto" w:fill="auto"/>
            <w:tcMar>
              <w:left w:w="58" w:type="dxa"/>
              <w:right w:w="58" w:type="dxa"/>
            </w:tcMar>
            <w:vAlign w:val="center"/>
          </w:tcPr>
          <w:p w14:paraId="267913F9" w14:textId="77777777" w:rsidR="002410C0" w:rsidRPr="004A3C2D" w:rsidRDefault="002410C0" w:rsidP="0076278B">
            <w:pPr>
              <w:rPr>
                <w:rFonts w:eastAsia="Times New Roman" w:cs="Times New Roman"/>
                <w:color w:val="000000"/>
                <w:sz w:val="20"/>
                <w:szCs w:val="20"/>
              </w:rPr>
            </w:pPr>
            <w:r>
              <w:rPr>
                <w:rFonts w:eastAsia="Times New Roman" w:cs="Times New Roman"/>
                <w:color w:val="000000"/>
                <w:sz w:val="20"/>
                <w:szCs w:val="20"/>
              </w:rPr>
              <w:t>Fixed cost for AV</w:t>
            </w:r>
          </w:p>
        </w:tc>
        <w:tc>
          <w:tcPr>
            <w:tcW w:w="670" w:type="pct"/>
            <w:tcBorders>
              <w:top w:val="single" w:sz="4" w:space="0" w:color="BFBFBF" w:themeColor="background1" w:themeShade="BF"/>
              <w:left w:val="single" w:sz="4" w:space="0" w:color="auto"/>
              <w:bottom w:val="single" w:sz="4" w:space="0" w:color="A5A5A5" w:themeColor="accent3"/>
              <w:right w:val="single" w:sz="4" w:space="0" w:color="A5A5A5" w:themeColor="accent3"/>
            </w:tcBorders>
            <w:shd w:val="clear" w:color="auto" w:fill="auto"/>
            <w:tcMar>
              <w:left w:w="58" w:type="dxa"/>
              <w:right w:w="58" w:type="dxa"/>
            </w:tcMar>
            <w:vAlign w:val="center"/>
          </w:tcPr>
          <w:p w14:paraId="0E001007" w14:textId="77777777" w:rsidR="002410C0" w:rsidRPr="004A3C2D" w:rsidRDefault="002410C0" w:rsidP="0076278B">
            <w:pPr>
              <w:rPr>
                <w:rFonts w:eastAsia="Times New Roman" w:cs="Times New Roman"/>
                <w:color w:val="000000"/>
                <w:sz w:val="20"/>
                <w:szCs w:val="20"/>
              </w:rPr>
            </w:pPr>
            <w:r>
              <w:rPr>
                <w:rFonts w:eastAsia="Times New Roman" w:cs="Times New Roman"/>
                <w:color w:val="000000"/>
                <w:sz w:val="20"/>
                <w:szCs w:val="20"/>
              </w:rPr>
              <w:t>Current cost</w:t>
            </w:r>
          </w:p>
        </w:tc>
        <w:tc>
          <w:tcPr>
            <w:tcW w:w="787" w:type="pct"/>
            <w:tcBorders>
              <w:top w:val="single" w:sz="4" w:space="0" w:color="BFBFBF" w:themeColor="background1" w:themeShade="BF"/>
              <w:left w:val="single" w:sz="4" w:space="0" w:color="A5A5A5" w:themeColor="accent3"/>
              <w:bottom w:val="single" w:sz="4" w:space="0" w:color="A5A5A5" w:themeColor="accent3"/>
              <w:right w:val="single" w:sz="12" w:space="0" w:color="auto"/>
            </w:tcBorders>
            <w:shd w:val="clear" w:color="auto" w:fill="auto"/>
            <w:tcMar>
              <w:left w:w="58" w:type="dxa"/>
              <w:right w:w="58" w:type="dxa"/>
            </w:tcMar>
            <w:vAlign w:val="center"/>
          </w:tcPr>
          <w:p w14:paraId="3373847B" w14:textId="77777777" w:rsidR="002410C0" w:rsidRPr="004A3C2D" w:rsidRDefault="002410C0" w:rsidP="0076278B">
            <w:pPr>
              <w:rPr>
                <w:rFonts w:eastAsia="Times New Roman" w:cs="Times New Roman"/>
                <w:color w:val="000000"/>
                <w:sz w:val="20"/>
                <w:szCs w:val="20"/>
              </w:rPr>
            </w:pPr>
            <w:r>
              <w:rPr>
                <w:rFonts w:eastAsia="Times New Roman" w:cs="Times New Roman"/>
                <w:color w:val="000000"/>
                <w:sz w:val="20"/>
                <w:szCs w:val="20"/>
              </w:rPr>
              <w:t>Decrease by $50</w:t>
            </w:r>
          </w:p>
        </w:tc>
        <w:tc>
          <w:tcPr>
            <w:tcW w:w="456" w:type="pct"/>
            <w:tcBorders>
              <w:top w:val="single" w:sz="4" w:space="0" w:color="BFBFBF" w:themeColor="background1" w:themeShade="BF"/>
              <w:left w:val="single" w:sz="12" w:space="0" w:color="auto"/>
              <w:bottom w:val="single" w:sz="4" w:space="0" w:color="A5A5A5" w:themeColor="accent3"/>
              <w:right w:val="single" w:sz="4" w:space="0" w:color="A5A5A5" w:themeColor="accent3"/>
            </w:tcBorders>
            <w:shd w:val="clear" w:color="auto" w:fill="auto"/>
            <w:vAlign w:val="center"/>
          </w:tcPr>
          <w:p w14:paraId="71AE3567" w14:textId="77777777" w:rsidR="002410C0" w:rsidRPr="004A3C2D" w:rsidRDefault="002410C0" w:rsidP="0076278B">
            <w:pPr>
              <w:jc w:val="right"/>
              <w:rPr>
                <w:rFonts w:cs="Times New Roman"/>
                <w:color w:val="000000"/>
                <w:sz w:val="20"/>
                <w:szCs w:val="20"/>
              </w:rPr>
            </w:pPr>
          </w:p>
        </w:tc>
        <w:tc>
          <w:tcPr>
            <w:tcW w:w="483" w:type="pct"/>
            <w:tcBorders>
              <w:top w:val="single" w:sz="4" w:space="0" w:color="BFBFBF" w:themeColor="background1" w:themeShade="BF"/>
              <w:left w:val="single" w:sz="4" w:space="0" w:color="A5A5A5" w:themeColor="accent3"/>
              <w:bottom w:val="single" w:sz="4" w:space="0" w:color="A5A5A5" w:themeColor="accent3"/>
              <w:right w:val="single" w:sz="4" w:space="0" w:color="A5A5A5" w:themeColor="accent3"/>
            </w:tcBorders>
            <w:shd w:val="clear" w:color="auto" w:fill="auto"/>
            <w:vAlign w:val="center"/>
          </w:tcPr>
          <w:p w14:paraId="43439EA3" w14:textId="77777777" w:rsidR="002410C0" w:rsidRPr="004A3C2D" w:rsidRDefault="002410C0" w:rsidP="0076278B">
            <w:pPr>
              <w:jc w:val="right"/>
              <w:rPr>
                <w:rFonts w:cs="Times New Roman"/>
                <w:color w:val="000000"/>
                <w:sz w:val="20"/>
                <w:szCs w:val="20"/>
              </w:rPr>
            </w:pPr>
          </w:p>
        </w:tc>
        <w:tc>
          <w:tcPr>
            <w:tcW w:w="456" w:type="pct"/>
            <w:tcBorders>
              <w:top w:val="single" w:sz="4" w:space="0" w:color="BFBFBF" w:themeColor="background1" w:themeShade="BF"/>
              <w:left w:val="single" w:sz="4" w:space="0" w:color="A5A5A5" w:themeColor="accent3"/>
              <w:bottom w:val="single" w:sz="4" w:space="0" w:color="A5A5A5" w:themeColor="accent3"/>
              <w:right w:val="single" w:sz="4" w:space="0" w:color="A5A5A5" w:themeColor="accent3"/>
            </w:tcBorders>
            <w:shd w:val="clear" w:color="auto" w:fill="auto"/>
            <w:vAlign w:val="center"/>
          </w:tcPr>
          <w:p w14:paraId="1429B48D" w14:textId="77777777" w:rsidR="002410C0" w:rsidRPr="004A3C2D" w:rsidRDefault="002410C0" w:rsidP="0076278B">
            <w:pPr>
              <w:jc w:val="right"/>
              <w:rPr>
                <w:rFonts w:cs="Times New Roman"/>
                <w:color w:val="000000"/>
                <w:sz w:val="20"/>
                <w:szCs w:val="20"/>
              </w:rPr>
            </w:pPr>
          </w:p>
        </w:tc>
        <w:tc>
          <w:tcPr>
            <w:tcW w:w="445" w:type="pct"/>
            <w:tcBorders>
              <w:top w:val="single" w:sz="4" w:space="0" w:color="BFBFBF" w:themeColor="background1" w:themeShade="BF"/>
              <w:left w:val="single" w:sz="4" w:space="0" w:color="A5A5A5" w:themeColor="accent3"/>
              <w:bottom w:val="single" w:sz="4" w:space="0" w:color="A5A5A5" w:themeColor="accent3"/>
              <w:right w:val="single" w:sz="8" w:space="0" w:color="auto"/>
            </w:tcBorders>
            <w:shd w:val="clear" w:color="auto" w:fill="auto"/>
            <w:vAlign w:val="center"/>
          </w:tcPr>
          <w:p w14:paraId="1F0036D4" w14:textId="77777777" w:rsidR="002410C0" w:rsidRPr="004A3C2D" w:rsidRDefault="002410C0" w:rsidP="0076278B">
            <w:pPr>
              <w:jc w:val="right"/>
              <w:rPr>
                <w:rFonts w:cs="Times New Roman"/>
                <w:color w:val="000000"/>
                <w:sz w:val="20"/>
                <w:szCs w:val="20"/>
              </w:rPr>
            </w:pPr>
          </w:p>
        </w:tc>
        <w:tc>
          <w:tcPr>
            <w:tcW w:w="413" w:type="pct"/>
            <w:tcBorders>
              <w:top w:val="single" w:sz="4" w:space="0" w:color="BFBFBF" w:themeColor="background1" w:themeShade="BF"/>
              <w:left w:val="nil"/>
              <w:bottom w:val="single" w:sz="8" w:space="0" w:color="A5A5A5" w:themeColor="accent3"/>
              <w:right w:val="single" w:sz="12" w:space="0" w:color="auto"/>
            </w:tcBorders>
            <w:shd w:val="clear" w:color="auto" w:fill="auto"/>
            <w:vAlign w:val="center"/>
          </w:tcPr>
          <w:p w14:paraId="66441FEE" w14:textId="77777777" w:rsidR="002410C0" w:rsidRPr="004A3C2D" w:rsidRDefault="002410C0" w:rsidP="0076278B">
            <w:pPr>
              <w:jc w:val="right"/>
              <w:rPr>
                <w:rFonts w:cs="Times New Roman"/>
                <w:color w:val="000000"/>
                <w:sz w:val="20"/>
                <w:szCs w:val="20"/>
              </w:rPr>
            </w:pPr>
          </w:p>
        </w:tc>
        <w:tc>
          <w:tcPr>
            <w:tcW w:w="391" w:type="pct"/>
            <w:tcBorders>
              <w:top w:val="single" w:sz="4" w:space="0" w:color="BFBFBF" w:themeColor="background1" w:themeShade="BF"/>
              <w:left w:val="single" w:sz="4" w:space="0" w:color="auto"/>
              <w:bottom w:val="single" w:sz="8" w:space="0" w:color="A5A5A5" w:themeColor="accent3"/>
              <w:right w:val="double" w:sz="6" w:space="0" w:color="auto"/>
            </w:tcBorders>
            <w:shd w:val="clear" w:color="auto" w:fill="auto"/>
            <w:vAlign w:val="center"/>
          </w:tcPr>
          <w:p w14:paraId="5E89E126" w14:textId="77777777" w:rsidR="002410C0" w:rsidRPr="004A3C2D" w:rsidRDefault="002410C0" w:rsidP="0076278B">
            <w:pPr>
              <w:jc w:val="right"/>
              <w:rPr>
                <w:rFonts w:eastAsia="Times New Roman" w:cs="Times New Roman"/>
                <w:color w:val="000000"/>
                <w:sz w:val="20"/>
                <w:szCs w:val="20"/>
              </w:rPr>
            </w:pPr>
            <w:r>
              <w:rPr>
                <w:rFonts w:eastAsia="Times New Roman" w:cs="Times New Roman"/>
                <w:color w:val="000000"/>
                <w:sz w:val="20"/>
                <w:szCs w:val="20"/>
              </w:rPr>
              <w:t>0.0381</w:t>
            </w:r>
          </w:p>
        </w:tc>
      </w:tr>
      <w:tr w:rsidR="002410C0" w:rsidRPr="004A3C2D" w14:paraId="7743B8D8" w14:textId="77777777" w:rsidTr="003B2A78">
        <w:trPr>
          <w:trHeight w:val="346"/>
        </w:trPr>
        <w:tc>
          <w:tcPr>
            <w:tcW w:w="898" w:type="pct"/>
            <w:tcBorders>
              <w:top w:val="single" w:sz="4" w:space="0" w:color="A5A5A5" w:themeColor="accent3"/>
              <w:left w:val="double" w:sz="6" w:space="0" w:color="auto"/>
              <w:bottom w:val="double" w:sz="4" w:space="0" w:color="auto"/>
              <w:right w:val="single" w:sz="4" w:space="0" w:color="auto"/>
            </w:tcBorders>
            <w:shd w:val="clear" w:color="auto" w:fill="auto"/>
            <w:tcMar>
              <w:left w:w="58" w:type="dxa"/>
              <w:right w:w="58" w:type="dxa"/>
            </w:tcMar>
            <w:vAlign w:val="center"/>
          </w:tcPr>
          <w:p w14:paraId="187D959D"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Variable cost for SAV</w:t>
            </w:r>
          </w:p>
        </w:tc>
        <w:tc>
          <w:tcPr>
            <w:tcW w:w="670" w:type="pct"/>
            <w:tcBorders>
              <w:top w:val="single" w:sz="4" w:space="0" w:color="A5A5A5" w:themeColor="accent3"/>
              <w:left w:val="single" w:sz="4" w:space="0" w:color="auto"/>
              <w:bottom w:val="double" w:sz="4" w:space="0" w:color="auto"/>
              <w:right w:val="single" w:sz="4" w:space="0" w:color="A5A5A5" w:themeColor="accent3"/>
            </w:tcBorders>
            <w:shd w:val="clear" w:color="auto" w:fill="auto"/>
            <w:tcMar>
              <w:left w:w="58" w:type="dxa"/>
              <w:right w:w="58" w:type="dxa"/>
            </w:tcMar>
            <w:vAlign w:val="center"/>
          </w:tcPr>
          <w:p w14:paraId="24E15E0F" w14:textId="77777777" w:rsidR="002410C0" w:rsidRPr="004A3C2D" w:rsidRDefault="002410C0" w:rsidP="0076278B">
            <w:pPr>
              <w:rPr>
                <w:rFonts w:eastAsia="Times New Roman" w:cs="Times New Roman"/>
                <w:color w:val="000000"/>
                <w:sz w:val="20"/>
                <w:szCs w:val="20"/>
              </w:rPr>
            </w:pPr>
            <w:r>
              <w:rPr>
                <w:rFonts w:eastAsia="Times New Roman" w:cs="Times New Roman"/>
                <w:color w:val="000000"/>
                <w:sz w:val="20"/>
                <w:szCs w:val="20"/>
              </w:rPr>
              <w:t>$1.75</w:t>
            </w:r>
          </w:p>
        </w:tc>
        <w:tc>
          <w:tcPr>
            <w:tcW w:w="787" w:type="pct"/>
            <w:tcBorders>
              <w:top w:val="single" w:sz="4" w:space="0" w:color="A5A5A5" w:themeColor="accent3"/>
              <w:left w:val="single" w:sz="4" w:space="0" w:color="A5A5A5" w:themeColor="accent3"/>
              <w:bottom w:val="double" w:sz="4" w:space="0" w:color="auto"/>
              <w:right w:val="single" w:sz="12" w:space="0" w:color="auto"/>
            </w:tcBorders>
            <w:shd w:val="clear" w:color="auto" w:fill="auto"/>
            <w:tcMar>
              <w:left w:w="58" w:type="dxa"/>
              <w:right w:w="58" w:type="dxa"/>
            </w:tcMar>
            <w:vAlign w:val="center"/>
          </w:tcPr>
          <w:p w14:paraId="74E23DDD" w14:textId="77777777" w:rsidR="002410C0" w:rsidRPr="004A3C2D" w:rsidRDefault="002410C0" w:rsidP="0076278B">
            <w:pPr>
              <w:rPr>
                <w:rFonts w:eastAsia="Times New Roman" w:cs="Times New Roman"/>
                <w:color w:val="000000"/>
                <w:sz w:val="20"/>
                <w:szCs w:val="20"/>
              </w:rPr>
            </w:pPr>
            <w:r>
              <w:rPr>
                <w:rFonts w:eastAsia="Times New Roman" w:cs="Times New Roman"/>
                <w:color w:val="000000"/>
                <w:sz w:val="20"/>
                <w:szCs w:val="20"/>
              </w:rPr>
              <w:t>$1.25</w:t>
            </w:r>
          </w:p>
        </w:tc>
        <w:tc>
          <w:tcPr>
            <w:tcW w:w="456" w:type="pct"/>
            <w:tcBorders>
              <w:top w:val="single" w:sz="4" w:space="0" w:color="A5A5A5" w:themeColor="accent3"/>
              <w:left w:val="single" w:sz="12" w:space="0" w:color="auto"/>
              <w:bottom w:val="double" w:sz="4" w:space="0" w:color="auto"/>
              <w:right w:val="single" w:sz="4" w:space="0" w:color="A5A5A5" w:themeColor="accent3"/>
            </w:tcBorders>
            <w:shd w:val="clear" w:color="auto" w:fill="auto"/>
            <w:vAlign w:val="center"/>
          </w:tcPr>
          <w:p w14:paraId="266C2E04" w14:textId="77777777" w:rsidR="002410C0" w:rsidRPr="004A3C2D" w:rsidRDefault="002410C0" w:rsidP="0076278B">
            <w:pPr>
              <w:jc w:val="right"/>
              <w:rPr>
                <w:rFonts w:cs="Times New Roman"/>
                <w:color w:val="000000"/>
                <w:sz w:val="20"/>
                <w:szCs w:val="20"/>
              </w:rPr>
            </w:pPr>
            <w:r w:rsidRPr="004A3C2D">
              <w:rPr>
                <w:rFonts w:cs="Times New Roman"/>
                <w:color w:val="000000"/>
                <w:sz w:val="20"/>
                <w:szCs w:val="20"/>
              </w:rPr>
              <w:t>-</w:t>
            </w:r>
          </w:p>
        </w:tc>
        <w:tc>
          <w:tcPr>
            <w:tcW w:w="483" w:type="pct"/>
            <w:tcBorders>
              <w:top w:val="single" w:sz="4" w:space="0" w:color="A5A5A5" w:themeColor="accent3"/>
              <w:left w:val="single" w:sz="4" w:space="0" w:color="A5A5A5" w:themeColor="accent3"/>
              <w:bottom w:val="double" w:sz="4" w:space="0" w:color="auto"/>
              <w:right w:val="single" w:sz="4" w:space="0" w:color="A5A5A5" w:themeColor="accent3"/>
            </w:tcBorders>
            <w:shd w:val="clear" w:color="auto" w:fill="auto"/>
            <w:vAlign w:val="center"/>
          </w:tcPr>
          <w:p w14:paraId="1F2E0421" w14:textId="77777777" w:rsidR="002410C0" w:rsidRPr="004A3C2D" w:rsidRDefault="002410C0" w:rsidP="0076278B">
            <w:pPr>
              <w:jc w:val="right"/>
              <w:rPr>
                <w:rFonts w:cs="Times New Roman"/>
                <w:color w:val="000000"/>
                <w:sz w:val="20"/>
                <w:szCs w:val="20"/>
              </w:rPr>
            </w:pPr>
            <w:r w:rsidRPr="004A3C2D">
              <w:rPr>
                <w:rFonts w:cs="Times New Roman"/>
                <w:color w:val="000000"/>
                <w:sz w:val="20"/>
                <w:szCs w:val="20"/>
              </w:rPr>
              <w:t>-</w:t>
            </w:r>
          </w:p>
        </w:tc>
        <w:tc>
          <w:tcPr>
            <w:tcW w:w="456" w:type="pct"/>
            <w:tcBorders>
              <w:top w:val="single" w:sz="4" w:space="0" w:color="A5A5A5" w:themeColor="accent3"/>
              <w:left w:val="single" w:sz="4" w:space="0" w:color="A5A5A5" w:themeColor="accent3"/>
              <w:bottom w:val="double" w:sz="4" w:space="0" w:color="auto"/>
              <w:right w:val="single" w:sz="4" w:space="0" w:color="A5A5A5" w:themeColor="accent3"/>
            </w:tcBorders>
            <w:shd w:val="clear" w:color="auto" w:fill="auto"/>
            <w:vAlign w:val="center"/>
          </w:tcPr>
          <w:p w14:paraId="43613410" w14:textId="77777777" w:rsidR="002410C0" w:rsidRPr="004A3C2D" w:rsidRDefault="002410C0" w:rsidP="0076278B">
            <w:pPr>
              <w:jc w:val="right"/>
              <w:rPr>
                <w:rFonts w:cs="Times New Roman"/>
                <w:color w:val="000000"/>
                <w:sz w:val="20"/>
                <w:szCs w:val="20"/>
              </w:rPr>
            </w:pPr>
            <w:r w:rsidRPr="004A3C2D">
              <w:rPr>
                <w:rFonts w:cs="Times New Roman"/>
                <w:color w:val="000000"/>
                <w:sz w:val="20"/>
                <w:szCs w:val="20"/>
              </w:rPr>
              <w:t>-</w:t>
            </w:r>
          </w:p>
        </w:tc>
        <w:tc>
          <w:tcPr>
            <w:tcW w:w="445" w:type="pct"/>
            <w:tcBorders>
              <w:top w:val="single" w:sz="4" w:space="0" w:color="A5A5A5" w:themeColor="accent3"/>
              <w:left w:val="single" w:sz="4" w:space="0" w:color="A5A5A5" w:themeColor="accent3"/>
              <w:bottom w:val="double" w:sz="4" w:space="0" w:color="auto"/>
              <w:right w:val="single" w:sz="8" w:space="0" w:color="auto"/>
            </w:tcBorders>
            <w:shd w:val="clear" w:color="auto" w:fill="auto"/>
            <w:vAlign w:val="center"/>
          </w:tcPr>
          <w:p w14:paraId="03172DFF" w14:textId="77777777" w:rsidR="002410C0" w:rsidRPr="004A3C2D" w:rsidRDefault="002410C0" w:rsidP="0076278B">
            <w:pPr>
              <w:jc w:val="right"/>
              <w:rPr>
                <w:rFonts w:cs="Times New Roman"/>
                <w:color w:val="000000"/>
                <w:sz w:val="20"/>
                <w:szCs w:val="20"/>
              </w:rPr>
            </w:pPr>
            <w:r w:rsidRPr="004A3C2D">
              <w:rPr>
                <w:rFonts w:cs="Times New Roman"/>
                <w:color w:val="000000"/>
                <w:sz w:val="20"/>
                <w:szCs w:val="20"/>
              </w:rPr>
              <w:t>-</w:t>
            </w:r>
          </w:p>
        </w:tc>
        <w:tc>
          <w:tcPr>
            <w:tcW w:w="413" w:type="pct"/>
            <w:tcBorders>
              <w:top w:val="single" w:sz="8" w:space="0" w:color="A5A5A5" w:themeColor="accent3"/>
              <w:left w:val="nil"/>
              <w:bottom w:val="double" w:sz="4" w:space="0" w:color="auto"/>
              <w:right w:val="single" w:sz="12" w:space="0" w:color="auto"/>
            </w:tcBorders>
            <w:shd w:val="clear" w:color="auto" w:fill="auto"/>
            <w:vAlign w:val="center"/>
          </w:tcPr>
          <w:p w14:paraId="2B4C3D7F" w14:textId="77777777" w:rsidR="002410C0" w:rsidRPr="004A3C2D" w:rsidRDefault="002410C0" w:rsidP="0076278B">
            <w:pPr>
              <w:jc w:val="right"/>
              <w:rPr>
                <w:rFonts w:cs="Times New Roman"/>
                <w:color w:val="000000"/>
                <w:sz w:val="20"/>
                <w:szCs w:val="20"/>
              </w:rPr>
            </w:pPr>
            <w:r w:rsidRPr="004A3C2D">
              <w:rPr>
                <w:rFonts w:cs="Times New Roman"/>
                <w:color w:val="000000"/>
                <w:sz w:val="20"/>
                <w:szCs w:val="20"/>
              </w:rPr>
              <w:t>-</w:t>
            </w:r>
          </w:p>
        </w:tc>
        <w:tc>
          <w:tcPr>
            <w:tcW w:w="391" w:type="pct"/>
            <w:tcBorders>
              <w:top w:val="single" w:sz="8" w:space="0" w:color="A5A5A5" w:themeColor="accent3"/>
              <w:left w:val="single" w:sz="4" w:space="0" w:color="auto"/>
              <w:bottom w:val="double" w:sz="4" w:space="0" w:color="auto"/>
              <w:right w:val="double" w:sz="6" w:space="0" w:color="auto"/>
            </w:tcBorders>
            <w:shd w:val="clear" w:color="auto" w:fill="auto"/>
            <w:vAlign w:val="center"/>
          </w:tcPr>
          <w:p w14:paraId="26DFEAE9" w14:textId="77777777" w:rsidR="002410C0" w:rsidRPr="004A3C2D" w:rsidRDefault="002410C0" w:rsidP="0076278B">
            <w:pPr>
              <w:jc w:val="right"/>
              <w:rPr>
                <w:rFonts w:eastAsia="Times New Roman" w:cs="Times New Roman"/>
                <w:color w:val="000000"/>
                <w:sz w:val="20"/>
                <w:szCs w:val="20"/>
              </w:rPr>
            </w:pPr>
            <w:r>
              <w:rPr>
                <w:rFonts w:eastAsia="Times New Roman" w:cs="Times New Roman"/>
                <w:color w:val="000000"/>
                <w:sz w:val="20"/>
                <w:szCs w:val="20"/>
              </w:rPr>
              <w:t>-0.0120</w:t>
            </w:r>
          </w:p>
        </w:tc>
      </w:tr>
      <w:tr w:rsidR="002410C0" w:rsidRPr="004A3C2D" w14:paraId="1A9A1C1D" w14:textId="77777777" w:rsidTr="003B2A78">
        <w:trPr>
          <w:trHeight w:val="346"/>
        </w:trPr>
        <w:tc>
          <w:tcPr>
            <w:tcW w:w="2356" w:type="pct"/>
            <w:gridSpan w:val="3"/>
            <w:tcBorders>
              <w:top w:val="double" w:sz="4" w:space="0" w:color="auto"/>
              <w:left w:val="double" w:sz="6" w:space="0" w:color="auto"/>
              <w:bottom w:val="single" w:sz="4" w:space="0" w:color="auto"/>
              <w:right w:val="single" w:sz="12" w:space="0" w:color="auto"/>
            </w:tcBorders>
            <w:shd w:val="clear" w:color="auto" w:fill="auto"/>
            <w:tcMar>
              <w:left w:w="58" w:type="dxa"/>
              <w:right w:w="58" w:type="dxa"/>
            </w:tcMar>
            <w:vAlign w:val="center"/>
          </w:tcPr>
          <w:p w14:paraId="7C172C41"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b/>
                <w:bCs/>
                <w:color w:val="000000"/>
                <w:sz w:val="20"/>
                <w:szCs w:val="20"/>
              </w:rPr>
              <w:t>No vehicle purchase and rely on SAV (Base: Buy regular vehicle)</w:t>
            </w:r>
          </w:p>
        </w:tc>
        <w:tc>
          <w:tcPr>
            <w:tcW w:w="456" w:type="pct"/>
            <w:tcBorders>
              <w:top w:val="double" w:sz="4" w:space="0" w:color="auto"/>
              <w:left w:val="single" w:sz="12" w:space="0" w:color="auto"/>
              <w:bottom w:val="single" w:sz="4" w:space="0" w:color="auto"/>
              <w:right w:val="single" w:sz="4" w:space="0" w:color="FFFFFF" w:themeColor="background1"/>
            </w:tcBorders>
            <w:shd w:val="clear" w:color="auto" w:fill="auto"/>
            <w:vAlign w:val="center"/>
          </w:tcPr>
          <w:p w14:paraId="2009A823" w14:textId="77777777" w:rsidR="002410C0" w:rsidRPr="004A3C2D" w:rsidRDefault="002410C0" w:rsidP="0076278B">
            <w:pPr>
              <w:jc w:val="right"/>
              <w:rPr>
                <w:rFonts w:cs="Times New Roman"/>
                <w:color w:val="000000"/>
                <w:sz w:val="20"/>
                <w:szCs w:val="20"/>
              </w:rPr>
            </w:pPr>
          </w:p>
        </w:tc>
        <w:tc>
          <w:tcPr>
            <w:tcW w:w="483" w:type="pct"/>
            <w:tcBorders>
              <w:top w:val="double" w:sz="4" w:space="0" w:color="auto"/>
              <w:left w:val="single" w:sz="4" w:space="0" w:color="FFFFFF" w:themeColor="background1"/>
              <w:bottom w:val="single" w:sz="4" w:space="0" w:color="auto"/>
              <w:right w:val="single" w:sz="4" w:space="0" w:color="FFFFFF" w:themeColor="background1"/>
            </w:tcBorders>
            <w:shd w:val="clear" w:color="auto" w:fill="auto"/>
            <w:vAlign w:val="center"/>
          </w:tcPr>
          <w:p w14:paraId="2D83F732" w14:textId="77777777" w:rsidR="002410C0" w:rsidRPr="004A3C2D" w:rsidRDefault="002410C0" w:rsidP="0076278B">
            <w:pPr>
              <w:jc w:val="right"/>
              <w:rPr>
                <w:rFonts w:cs="Times New Roman"/>
                <w:color w:val="000000"/>
                <w:sz w:val="20"/>
                <w:szCs w:val="20"/>
              </w:rPr>
            </w:pPr>
          </w:p>
        </w:tc>
        <w:tc>
          <w:tcPr>
            <w:tcW w:w="456" w:type="pct"/>
            <w:tcBorders>
              <w:top w:val="double" w:sz="4" w:space="0" w:color="auto"/>
              <w:left w:val="single" w:sz="4" w:space="0" w:color="FFFFFF" w:themeColor="background1"/>
              <w:bottom w:val="single" w:sz="4" w:space="0" w:color="auto"/>
              <w:right w:val="single" w:sz="4" w:space="0" w:color="FFFFFF" w:themeColor="background1"/>
            </w:tcBorders>
            <w:shd w:val="clear" w:color="auto" w:fill="auto"/>
            <w:vAlign w:val="center"/>
          </w:tcPr>
          <w:p w14:paraId="3AAF00A5" w14:textId="77777777" w:rsidR="002410C0" w:rsidRPr="004A3C2D" w:rsidRDefault="002410C0" w:rsidP="0076278B">
            <w:pPr>
              <w:jc w:val="right"/>
              <w:rPr>
                <w:rFonts w:cs="Times New Roman"/>
                <w:color w:val="000000"/>
                <w:sz w:val="20"/>
                <w:szCs w:val="20"/>
              </w:rPr>
            </w:pPr>
          </w:p>
        </w:tc>
        <w:tc>
          <w:tcPr>
            <w:tcW w:w="445" w:type="pct"/>
            <w:tcBorders>
              <w:top w:val="double" w:sz="4" w:space="0" w:color="auto"/>
              <w:left w:val="single" w:sz="4" w:space="0" w:color="FFFFFF" w:themeColor="background1"/>
              <w:bottom w:val="single" w:sz="4" w:space="0" w:color="auto"/>
              <w:right w:val="single" w:sz="8" w:space="0" w:color="auto"/>
            </w:tcBorders>
            <w:shd w:val="clear" w:color="auto" w:fill="auto"/>
            <w:vAlign w:val="center"/>
          </w:tcPr>
          <w:p w14:paraId="66B89EB8" w14:textId="77777777" w:rsidR="002410C0" w:rsidRPr="004A3C2D" w:rsidRDefault="002410C0" w:rsidP="0076278B">
            <w:pPr>
              <w:jc w:val="right"/>
              <w:rPr>
                <w:rFonts w:cs="Times New Roman"/>
                <w:color w:val="000000"/>
                <w:sz w:val="20"/>
                <w:szCs w:val="20"/>
              </w:rPr>
            </w:pPr>
          </w:p>
        </w:tc>
        <w:tc>
          <w:tcPr>
            <w:tcW w:w="413" w:type="pct"/>
            <w:tcBorders>
              <w:top w:val="double" w:sz="4" w:space="0" w:color="auto"/>
              <w:left w:val="nil"/>
              <w:bottom w:val="single" w:sz="4" w:space="0" w:color="auto"/>
              <w:right w:val="single" w:sz="12" w:space="0" w:color="auto"/>
            </w:tcBorders>
            <w:shd w:val="clear" w:color="auto" w:fill="auto"/>
            <w:vAlign w:val="center"/>
          </w:tcPr>
          <w:p w14:paraId="53ADDE72" w14:textId="77777777" w:rsidR="002410C0" w:rsidRPr="004A3C2D" w:rsidRDefault="002410C0" w:rsidP="0076278B">
            <w:pPr>
              <w:jc w:val="right"/>
              <w:rPr>
                <w:rFonts w:cs="Times New Roman"/>
                <w:color w:val="000000"/>
                <w:sz w:val="20"/>
                <w:szCs w:val="20"/>
              </w:rPr>
            </w:pPr>
          </w:p>
        </w:tc>
        <w:tc>
          <w:tcPr>
            <w:tcW w:w="391" w:type="pct"/>
            <w:tcBorders>
              <w:top w:val="double" w:sz="4" w:space="0" w:color="auto"/>
              <w:left w:val="single" w:sz="4" w:space="0" w:color="auto"/>
              <w:bottom w:val="single" w:sz="4" w:space="0" w:color="auto"/>
              <w:right w:val="double" w:sz="6" w:space="0" w:color="auto"/>
            </w:tcBorders>
            <w:shd w:val="clear" w:color="auto" w:fill="auto"/>
            <w:vAlign w:val="center"/>
          </w:tcPr>
          <w:p w14:paraId="503BA0F1" w14:textId="77777777" w:rsidR="002410C0" w:rsidRPr="004A3C2D" w:rsidRDefault="002410C0" w:rsidP="0076278B">
            <w:pPr>
              <w:jc w:val="right"/>
              <w:rPr>
                <w:rFonts w:eastAsia="Times New Roman" w:cs="Times New Roman"/>
                <w:color w:val="000000"/>
                <w:sz w:val="20"/>
                <w:szCs w:val="20"/>
              </w:rPr>
            </w:pPr>
          </w:p>
        </w:tc>
      </w:tr>
      <w:tr w:rsidR="002410C0" w:rsidRPr="004A3C2D" w14:paraId="15AE8D9C" w14:textId="77777777" w:rsidTr="003B2A78">
        <w:trPr>
          <w:trHeight w:val="346"/>
        </w:trPr>
        <w:tc>
          <w:tcPr>
            <w:tcW w:w="898" w:type="pct"/>
            <w:tcBorders>
              <w:top w:val="single" w:sz="4" w:space="0" w:color="BFBFBF" w:themeColor="background1" w:themeShade="BF"/>
              <w:left w:val="double" w:sz="6" w:space="0" w:color="auto"/>
              <w:bottom w:val="single" w:sz="4" w:space="0" w:color="auto"/>
              <w:right w:val="single" w:sz="4" w:space="0" w:color="FFFFFF" w:themeColor="background1"/>
            </w:tcBorders>
            <w:shd w:val="clear" w:color="auto" w:fill="auto"/>
            <w:tcMar>
              <w:left w:w="58" w:type="dxa"/>
              <w:right w:w="58" w:type="dxa"/>
            </w:tcMar>
            <w:vAlign w:val="center"/>
          </w:tcPr>
          <w:p w14:paraId="253540DB"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i/>
                <w:iCs/>
                <w:color w:val="000000"/>
                <w:sz w:val="20"/>
                <w:szCs w:val="20"/>
              </w:rPr>
              <w:t>Socio-demographic</w:t>
            </w:r>
          </w:p>
        </w:tc>
        <w:tc>
          <w:tcPr>
            <w:tcW w:w="670" w:type="pct"/>
            <w:tcBorders>
              <w:top w:val="single" w:sz="4" w:space="0" w:color="BFBFBF" w:themeColor="background1" w:themeShade="BF"/>
              <w:left w:val="single" w:sz="4" w:space="0" w:color="FFFFFF" w:themeColor="background1"/>
              <w:bottom w:val="single" w:sz="4" w:space="0" w:color="auto"/>
              <w:right w:val="single" w:sz="4" w:space="0" w:color="FFFFFF" w:themeColor="background1"/>
            </w:tcBorders>
            <w:shd w:val="clear" w:color="auto" w:fill="auto"/>
            <w:tcMar>
              <w:left w:w="58" w:type="dxa"/>
              <w:right w:w="58" w:type="dxa"/>
            </w:tcMar>
            <w:vAlign w:val="center"/>
          </w:tcPr>
          <w:p w14:paraId="0705CD81" w14:textId="77777777" w:rsidR="002410C0" w:rsidRPr="004A3C2D" w:rsidRDefault="002410C0" w:rsidP="0076278B">
            <w:pPr>
              <w:rPr>
                <w:rFonts w:eastAsia="Times New Roman" w:cs="Times New Roman"/>
                <w:color w:val="000000"/>
                <w:sz w:val="20"/>
                <w:szCs w:val="20"/>
              </w:rPr>
            </w:pPr>
          </w:p>
        </w:tc>
        <w:tc>
          <w:tcPr>
            <w:tcW w:w="787" w:type="pct"/>
            <w:tcBorders>
              <w:top w:val="single" w:sz="4" w:space="0" w:color="BFBFBF" w:themeColor="background1" w:themeShade="BF"/>
              <w:left w:val="single" w:sz="4" w:space="0" w:color="FFFFFF" w:themeColor="background1"/>
              <w:bottom w:val="single" w:sz="4" w:space="0" w:color="auto"/>
              <w:right w:val="single" w:sz="12" w:space="0" w:color="auto"/>
            </w:tcBorders>
            <w:shd w:val="clear" w:color="auto" w:fill="auto"/>
            <w:tcMar>
              <w:left w:w="58" w:type="dxa"/>
              <w:right w:w="58" w:type="dxa"/>
            </w:tcMar>
            <w:vAlign w:val="center"/>
          </w:tcPr>
          <w:p w14:paraId="04A98D55" w14:textId="77777777" w:rsidR="002410C0" w:rsidRPr="004A3C2D" w:rsidRDefault="002410C0" w:rsidP="0076278B">
            <w:pPr>
              <w:rPr>
                <w:rFonts w:eastAsia="Times New Roman" w:cs="Times New Roman"/>
                <w:color w:val="000000"/>
                <w:sz w:val="20"/>
                <w:szCs w:val="20"/>
              </w:rPr>
            </w:pPr>
          </w:p>
        </w:tc>
        <w:tc>
          <w:tcPr>
            <w:tcW w:w="456" w:type="pct"/>
            <w:tcBorders>
              <w:top w:val="single" w:sz="4" w:space="0" w:color="BFBFBF" w:themeColor="background1" w:themeShade="BF"/>
              <w:left w:val="single" w:sz="12" w:space="0" w:color="auto"/>
              <w:bottom w:val="single" w:sz="4" w:space="0" w:color="auto"/>
              <w:right w:val="single" w:sz="4" w:space="0" w:color="FFFFFF" w:themeColor="background1"/>
            </w:tcBorders>
            <w:shd w:val="clear" w:color="auto" w:fill="auto"/>
            <w:vAlign w:val="center"/>
          </w:tcPr>
          <w:p w14:paraId="779FA395" w14:textId="77777777" w:rsidR="002410C0" w:rsidRPr="00B73138" w:rsidRDefault="002410C0" w:rsidP="0076278B">
            <w:pPr>
              <w:jc w:val="right"/>
              <w:rPr>
                <w:rFonts w:cs="Times New Roman"/>
                <w:color w:val="000000"/>
                <w:sz w:val="20"/>
                <w:szCs w:val="20"/>
              </w:rPr>
            </w:pPr>
            <w:r w:rsidRPr="00B73138">
              <w:rPr>
                <w:rFonts w:eastAsia="Times New Roman" w:cs="Times New Roman"/>
                <w:color w:val="000000"/>
                <w:sz w:val="20"/>
                <w:szCs w:val="20"/>
              </w:rPr>
              <w:t> </w:t>
            </w:r>
          </w:p>
        </w:tc>
        <w:tc>
          <w:tcPr>
            <w:tcW w:w="483" w:type="pct"/>
            <w:tcBorders>
              <w:top w:val="single" w:sz="4" w:space="0" w:color="BFBFBF" w:themeColor="background1" w:themeShade="BF"/>
              <w:left w:val="single" w:sz="4" w:space="0" w:color="FFFFFF" w:themeColor="background1"/>
              <w:bottom w:val="single" w:sz="4" w:space="0" w:color="auto"/>
              <w:right w:val="single" w:sz="4" w:space="0" w:color="FFFFFF" w:themeColor="background1"/>
            </w:tcBorders>
            <w:shd w:val="clear" w:color="auto" w:fill="auto"/>
            <w:vAlign w:val="center"/>
          </w:tcPr>
          <w:p w14:paraId="425383B0" w14:textId="77777777" w:rsidR="002410C0" w:rsidRPr="00B73138" w:rsidRDefault="002410C0" w:rsidP="0076278B">
            <w:pPr>
              <w:jc w:val="right"/>
              <w:rPr>
                <w:rFonts w:cs="Times New Roman"/>
                <w:color w:val="000000"/>
                <w:sz w:val="20"/>
                <w:szCs w:val="20"/>
              </w:rPr>
            </w:pPr>
            <w:r w:rsidRPr="00B73138">
              <w:rPr>
                <w:rFonts w:eastAsia="Times New Roman" w:cs="Times New Roman"/>
                <w:color w:val="000000"/>
                <w:sz w:val="20"/>
                <w:szCs w:val="20"/>
              </w:rPr>
              <w:t> </w:t>
            </w:r>
          </w:p>
        </w:tc>
        <w:tc>
          <w:tcPr>
            <w:tcW w:w="456" w:type="pct"/>
            <w:tcBorders>
              <w:top w:val="single" w:sz="4" w:space="0" w:color="BFBFBF" w:themeColor="background1" w:themeShade="BF"/>
              <w:left w:val="single" w:sz="4" w:space="0" w:color="FFFFFF" w:themeColor="background1"/>
              <w:bottom w:val="single" w:sz="4" w:space="0" w:color="auto"/>
              <w:right w:val="single" w:sz="4" w:space="0" w:color="FFFFFF" w:themeColor="background1"/>
            </w:tcBorders>
            <w:shd w:val="clear" w:color="auto" w:fill="auto"/>
            <w:vAlign w:val="center"/>
          </w:tcPr>
          <w:p w14:paraId="18EFDAD2" w14:textId="77777777" w:rsidR="002410C0" w:rsidRPr="00B73138" w:rsidRDefault="002410C0" w:rsidP="0076278B">
            <w:pPr>
              <w:jc w:val="right"/>
              <w:rPr>
                <w:rFonts w:cs="Times New Roman"/>
                <w:color w:val="000000"/>
                <w:sz w:val="20"/>
                <w:szCs w:val="20"/>
              </w:rPr>
            </w:pPr>
            <w:r w:rsidRPr="00B73138">
              <w:rPr>
                <w:rFonts w:eastAsia="Times New Roman" w:cs="Times New Roman"/>
                <w:color w:val="000000"/>
                <w:sz w:val="20"/>
                <w:szCs w:val="20"/>
              </w:rPr>
              <w:t> </w:t>
            </w:r>
          </w:p>
        </w:tc>
        <w:tc>
          <w:tcPr>
            <w:tcW w:w="445" w:type="pct"/>
            <w:tcBorders>
              <w:top w:val="single" w:sz="4" w:space="0" w:color="BFBFBF" w:themeColor="background1" w:themeShade="BF"/>
              <w:left w:val="single" w:sz="4" w:space="0" w:color="FFFFFF" w:themeColor="background1"/>
              <w:bottom w:val="single" w:sz="4" w:space="0" w:color="auto"/>
              <w:right w:val="single" w:sz="8" w:space="0" w:color="auto"/>
            </w:tcBorders>
            <w:shd w:val="clear" w:color="auto" w:fill="auto"/>
            <w:vAlign w:val="center"/>
          </w:tcPr>
          <w:p w14:paraId="44AA62A3" w14:textId="77777777" w:rsidR="002410C0" w:rsidRPr="00B73138" w:rsidRDefault="002410C0" w:rsidP="0076278B">
            <w:pPr>
              <w:jc w:val="right"/>
              <w:rPr>
                <w:rFonts w:cs="Times New Roman"/>
                <w:color w:val="000000"/>
                <w:sz w:val="20"/>
                <w:szCs w:val="20"/>
              </w:rPr>
            </w:pPr>
            <w:r w:rsidRPr="00B73138">
              <w:rPr>
                <w:rFonts w:eastAsia="Times New Roman" w:cs="Times New Roman"/>
                <w:color w:val="000000"/>
                <w:sz w:val="20"/>
                <w:szCs w:val="20"/>
              </w:rPr>
              <w:t> </w:t>
            </w:r>
          </w:p>
        </w:tc>
        <w:tc>
          <w:tcPr>
            <w:tcW w:w="413" w:type="pct"/>
            <w:tcBorders>
              <w:top w:val="single" w:sz="4" w:space="0" w:color="BFBFBF" w:themeColor="background1" w:themeShade="BF"/>
              <w:left w:val="nil"/>
              <w:bottom w:val="single" w:sz="4" w:space="0" w:color="auto"/>
              <w:right w:val="single" w:sz="12" w:space="0" w:color="auto"/>
            </w:tcBorders>
            <w:shd w:val="clear" w:color="auto" w:fill="auto"/>
            <w:vAlign w:val="center"/>
          </w:tcPr>
          <w:p w14:paraId="5796D178" w14:textId="77777777" w:rsidR="002410C0" w:rsidRPr="004A3C2D" w:rsidRDefault="002410C0" w:rsidP="0076278B">
            <w:pPr>
              <w:jc w:val="right"/>
              <w:rPr>
                <w:rFonts w:cs="Times New Roman"/>
                <w:color w:val="000000"/>
                <w:sz w:val="20"/>
                <w:szCs w:val="20"/>
              </w:rPr>
            </w:pPr>
            <w:r w:rsidRPr="004A3C2D">
              <w:rPr>
                <w:rFonts w:eastAsia="Times New Roman" w:cs="Times New Roman"/>
                <w:color w:val="000000"/>
                <w:sz w:val="20"/>
                <w:szCs w:val="20"/>
              </w:rPr>
              <w:t> </w:t>
            </w:r>
          </w:p>
        </w:tc>
        <w:tc>
          <w:tcPr>
            <w:tcW w:w="391" w:type="pct"/>
            <w:tcBorders>
              <w:top w:val="single" w:sz="4" w:space="0" w:color="BFBFBF" w:themeColor="background1" w:themeShade="BF"/>
              <w:left w:val="single" w:sz="4" w:space="0" w:color="auto"/>
              <w:bottom w:val="single" w:sz="4" w:space="0" w:color="auto"/>
              <w:right w:val="double" w:sz="6" w:space="0" w:color="auto"/>
            </w:tcBorders>
            <w:shd w:val="clear" w:color="auto" w:fill="auto"/>
            <w:vAlign w:val="center"/>
          </w:tcPr>
          <w:p w14:paraId="4FEEC2A8" w14:textId="77777777" w:rsidR="002410C0" w:rsidRPr="004A3C2D" w:rsidRDefault="002410C0" w:rsidP="0076278B">
            <w:pPr>
              <w:jc w:val="right"/>
              <w:rPr>
                <w:rFonts w:eastAsia="Times New Roman" w:cs="Times New Roman"/>
                <w:color w:val="000000"/>
                <w:sz w:val="20"/>
                <w:szCs w:val="20"/>
              </w:rPr>
            </w:pPr>
          </w:p>
        </w:tc>
      </w:tr>
      <w:tr w:rsidR="002410C0" w:rsidRPr="004A3C2D" w14:paraId="199AB190" w14:textId="77777777" w:rsidTr="003B2A78">
        <w:trPr>
          <w:trHeight w:val="346"/>
        </w:trPr>
        <w:tc>
          <w:tcPr>
            <w:tcW w:w="898" w:type="pct"/>
            <w:tcBorders>
              <w:top w:val="single" w:sz="4" w:space="0" w:color="BFBFBF" w:themeColor="background1" w:themeShade="BF"/>
              <w:left w:val="double" w:sz="6" w:space="0" w:color="auto"/>
              <w:bottom w:val="single" w:sz="4" w:space="0" w:color="A5A5A5" w:themeColor="accent3"/>
              <w:right w:val="single" w:sz="4" w:space="0" w:color="000000" w:themeColor="text1"/>
            </w:tcBorders>
            <w:shd w:val="clear" w:color="auto" w:fill="auto"/>
            <w:tcMar>
              <w:left w:w="58" w:type="dxa"/>
              <w:right w:w="58" w:type="dxa"/>
            </w:tcMar>
            <w:vAlign w:val="center"/>
          </w:tcPr>
          <w:p w14:paraId="647B66B2"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Gender</w:t>
            </w:r>
          </w:p>
        </w:tc>
        <w:tc>
          <w:tcPr>
            <w:tcW w:w="670" w:type="pct"/>
            <w:tcBorders>
              <w:top w:val="single" w:sz="4" w:space="0" w:color="BFBFBF" w:themeColor="background1" w:themeShade="BF"/>
              <w:left w:val="single" w:sz="4" w:space="0" w:color="000000" w:themeColor="text1"/>
              <w:bottom w:val="single" w:sz="4" w:space="0" w:color="A5A5A5" w:themeColor="accent3"/>
              <w:right w:val="single" w:sz="4" w:space="0" w:color="A5A5A5" w:themeColor="accent3"/>
            </w:tcBorders>
            <w:shd w:val="clear" w:color="auto" w:fill="auto"/>
            <w:tcMar>
              <w:left w:w="58" w:type="dxa"/>
              <w:right w:w="58" w:type="dxa"/>
            </w:tcMar>
            <w:vAlign w:val="center"/>
          </w:tcPr>
          <w:p w14:paraId="6D1FB060"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Male</w:t>
            </w:r>
          </w:p>
        </w:tc>
        <w:tc>
          <w:tcPr>
            <w:tcW w:w="787" w:type="pct"/>
            <w:tcBorders>
              <w:top w:val="single" w:sz="4" w:space="0" w:color="BFBFBF" w:themeColor="background1" w:themeShade="BF"/>
              <w:left w:val="single" w:sz="4" w:space="0" w:color="A5A5A5" w:themeColor="accent3"/>
              <w:bottom w:val="single" w:sz="4" w:space="0" w:color="A5A5A5" w:themeColor="accent3"/>
              <w:right w:val="single" w:sz="12" w:space="0" w:color="auto"/>
            </w:tcBorders>
            <w:shd w:val="clear" w:color="auto" w:fill="auto"/>
            <w:tcMar>
              <w:left w:w="58" w:type="dxa"/>
              <w:right w:w="58" w:type="dxa"/>
            </w:tcMar>
            <w:vAlign w:val="center"/>
          </w:tcPr>
          <w:p w14:paraId="73BE3A6C"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Female</w:t>
            </w:r>
          </w:p>
        </w:tc>
        <w:tc>
          <w:tcPr>
            <w:tcW w:w="456" w:type="pct"/>
            <w:tcBorders>
              <w:top w:val="single" w:sz="4" w:space="0" w:color="BFBFBF" w:themeColor="background1" w:themeShade="BF"/>
              <w:left w:val="single" w:sz="12" w:space="0" w:color="auto"/>
              <w:bottom w:val="single" w:sz="4" w:space="0" w:color="A5A5A5" w:themeColor="accent3"/>
              <w:right w:val="single" w:sz="4" w:space="0" w:color="A5A5A5" w:themeColor="accent3"/>
            </w:tcBorders>
            <w:shd w:val="clear" w:color="auto" w:fill="auto"/>
            <w:vAlign w:val="center"/>
          </w:tcPr>
          <w:p w14:paraId="63D442A2" w14:textId="77777777" w:rsidR="002410C0" w:rsidRPr="00B73138" w:rsidRDefault="002410C0" w:rsidP="0076278B">
            <w:pPr>
              <w:jc w:val="right"/>
              <w:rPr>
                <w:rFonts w:cs="Times New Roman"/>
                <w:color w:val="000000"/>
                <w:sz w:val="20"/>
                <w:szCs w:val="20"/>
              </w:rPr>
            </w:pPr>
            <w:r w:rsidRPr="00B73138">
              <w:rPr>
                <w:color w:val="000000"/>
                <w:sz w:val="20"/>
                <w:szCs w:val="20"/>
              </w:rPr>
              <w:t>12</w:t>
            </w:r>
          </w:p>
        </w:tc>
        <w:tc>
          <w:tcPr>
            <w:tcW w:w="483" w:type="pct"/>
            <w:tcBorders>
              <w:top w:val="single" w:sz="4" w:space="0" w:color="BFBFBF" w:themeColor="background1" w:themeShade="BF"/>
              <w:left w:val="single" w:sz="4" w:space="0" w:color="A5A5A5" w:themeColor="accent3"/>
              <w:bottom w:val="single" w:sz="4" w:space="0" w:color="A5A5A5" w:themeColor="accent3"/>
              <w:right w:val="single" w:sz="4" w:space="0" w:color="A5A5A5" w:themeColor="accent3"/>
            </w:tcBorders>
            <w:shd w:val="clear" w:color="auto" w:fill="auto"/>
            <w:vAlign w:val="center"/>
          </w:tcPr>
          <w:p w14:paraId="610D355D" w14:textId="77777777" w:rsidR="002410C0" w:rsidRPr="00B73138" w:rsidRDefault="002410C0" w:rsidP="0076278B">
            <w:pPr>
              <w:jc w:val="right"/>
              <w:rPr>
                <w:rFonts w:cs="Times New Roman"/>
                <w:color w:val="000000"/>
                <w:sz w:val="20"/>
                <w:szCs w:val="20"/>
              </w:rPr>
            </w:pPr>
            <w:r w:rsidRPr="00B73138">
              <w:rPr>
                <w:color w:val="000000"/>
                <w:sz w:val="20"/>
                <w:szCs w:val="20"/>
              </w:rPr>
              <w:t>-2</w:t>
            </w:r>
          </w:p>
        </w:tc>
        <w:tc>
          <w:tcPr>
            <w:tcW w:w="456" w:type="pct"/>
            <w:tcBorders>
              <w:top w:val="single" w:sz="4" w:space="0" w:color="BFBFBF" w:themeColor="background1" w:themeShade="BF"/>
              <w:left w:val="single" w:sz="4" w:space="0" w:color="A5A5A5" w:themeColor="accent3"/>
              <w:bottom w:val="single" w:sz="4" w:space="0" w:color="A5A5A5" w:themeColor="accent3"/>
              <w:right w:val="single" w:sz="4" w:space="0" w:color="A5A5A5" w:themeColor="accent3"/>
            </w:tcBorders>
            <w:shd w:val="clear" w:color="auto" w:fill="auto"/>
            <w:vAlign w:val="center"/>
          </w:tcPr>
          <w:p w14:paraId="52C51BEF" w14:textId="77777777" w:rsidR="002410C0" w:rsidRPr="00B73138" w:rsidRDefault="002410C0" w:rsidP="0076278B">
            <w:pPr>
              <w:jc w:val="right"/>
              <w:rPr>
                <w:rFonts w:cs="Times New Roman"/>
                <w:color w:val="000000"/>
                <w:sz w:val="20"/>
                <w:szCs w:val="20"/>
              </w:rPr>
            </w:pPr>
            <w:r w:rsidRPr="00B73138">
              <w:rPr>
                <w:color w:val="000000"/>
                <w:sz w:val="20"/>
                <w:szCs w:val="20"/>
              </w:rPr>
              <w:t>-76</w:t>
            </w:r>
          </w:p>
        </w:tc>
        <w:tc>
          <w:tcPr>
            <w:tcW w:w="445" w:type="pct"/>
            <w:tcBorders>
              <w:top w:val="single" w:sz="4" w:space="0" w:color="BFBFBF" w:themeColor="background1" w:themeShade="BF"/>
              <w:left w:val="single" w:sz="4" w:space="0" w:color="A5A5A5" w:themeColor="accent3"/>
              <w:bottom w:val="single" w:sz="4" w:space="0" w:color="A5A5A5" w:themeColor="accent3"/>
              <w:right w:val="single" w:sz="8" w:space="0" w:color="auto"/>
            </w:tcBorders>
            <w:shd w:val="clear" w:color="auto" w:fill="auto"/>
            <w:vAlign w:val="center"/>
          </w:tcPr>
          <w:p w14:paraId="6ECD6FEC" w14:textId="77777777" w:rsidR="002410C0" w:rsidRPr="00B73138" w:rsidRDefault="002410C0" w:rsidP="0076278B">
            <w:pPr>
              <w:jc w:val="right"/>
              <w:rPr>
                <w:rFonts w:cs="Times New Roman"/>
                <w:color w:val="000000"/>
                <w:sz w:val="20"/>
                <w:szCs w:val="20"/>
              </w:rPr>
            </w:pPr>
            <w:r w:rsidRPr="00B73138">
              <w:rPr>
                <w:color w:val="000000"/>
                <w:sz w:val="20"/>
                <w:szCs w:val="20"/>
              </w:rPr>
              <w:t>10</w:t>
            </w:r>
          </w:p>
        </w:tc>
        <w:tc>
          <w:tcPr>
            <w:tcW w:w="413" w:type="pct"/>
            <w:tcBorders>
              <w:top w:val="single" w:sz="4" w:space="0" w:color="BFBFBF" w:themeColor="background1" w:themeShade="BF"/>
              <w:left w:val="nil"/>
              <w:bottom w:val="single" w:sz="4" w:space="0" w:color="A5A5A5" w:themeColor="accent3"/>
              <w:right w:val="single" w:sz="12" w:space="0" w:color="auto"/>
            </w:tcBorders>
            <w:shd w:val="clear" w:color="auto" w:fill="auto"/>
            <w:vAlign w:val="center"/>
          </w:tcPr>
          <w:p w14:paraId="5A4B913E" w14:textId="77777777" w:rsidR="002410C0" w:rsidRPr="004A3C2D" w:rsidRDefault="002410C0" w:rsidP="0076278B">
            <w:pPr>
              <w:jc w:val="right"/>
              <w:rPr>
                <w:rFonts w:cs="Times New Roman"/>
                <w:color w:val="000000"/>
                <w:sz w:val="20"/>
                <w:szCs w:val="20"/>
              </w:rPr>
            </w:pPr>
            <w:r>
              <w:rPr>
                <w:color w:val="000000"/>
                <w:sz w:val="20"/>
                <w:szCs w:val="20"/>
              </w:rPr>
              <w:t>0</w:t>
            </w:r>
          </w:p>
        </w:tc>
        <w:tc>
          <w:tcPr>
            <w:tcW w:w="391" w:type="pct"/>
            <w:tcBorders>
              <w:top w:val="single" w:sz="4" w:space="0" w:color="BFBFBF" w:themeColor="background1" w:themeShade="BF"/>
              <w:left w:val="single" w:sz="4" w:space="0" w:color="auto"/>
              <w:bottom w:val="single" w:sz="4" w:space="0" w:color="A5A5A5" w:themeColor="accent3"/>
              <w:right w:val="double" w:sz="6" w:space="0" w:color="auto"/>
            </w:tcBorders>
            <w:shd w:val="clear" w:color="auto" w:fill="auto"/>
            <w:vAlign w:val="center"/>
          </w:tcPr>
          <w:p w14:paraId="200FCF91"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-0.0012</w:t>
            </w:r>
          </w:p>
        </w:tc>
      </w:tr>
      <w:tr w:rsidR="002410C0" w:rsidRPr="004A3C2D" w14:paraId="3B7D9D89" w14:textId="77777777" w:rsidTr="003B2A78">
        <w:trPr>
          <w:trHeight w:val="346"/>
        </w:trPr>
        <w:tc>
          <w:tcPr>
            <w:tcW w:w="898" w:type="pct"/>
            <w:tcBorders>
              <w:top w:val="single" w:sz="4" w:space="0" w:color="A5A5A5" w:themeColor="accent3"/>
              <w:left w:val="double" w:sz="6" w:space="0" w:color="auto"/>
              <w:bottom w:val="single" w:sz="4" w:space="0" w:color="A5A5A5" w:themeColor="accent3"/>
              <w:right w:val="single" w:sz="4" w:space="0" w:color="000000" w:themeColor="text1"/>
            </w:tcBorders>
            <w:shd w:val="clear" w:color="auto" w:fill="auto"/>
            <w:tcMar>
              <w:left w:w="58" w:type="dxa"/>
              <w:right w:w="58" w:type="dxa"/>
            </w:tcMar>
            <w:vAlign w:val="center"/>
          </w:tcPr>
          <w:p w14:paraId="5E9AAA84"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Age</w:t>
            </w:r>
          </w:p>
        </w:tc>
        <w:tc>
          <w:tcPr>
            <w:tcW w:w="670" w:type="pct"/>
            <w:tcBorders>
              <w:top w:val="single" w:sz="4" w:space="0" w:color="A5A5A5" w:themeColor="accent3"/>
              <w:left w:val="single" w:sz="4" w:space="0" w:color="000000" w:themeColor="text1"/>
              <w:bottom w:val="single" w:sz="4" w:space="0" w:color="A5A5A5" w:themeColor="accent3"/>
              <w:right w:val="single" w:sz="4" w:space="0" w:color="A5A5A5" w:themeColor="accent3"/>
            </w:tcBorders>
            <w:shd w:val="clear" w:color="auto" w:fill="auto"/>
            <w:tcMar>
              <w:left w:w="58" w:type="dxa"/>
              <w:right w:w="58" w:type="dxa"/>
            </w:tcMar>
            <w:vAlign w:val="center"/>
          </w:tcPr>
          <w:p w14:paraId="6E8C758C"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&lt;30</w:t>
            </w:r>
          </w:p>
        </w:tc>
        <w:tc>
          <w:tcPr>
            <w:tcW w:w="787" w:type="pct"/>
            <w:tcBorders>
              <w:top w:val="single" w:sz="4" w:space="0" w:color="A5A5A5" w:themeColor="accent3"/>
              <w:left w:val="single" w:sz="4" w:space="0" w:color="A5A5A5" w:themeColor="accent3"/>
              <w:bottom w:val="single" w:sz="4" w:space="0" w:color="A5A5A5" w:themeColor="accent3"/>
              <w:right w:val="single" w:sz="12" w:space="0" w:color="auto"/>
            </w:tcBorders>
            <w:shd w:val="clear" w:color="auto" w:fill="auto"/>
            <w:tcMar>
              <w:left w:w="58" w:type="dxa"/>
              <w:right w:w="58" w:type="dxa"/>
            </w:tcMar>
            <w:vAlign w:val="center"/>
          </w:tcPr>
          <w:p w14:paraId="1D8675C5"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u w:val="single"/>
              </w:rPr>
              <w:t xml:space="preserve">&gt; </w:t>
            </w:r>
            <w:r w:rsidRPr="004A3C2D">
              <w:rPr>
                <w:rFonts w:eastAsia="Times New Roman" w:cs="Times New Roman"/>
                <w:color w:val="000000"/>
                <w:sz w:val="20"/>
                <w:szCs w:val="20"/>
              </w:rPr>
              <w:t>64</w:t>
            </w:r>
          </w:p>
        </w:tc>
        <w:tc>
          <w:tcPr>
            <w:tcW w:w="456" w:type="pct"/>
            <w:tcBorders>
              <w:top w:val="single" w:sz="4" w:space="0" w:color="A5A5A5" w:themeColor="accent3"/>
              <w:left w:val="single" w:sz="12" w:space="0" w:color="auto"/>
              <w:bottom w:val="single" w:sz="4" w:space="0" w:color="A5A5A5" w:themeColor="accent3"/>
              <w:right w:val="single" w:sz="4" w:space="0" w:color="A5A5A5" w:themeColor="accent3"/>
            </w:tcBorders>
            <w:shd w:val="clear" w:color="auto" w:fill="auto"/>
            <w:vAlign w:val="center"/>
          </w:tcPr>
          <w:p w14:paraId="4A60CE6C" w14:textId="77777777" w:rsidR="002410C0" w:rsidRPr="00B73138" w:rsidRDefault="002410C0" w:rsidP="0076278B">
            <w:pPr>
              <w:jc w:val="right"/>
              <w:rPr>
                <w:color w:val="000000"/>
                <w:sz w:val="20"/>
                <w:szCs w:val="20"/>
              </w:rPr>
            </w:pPr>
            <w:r w:rsidRPr="00B73138">
              <w:rPr>
                <w:color w:val="000000"/>
                <w:sz w:val="20"/>
                <w:szCs w:val="20"/>
              </w:rPr>
              <w:t>7</w:t>
            </w:r>
          </w:p>
        </w:tc>
        <w:tc>
          <w:tcPr>
            <w:tcW w:w="483"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tcPr>
          <w:p w14:paraId="7EDBE67D" w14:textId="77777777" w:rsidR="002410C0" w:rsidRPr="00B73138" w:rsidRDefault="002410C0" w:rsidP="0076278B">
            <w:pPr>
              <w:jc w:val="right"/>
              <w:rPr>
                <w:color w:val="000000"/>
                <w:sz w:val="20"/>
                <w:szCs w:val="20"/>
              </w:rPr>
            </w:pPr>
            <w:r w:rsidRPr="00B73138">
              <w:rPr>
                <w:color w:val="000000"/>
                <w:sz w:val="20"/>
                <w:szCs w:val="20"/>
              </w:rPr>
              <w:t>-41</w:t>
            </w:r>
          </w:p>
        </w:tc>
        <w:tc>
          <w:tcPr>
            <w:tcW w:w="456"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tcPr>
          <w:p w14:paraId="552640C5" w14:textId="77777777" w:rsidR="002410C0" w:rsidRPr="00B73138" w:rsidRDefault="002410C0" w:rsidP="0076278B">
            <w:pPr>
              <w:jc w:val="right"/>
              <w:rPr>
                <w:color w:val="000000"/>
                <w:sz w:val="20"/>
                <w:szCs w:val="20"/>
              </w:rPr>
            </w:pPr>
            <w:r w:rsidRPr="00B73138">
              <w:rPr>
                <w:color w:val="000000"/>
                <w:sz w:val="20"/>
                <w:szCs w:val="20"/>
              </w:rPr>
              <w:t>-9</w:t>
            </w:r>
          </w:p>
        </w:tc>
        <w:tc>
          <w:tcPr>
            <w:tcW w:w="445" w:type="pct"/>
            <w:tcBorders>
              <w:top w:val="single" w:sz="4" w:space="0" w:color="A5A5A5" w:themeColor="accent3"/>
              <w:left w:val="single" w:sz="4" w:space="0" w:color="A5A5A5" w:themeColor="accent3"/>
              <w:bottom w:val="single" w:sz="4" w:space="0" w:color="A5A5A5" w:themeColor="accent3"/>
              <w:right w:val="single" w:sz="8" w:space="0" w:color="auto"/>
            </w:tcBorders>
            <w:shd w:val="clear" w:color="auto" w:fill="auto"/>
            <w:vAlign w:val="center"/>
          </w:tcPr>
          <w:p w14:paraId="378FAD0B" w14:textId="77777777" w:rsidR="002410C0" w:rsidRPr="00B73138" w:rsidRDefault="002410C0" w:rsidP="0076278B">
            <w:pPr>
              <w:jc w:val="right"/>
              <w:rPr>
                <w:color w:val="000000"/>
                <w:sz w:val="20"/>
                <w:szCs w:val="20"/>
              </w:rPr>
            </w:pPr>
            <w:r w:rsidRPr="00B73138">
              <w:rPr>
                <w:color w:val="000000"/>
                <w:sz w:val="20"/>
                <w:szCs w:val="20"/>
              </w:rPr>
              <w:t>2</w:t>
            </w:r>
          </w:p>
        </w:tc>
        <w:tc>
          <w:tcPr>
            <w:tcW w:w="413" w:type="pct"/>
            <w:tcBorders>
              <w:top w:val="single" w:sz="4" w:space="0" w:color="A5A5A5" w:themeColor="accent3"/>
              <w:left w:val="nil"/>
              <w:bottom w:val="single" w:sz="4" w:space="0" w:color="A5A5A5" w:themeColor="accent3"/>
              <w:right w:val="single" w:sz="12" w:space="0" w:color="auto"/>
            </w:tcBorders>
            <w:shd w:val="clear" w:color="auto" w:fill="auto"/>
            <w:vAlign w:val="center"/>
          </w:tcPr>
          <w:p w14:paraId="1DEE52EB" w14:textId="77777777" w:rsidR="002410C0" w:rsidRDefault="002410C0" w:rsidP="0076278B">
            <w:pPr>
              <w:jc w:val="right"/>
              <w:rPr>
                <w:color w:val="000000"/>
                <w:sz w:val="20"/>
                <w:szCs w:val="20"/>
              </w:rPr>
            </w:pPr>
            <w:r>
              <w:rPr>
                <w:color w:val="000000"/>
                <w:sz w:val="20"/>
                <w:szCs w:val="20"/>
              </w:rPr>
              <w:t>-41</w:t>
            </w:r>
          </w:p>
        </w:tc>
        <w:tc>
          <w:tcPr>
            <w:tcW w:w="391" w:type="pct"/>
            <w:tcBorders>
              <w:top w:val="single" w:sz="4" w:space="0" w:color="A5A5A5" w:themeColor="accent3"/>
              <w:left w:val="single" w:sz="4" w:space="0" w:color="auto"/>
              <w:bottom w:val="single" w:sz="4" w:space="0" w:color="A5A5A5" w:themeColor="accent3"/>
              <w:right w:val="double" w:sz="6" w:space="0" w:color="auto"/>
            </w:tcBorders>
            <w:shd w:val="clear" w:color="auto" w:fill="auto"/>
            <w:vAlign w:val="center"/>
          </w:tcPr>
          <w:p w14:paraId="5AEFC5A1"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-0.0851</w:t>
            </w:r>
          </w:p>
        </w:tc>
      </w:tr>
      <w:tr w:rsidR="002410C0" w:rsidRPr="004A3C2D" w14:paraId="341B8337" w14:textId="77777777" w:rsidTr="003B2A78">
        <w:trPr>
          <w:trHeight w:val="346"/>
        </w:trPr>
        <w:tc>
          <w:tcPr>
            <w:tcW w:w="898" w:type="pct"/>
            <w:tcBorders>
              <w:top w:val="single" w:sz="4" w:space="0" w:color="A5A5A5" w:themeColor="accent3"/>
              <w:left w:val="double" w:sz="6" w:space="0" w:color="auto"/>
              <w:bottom w:val="single" w:sz="4" w:space="0" w:color="A5A5A5" w:themeColor="accent3"/>
              <w:right w:val="single" w:sz="4" w:space="0" w:color="000000" w:themeColor="text1"/>
            </w:tcBorders>
            <w:shd w:val="clear" w:color="auto" w:fill="auto"/>
            <w:tcMar>
              <w:left w:w="58" w:type="dxa"/>
              <w:right w:w="58" w:type="dxa"/>
            </w:tcMar>
            <w:vAlign w:val="center"/>
          </w:tcPr>
          <w:p w14:paraId="5D1167C3"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Employment Status</w:t>
            </w:r>
          </w:p>
        </w:tc>
        <w:tc>
          <w:tcPr>
            <w:tcW w:w="670" w:type="pct"/>
            <w:tcBorders>
              <w:top w:val="single" w:sz="4" w:space="0" w:color="A5A5A5" w:themeColor="accent3"/>
              <w:left w:val="single" w:sz="4" w:space="0" w:color="000000" w:themeColor="text1"/>
              <w:bottom w:val="single" w:sz="4" w:space="0" w:color="A5A5A5" w:themeColor="accent3"/>
              <w:right w:val="single" w:sz="4" w:space="0" w:color="A5A5A5" w:themeColor="accent3"/>
            </w:tcBorders>
            <w:shd w:val="clear" w:color="auto" w:fill="auto"/>
            <w:tcMar>
              <w:left w:w="58" w:type="dxa"/>
              <w:right w:w="58" w:type="dxa"/>
            </w:tcMar>
            <w:vAlign w:val="center"/>
          </w:tcPr>
          <w:p w14:paraId="7FC67941"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Unemployed</w:t>
            </w:r>
          </w:p>
        </w:tc>
        <w:tc>
          <w:tcPr>
            <w:tcW w:w="787" w:type="pct"/>
            <w:tcBorders>
              <w:top w:val="single" w:sz="4" w:space="0" w:color="A5A5A5" w:themeColor="accent3"/>
              <w:left w:val="single" w:sz="4" w:space="0" w:color="A5A5A5" w:themeColor="accent3"/>
              <w:bottom w:val="single" w:sz="4" w:space="0" w:color="A5A5A5" w:themeColor="accent3"/>
              <w:right w:val="single" w:sz="12" w:space="0" w:color="auto"/>
            </w:tcBorders>
            <w:shd w:val="clear" w:color="auto" w:fill="auto"/>
            <w:tcMar>
              <w:left w:w="58" w:type="dxa"/>
              <w:right w:w="58" w:type="dxa"/>
            </w:tcMar>
            <w:vAlign w:val="center"/>
          </w:tcPr>
          <w:p w14:paraId="7C26B582" w14:textId="77777777" w:rsidR="002410C0" w:rsidRPr="004A3C2D" w:rsidRDefault="002410C0" w:rsidP="0076278B">
            <w:pPr>
              <w:rPr>
                <w:rFonts w:eastAsia="Times New Roman" w:cs="Times New Roman"/>
                <w:color w:val="000000"/>
                <w:sz w:val="20"/>
                <w:szCs w:val="20"/>
                <w:u w:val="single"/>
              </w:rPr>
            </w:pPr>
            <w:r w:rsidRPr="004A3C2D">
              <w:rPr>
                <w:rFonts w:eastAsia="Times New Roman" w:cs="Times New Roman"/>
                <w:color w:val="000000"/>
                <w:sz w:val="20"/>
                <w:szCs w:val="20"/>
              </w:rPr>
              <w:t>Employed</w:t>
            </w:r>
          </w:p>
        </w:tc>
        <w:tc>
          <w:tcPr>
            <w:tcW w:w="456" w:type="pct"/>
            <w:tcBorders>
              <w:top w:val="single" w:sz="4" w:space="0" w:color="A5A5A5" w:themeColor="accent3"/>
              <w:left w:val="single" w:sz="12" w:space="0" w:color="auto"/>
              <w:bottom w:val="single" w:sz="4" w:space="0" w:color="A5A5A5" w:themeColor="accent3"/>
              <w:right w:val="single" w:sz="4" w:space="0" w:color="A5A5A5" w:themeColor="accent3"/>
            </w:tcBorders>
            <w:shd w:val="clear" w:color="auto" w:fill="auto"/>
            <w:vAlign w:val="center"/>
          </w:tcPr>
          <w:p w14:paraId="740E4904" w14:textId="77777777" w:rsidR="002410C0" w:rsidRPr="00B73138" w:rsidRDefault="002410C0" w:rsidP="0076278B">
            <w:pPr>
              <w:jc w:val="right"/>
              <w:rPr>
                <w:color w:val="000000"/>
                <w:sz w:val="20"/>
                <w:szCs w:val="20"/>
              </w:rPr>
            </w:pPr>
            <w:r w:rsidRPr="00B73138">
              <w:rPr>
                <w:color w:val="000000"/>
                <w:sz w:val="20"/>
                <w:szCs w:val="20"/>
              </w:rPr>
              <w:t>0</w:t>
            </w:r>
          </w:p>
        </w:tc>
        <w:tc>
          <w:tcPr>
            <w:tcW w:w="483"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tcPr>
          <w:p w14:paraId="631403FB" w14:textId="77777777" w:rsidR="002410C0" w:rsidRPr="00B73138" w:rsidRDefault="002410C0" w:rsidP="0076278B">
            <w:pPr>
              <w:jc w:val="right"/>
              <w:rPr>
                <w:color w:val="000000"/>
                <w:sz w:val="20"/>
                <w:szCs w:val="20"/>
              </w:rPr>
            </w:pPr>
            <w:r w:rsidRPr="00B73138">
              <w:rPr>
                <w:color w:val="000000"/>
                <w:sz w:val="20"/>
                <w:szCs w:val="20"/>
              </w:rPr>
              <w:t>0</w:t>
            </w:r>
          </w:p>
        </w:tc>
        <w:tc>
          <w:tcPr>
            <w:tcW w:w="456"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tcPr>
          <w:p w14:paraId="11E992D2" w14:textId="77777777" w:rsidR="002410C0" w:rsidRPr="00B73138" w:rsidRDefault="002410C0" w:rsidP="0076278B">
            <w:pPr>
              <w:jc w:val="right"/>
              <w:rPr>
                <w:color w:val="000000"/>
                <w:sz w:val="20"/>
                <w:szCs w:val="20"/>
              </w:rPr>
            </w:pPr>
            <w:r w:rsidRPr="00B73138">
              <w:rPr>
                <w:color w:val="000000"/>
                <w:sz w:val="20"/>
                <w:szCs w:val="20"/>
              </w:rPr>
              <w:t>100</w:t>
            </w:r>
          </w:p>
        </w:tc>
        <w:tc>
          <w:tcPr>
            <w:tcW w:w="445" w:type="pct"/>
            <w:tcBorders>
              <w:top w:val="single" w:sz="4" w:space="0" w:color="A5A5A5" w:themeColor="accent3"/>
              <w:left w:val="single" w:sz="4" w:space="0" w:color="A5A5A5" w:themeColor="accent3"/>
              <w:bottom w:val="single" w:sz="4" w:space="0" w:color="A5A5A5" w:themeColor="accent3"/>
              <w:right w:val="single" w:sz="8" w:space="0" w:color="auto"/>
            </w:tcBorders>
            <w:shd w:val="clear" w:color="auto" w:fill="auto"/>
            <w:vAlign w:val="center"/>
          </w:tcPr>
          <w:p w14:paraId="48B24593" w14:textId="77777777" w:rsidR="002410C0" w:rsidRPr="00B73138" w:rsidRDefault="002410C0" w:rsidP="0076278B">
            <w:pPr>
              <w:jc w:val="right"/>
              <w:rPr>
                <w:color w:val="000000"/>
                <w:sz w:val="20"/>
                <w:szCs w:val="20"/>
              </w:rPr>
            </w:pPr>
            <w:r w:rsidRPr="00B73138">
              <w:rPr>
                <w:color w:val="000000"/>
                <w:sz w:val="20"/>
                <w:szCs w:val="20"/>
              </w:rPr>
              <w:t>0</w:t>
            </w:r>
          </w:p>
        </w:tc>
        <w:tc>
          <w:tcPr>
            <w:tcW w:w="413" w:type="pct"/>
            <w:tcBorders>
              <w:top w:val="single" w:sz="4" w:space="0" w:color="A5A5A5" w:themeColor="accent3"/>
              <w:left w:val="nil"/>
              <w:bottom w:val="single" w:sz="4" w:space="0" w:color="A5A5A5" w:themeColor="accent3"/>
              <w:right w:val="single" w:sz="12" w:space="0" w:color="auto"/>
            </w:tcBorders>
            <w:shd w:val="clear" w:color="auto" w:fill="auto"/>
            <w:vAlign w:val="center"/>
          </w:tcPr>
          <w:p w14:paraId="7A23F695" w14:textId="77777777" w:rsidR="002410C0" w:rsidRDefault="002410C0" w:rsidP="0076278B">
            <w:pPr>
              <w:jc w:val="right"/>
              <w:rPr>
                <w:color w:val="000000"/>
                <w:sz w:val="20"/>
                <w:szCs w:val="20"/>
              </w:rPr>
            </w:pPr>
            <w:r>
              <w:rPr>
                <w:color w:val="000000"/>
                <w:sz w:val="20"/>
                <w:szCs w:val="20"/>
              </w:rPr>
              <w:t>0</w:t>
            </w:r>
          </w:p>
        </w:tc>
        <w:tc>
          <w:tcPr>
            <w:tcW w:w="391" w:type="pct"/>
            <w:tcBorders>
              <w:top w:val="single" w:sz="4" w:space="0" w:color="A5A5A5" w:themeColor="accent3"/>
              <w:left w:val="single" w:sz="4" w:space="0" w:color="auto"/>
              <w:bottom w:val="single" w:sz="4" w:space="0" w:color="A5A5A5" w:themeColor="accent3"/>
              <w:right w:val="double" w:sz="6" w:space="0" w:color="auto"/>
            </w:tcBorders>
            <w:shd w:val="clear" w:color="auto" w:fill="auto"/>
            <w:vAlign w:val="center"/>
          </w:tcPr>
          <w:p w14:paraId="50B7BEB2"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0.0033</w:t>
            </w:r>
          </w:p>
        </w:tc>
      </w:tr>
      <w:tr w:rsidR="002410C0" w:rsidRPr="004A3C2D" w14:paraId="1648F0BA" w14:textId="77777777" w:rsidTr="003B2A78">
        <w:trPr>
          <w:trHeight w:val="346"/>
        </w:trPr>
        <w:tc>
          <w:tcPr>
            <w:tcW w:w="898" w:type="pct"/>
            <w:tcBorders>
              <w:top w:val="single" w:sz="4" w:space="0" w:color="A5A5A5" w:themeColor="accent3"/>
              <w:left w:val="double" w:sz="6" w:space="0" w:color="auto"/>
              <w:bottom w:val="single" w:sz="4" w:space="0" w:color="A5A5A5" w:themeColor="accent3"/>
              <w:right w:val="single" w:sz="4" w:space="0" w:color="000000" w:themeColor="text1"/>
            </w:tcBorders>
            <w:shd w:val="clear" w:color="auto" w:fill="auto"/>
            <w:tcMar>
              <w:left w:w="58" w:type="dxa"/>
              <w:right w:w="58" w:type="dxa"/>
            </w:tcMar>
            <w:vAlign w:val="center"/>
          </w:tcPr>
          <w:p w14:paraId="1E859293"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Education</w:t>
            </w:r>
          </w:p>
        </w:tc>
        <w:tc>
          <w:tcPr>
            <w:tcW w:w="670" w:type="pct"/>
            <w:tcBorders>
              <w:top w:val="single" w:sz="4" w:space="0" w:color="A5A5A5" w:themeColor="accent3"/>
              <w:left w:val="single" w:sz="4" w:space="0" w:color="000000" w:themeColor="text1"/>
              <w:bottom w:val="single" w:sz="4" w:space="0" w:color="A5A5A5" w:themeColor="accent3"/>
              <w:right w:val="single" w:sz="4" w:space="0" w:color="A5A5A5" w:themeColor="accent3"/>
            </w:tcBorders>
            <w:shd w:val="clear" w:color="auto" w:fill="auto"/>
            <w:tcMar>
              <w:left w:w="58" w:type="dxa"/>
              <w:right w:w="58" w:type="dxa"/>
            </w:tcMar>
            <w:vAlign w:val="center"/>
          </w:tcPr>
          <w:p w14:paraId="0554D0B8"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High school or less</w:t>
            </w:r>
          </w:p>
        </w:tc>
        <w:tc>
          <w:tcPr>
            <w:tcW w:w="787" w:type="pct"/>
            <w:tcBorders>
              <w:top w:val="single" w:sz="4" w:space="0" w:color="A5A5A5" w:themeColor="accent3"/>
              <w:left w:val="single" w:sz="4" w:space="0" w:color="A5A5A5" w:themeColor="accent3"/>
              <w:bottom w:val="single" w:sz="4" w:space="0" w:color="A5A5A5" w:themeColor="accent3"/>
              <w:right w:val="single" w:sz="12" w:space="0" w:color="auto"/>
            </w:tcBorders>
            <w:shd w:val="clear" w:color="auto" w:fill="auto"/>
            <w:tcMar>
              <w:left w:w="58" w:type="dxa"/>
              <w:right w:w="58" w:type="dxa"/>
            </w:tcMar>
            <w:vAlign w:val="center"/>
          </w:tcPr>
          <w:p w14:paraId="21D7E8FB"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Higher than high school</w:t>
            </w:r>
          </w:p>
        </w:tc>
        <w:tc>
          <w:tcPr>
            <w:tcW w:w="456" w:type="pct"/>
            <w:tcBorders>
              <w:top w:val="single" w:sz="4" w:space="0" w:color="A5A5A5" w:themeColor="accent3"/>
              <w:left w:val="single" w:sz="12" w:space="0" w:color="auto"/>
              <w:bottom w:val="single" w:sz="4" w:space="0" w:color="A5A5A5" w:themeColor="accent3"/>
              <w:right w:val="single" w:sz="4" w:space="0" w:color="A5A5A5" w:themeColor="accent3"/>
            </w:tcBorders>
            <w:shd w:val="clear" w:color="auto" w:fill="auto"/>
            <w:vAlign w:val="center"/>
          </w:tcPr>
          <w:p w14:paraId="73119942" w14:textId="77777777" w:rsidR="002410C0" w:rsidRPr="00B73138" w:rsidRDefault="002410C0" w:rsidP="0076278B">
            <w:pPr>
              <w:jc w:val="right"/>
              <w:rPr>
                <w:rFonts w:cs="Times New Roman"/>
                <w:color w:val="000000"/>
                <w:sz w:val="20"/>
                <w:szCs w:val="20"/>
              </w:rPr>
            </w:pPr>
            <w:r w:rsidRPr="00B73138">
              <w:rPr>
                <w:color w:val="000000"/>
                <w:sz w:val="20"/>
                <w:szCs w:val="20"/>
              </w:rPr>
              <w:t>-70</w:t>
            </w:r>
          </w:p>
        </w:tc>
        <w:tc>
          <w:tcPr>
            <w:tcW w:w="483"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tcPr>
          <w:p w14:paraId="05315C09" w14:textId="77777777" w:rsidR="002410C0" w:rsidRPr="00B73138" w:rsidRDefault="002410C0" w:rsidP="0076278B">
            <w:pPr>
              <w:jc w:val="right"/>
              <w:rPr>
                <w:rFonts w:cs="Times New Roman"/>
                <w:color w:val="000000"/>
                <w:sz w:val="20"/>
                <w:szCs w:val="20"/>
              </w:rPr>
            </w:pPr>
            <w:r w:rsidRPr="00B73138">
              <w:rPr>
                <w:color w:val="000000"/>
                <w:sz w:val="20"/>
                <w:szCs w:val="20"/>
              </w:rPr>
              <w:t>0</w:t>
            </w:r>
          </w:p>
        </w:tc>
        <w:tc>
          <w:tcPr>
            <w:tcW w:w="456"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tcPr>
          <w:p w14:paraId="51A47DD7" w14:textId="77777777" w:rsidR="002410C0" w:rsidRPr="00B73138" w:rsidRDefault="002410C0" w:rsidP="0076278B">
            <w:pPr>
              <w:jc w:val="right"/>
              <w:rPr>
                <w:rFonts w:cs="Times New Roman"/>
                <w:color w:val="000000"/>
                <w:sz w:val="20"/>
                <w:szCs w:val="20"/>
              </w:rPr>
            </w:pPr>
            <w:r w:rsidRPr="00B73138">
              <w:rPr>
                <w:color w:val="000000"/>
                <w:sz w:val="20"/>
                <w:szCs w:val="20"/>
              </w:rPr>
              <w:t>0</w:t>
            </w:r>
          </w:p>
        </w:tc>
        <w:tc>
          <w:tcPr>
            <w:tcW w:w="445" w:type="pct"/>
            <w:tcBorders>
              <w:top w:val="single" w:sz="4" w:space="0" w:color="A5A5A5" w:themeColor="accent3"/>
              <w:left w:val="single" w:sz="4" w:space="0" w:color="A5A5A5" w:themeColor="accent3"/>
              <w:bottom w:val="single" w:sz="4" w:space="0" w:color="A5A5A5" w:themeColor="accent3"/>
              <w:right w:val="single" w:sz="8" w:space="0" w:color="auto"/>
            </w:tcBorders>
            <w:shd w:val="clear" w:color="auto" w:fill="auto"/>
            <w:vAlign w:val="center"/>
          </w:tcPr>
          <w:p w14:paraId="2E7C8044" w14:textId="77777777" w:rsidR="002410C0" w:rsidRPr="00B73138" w:rsidRDefault="002410C0" w:rsidP="0076278B">
            <w:pPr>
              <w:jc w:val="right"/>
              <w:rPr>
                <w:rFonts w:cs="Times New Roman"/>
                <w:color w:val="000000"/>
                <w:sz w:val="20"/>
                <w:szCs w:val="20"/>
              </w:rPr>
            </w:pPr>
            <w:r w:rsidRPr="00B73138">
              <w:rPr>
                <w:color w:val="000000"/>
                <w:sz w:val="20"/>
                <w:szCs w:val="20"/>
              </w:rPr>
              <w:t>-30</w:t>
            </w:r>
          </w:p>
        </w:tc>
        <w:tc>
          <w:tcPr>
            <w:tcW w:w="413" w:type="pct"/>
            <w:tcBorders>
              <w:top w:val="single" w:sz="4" w:space="0" w:color="A5A5A5" w:themeColor="accent3"/>
              <w:left w:val="nil"/>
              <w:bottom w:val="single" w:sz="4" w:space="0" w:color="A5A5A5" w:themeColor="accent3"/>
              <w:right w:val="single" w:sz="12" w:space="0" w:color="auto"/>
            </w:tcBorders>
            <w:shd w:val="clear" w:color="auto" w:fill="auto"/>
            <w:vAlign w:val="center"/>
          </w:tcPr>
          <w:p w14:paraId="79517E67" w14:textId="77777777" w:rsidR="002410C0" w:rsidRPr="004A3C2D" w:rsidRDefault="002410C0" w:rsidP="0076278B">
            <w:pPr>
              <w:jc w:val="right"/>
              <w:rPr>
                <w:rFonts w:cs="Times New Roman"/>
                <w:color w:val="000000"/>
                <w:sz w:val="20"/>
                <w:szCs w:val="20"/>
              </w:rPr>
            </w:pPr>
            <w:r>
              <w:rPr>
                <w:color w:val="000000"/>
                <w:sz w:val="20"/>
                <w:szCs w:val="20"/>
              </w:rPr>
              <w:t>0</w:t>
            </w:r>
          </w:p>
        </w:tc>
        <w:tc>
          <w:tcPr>
            <w:tcW w:w="391" w:type="pct"/>
            <w:tcBorders>
              <w:top w:val="single" w:sz="4" w:space="0" w:color="A5A5A5" w:themeColor="accent3"/>
              <w:left w:val="single" w:sz="4" w:space="0" w:color="auto"/>
              <w:bottom w:val="single" w:sz="4" w:space="0" w:color="A5A5A5" w:themeColor="accent3"/>
              <w:right w:val="double" w:sz="6" w:space="0" w:color="auto"/>
            </w:tcBorders>
            <w:shd w:val="clear" w:color="auto" w:fill="auto"/>
            <w:vAlign w:val="center"/>
          </w:tcPr>
          <w:p w14:paraId="466B1D1E"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-0.0061</w:t>
            </w:r>
          </w:p>
        </w:tc>
      </w:tr>
      <w:tr w:rsidR="002410C0" w:rsidRPr="004A3C2D" w14:paraId="757021C9" w14:textId="77777777" w:rsidTr="003B2A78">
        <w:trPr>
          <w:trHeight w:val="346"/>
        </w:trPr>
        <w:tc>
          <w:tcPr>
            <w:tcW w:w="898" w:type="pct"/>
            <w:tcBorders>
              <w:top w:val="single" w:sz="4" w:space="0" w:color="A5A5A5" w:themeColor="accent3"/>
              <w:left w:val="double" w:sz="6" w:space="0" w:color="auto"/>
              <w:bottom w:val="single" w:sz="4" w:space="0" w:color="000000" w:themeColor="text1"/>
              <w:right w:val="single" w:sz="4" w:space="0" w:color="000000" w:themeColor="text1"/>
            </w:tcBorders>
            <w:shd w:val="clear" w:color="auto" w:fill="auto"/>
            <w:tcMar>
              <w:left w:w="58" w:type="dxa"/>
              <w:right w:w="58" w:type="dxa"/>
            </w:tcMar>
            <w:vAlign w:val="center"/>
          </w:tcPr>
          <w:p w14:paraId="0747C778"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Income</w:t>
            </w:r>
          </w:p>
        </w:tc>
        <w:tc>
          <w:tcPr>
            <w:tcW w:w="670" w:type="pct"/>
            <w:tcBorders>
              <w:top w:val="single" w:sz="4" w:space="0" w:color="A5A5A5" w:themeColor="accent3"/>
              <w:left w:val="single" w:sz="4" w:space="0" w:color="000000" w:themeColor="text1"/>
              <w:bottom w:val="single" w:sz="4" w:space="0" w:color="000000" w:themeColor="text1"/>
              <w:right w:val="single" w:sz="4" w:space="0" w:color="A5A5A5" w:themeColor="accent3"/>
            </w:tcBorders>
            <w:shd w:val="clear" w:color="auto" w:fill="auto"/>
            <w:tcMar>
              <w:left w:w="58" w:type="dxa"/>
              <w:right w:w="58" w:type="dxa"/>
            </w:tcMar>
            <w:vAlign w:val="center"/>
          </w:tcPr>
          <w:p w14:paraId="67BC0D66" w14:textId="77777777" w:rsidR="002410C0" w:rsidRPr="004A3C2D" w:rsidRDefault="002410C0" w:rsidP="0076278B">
            <w:pPr>
              <w:rPr>
                <w:rFonts w:eastAsia="Times New Roman" w:cs="Times New Roman"/>
                <w:color w:val="000000"/>
                <w:sz w:val="20"/>
                <w:szCs w:val="20"/>
              </w:rPr>
            </w:pPr>
            <w:r w:rsidRPr="00A245F2">
              <w:rPr>
                <w:rFonts w:eastAsia="Times New Roman" w:cs="Times New Roman"/>
                <w:color w:val="000000"/>
                <w:sz w:val="20"/>
                <w:szCs w:val="20"/>
              </w:rPr>
              <w:t>&lt;</w:t>
            </w:r>
            <w:r w:rsidRPr="004A3C2D">
              <w:rPr>
                <w:rFonts w:eastAsia="Times New Roman" w:cs="Times New Roman"/>
                <w:color w:val="000000"/>
                <w:sz w:val="20"/>
                <w:szCs w:val="20"/>
              </w:rPr>
              <w:t>$100,000</w:t>
            </w:r>
          </w:p>
        </w:tc>
        <w:tc>
          <w:tcPr>
            <w:tcW w:w="787" w:type="pct"/>
            <w:tcBorders>
              <w:top w:val="single" w:sz="4" w:space="0" w:color="A5A5A5" w:themeColor="accent3"/>
              <w:left w:val="single" w:sz="4" w:space="0" w:color="A5A5A5" w:themeColor="accent3"/>
              <w:bottom w:val="single" w:sz="4" w:space="0" w:color="000000" w:themeColor="text1"/>
              <w:right w:val="single" w:sz="12" w:space="0" w:color="auto"/>
            </w:tcBorders>
            <w:shd w:val="clear" w:color="auto" w:fill="auto"/>
            <w:tcMar>
              <w:left w:w="58" w:type="dxa"/>
              <w:right w:w="58" w:type="dxa"/>
            </w:tcMar>
            <w:vAlign w:val="center"/>
          </w:tcPr>
          <w:p w14:paraId="345AF4D9" w14:textId="77777777" w:rsidR="002410C0" w:rsidRPr="004A3C2D" w:rsidRDefault="002410C0" w:rsidP="0076278B">
            <w:pPr>
              <w:rPr>
                <w:rFonts w:eastAsia="Times New Roman" w:cs="Times New Roman"/>
                <w:color w:val="000000"/>
                <w:sz w:val="20"/>
                <w:szCs w:val="20"/>
              </w:rPr>
            </w:pPr>
            <w:r w:rsidRPr="00A245F2">
              <w:rPr>
                <w:rFonts w:eastAsia="Times New Roman" w:cs="Times New Roman"/>
                <w:color w:val="000000"/>
                <w:sz w:val="20"/>
                <w:szCs w:val="20"/>
                <w:u w:val="single"/>
              </w:rPr>
              <w:t>&gt;</w:t>
            </w:r>
            <w:r w:rsidRPr="004A3C2D">
              <w:rPr>
                <w:rFonts w:eastAsia="Times New Roman" w:cs="Times New Roman"/>
                <w:color w:val="000000"/>
                <w:sz w:val="20"/>
                <w:szCs w:val="20"/>
              </w:rPr>
              <w:t xml:space="preserve">$100,000 </w:t>
            </w:r>
          </w:p>
        </w:tc>
        <w:tc>
          <w:tcPr>
            <w:tcW w:w="456" w:type="pct"/>
            <w:tcBorders>
              <w:top w:val="single" w:sz="4" w:space="0" w:color="A5A5A5" w:themeColor="accent3"/>
              <w:left w:val="single" w:sz="12" w:space="0" w:color="auto"/>
              <w:bottom w:val="single" w:sz="4" w:space="0" w:color="000000" w:themeColor="text1"/>
              <w:right w:val="single" w:sz="4" w:space="0" w:color="A5A5A5" w:themeColor="accent3"/>
            </w:tcBorders>
            <w:shd w:val="clear" w:color="auto" w:fill="auto"/>
            <w:vAlign w:val="center"/>
          </w:tcPr>
          <w:p w14:paraId="206FE6CD" w14:textId="77777777" w:rsidR="002410C0" w:rsidRPr="00B73138" w:rsidRDefault="002410C0" w:rsidP="0076278B">
            <w:pPr>
              <w:jc w:val="right"/>
              <w:rPr>
                <w:rFonts w:cs="Times New Roman"/>
                <w:color w:val="000000"/>
                <w:sz w:val="20"/>
                <w:szCs w:val="20"/>
              </w:rPr>
            </w:pPr>
            <w:r w:rsidRPr="00B73138">
              <w:rPr>
                <w:color w:val="000000"/>
                <w:sz w:val="20"/>
                <w:szCs w:val="20"/>
              </w:rPr>
              <w:t>0</w:t>
            </w:r>
          </w:p>
        </w:tc>
        <w:tc>
          <w:tcPr>
            <w:tcW w:w="483" w:type="pct"/>
            <w:tcBorders>
              <w:top w:val="single" w:sz="4" w:space="0" w:color="A5A5A5" w:themeColor="accent3"/>
              <w:left w:val="single" w:sz="4" w:space="0" w:color="A5A5A5" w:themeColor="accent3"/>
              <w:bottom w:val="single" w:sz="4" w:space="0" w:color="000000" w:themeColor="text1"/>
              <w:right w:val="single" w:sz="4" w:space="0" w:color="A5A5A5" w:themeColor="accent3"/>
            </w:tcBorders>
            <w:shd w:val="clear" w:color="auto" w:fill="auto"/>
            <w:vAlign w:val="center"/>
          </w:tcPr>
          <w:p w14:paraId="7FF60243" w14:textId="77777777" w:rsidR="002410C0" w:rsidRPr="00B73138" w:rsidRDefault="002410C0" w:rsidP="0076278B">
            <w:pPr>
              <w:jc w:val="right"/>
              <w:rPr>
                <w:rFonts w:cs="Times New Roman"/>
                <w:color w:val="000000"/>
                <w:sz w:val="20"/>
                <w:szCs w:val="20"/>
              </w:rPr>
            </w:pPr>
            <w:r w:rsidRPr="00B73138">
              <w:rPr>
                <w:color w:val="000000"/>
                <w:sz w:val="20"/>
                <w:szCs w:val="20"/>
              </w:rPr>
              <w:t>0</w:t>
            </w:r>
          </w:p>
        </w:tc>
        <w:tc>
          <w:tcPr>
            <w:tcW w:w="456" w:type="pct"/>
            <w:tcBorders>
              <w:top w:val="single" w:sz="4" w:space="0" w:color="A5A5A5" w:themeColor="accent3"/>
              <w:left w:val="single" w:sz="4" w:space="0" w:color="A5A5A5" w:themeColor="accent3"/>
              <w:bottom w:val="single" w:sz="4" w:space="0" w:color="000000" w:themeColor="text1"/>
              <w:right w:val="single" w:sz="4" w:space="0" w:color="A5A5A5" w:themeColor="accent3"/>
            </w:tcBorders>
            <w:shd w:val="clear" w:color="auto" w:fill="auto"/>
            <w:vAlign w:val="center"/>
          </w:tcPr>
          <w:p w14:paraId="1BC1C299" w14:textId="77777777" w:rsidR="002410C0" w:rsidRPr="00B73138" w:rsidRDefault="002410C0" w:rsidP="0076278B">
            <w:pPr>
              <w:jc w:val="right"/>
              <w:rPr>
                <w:rFonts w:cs="Times New Roman"/>
                <w:color w:val="000000"/>
                <w:sz w:val="20"/>
                <w:szCs w:val="20"/>
              </w:rPr>
            </w:pPr>
            <w:r w:rsidRPr="00B73138">
              <w:rPr>
                <w:color w:val="000000"/>
                <w:sz w:val="20"/>
                <w:szCs w:val="20"/>
              </w:rPr>
              <w:t>0</w:t>
            </w:r>
          </w:p>
        </w:tc>
        <w:tc>
          <w:tcPr>
            <w:tcW w:w="445" w:type="pct"/>
            <w:tcBorders>
              <w:top w:val="single" w:sz="4" w:space="0" w:color="A5A5A5" w:themeColor="accent3"/>
              <w:left w:val="single" w:sz="4" w:space="0" w:color="A5A5A5" w:themeColor="accent3"/>
              <w:bottom w:val="single" w:sz="4" w:space="0" w:color="000000" w:themeColor="text1"/>
              <w:right w:val="single" w:sz="8" w:space="0" w:color="auto"/>
            </w:tcBorders>
            <w:shd w:val="clear" w:color="auto" w:fill="auto"/>
            <w:vAlign w:val="center"/>
          </w:tcPr>
          <w:p w14:paraId="73531D9A" w14:textId="77777777" w:rsidR="002410C0" w:rsidRPr="00B73138" w:rsidRDefault="002410C0" w:rsidP="0076278B">
            <w:pPr>
              <w:jc w:val="right"/>
              <w:rPr>
                <w:rFonts w:cs="Times New Roman"/>
                <w:color w:val="000000"/>
                <w:sz w:val="20"/>
                <w:szCs w:val="20"/>
              </w:rPr>
            </w:pPr>
            <w:r w:rsidRPr="00B73138">
              <w:rPr>
                <w:color w:val="000000"/>
                <w:sz w:val="20"/>
                <w:szCs w:val="20"/>
              </w:rPr>
              <w:t>-100</w:t>
            </w:r>
          </w:p>
        </w:tc>
        <w:tc>
          <w:tcPr>
            <w:tcW w:w="413" w:type="pct"/>
            <w:tcBorders>
              <w:top w:val="single" w:sz="4" w:space="0" w:color="A5A5A5" w:themeColor="accent3"/>
              <w:left w:val="nil"/>
              <w:bottom w:val="single" w:sz="4" w:space="0" w:color="000000" w:themeColor="text1"/>
              <w:right w:val="single" w:sz="12" w:space="0" w:color="auto"/>
            </w:tcBorders>
            <w:shd w:val="clear" w:color="auto" w:fill="auto"/>
            <w:vAlign w:val="center"/>
          </w:tcPr>
          <w:p w14:paraId="56A39BB9" w14:textId="77777777" w:rsidR="002410C0" w:rsidRPr="004A3C2D" w:rsidRDefault="002410C0" w:rsidP="0076278B">
            <w:pPr>
              <w:jc w:val="right"/>
              <w:rPr>
                <w:rFonts w:cs="Times New Roman"/>
                <w:color w:val="000000"/>
                <w:sz w:val="20"/>
                <w:szCs w:val="20"/>
              </w:rPr>
            </w:pPr>
            <w:r>
              <w:rPr>
                <w:color w:val="000000"/>
                <w:sz w:val="20"/>
                <w:szCs w:val="20"/>
              </w:rPr>
              <w:t>0</w:t>
            </w:r>
          </w:p>
        </w:tc>
        <w:tc>
          <w:tcPr>
            <w:tcW w:w="391" w:type="pct"/>
            <w:tcBorders>
              <w:top w:val="single" w:sz="4" w:space="0" w:color="A5A5A5" w:themeColor="accent3"/>
              <w:left w:val="single" w:sz="4" w:space="0" w:color="auto"/>
              <w:bottom w:val="single" w:sz="4" w:space="0" w:color="000000" w:themeColor="text1"/>
              <w:right w:val="double" w:sz="6" w:space="0" w:color="auto"/>
            </w:tcBorders>
            <w:shd w:val="clear" w:color="auto" w:fill="auto"/>
            <w:vAlign w:val="center"/>
          </w:tcPr>
          <w:p w14:paraId="5D99EEEF"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-0.0002</w:t>
            </w:r>
          </w:p>
        </w:tc>
      </w:tr>
      <w:tr w:rsidR="002410C0" w:rsidRPr="004A3C2D" w14:paraId="45F12B74" w14:textId="77777777" w:rsidTr="003B2A78">
        <w:trPr>
          <w:trHeight w:val="346"/>
        </w:trPr>
        <w:tc>
          <w:tcPr>
            <w:tcW w:w="898" w:type="pct"/>
            <w:tcBorders>
              <w:top w:val="single" w:sz="4" w:space="0" w:color="000000" w:themeColor="text1"/>
              <w:left w:val="double" w:sz="6" w:space="0" w:color="auto"/>
              <w:bottom w:val="single" w:sz="4" w:space="0" w:color="auto"/>
              <w:right w:val="single" w:sz="4" w:space="0" w:color="FFFFFF" w:themeColor="background1"/>
            </w:tcBorders>
            <w:shd w:val="clear" w:color="auto" w:fill="auto"/>
            <w:tcMar>
              <w:left w:w="58" w:type="dxa"/>
              <w:right w:w="58" w:type="dxa"/>
            </w:tcMar>
            <w:vAlign w:val="center"/>
          </w:tcPr>
          <w:p w14:paraId="69CD097D"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i/>
                <w:iCs/>
                <w:color w:val="000000"/>
                <w:sz w:val="20"/>
                <w:szCs w:val="20"/>
              </w:rPr>
              <w:t>Cost effects</w:t>
            </w:r>
          </w:p>
        </w:tc>
        <w:tc>
          <w:tcPr>
            <w:tcW w:w="670" w:type="pct"/>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auto"/>
            <w:tcMar>
              <w:left w:w="58" w:type="dxa"/>
              <w:right w:w="58" w:type="dxa"/>
            </w:tcMar>
            <w:vAlign w:val="center"/>
          </w:tcPr>
          <w:p w14:paraId="79F1E8C8" w14:textId="77777777" w:rsidR="002410C0" w:rsidRPr="004A3C2D" w:rsidRDefault="002410C0" w:rsidP="0076278B">
            <w:pPr>
              <w:rPr>
                <w:rFonts w:eastAsia="Times New Roman" w:cs="Times New Roman"/>
                <w:color w:val="000000"/>
                <w:sz w:val="20"/>
                <w:szCs w:val="20"/>
                <w:u w:val="single"/>
              </w:rPr>
            </w:pPr>
          </w:p>
        </w:tc>
        <w:tc>
          <w:tcPr>
            <w:tcW w:w="787" w:type="pct"/>
            <w:tcBorders>
              <w:top w:val="single" w:sz="4" w:space="0" w:color="000000" w:themeColor="text1"/>
              <w:left w:val="single" w:sz="4" w:space="0" w:color="FFFFFF" w:themeColor="background1"/>
              <w:bottom w:val="single" w:sz="4" w:space="0" w:color="auto"/>
              <w:right w:val="single" w:sz="12" w:space="0" w:color="auto"/>
            </w:tcBorders>
            <w:shd w:val="clear" w:color="auto" w:fill="auto"/>
            <w:tcMar>
              <w:left w:w="58" w:type="dxa"/>
              <w:right w:w="58" w:type="dxa"/>
            </w:tcMar>
            <w:vAlign w:val="center"/>
          </w:tcPr>
          <w:p w14:paraId="507C41D5" w14:textId="77777777" w:rsidR="002410C0" w:rsidRPr="004A3C2D" w:rsidRDefault="002410C0" w:rsidP="0076278B">
            <w:pPr>
              <w:rPr>
                <w:rFonts w:eastAsia="Times New Roman" w:cs="Times New Roman"/>
                <w:color w:val="000000"/>
                <w:sz w:val="20"/>
                <w:szCs w:val="20"/>
              </w:rPr>
            </w:pPr>
          </w:p>
        </w:tc>
        <w:tc>
          <w:tcPr>
            <w:tcW w:w="456" w:type="pct"/>
            <w:tcBorders>
              <w:top w:val="single" w:sz="4" w:space="0" w:color="000000" w:themeColor="text1"/>
              <w:left w:val="single" w:sz="12" w:space="0" w:color="auto"/>
              <w:bottom w:val="single" w:sz="4" w:space="0" w:color="auto"/>
              <w:right w:val="single" w:sz="4" w:space="0" w:color="FFFFFF" w:themeColor="background1"/>
            </w:tcBorders>
            <w:shd w:val="clear" w:color="auto" w:fill="auto"/>
            <w:vAlign w:val="center"/>
          </w:tcPr>
          <w:p w14:paraId="49F667EA" w14:textId="77777777" w:rsidR="002410C0" w:rsidRPr="00B73138" w:rsidRDefault="002410C0" w:rsidP="0076278B">
            <w:pPr>
              <w:jc w:val="right"/>
              <w:rPr>
                <w:rFonts w:cs="Times New Roman"/>
                <w:color w:val="000000"/>
                <w:sz w:val="20"/>
                <w:szCs w:val="20"/>
              </w:rPr>
            </w:pPr>
          </w:p>
        </w:tc>
        <w:tc>
          <w:tcPr>
            <w:tcW w:w="483" w:type="pct"/>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auto"/>
            <w:vAlign w:val="center"/>
          </w:tcPr>
          <w:p w14:paraId="0CFD4631" w14:textId="77777777" w:rsidR="002410C0" w:rsidRPr="00B73138" w:rsidRDefault="002410C0" w:rsidP="0076278B">
            <w:pPr>
              <w:jc w:val="right"/>
              <w:rPr>
                <w:rFonts w:cs="Times New Roman"/>
                <w:color w:val="000000"/>
                <w:sz w:val="20"/>
                <w:szCs w:val="20"/>
              </w:rPr>
            </w:pPr>
          </w:p>
        </w:tc>
        <w:tc>
          <w:tcPr>
            <w:tcW w:w="456" w:type="pct"/>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auto"/>
            <w:vAlign w:val="center"/>
          </w:tcPr>
          <w:p w14:paraId="6B7A7288" w14:textId="77777777" w:rsidR="002410C0" w:rsidRPr="00B73138" w:rsidRDefault="002410C0" w:rsidP="0076278B">
            <w:pPr>
              <w:jc w:val="right"/>
              <w:rPr>
                <w:rFonts w:cs="Times New Roman"/>
                <w:color w:val="000000"/>
                <w:sz w:val="20"/>
                <w:szCs w:val="20"/>
              </w:rPr>
            </w:pPr>
          </w:p>
        </w:tc>
        <w:tc>
          <w:tcPr>
            <w:tcW w:w="445" w:type="pct"/>
            <w:tcBorders>
              <w:top w:val="single" w:sz="4" w:space="0" w:color="000000" w:themeColor="text1"/>
              <w:left w:val="single" w:sz="4" w:space="0" w:color="FFFFFF" w:themeColor="background1"/>
              <w:bottom w:val="single" w:sz="4" w:space="0" w:color="auto"/>
              <w:right w:val="single" w:sz="8" w:space="0" w:color="auto"/>
            </w:tcBorders>
            <w:shd w:val="clear" w:color="auto" w:fill="auto"/>
            <w:vAlign w:val="center"/>
          </w:tcPr>
          <w:p w14:paraId="5388B61A" w14:textId="77777777" w:rsidR="002410C0" w:rsidRPr="00B73138" w:rsidRDefault="002410C0" w:rsidP="0076278B">
            <w:pPr>
              <w:jc w:val="right"/>
              <w:rPr>
                <w:rFonts w:cs="Times New Roman"/>
                <w:color w:val="000000"/>
                <w:sz w:val="20"/>
                <w:szCs w:val="20"/>
              </w:rPr>
            </w:pPr>
          </w:p>
        </w:tc>
        <w:tc>
          <w:tcPr>
            <w:tcW w:w="413" w:type="pct"/>
            <w:tcBorders>
              <w:top w:val="single" w:sz="4" w:space="0" w:color="000000" w:themeColor="text1"/>
              <w:left w:val="nil"/>
              <w:bottom w:val="single" w:sz="4" w:space="0" w:color="auto"/>
              <w:right w:val="single" w:sz="12" w:space="0" w:color="auto"/>
            </w:tcBorders>
            <w:shd w:val="clear" w:color="auto" w:fill="auto"/>
            <w:vAlign w:val="center"/>
          </w:tcPr>
          <w:p w14:paraId="3EBEF676" w14:textId="77777777" w:rsidR="002410C0" w:rsidRPr="004A3C2D" w:rsidRDefault="002410C0" w:rsidP="0076278B">
            <w:pPr>
              <w:jc w:val="right"/>
              <w:rPr>
                <w:rFonts w:cs="Times New Roman"/>
                <w:color w:val="000000"/>
                <w:sz w:val="20"/>
                <w:szCs w:val="20"/>
              </w:rPr>
            </w:pPr>
          </w:p>
        </w:tc>
        <w:tc>
          <w:tcPr>
            <w:tcW w:w="391" w:type="pct"/>
            <w:tcBorders>
              <w:top w:val="single" w:sz="4" w:space="0" w:color="000000" w:themeColor="text1"/>
              <w:left w:val="single" w:sz="4" w:space="0" w:color="auto"/>
              <w:bottom w:val="single" w:sz="4" w:space="0" w:color="auto"/>
              <w:right w:val="double" w:sz="6" w:space="0" w:color="auto"/>
            </w:tcBorders>
            <w:shd w:val="clear" w:color="auto" w:fill="auto"/>
            <w:vAlign w:val="center"/>
          </w:tcPr>
          <w:p w14:paraId="3F01DFBD" w14:textId="77777777" w:rsidR="002410C0" w:rsidRPr="004A3C2D" w:rsidRDefault="002410C0" w:rsidP="0076278B">
            <w:pPr>
              <w:jc w:val="right"/>
              <w:rPr>
                <w:rFonts w:eastAsia="Times New Roman" w:cs="Times New Roman"/>
                <w:color w:val="000000"/>
                <w:sz w:val="20"/>
                <w:szCs w:val="20"/>
              </w:rPr>
            </w:pPr>
          </w:p>
        </w:tc>
      </w:tr>
      <w:tr w:rsidR="002410C0" w:rsidRPr="004A3C2D" w14:paraId="61FDE02F" w14:textId="77777777" w:rsidTr="003C58B0">
        <w:trPr>
          <w:trHeight w:val="346"/>
        </w:trPr>
        <w:tc>
          <w:tcPr>
            <w:tcW w:w="898" w:type="pct"/>
            <w:tcBorders>
              <w:top w:val="single" w:sz="4" w:space="0" w:color="BFBFBF" w:themeColor="background1" w:themeShade="BF"/>
              <w:left w:val="double" w:sz="6" w:space="0" w:color="auto"/>
              <w:bottom w:val="single" w:sz="4" w:space="0" w:color="A5A5A5" w:themeColor="accent3"/>
              <w:right w:val="single" w:sz="4" w:space="0" w:color="auto"/>
            </w:tcBorders>
            <w:shd w:val="clear" w:color="auto" w:fill="auto"/>
            <w:tcMar>
              <w:left w:w="58" w:type="dxa"/>
              <w:right w:w="58" w:type="dxa"/>
            </w:tcMar>
            <w:vAlign w:val="center"/>
          </w:tcPr>
          <w:p w14:paraId="501CDA28" w14:textId="77777777" w:rsidR="002410C0" w:rsidRPr="004A3C2D" w:rsidRDefault="002410C0" w:rsidP="0076278B">
            <w:pPr>
              <w:rPr>
                <w:rFonts w:eastAsia="Times New Roman" w:cs="Times New Roman"/>
                <w:color w:val="000000"/>
                <w:sz w:val="20"/>
                <w:szCs w:val="20"/>
              </w:rPr>
            </w:pPr>
            <w:r>
              <w:rPr>
                <w:rFonts w:eastAsia="Times New Roman" w:cs="Times New Roman"/>
                <w:color w:val="000000"/>
                <w:sz w:val="20"/>
                <w:szCs w:val="20"/>
              </w:rPr>
              <w:t>Fixed cost for AV</w:t>
            </w:r>
          </w:p>
        </w:tc>
        <w:tc>
          <w:tcPr>
            <w:tcW w:w="670" w:type="pct"/>
            <w:tcBorders>
              <w:top w:val="single" w:sz="4" w:space="0" w:color="BFBFBF" w:themeColor="background1" w:themeShade="BF"/>
              <w:left w:val="single" w:sz="4" w:space="0" w:color="auto"/>
              <w:bottom w:val="single" w:sz="4" w:space="0" w:color="A5A5A5" w:themeColor="accent3"/>
              <w:right w:val="single" w:sz="4" w:space="0" w:color="A5A5A5" w:themeColor="accent3"/>
            </w:tcBorders>
            <w:shd w:val="clear" w:color="auto" w:fill="auto"/>
            <w:tcMar>
              <w:left w:w="58" w:type="dxa"/>
              <w:right w:w="58" w:type="dxa"/>
            </w:tcMar>
            <w:vAlign w:val="center"/>
          </w:tcPr>
          <w:p w14:paraId="7DEA0246" w14:textId="77777777" w:rsidR="002410C0" w:rsidRPr="004A3C2D" w:rsidRDefault="002410C0" w:rsidP="0076278B">
            <w:pPr>
              <w:rPr>
                <w:rFonts w:eastAsia="Times New Roman" w:cs="Times New Roman"/>
                <w:color w:val="000000"/>
                <w:sz w:val="20"/>
                <w:szCs w:val="20"/>
              </w:rPr>
            </w:pPr>
            <w:r>
              <w:rPr>
                <w:rFonts w:eastAsia="Times New Roman" w:cs="Times New Roman"/>
                <w:color w:val="000000"/>
                <w:sz w:val="20"/>
                <w:szCs w:val="20"/>
              </w:rPr>
              <w:t>Current cost</w:t>
            </w:r>
          </w:p>
        </w:tc>
        <w:tc>
          <w:tcPr>
            <w:tcW w:w="787" w:type="pct"/>
            <w:tcBorders>
              <w:top w:val="single" w:sz="4" w:space="0" w:color="BFBFBF" w:themeColor="background1" w:themeShade="BF"/>
              <w:left w:val="single" w:sz="4" w:space="0" w:color="A5A5A5" w:themeColor="accent3"/>
              <w:bottom w:val="single" w:sz="4" w:space="0" w:color="A5A5A5" w:themeColor="accent3"/>
              <w:right w:val="single" w:sz="12" w:space="0" w:color="auto"/>
            </w:tcBorders>
            <w:shd w:val="clear" w:color="auto" w:fill="auto"/>
            <w:tcMar>
              <w:left w:w="58" w:type="dxa"/>
              <w:right w:w="58" w:type="dxa"/>
            </w:tcMar>
            <w:vAlign w:val="center"/>
          </w:tcPr>
          <w:p w14:paraId="15663E27" w14:textId="77777777" w:rsidR="002410C0" w:rsidRPr="004A3C2D" w:rsidRDefault="002410C0" w:rsidP="0076278B">
            <w:pPr>
              <w:rPr>
                <w:rFonts w:eastAsia="Times New Roman" w:cs="Times New Roman"/>
                <w:color w:val="000000"/>
                <w:sz w:val="20"/>
                <w:szCs w:val="20"/>
              </w:rPr>
            </w:pPr>
            <w:r>
              <w:rPr>
                <w:rFonts w:eastAsia="Times New Roman" w:cs="Times New Roman"/>
                <w:color w:val="000000"/>
                <w:sz w:val="20"/>
                <w:szCs w:val="20"/>
              </w:rPr>
              <w:t>Decrease by $50</w:t>
            </w:r>
          </w:p>
        </w:tc>
        <w:tc>
          <w:tcPr>
            <w:tcW w:w="456" w:type="pct"/>
            <w:tcBorders>
              <w:top w:val="single" w:sz="4" w:space="0" w:color="BFBFBF" w:themeColor="background1" w:themeShade="BF"/>
              <w:left w:val="single" w:sz="12" w:space="0" w:color="auto"/>
              <w:bottom w:val="single" w:sz="4" w:space="0" w:color="A5A5A5" w:themeColor="accent3"/>
              <w:right w:val="single" w:sz="4" w:space="0" w:color="A5A5A5" w:themeColor="accent3"/>
            </w:tcBorders>
            <w:shd w:val="clear" w:color="auto" w:fill="auto"/>
            <w:vAlign w:val="center"/>
          </w:tcPr>
          <w:p w14:paraId="0E6B286D" w14:textId="77777777" w:rsidR="002410C0" w:rsidRPr="004A3C2D" w:rsidRDefault="002410C0" w:rsidP="0076278B">
            <w:pPr>
              <w:jc w:val="right"/>
              <w:rPr>
                <w:rFonts w:cs="Times New Roman"/>
                <w:color w:val="000000"/>
                <w:sz w:val="20"/>
                <w:szCs w:val="20"/>
              </w:rPr>
            </w:pPr>
          </w:p>
        </w:tc>
        <w:tc>
          <w:tcPr>
            <w:tcW w:w="483" w:type="pct"/>
            <w:tcBorders>
              <w:top w:val="single" w:sz="4" w:space="0" w:color="BFBFBF" w:themeColor="background1" w:themeShade="BF"/>
              <w:left w:val="single" w:sz="4" w:space="0" w:color="A5A5A5" w:themeColor="accent3"/>
              <w:bottom w:val="single" w:sz="4" w:space="0" w:color="A5A5A5" w:themeColor="accent3"/>
              <w:right w:val="single" w:sz="4" w:space="0" w:color="BFBFBF" w:themeColor="background1" w:themeShade="BF"/>
            </w:tcBorders>
            <w:shd w:val="clear" w:color="auto" w:fill="auto"/>
            <w:vAlign w:val="center"/>
          </w:tcPr>
          <w:p w14:paraId="3FFA914C" w14:textId="77777777" w:rsidR="002410C0" w:rsidRPr="004A3C2D" w:rsidRDefault="002410C0" w:rsidP="0076278B">
            <w:pPr>
              <w:jc w:val="right"/>
              <w:rPr>
                <w:rFonts w:cs="Times New Roman"/>
                <w:color w:val="000000"/>
                <w:sz w:val="20"/>
                <w:szCs w:val="20"/>
              </w:rPr>
            </w:pPr>
          </w:p>
        </w:tc>
        <w:tc>
          <w:tcPr>
            <w:tcW w:w="456" w:type="pct"/>
            <w:tcBorders>
              <w:top w:val="single" w:sz="4" w:space="0" w:color="BFBFBF" w:themeColor="background1" w:themeShade="BF"/>
              <w:left w:val="single" w:sz="4" w:space="0" w:color="BFBFBF" w:themeColor="background1" w:themeShade="BF"/>
              <w:bottom w:val="single" w:sz="4" w:space="0" w:color="A5A5A5" w:themeColor="accent3"/>
              <w:right w:val="single" w:sz="4" w:space="0" w:color="BFBFBF" w:themeColor="background1" w:themeShade="BF"/>
            </w:tcBorders>
            <w:shd w:val="clear" w:color="auto" w:fill="auto"/>
            <w:vAlign w:val="center"/>
          </w:tcPr>
          <w:p w14:paraId="0AA4F731" w14:textId="77777777" w:rsidR="002410C0" w:rsidRPr="004A3C2D" w:rsidRDefault="002410C0" w:rsidP="0076278B">
            <w:pPr>
              <w:jc w:val="right"/>
              <w:rPr>
                <w:rFonts w:cs="Times New Roman"/>
                <w:color w:val="000000"/>
                <w:sz w:val="20"/>
                <w:szCs w:val="20"/>
              </w:rPr>
            </w:pPr>
          </w:p>
        </w:tc>
        <w:tc>
          <w:tcPr>
            <w:tcW w:w="445" w:type="pct"/>
            <w:tcBorders>
              <w:top w:val="single" w:sz="4" w:space="0" w:color="BFBFBF" w:themeColor="background1" w:themeShade="BF"/>
              <w:left w:val="single" w:sz="4" w:space="0" w:color="BFBFBF" w:themeColor="background1" w:themeShade="BF"/>
              <w:bottom w:val="single" w:sz="4" w:space="0" w:color="A5A5A5" w:themeColor="accent3"/>
              <w:right w:val="single" w:sz="8" w:space="0" w:color="auto"/>
            </w:tcBorders>
            <w:shd w:val="clear" w:color="auto" w:fill="auto"/>
            <w:vAlign w:val="center"/>
          </w:tcPr>
          <w:p w14:paraId="75ABB976" w14:textId="77777777" w:rsidR="002410C0" w:rsidRPr="004A3C2D" w:rsidRDefault="002410C0" w:rsidP="0076278B">
            <w:pPr>
              <w:jc w:val="right"/>
              <w:rPr>
                <w:rFonts w:cs="Times New Roman"/>
                <w:color w:val="000000"/>
                <w:sz w:val="20"/>
                <w:szCs w:val="20"/>
              </w:rPr>
            </w:pPr>
          </w:p>
        </w:tc>
        <w:tc>
          <w:tcPr>
            <w:tcW w:w="413" w:type="pct"/>
            <w:tcBorders>
              <w:top w:val="single" w:sz="4" w:space="0" w:color="BFBFBF" w:themeColor="background1" w:themeShade="BF"/>
              <w:left w:val="nil"/>
              <w:bottom w:val="single" w:sz="4" w:space="0" w:color="A5A5A5" w:themeColor="accent3"/>
              <w:right w:val="single" w:sz="12" w:space="0" w:color="auto"/>
            </w:tcBorders>
            <w:shd w:val="clear" w:color="auto" w:fill="auto"/>
            <w:vAlign w:val="center"/>
          </w:tcPr>
          <w:p w14:paraId="57F6D994" w14:textId="77777777" w:rsidR="002410C0" w:rsidRPr="004A3C2D" w:rsidRDefault="002410C0" w:rsidP="0076278B">
            <w:pPr>
              <w:jc w:val="right"/>
              <w:rPr>
                <w:rFonts w:cs="Times New Roman"/>
                <w:color w:val="000000"/>
                <w:sz w:val="20"/>
                <w:szCs w:val="20"/>
              </w:rPr>
            </w:pPr>
          </w:p>
        </w:tc>
        <w:tc>
          <w:tcPr>
            <w:tcW w:w="391" w:type="pct"/>
            <w:tcBorders>
              <w:top w:val="single" w:sz="4" w:space="0" w:color="BFBFBF" w:themeColor="background1" w:themeShade="BF"/>
              <w:left w:val="single" w:sz="4" w:space="0" w:color="auto"/>
              <w:bottom w:val="single" w:sz="4" w:space="0" w:color="A5A5A5" w:themeColor="accent3"/>
              <w:right w:val="double" w:sz="6" w:space="0" w:color="auto"/>
            </w:tcBorders>
            <w:shd w:val="clear" w:color="auto" w:fill="auto"/>
            <w:vAlign w:val="center"/>
          </w:tcPr>
          <w:p w14:paraId="3405EA64" w14:textId="77777777" w:rsidR="002410C0" w:rsidRPr="004A3C2D" w:rsidRDefault="002410C0" w:rsidP="0076278B">
            <w:pPr>
              <w:jc w:val="right"/>
              <w:rPr>
                <w:rFonts w:eastAsia="Times New Roman" w:cs="Times New Roman"/>
                <w:color w:val="000000"/>
                <w:sz w:val="20"/>
                <w:szCs w:val="20"/>
              </w:rPr>
            </w:pPr>
            <w:r>
              <w:rPr>
                <w:rFonts w:eastAsia="Times New Roman" w:cs="Times New Roman"/>
                <w:color w:val="000000"/>
                <w:sz w:val="20"/>
                <w:szCs w:val="20"/>
              </w:rPr>
              <w:t>-0.0108</w:t>
            </w:r>
          </w:p>
        </w:tc>
      </w:tr>
      <w:tr w:rsidR="002410C0" w:rsidRPr="004A3C2D" w14:paraId="7CA93550" w14:textId="77777777" w:rsidTr="003B2A78">
        <w:trPr>
          <w:trHeight w:val="346"/>
        </w:trPr>
        <w:tc>
          <w:tcPr>
            <w:tcW w:w="898" w:type="pct"/>
            <w:tcBorders>
              <w:top w:val="single" w:sz="4" w:space="0" w:color="A5A5A5" w:themeColor="accent3"/>
              <w:left w:val="double" w:sz="6" w:space="0" w:color="auto"/>
              <w:bottom w:val="double" w:sz="4" w:space="0" w:color="auto"/>
              <w:right w:val="single" w:sz="4" w:space="0" w:color="auto"/>
            </w:tcBorders>
            <w:shd w:val="clear" w:color="auto" w:fill="auto"/>
            <w:tcMar>
              <w:left w:w="58" w:type="dxa"/>
              <w:right w:w="58" w:type="dxa"/>
            </w:tcMar>
            <w:vAlign w:val="center"/>
          </w:tcPr>
          <w:p w14:paraId="638E4D74"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Variable cost for SAV</w:t>
            </w:r>
          </w:p>
        </w:tc>
        <w:tc>
          <w:tcPr>
            <w:tcW w:w="670" w:type="pct"/>
            <w:tcBorders>
              <w:top w:val="single" w:sz="4" w:space="0" w:color="A5A5A5" w:themeColor="accent3"/>
              <w:left w:val="single" w:sz="4" w:space="0" w:color="auto"/>
              <w:bottom w:val="double" w:sz="4" w:space="0" w:color="auto"/>
              <w:right w:val="single" w:sz="4" w:space="0" w:color="A5A5A5" w:themeColor="accent3"/>
            </w:tcBorders>
            <w:shd w:val="clear" w:color="auto" w:fill="auto"/>
            <w:tcMar>
              <w:left w:w="58" w:type="dxa"/>
              <w:right w:w="58" w:type="dxa"/>
            </w:tcMar>
            <w:vAlign w:val="center"/>
          </w:tcPr>
          <w:p w14:paraId="653E47EF" w14:textId="77777777" w:rsidR="002410C0" w:rsidRPr="004A3C2D" w:rsidRDefault="002410C0" w:rsidP="0076278B">
            <w:pPr>
              <w:rPr>
                <w:rFonts w:eastAsia="Times New Roman" w:cs="Times New Roman"/>
                <w:color w:val="000000"/>
                <w:sz w:val="20"/>
                <w:szCs w:val="20"/>
              </w:rPr>
            </w:pPr>
            <w:r>
              <w:rPr>
                <w:rFonts w:eastAsia="Times New Roman" w:cs="Times New Roman"/>
                <w:color w:val="000000"/>
                <w:sz w:val="20"/>
                <w:szCs w:val="20"/>
              </w:rPr>
              <w:t>$1.75</w:t>
            </w:r>
          </w:p>
        </w:tc>
        <w:tc>
          <w:tcPr>
            <w:tcW w:w="787" w:type="pct"/>
            <w:tcBorders>
              <w:top w:val="single" w:sz="4" w:space="0" w:color="A5A5A5" w:themeColor="accent3"/>
              <w:left w:val="single" w:sz="4" w:space="0" w:color="A5A5A5" w:themeColor="accent3"/>
              <w:bottom w:val="double" w:sz="4" w:space="0" w:color="auto"/>
              <w:right w:val="single" w:sz="12" w:space="0" w:color="auto"/>
            </w:tcBorders>
            <w:shd w:val="clear" w:color="auto" w:fill="auto"/>
            <w:tcMar>
              <w:left w:w="58" w:type="dxa"/>
              <w:right w:w="58" w:type="dxa"/>
            </w:tcMar>
            <w:vAlign w:val="center"/>
          </w:tcPr>
          <w:p w14:paraId="215A9223" w14:textId="77777777" w:rsidR="002410C0" w:rsidRPr="004A3C2D" w:rsidRDefault="002410C0" w:rsidP="0076278B">
            <w:pPr>
              <w:rPr>
                <w:rFonts w:eastAsia="Times New Roman" w:cs="Times New Roman"/>
                <w:color w:val="000000"/>
                <w:sz w:val="20"/>
                <w:szCs w:val="20"/>
              </w:rPr>
            </w:pPr>
            <w:r>
              <w:rPr>
                <w:rFonts w:eastAsia="Times New Roman" w:cs="Times New Roman"/>
                <w:color w:val="000000"/>
                <w:sz w:val="20"/>
                <w:szCs w:val="20"/>
              </w:rPr>
              <w:t>$1.25</w:t>
            </w:r>
          </w:p>
        </w:tc>
        <w:tc>
          <w:tcPr>
            <w:tcW w:w="456" w:type="pct"/>
            <w:tcBorders>
              <w:top w:val="single" w:sz="4" w:space="0" w:color="A5A5A5" w:themeColor="accent3"/>
              <w:left w:val="single" w:sz="12" w:space="0" w:color="auto"/>
              <w:bottom w:val="double" w:sz="4" w:space="0" w:color="auto"/>
              <w:right w:val="single" w:sz="4" w:space="0" w:color="A5A5A5" w:themeColor="accent3"/>
            </w:tcBorders>
            <w:shd w:val="clear" w:color="auto" w:fill="auto"/>
            <w:vAlign w:val="center"/>
          </w:tcPr>
          <w:p w14:paraId="2AA51B4A" w14:textId="77777777" w:rsidR="002410C0" w:rsidRPr="004A3C2D" w:rsidRDefault="002410C0" w:rsidP="0076278B">
            <w:pPr>
              <w:jc w:val="right"/>
              <w:rPr>
                <w:rFonts w:cs="Times New Roman"/>
                <w:color w:val="000000"/>
                <w:sz w:val="20"/>
                <w:szCs w:val="20"/>
              </w:rPr>
            </w:pPr>
          </w:p>
        </w:tc>
        <w:tc>
          <w:tcPr>
            <w:tcW w:w="483" w:type="pct"/>
            <w:tcBorders>
              <w:top w:val="single" w:sz="4" w:space="0" w:color="A5A5A5" w:themeColor="accent3"/>
              <w:left w:val="single" w:sz="4" w:space="0" w:color="A5A5A5" w:themeColor="accent3"/>
              <w:bottom w:val="double" w:sz="4" w:space="0" w:color="auto"/>
              <w:right w:val="single" w:sz="4" w:space="0" w:color="BFBFBF" w:themeColor="background1" w:themeShade="BF"/>
            </w:tcBorders>
            <w:shd w:val="clear" w:color="auto" w:fill="auto"/>
            <w:vAlign w:val="center"/>
          </w:tcPr>
          <w:p w14:paraId="1B149FCE" w14:textId="77777777" w:rsidR="002410C0" w:rsidRPr="004A3C2D" w:rsidRDefault="002410C0" w:rsidP="0076278B">
            <w:pPr>
              <w:jc w:val="right"/>
              <w:rPr>
                <w:rFonts w:cs="Times New Roman"/>
                <w:color w:val="000000"/>
                <w:sz w:val="20"/>
                <w:szCs w:val="20"/>
              </w:rPr>
            </w:pPr>
          </w:p>
        </w:tc>
        <w:tc>
          <w:tcPr>
            <w:tcW w:w="456" w:type="pct"/>
            <w:tcBorders>
              <w:top w:val="single" w:sz="4" w:space="0" w:color="A5A5A5" w:themeColor="accent3"/>
              <w:left w:val="single" w:sz="4" w:space="0" w:color="BFBFBF" w:themeColor="background1" w:themeShade="BF"/>
              <w:bottom w:val="double" w:sz="4" w:space="0" w:color="auto"/>
              <w:right w:val="single" w:sz="4" w:space="0" w:color="BFBFBF" w:themeColor="background1" w:themeShade="BF"/>
            </w:tcBorders>
            <w:shd w:val="clear" w:color="auto" w:fill="auto"/>
            <w:vAlign w:val="center"/>
          </w:tcPr>
          <w:p w14:paraId="014364FA" w14:textId="77777777" w:rsidR="002410C0" w:rsidRPr="004A3C2D" w:rsidRDefault="002410C0" w:rsidP="0076278B">
            <w:pPr>
              <w:jc w:val="right"/>
              <w:rPr>
                <w:rFonts w:cs="Times New Roman"/>
                <w:color w:val="000000"/>
                <w:sz w:val="20"/>
                <w:szCs w:val="20"/>
              </w:rPr>
            </w:pPr>
          </w:p>
        </w:tc>
        <w:tc>
          <w:tcPr>
            <w:tcW w:w="445" w:type="pct"/>
            <w:tcBorders>
              <w:top w:val="single" w:sz="4" w:space="0" w:color="A5A5A5" w:themeColor="accent3"/>
              <w:left w:val="single" w:sz="4" w:space="0" w:color="BFBFBF" w:themeColor="background1" w:themeShade="BF"/>
              <w:bottom w:val="double" w:sz="4" w:space="0" w:color="auto"/>
              <w:right w:val="single" w:sz="8" w:space="0" w:color="auto"/>
            </w:tcBorders>
            <w:shd w:val="clear" w:color="auto" w:fill="auto"/>
            <w:vAlign w:val="center"/>
          </w:tcPr>
          <w:p w14:paraId="118574B5" w14:textId="77777777" w:rsidR="002410C0" w:rsidRPr="004A3C2D" w:rsidRDefault="002410C0" w:rsidP="0076278B">
            <w:pPr>
              <w:jc w:val="right"/>
              <w:rPr>
                <w:rFonts w:cs="Times New Roman"/>
                <w:color w:val="000000"/>
                <w:sz w:val="20"/>
                <w:szCs w:val="20"/>
              </w:rPr>
            </w:pPr>
          </w:p>
        </w:tc>
        <w:tc>
          <w:tcPr>
            <w:tcW w:w="413" w:type="pct"/>
            <w:tcBorders>
              <w:top w:val="single" w:sz="4" w:space="0" w:color="A5A5A5" w:themeColor="accent3"/>
              <w:left w:val="nil"/>
              <w:bottom w:val="double" w:sz="4" w:space="0" w:color="auto"/>
              <w:right w:val="single" w:sz="12" w:space="0" w:color="auto"/>
            </w:tcBorders>
            <w:shd w:val="clear" w:color="auto" w:fill="auto"/>
            <w:vAlign w:val="center"/>
          </w:tcPr>
          <w:p w14:paraId="47DB0BD6" w14:textId="77777777" w:rsidR="002410C0" w:rsidRPr="004A3C2D" w:rsidRDefault="002410C0" w:rsidP="0076278B">
            <w:pPr>
              <w:jc w:val="right"/>
              <w:rPr>
                <w:rFonts w:cs="Times New Roman"/>
                <w:color w:val="000000"/>
                <w:sz w:val="20"/>
                <w:szCs w:val="20"/>
              </w:rPr>
            </w:pPr>
          </w:p>
        </w:tc>
        <w:tc>
          <w:tcPr>
            <w:tcW w:w="391" w:type="pct"/>
            <w:tcBorders>
              <w:top w:val="single" w:sz="4" w:space="0" w:color="A5A5A5" w:themeColor="accent3"/>
              <w:left w:val="single" w:sz="4" w:space="0" w:color="auto"/>
              <w:bottom w:val="double" w:sz="4" w:space="0" w:color="auto"/>
              <w:right w:val="double" w:sz="6" w:space="0" w:color="auto"/>
            </w:tcBorders>
            <w:shd w:val="clear" w:color="auto" w:fill="auto"/>
            <w:vAlign w:val="center"/>
          </w:tcPr>
          <w:p w14:paraId="3961EC0B" w14:textId="77777777" w:rsidR="002410C0" w:rsidRPr="004A3C2D" w:rsidRDefault="002410C0" w:rsidP="0076278B">
            <w:pPr>
              <w:jc w:val="right"/>
              <w:rPr>
                <w:rFonts w:eastAsia="Times New Roman" w:cs="Times New Roman"/>
                <w:color w:val="000000"/>
                <w:sz w:val="20"/>
                <w:szCs w:val="20"/>
              </w:rPr>
            </w:pPr>
            <w:r>
              <w:rPr>
                <w:rFonts w:eastAsia="Times New Roman" w:cs="Times New Roman"/>
                <w:color w:val="000000"/>
                <w:sz w:val="20"/>
                <w:szCs w:val="20"/>
              </w:rPr>
              <w:t>0.0241</w:t>
            </w:r>
          </w:p>
        </w:tc>
      </w:tr>
    </w:tbl>
    <w:p w14:paraId="026F3DAB" w14:textId="77777777" w:rsidR="002410C0" w:rsidRPr="003B2A78" w:rsidRDefault="002410C0" w:rsidP="002410C0">
      <w:pPr>
        <w:rPr>
          <w:bCs/>
        </w:rPr>
      </w:pPr>
    </w:p>
    <w:p w14:paraId="009D897D" w14:textId="77777777" w:rsidR="002410C0" w:rsidRDefault="002410C0" w:rsidP="002410C0">
      <w:pPr>
        <w:rPr>
          <w:b/>
          <w:bCs/>
        </w:rPr>
      </w:pPr>
    </w:p>
    <w:p w14:paraId="20EE9232" w14:textId="546457C7" w:rsidR="002410C0" w:rsidRPr="006C53C5" w:rsidRDefault="002410C0" w:rsidP="005D1838">
      <w:pPr>
        <w:spacing w:after="120"/>
        <w:rPr>
          <w:b/>
          <w:bCs/>
        </w:rPr>
      </w:pPr>
      <w:r w:rsidRPr="006C53C5">
        <w:rPr>
          <w:b/>
          <w:bCs/>
        </w:rPr>
        <w:t xml:space="preserve">Table </w:t>
      </w:r>
      <w:r w:rsidR="006B3123">
        <w:rPr>
          <w:b/>
          <w:bCs/>
        </w:rPr>
        <w:t>8</w:t>
      </w:r>
      <w:r w:rsidR="005D1838">
        <w:rPr>
          <w:b/>
          <w:bCs/>
        </w:rPr>
        <w:t>.</w:t>
      </w:r>
      <w:r w:rsidRPr="006C53C5">
        <w:rPr>
          <w:b/>
          <w:bCs/>
        </w:rPr>
        <w:t xml:space="preserve"> Sociodemographic </w:t>
      </w:r>
      <w:r w:rsidR="007C64E7">
        <w:rPr>
          <w:b/>
          <w:bCs/>
        </w:rPr>
        <w:t>Average Treatment Effects (</w:t>
      </w:r>
      <w:r w:rsidRPr="006C53C5">
        <w:rPr>
          <w:b/>
          <w:bCs/>
        </w:rPr>
        <w:t>ATE</w:t>
      </w:r>
      <w:r w:rsidR="007C64E7">
        <w:rPr>
          <w:b/>
          <w:bCs/>
        </w:rPr>
        <w:t>)</w:t>
      </w:r>
      <w:r w:rsidRPr="006C53C5">
        <w:rPr>
          <w:b/>
          <w:bCs/>
        </w:rPr>
        <w:t xml:space="preserve"> for the </w:t>
      </w:r>
      <w:r w:rsidR="007C64E7">
        <w:rPr>
          <w:b/>
          <w:bCs/>
        </w:rPr>
        <w:t>Duration to Adoption (</w:t>
      </w:r>
      <w:r>
        <w:rPr>
          <w:b/>
          <w:bCs/>
        </w:rPr>
        <w:t>DA</w:t>
      </w:r>
      <w:r w:rsidRPr="006C53C5">
        <w:rPr>
          <w:b/>
          <w:bCs/>
        </w:rPr>
        <w:t>D</w:t>
      </w:r>
      <w:r w:rsidR="007C64E7">
        <w:rPr>
          <w:b/>
          <w:bCs/>
        </w:rPr>
        <w:t>)</w:t>
      </w:r>
      <w:r w:rsidRPr="006C53C5">
        <w:rPr>
          <w:b/>
          <w:bCs/>
        </w:rPr>
        <w:t xml:space="preserve"> </w:t>
      </w:r>
      <w:r w:rsidR="005D1838">
        <w:rPr>
          <w:b/>
          <w:bCs/>
        </w:rPr>
        <w:t>D</w:t>
      </w:r>
      <w:r w:rsidRPr="006C53C5">
        <w:rPr>
          <w:b/>
          <w:bCs/>
        </w:rPr>
        <w:t>imension</w:t>
      </w:r>
    </w:p>
    <w:tbl>
      <w:tblPr>
        <w:tblW w:w="4941" w:type="pct"/>
        <w:tblLook w:val="04A0" w:firstRow="1" w:lastRow="0" w:firstColumn="1" w:lastColumn="0" w:noHBand="0" w:noVBand="1"/>
      </w:tblPr>
      <w:tblGrid>
        <w:gridCol w:w="2460"/>
        <w:gridCol w:w="1820"/>
        <w:gridCol w:w="2178"/>
        <w:gridCol w:w="1254"/>
        <w:gridCol w:w="1325"/>
        <w:gridCol w:w="1254"/>
        <w:gridCol w:w="1235"/>
        <w:gridCol w:w="1144"/>
        <w:gridCol w:w="1078"/>
      </w:tblGrid>
      <w:tr w:rsidR="005D1838" w:rsidRPr="004A3C2D" w14:paraId="3A40E572" w14:textId="77777777" w:rsidTr="003B2A78">
        <w:trPr>
          <w:trHeight w:val="346"/>
        </w:trPr>
        <w:tc>
          <w:tcPr>
            <w:tcW w:w="895" w:type="pct"/>
            <w:vMerge w:val="restart"/>
            <w:tcBorders>
              <w:top w:val="double" w:sz="6" w:space="0" w:color="auto"/>
              <w:left w:val="double" w:sz="6" w:space="0" w:color="auto"/>
              <w:bottom w:val="double" w:sz="6" w:space="0" w:color="000000"/>
              <w:right w:val="single" w:sz="4" w:space="0" w:color="auto"/>
            </w:tcBorders>
            <w:shd w:val="clear" w:color="auto" w:fill="auto"/>
            <w:tcMar>
              <w:left w:w="58" w:type="dxa"/>
              <w:right w:w="58" w:type="dxa"/>
            </w:tcMar>
            <w:vAlign w:val="center"/>
            <w:hideMark/>
          </w:tcPr>
          <w:p w14:paraId="7B6B544A" w14:textId="77777777" w:rsidR="005D1838" w:rsidRPr="004A3C2D" w:rsidRDefault="005D1838"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Variable</w:t>
            </w:r>
          </w:p>
        </w:tc>
        <w:tc>
          <w:tcPr>
            <w:tcW w:w="662" w:type="pct"/>
            <w:vMerge w:val="restart"/>
            <w:tcBorders>
              <w:top w:val="double" w:sz="6" w:space="0" w:color="auto"/>
              <w:left w:val="single" w:sz="4" w:space="0" w:color="auto"/>
              <w:bottom w:val="double" w:sz="6" w:space="0" w:color="000000"/>
              <w:right w:val="single" w:sz="4" w:space="0" w:color="A5A5A5" w:themeColor="accent3"/>
            </w:tcBorders>
            <w:shd w:val="clear" w:color="auto" w:fill="auto"/>
            <w:tcMar>
              <w:left w:w="58" w:type="dxa"/>
              <w:right w:w="58" w:type="dxa"/>
            </w:tcMar>
            <w:vAlign w:val="center"/>
            <w:hideMark/>
          </w:tcPr>
          <w:p w14:paraId="5F8D89B3" w14:textId="77777777" w:rsidR="005D1838" w:rsidRPr="004A3C2D" w:rsidRDefault="005D1838"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Base Level</w:t>
            </w:r>
          </w:p>
        </w:tc>
        <w:tc>
          <w:tcPr>
            <w:tcW w:w="792" w:type="pct"/>
            <w:vMerge w:val="restart"/>
            <w:tcBorders>
              <w:top w:val="double" w:sz="6" w:space="0" w:color="auto"/>
              <w:left w:val="single" w:sz="4" w:space="0" w:color="A5A5A5" w:themeColor="accent3"/>
              <w:bottom w:val="double" w:sz="6" w:space="0" w:color="000000"/>
              <w:right w:val="nil"/>
            </w:tcBorders>
            <w:shd w:val="clear" w:color="auto" w:fill="auto"/>
            <w:tcMar>
              <w:left w:w="58" w:type="dxa"/>
              <w:right w:w="58" w:type="dxa"/>
            </w:tcMar>
            <w:vAlign w:val="center"/>
            <w:hideMark/>
          </w:tcPr>
          <w:p w14:paraId="53E88ABE" w14:textId="77777777" w:rsidR="005D1838" w:rsidRPr="004A3C2D" w:rsidRDefault="005D1838"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Treatment Level</w:t>
            </w:r>
          </w:p>
        </w:tc>
        <w:tc>
          <w:tcPr>
            <w:tcW w:w="1843" w:type="pct"/>
            <w:gridSpan w:val="4"/>
            <w:tcBorders>
              <w:top w:val="double" w:sz="6" w:space="0" w:color="auto"/>
              <w:left w:val="single" w:sz="12" w:space="0" w:color="auto"/>
              <w:bottom w:val="single" w:sz="8" w:space="0" w:color="auto"/>
              <w:right w:val="single" w:sz="8" w:space="0" w:color="000000"/>
            </w:tcBorders>
            <w:shd w:val="clear" w:color="auto" w:fill="auto"/>
            <w:tcMar>
              <w:left w:w="58" w:type="dxa"/>
              <w:right w:w="58" w:type="dxa"/>
            </w:tcMar>
            <w:vAlign w:val="center"/>
            <w:hideMark/>
          </w:tcPr>
          <w:p w14:paraId="1B1F7863" w14:textId="77777777" w:rsidR="005D1838" w:rsidRPr="004A3C2D" w:rsidRDefault="005D1838"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 Contribution by mediation through</w:t>
            </w:r>
          </w:p>
        </w:tc>
        <w:tc>
          <w:tcPr>
            <w:tcW w:w="416" w:type="pct"/>
            <w:vMerge w:val="restart"/>
            <w:tcBorders>
              <w:top w:val="double" w:sz="6" w:space="0" w:color="auto"/>
              <w:left w:val="single" w:sz="8" w:space="0" w:color="auto"/>
              <w:right w:val="single" w:sz="12" w:space="0" w:color="auto"/>
            </w:tcBorders>
            <w:shd w:val="clear" w:color="auto" w:fill="auto"/>
            <w:tcMar>
              <w:left w:w="58" w:type="dxa"/>
              <w:right w:w="58" w:type="dxa"/>
            </w:tcMar>
            <w:vAlign w:val="center"/>
            <w:hideMark/>
          </w:tcPr>
          <w:p w14:paraId="215A2DE2" w14:textId="77777777" w:rsidR="005D1838" w:rsidRPr="004A3C2D" w:rsidRDefault="005D1838"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 Direct Effect</w:t>
            </w:r>
          </w:p>
        </w:tc>
        <w:tc>
          <w:tcPr>
            <w:tcW w:w="393" w:type="pct"/>
            <w:vMerge w:val="restart"/>
            <w:tcBorders>
              <w:top w:val="double" w:sz="6" w:space="0" w:color="auto"/>
              <w:left w:val="single" w:sz="4" w:space="0" w:color="auto"/>
              <w:right w:val="double" w:sz="6" w:space="0" w:color="auto"/>
            </w:tcBorders>
            <w:shd w:val="clear" w:color="auto" w:fill="auto"/>
            <w:tcMar>
              <w:left w:w="58" w:type="dxa"/>
              <w:right w:w="58" w:type="dxa"/>
            </w:tcMar>
            <w:vAlign w:val="center"/>
            <w:hideMark/>
          </w:tcPr>
          <w:p w14:paraId="1B9EE842" w14:textId="77777777" w:rsidR="005D1838" w:rsidRPr="004A3C2D" w:rsidRDefault="005D1838"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Overall ATE</w:t>
            </w:r>
          </w:p>
        </w:tc>
      </w:tr>
      <w:tr w:rsidR="005D1838" w:rsidRPr="004A3C2D" w14:paraId="495EE47F" w14:textId="77777777" w:rsidTr="003B2A78">
        <w:trPr>
          <w:trHeight w:val="346"/>
        </w:trPr>
        <w:tc>
          <w:tcPr>
            <w:tcW w:w="895" w:type="pct"/>
            <w:vMerge/>
            <w:tcBorders>
              <w:top w:val="double" w:sz="6" w:space="0" w:color="auto"/>
              <w:left w:val="double" w:sz="6" w:space="0" w:color="auto"/>
              <w:bottom w:val="double" w:sz="6" w:space="0" w:color="000000"/>
              <w:right w:val="single" w:sz="4" w:space="0" w:color="auto"/>
            </w:tcBorders>
            <w:tcMar>
              <w:left w:w="58" w:type="dxa"/>
              <w:right w:w="58" w:type="dxa"/>
            </w:tcMar>
            <w:vAlign w:val="center"/>
            <w:hideMark/>
          </w:tcPr>
          <w:p w14:paraId="66AF2C77" w14:textId="77777777" w:rsidR="005D1838" w:rsidRPr="004A3C2D" w:rsidRDefault="005D1838" w:rsidP="0076278B">
            <w:pPr>
              <w:rPr>
                <w:rFonts w:eastAsia="Times New Roman" w:cs="Times New Roman"/>
                <w:b/>
                <w:bCs/>
                <w:color w:val="000000"/>
                <w:sz w:val="20"/>
                <w:szCs w:val="20"/>
              </w:rPr>
            </w:pPr>
          </w:p>
        </w:tc>
        <w:tc>
          <w:tcPr>
            <w:tcW w:w="662" w:type="pct"/>
            <w:vMerge/>
            <w:tcBorders>
              <w:top w:val="double" w:sz="6" w:space="0" w:color="auto"/>
              <w:left w:val="single" w:sz="4" w:space="0" w:color="auto"/>
              <w:bottom w:val="double" w:sz="6" w:space="0" w:color="000000"/>
              <w:right w:val="single" w:sz="4" w:space="0" w:color="A5A5A5" w:themeColor="accent3"/>
            </w:tcBorders>
            <w:tcMar>
              <w:left w:w="58" w:type="dxa"/>
              <w:right w:w="58" w:type="dxa"/>
            </w:tcMar>
            <w:vAlign w:val="center"/>
            <w:hideMark/>
          </w:tcPr>
          <w:p w14:paraId="6949BA34" w14:textId="77777777" w:rsidR="005D1838" w:rsidRPr="004A3C2D" w:rsidRDefault="005D1838" w:rsidP="0076278B">
            <w:pPr>
              <w:rPr>
                <w:rFonts w:eastAsia="Times New Roman" w:cs="Times New Roman"/>
                <w:b/>
                <w:bCs/>
                <w:color w:val="000000"/>
                <w:sz w:val="20"/>
                <w:szCs w:val="20"/>
              </w:rPr>
            </w:pPr>
          </w:p>
        </w:tc>
        <w:tc>
          <w:tcPr>
            <w:tcW w:w="792" w:type="pct"/>
            <w:vMerge/>
            <w:tcBorders>
              <w:top w:val="double" w:sz="6" w:space="0" w:color="auto"/>
              <w:left w:val="single" w:sz="4" w:space="0" w:color="A5A5A5" w:themeColor="accent3"/>
              <w:bottom w:val="double" w:sz="6" w:space="0" w:color="000000"/>
              <w:right w:val="single" w:sz="12" w:space="0" w:color="auto"/>
            </w:tcBorders>
            <w:tcMar>
              <w:left w:w="58" w:type="dxa"/>
              <w:right w:w="58" w:type="dxa"/>
            </w:tcMar>
            <w:vAlign w:val="center"/>
            <w:hideMark/>
          </w:tcPr>
          <w:p w14:paraId="4C794916" w14:textId="77777777" w:rsidR="005D1838" w:rsidRPr="004A3C2D" w:rsidRDefault="005D1838" w:rsidP="0076278B">
            <w:pPr>
              <w:rPr>
                <w:rFonts w:eastAsia="Times New Roman" w:cs="Times New Roman"/>
                <w:b/>
                <w:bCs/>
                <w:color w:val="000000"/>
                <w:sz w:val="20"/>
                <w:szCs w:val="20"/>
              </w:rPr>
            </w:pPr>
          </w:p>
        </w:tc>
        <w:tc>
          <w:tcPr>
            <w:tcW w:w="456" w:type="pct"/>
            <w:tcBorders>
              <w:top w:val="nil"/>
              <w:left w:val="single" w:sz="12" w:space="0" w:color="auto"/>
              <w:bottom w:val="double" w:sz="6" w:space="0" w:color="auto"/>
              <w:right w:val="single" w:sz="4" w:space="0" w:color="BFBFBF" w:themeColor="background1" w:themeShade="BF"/>
            </w:tcBorders>
            <w:shd w:val="clear" w:color="auto" w:fill="auto"/>
            <w:tcMar>
              <w:left w:w="58" w:type="dxa"/>
              <w:right w:w="58" w:type="dxa"/>
            </w:tcMar>
            <w:vAlign w:val="center"/>
            <w:hideMark/>
          </w:tcPr>
          <w:p w14:paraId="63F5B5EB" w14:textId="77777777" w:rsidR="005D1838" w:rsidRPr="004A3C2D" w:rsidRDefault="005D1838"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Driving Control</w:t>
            </w:r>
          </w:p>
          <w:p w14:paraId="6450EBE9" w14:textId="77777777" w:rsidR="005D1838" w:rsidRPr="004A3C2D" w:rsidRDefault="005D1838"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decrease</w:t>
            </w:r>
          </w:p>
        </w:tc>
        <w:tc>
          <w:tcPr>
            <w:tcW w:w="482" w:type="pct"/>
            <w:tcBorders>
              <w:top w:val="nil"/>
              <w:left w:val="single" w:sz="4" w:space="0" w:color="BFBFBF" w:themeColor="background1" w:themeShade="BF"/>
              <w:bottom w:val="double" w:sz="6" w:space="0" w:color="auto"/>
              <w:right w:val="single" w:sz="4" w:space="0" w:color="BFBFBF" w:themeColor="background1" w:themeShade="BF"/>
            </w:tcBorders>
            <w:shd w:val="clear" w:color="auto" w:fill="auto"/>
            <w:tcMar>
              <w:left w:w="58" w:type="dxa"/>
              <w:right w:w="58" w:type="dxa"/>
            </w:tcMar>
            <w:vAlign w:val="center"/>
            <w:hideMark/>
          </w:tcPr>
          <w:p w14:paraId="0F7726EF" w14:textId="77777777" w:rsidR="005D1838" w:rsidRPr="004A3C2D" w:rsidRDefault="005D1838"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Mobility Control increase</w:t>
            </w:r>
          </w:p>
        </w:tc>
        <w:tc>
          <w:tcPr>
            <w:tcW w:w="456" w:type="pct"/>
            <w:tcBorders>
              <w:top w:val="nil"/>
              <w:left w:val="single" w:sz="4" w:space="0" w:color="BFBFBF" w:themeColor="background1" w:themeShade="BF"/>
              <w:bottom w:val="double" w:sz="6" w:space="0" w:color="auto"/>
              <w:right w:val="single" w:sz="4" w:space="0" w:color="BFBFBF" w:themeColor="background1" w:themeShade="BF"/>
            </w:tcBorders>
            <w:shd w:val="clear" w:color="auto" w:fill="auto"/>
            <w:tcMar>
              <w:left w:w="58" w:type="dxa"/>
              <w:right w:w="58" w:type="dxa"/>
            </w:tcMar>
            <w:vAlign w:val="center"/>
            <w:hideMark/>
          </w:tcPr>
          <w:p w14:paraId="691D57C4" w14:textId="77777777" w:rsidR="005D1838" w:rsidRPr="004A3C2D" w:rsidRDefault="005D1838"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Safety Concern decrease</w:t>
            </w:r>
          </w:p>
        </w:tc>
        <w:tc>
          <w:tcPr>
            <w:tcW w:w="448" w:type="pct"/>
            <w:tcBorders>
              <w:top w:val="nil"/>
              <w:left w:val="single" w:sz="4" w:space="0" w:color="BFBFBF" w:themeColor="background1" w:themeShade="BF"/>
              <w:bottom w:val="double" w:sz="6" w:space="0" w:color="auto"/>
              <w:right w:val="single" w:sz="8" w:space="0" w:color="auto"/>
            </w:tcBorders>
            <w:shd w:val="clear" w:color="auto" w:fill="auto"/>
            <w:tcMar>
              <w:left w:w="58" w:type="dxa"/>
              <w:right w:w="58" w:type="dxa"/>
            </w:tcMar>
            <w:vAlign w:val="center"/>
            <w:hideMark/>
          </w:tcPr>
          <w:p w14:paraId="25BCFC35" w14:textId="77777777" w:rsidR="005D1838" w:rsidRPr="004A3C2D" w:rsidRDefault="005D1838" w:rsidP="0076278B">
            <w:pPr>
              <w:jc w:val="center"/>
              <w:rPr>
                <w:rFonts w:eastAsia="Times New Roman" w:cs="Times New Roman"/>
                <w:b/>
                <w:bCs/>
                <w:color w:val="000000"/>
                <w:sz w:val="20"/>
                <w:szCs w:val="20"/>
              </w:rPr>
            </w:pPr>
            <w:r w:rsidRPr="004A3C2D">
              <w:rPr>
                <w:rFonts w:eastAsia="Times New Roman" w:cs="Times New Roman"/>
                <w:b/>
                <w:bCs/>
                <w:color w:val="000000"/>
                <w:sz w:val="20"/>
                <w:szCs w:val="20"/>
              </w:rPr>
              <w:t>Tech-Savviness increase</w:t>
            </w:r>
          </w:p>
        </w:tc>
        <w:tc>
          <w:tcPr>
            <w:tcW w:w="416" w:type="pct"/>
            <w:vMerge/>
            <w:tcBorders>
              <w:left w:val="single" w:sz="8" w:space="0" w:color="auto"/>
              <w:bottom w:val="double" w:sz="6" w:space="0" w:color="000000"/>
              <w:right w:val="single" w:sz="12" w:space="0" w:color="auto"/>
            </w:tcBorders>
            <w:tcMar>
              <w:left w:w="58" w:type="dxa"/>
              <w:right w:w="58" w:type="dxa"/>
            </w:tcMar>
            <w:vAlign w:val="center"/>
            <w:hideMark/>
          </w:tcPr>
          <w:p w14:paraId="5E243659" w14:textId="77777777" w:rsidR="005D1838" w:rsidRPr="004A3C2D" w:rsidRDefault="005D1838" w:rsidP="0076278B">
            <w:pPr>
              <w:jc w:val="center"/>
              <w:rPr>
                <w:rFonts w:eastAsia="Times New Roman" w:cs="Times New Roman"/>
                <w:b/>
                <w:bCs/>
                <w:color w:val="000000"/>
                <w:sz w:val="20"/>
                <w:szCs w:val="20"/>
              </w:rPr>
            </w:pPr>
          </w:p>
        </w:tc>
        <w:tc>
          <w:tcPr>
            <w:tcW w:w="393" w:type="pct"/>
            <w:vMerge/>
            <w:tcBorders>
              <w:left w:val="single" w:sz="4" w:space="0" w:color="auto"/>
              <w:bottom w:val="double" w:sz="6" w:space="0" w:color="000000"/>
              <w:right w:val="double" w:sz="6" w:space="0" w:color="auto"/>
            </w:tcBorders>
            <w:tcMar>
              <w:left w:w="58" w:type="dxa"/>
              <w:right w:w="58" w:type="dxa"/>
            </w:tcMar>
            <w:vAlign w:val="center"/>
            <w:hideMark/>
          </w:tcPr>
          <w:p w14:paraId="2E45DDE8" w14:textId="77777777" w:rsidR="005D1838" w:rsidRPr="004A3C2D" w:rsidRDefault="005D1838" w:rsidP="0076278B">
            <w:pPr>
              <w:jc w:val="center"/>
              <w:rPr>
                <w:rFonts w:eastAsia="Times New Roman" w:cs="Times New Roman"/>
                <w:b/>
                <w:bCs/>
                <w:color w:val="000000"/>
                <w:sz w:val="20"/>
                <w:szCs w:val="20"/>
              </w:rPr>
            </w:pPr>
          </w:p>
        </w:tc>
      </w:tr>
      <w:tr w:rsidR="005D1838" w:rsidRPr="004A3C2D" w14:paraId="7270B35D" w14:textId="77777777" w:rsidTr="003B2A78">
        <w:trPr>
          <w:trHeight w:val="346"/>
        </w:trPr>
        <w:tc>
          <w:tcPr>
            <w:tcW w:w="2348" w:type="pct"/>
            <w:gridSpan w:val="3"/>
            <w:tcBorders>
              <w:top w:val="nil"/>
              <w:left w:val="double" w:sz="6" w:space="0" w:color="auto"/>
              <w:bottom w:val="single" w:sz="4" w:space="0" w:color="auto"/>
              <w:right w:val="single" w:sz="12" w:space="0" w:color="auto"/>
            </w:tcBorders>
            <w:shd w:val="clear" w:color="auto" w:fill="auto"/>
            <w:tcMar>
              <w:left w:w="58" w:type="dxa"/>
              <w:right w:w="58" w:type="dxa"/>
            </w:tcMar>
            <w:vAlign w:val="center"/>
            <w:hideMark/>
          </w:tcPr>
          <w:p w14:paraId="5870C675" w14:textId="77777777" w:rsidR="002410C0" w:rsidRPr="004A3C2D" w:rsidRDefault="002410C0" w:rsidP="007D3433">
            <w:pPr>
              <w:rPr>
                <w:rFonts w:eastAsia="Times New Roman" w:cs="Times New Roman"/>
                <w:sz w:val="20"/>
                <w:szCs w:val="20"/>
              </w:rPr>
            </w:pPr>
            <w:r w:rsidRPr="004A3C2D">
              <w:rPr>
                <w:rFonts w:eastAsia="Times New Roman" w:cs="Times New Roman"/>
                <w:b/>
                <w:bCs/>
                <w:color w:val="000000"/>
                <w:sz w:val="20"/>
                <w:szCs w:val="20"/>
              </w:rPr>
              <w:t>First to purchase an AV (Base: Never purchase an AV)</w:t>
            </w:r>
          </w:p>
        </w:tc>
        <w:tc>
          <w:tcPr>
            <w:tcW w:w="456" w:type="pct"/>
            <w:tcBorders>
              <w:top w:val="nil"/>
              <w:left w:val="single" w:sz="12" w:space="0" w:color="auto"/>
              <w:bottom w:val="single" w:sz="4" w:space="0" w:color="auto"/>
              <w:right w:val="single" w:sz="4" w:space="0" w:color="FFFFFF" w:themeColor="background1"/>
            </w:tcBorders>
            <w:shd w:val="clear" w:color="auto" w:fill="auto"/>
            <w:vAlign w:val="center"/>
            <w:hideMark/>
          </w:tcPr>
          <w:p w14:paraId="797A6D0A" w14:textId="77777777" w:rsidR="002410C0" w:rsidRPr="004A3C2D" w:rsidRDefault="002410C0" w:rsidP="007D3433">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482" w:type="pct"/>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14:paraId="68B6001B" w14:textId="77777777" w:rsidR="002410C0" w:rsidRPr="004A3C2D" w:rsidRDefault="002410C0" w:rsidP="007D3433">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456" w:type="pct"/>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14:paraId="292F062B" w14:textId="77777777" w:rsidR="002410C0" w:rsidRPr="004A3C2D" w:rsidRDefault="002410C0" w:rsidP="007D3433">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448" w:type="pct"/>
            <w:tcBorders>
              <w:top w:val="nil"/>
              <w:left w:val="single" w:sz="4" w:space="0" w:color="FFFFFF" w:themeColor="background1"/>
              <w:bottom w:val="single" w:sz="4" w:space="0" w:color="auto"/>
              <w:right w:val="single" w:sz="8" w:space="0" w:color="auto"/>
            </w:tcBorders>
            <w:shd w:val="clear" w:color="auto" w:fill="auto"/>
            <w:vAlign w:val="center"/>
            <w:hideMark/>
          </w:tcPr>
          <w:p w14:paraId="0C0C6ADA" w14:textId="77777777" w:rsidR="002410C0" w:rsidRPr="004A3C2D" w:rsidRDefault="002410C0" w:rsidP="007D3433">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416" w:type="pct"/>
            <w:tcBorders>
              <w:top w:val="nil"/>
              <w:left w:val="nil"/>
              <w:bottom w:val="single" w:sz="4" w:space="0" w:color="auto"/>
              <w:right w:val="single" w:sz="12" w:space="0" w:color="auto"/>
            </w:tcBorders>
            <w:shd w:val="clear" w:color="auto" w:fill="auto"/>
            <w:vAlign w:val="center"/>
            <w:hideMark/>
          </w:tcPr>
          <w:p w14:paraId="536BEEC2" w14:textId="77777777" w:rsidR="002410C0" w:rsidRPr="004A3C2D" w:rsidRDefault="002410C0" w:rsidP="007D3433">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391" w:type="pct"/>
            <w:tcBorders>
              <w:top w:val="nil"/>
              <w:left w:val="single" w:sz="4" w:space="0" w:color="auto"/>
              <w:bottom w:val="single" w:sz="4" w:space="0" w:color="auto"/>
              <w:right w:val="double" w:sz="6" w:space="0" w:color="auto"/>
            </w:tcBorders>
            <w:shd w:val="clear" w:color="auto" w:fill="auto"/>
            <w:vAlign w:val="center"/>
            <w:hideMark/>
          </w:tcPr>
          <w:p w14:paraId="6EB35FD7" w14:textId="77777777" w:rsidR="002410C0" w:rsidRPr="004A3C2D" w:rsidRDefault="002410C0" w:rsidP="007D3433">
            <w:pPr>
              <w:jc w:val="right"/>
              <w:rPr>
                <w:rFonts w:eastAsia="Times New Roman" w:cs="Times New Roman"/>
                <w:color w:val="000000"/>
                <w:sz w:val="20"/>
                <w:szCs w:val="20"/>
              </w:rPr>
            </w:pPr>
            <w:r w:rsidRPr="004A3C2D">
              <w:rPr>
                <w:rFonts w:eastAsia="Times New Roman" w:cs="Times New Roman"/>
                <w:color w:val="000000"/>
                <w:sz w:val="20"/>
                <w:szCs w:val="20"/>
              </w:rPr>
              <w:t> </w:t>
            </w:r>
          </w:p>
        </w:tc>
      </w:tr>
      <w:tr w:rsidR="005D1838" w:rsidRPr="004A3C2D" w14:paraId="7F89F2DC" w14:textId="77777777" w:rsidTr="003B2A78">
        <w:trPr>
          <w:trHeight w:val="346"/>
        </w:trPr>
        <w:tc>
          <w:tcPr>
            <w:tcW w:w="895" w:type="pct"/>
            <w:tcBorders>
              <w:top w:val="single" w:sz="4" w:space="0" w:color="auto"/>
              <w:left w:val="double" w:sz="6" w:space="0" w:color="auto"/>
              <w:bottom w:val="single" w:sz="4" w:space="0" w:color="auto"/>
              <w:right w:val="single" w:sz="4" w:space="0" w:color="FFFFFF" w:themeColor="background1"/>
            </w:tcBorders>
            <w:shd w:val="clear" w:color="auto" w:fill="auto"/>
            <w:tcMar>
              <w:left w:w="58" w:type="dxa"/>
              <w:right w:w="58" w:type="dxa"/>
            </w:tcMar>
            <w:vAlign w:val="center"/>
            <w:hideMark/>
          </w:tcPr>
          <w:p w14:paraId="689DE527" w14:textId="77777777" w:rsidR="002410C0" w:rsidRPr="004A3C2D" w:rsidRDefault="002410C0" w:rsidP="0076278B">
            <w:pPr>
              <w:rPr>
                <w:rFonts w:eastAsia="Times New Roman" w:cs="Times New Roman"/>
                <w:i/>
                <w:iCs/>
                <w:color w:val="000000"/>
                <w:sz w:val="20"/>
                <w:szCs w:val="20"/>
              </w:rPr>
            </w:pPr>
            <w:r w:rsidRPr="004A3C2D">
              <w:rPr>
                <w:rFonts w:eastAsia="Times New Roman" w:cs="Times New Roman"/>
                <w:i/>
                <w:iCs/>
                <w:color w:val="000000"/>
                <w:sz w:val="20"/>
                <w:szCs w:val="20"/>
              </w:rPr>
              <w:t>Socio-demographic</w:t>
            </w:r>
          </w:p>
        </w:tc>
        <w:tc>
          <w:tcPr>
            <w:tcW w:w="66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tcMar>
              <w:left w:w="58" w:type="dxa"/>
              <w:right w:w="58" w:type="dxa"/>
            </w:tcMar>
            <w:vAlign w:val="center"/>
            <w:hideMark/>
          </w:tcPr>
          <w:p w14:paraId="0C6CF871" w14:textId="77777777" w:rsidR="002410C0" w:rsidRPr="004A3C2D" w:rsidRDefault="002410C0" w:rsidP="0076278B">
            <w:pPr>
              <w:rPr>
                <w:rFonts w:eastAsia="Times New Roman" w:cs="Times New Roman"/>
                <w:i/>
                <w:iCs/>
                <w:color w:val="000000"/>
                <w:sz w:val="20"/>
                <w:szCs w:val="20"/>
              </w:rPr>
            </w:pPr>
          </w:p>
        </w:tc>
        <w:tc>
          <w:tcPr>
            <w:tcW w:w="792" w:type="pct"/>
            <w:tcBorders>
              <w:top w:val="single" w:sz="4" w:space="0" w:color="auto"/>
              <w:left w:val="single" w:sz="4" w:space="0" w:color="FFFFFF" w:themeColor="background1"/>
              <w:bottom w:val="single" w:sz="4" w:space="0" w:color="auto"/>
              <w:right w:val="single" w:sz="12" w:space="0" w:color="auto"/>
            </w:tcBorders>
            <w:shd w:val="clear" w:color="auto" w:fill="auto"/>
            <w:tcMar>
              <w:left w:w="58" w:type="dxa"/>
              <w:right w:w="58" w:type="dxa"/>
            </w:tcMar>
            <w:vAlign w:val="center"/>
            <w:hideMark/>
          </w:tcPr>
          <w:p w14:paraId="4B83B069" w14:textId="77777777" w:rsidR="002410C0" w:rsidRPr="004A3C2D" w:rsidRDefault="002410C0" w:rsidP="0076278B">
            <w:pPr>
              <w:rPr>
                <w:rFonts w:eastAsia="Times New Roman" w:cs="Times New Roman"/>
                <w:sz w:val="20"/>
                <w:szCs w:val="20"/>
              </w:rPr>
            </w:pPr>
          </w:p>
        </w:tc>
        <w:tc>
          <w:tcPr>
            <w:tcW w:w="456" w:type="pct"/>
            <w:tcBorders>
              <w:top w:val="single" w:sz="4" w:space="0" w:color="auto"/>
              <w:left w:val="single" w:sz="12" w:space="0" w:color="auto"/>
              <w:bottom w:val="single" w:sz="4" w:space="0" w:color="auto"/>
              <w:right w:val="single" w:sz="4" w:space="0" w:color="FFFFFF" w:themeColor="background1"/>
            </w:tcBorders>
            <w:shd w:val="clear" w:color="auto" w:fill="auto"/>
            <w:vAlign w:val="center"/>
            <w:hideMark/>
          </w:tcPr>
          <w:p w14:paraId="1613902D"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48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14:paraId="078ED4A2"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456"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14:paraId="0D800CDE"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448" w:type="pct"/>
            <w:tcBorders>
              <w:top w:val="single" w:sz="4" w:space="0" w:color="auto"/>
              <w:left w:val="single" w:sz="4" w:space="0" w:color="FFFFFF" w:themeColor="background1"/>
              <w:bottom w:val="single" w:sz="4" w:space="0" w:color="auto"/>
              <w:right w:val="single" w:sz="8" w:space="0" w:color="auto"/>
            </w:tcBorders>
            <w:shd w:val="clear" w:color="auto" w:fill="auto"/>
            <w:vAlign w:val="center"/>
            <w:hideMark/>
          </w:tcPr>
          <w:p w14:paraId="047A551A"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416" w:type="pct"/>
            <w:tcBorders>
              <w:top w:val="single" w:sz="4" w:space="0" w:color="auto"/>
              <w:left w:val="nil"/>
              <w:bottom w:val="single" w:sz="4" w:space="0" w:color="auto"/>
              <w:right w:val="single" w:sz="12" w:space="0" w:color="auto"/>
            </w:tcBorders>
            <w:shd w:val="clear" w:color="auto" w:fill="auto"/>
            <w:vAlign w:val="center"/>
            <w:hideMark/>
          </w:tcPr>
          <w:p w14:paraId="641F7F9D"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 </w:t>
            </w:r>
          </w:p>
        </w:tc>
        <w:tc>
          <w:tcPr>
            <w:tcW w:w="393" w:type="pct"/>
            <w:tcBorders>
              <w:top w:val="single" w:sz="4" w:space="0" w:color="auto"/>
              <w:left w:val="single" w:sz="4" w:space="0" w:color="auto"/>
              <w:bottom w:val="single" w:sz="4" w:space="0" w:color="auto"/>
              <w:right w:val="double" w:sz="6" w:space="0" w:color="auto"/>
            </w:tcBorders>
            <w:shd w:val="clear" w:color="auto" w:fill="auto"/>
            <w:vAlign w:val="center"/>
            <w:hideMark/>
          </w:tcPr>
          <w:p w14:paraId="276F9A94"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 </w:t>
            </w:r>
          </w:p>
        </w:tc>
      </w:tr>
      <w:tr w:rsidR="005D1838" w:rsidRPr="004A3C2D" w14:paraId="2C2A9C49" w14:textId="77777777" w:rsidTr="003B2A78">
        <w:trPr>
          <w:trHeight w:val="346"/>
        </w:trPr>
        <w:tc>
          <w:tcPr>
            <w:tcW w:w="895" w:type="pct"/>
            <w:tcBorders>
              <w:top w:val="single" w:sz="4" w:space="0" w:color="auto"/>
              <w:left w:val="double" w:sz="6" w:space="0" w:color="auto"/>
              <w:bottom w:val="single" w:sz="4" w:space="0" w:color="BFBFBF" w:themeColor="background1" w:themeShade="BF"/>
              <w:right w:val="single" w:sz="4" w:space="0" w:color="auto"/>
            </w:tcBorders>
            <w:shd w:val="clear" w:color="auto" w:fill="auto"/>
            <w:tcMar>
              <w:left w:w="58" w:type="dxa"/>
              <w:right w:w="58" w:type="dxa"/>
            </w:tcMar>
            <w:vAlign w:val="center"/>
            <w:hideMark/>
          </w:tcPr>
          <w:p w14:paraId="6A36CC9E"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Gender</w:t>
            </w:r>
          </w:p>
        </w:tc>
        <w:tc>
          <w:tcPr>
            <w:tcW w:w="662" w:type="pct"/>
            <w:tcBorders>
              <w:top w:val="single" w:sz="4" w:space="0" w:color="auto"/>
              <w:left w:val="single" w:sz="4" w:space="0" w:color="auto"/>
              <w:bottom w:val="single" w:sz="4" w:space="0" w:color="BFBFBF" w:themeColor="background1" w:themeShade="BF"/>
              <w:right w:val="single" w:sz="4" w:space="0" w:color="A5A5A5" w:themeColor="accent3"/>
            </w:tcBorders>
            <w:shd w:val="clear" w:color="auto" w:fill="auto"/>
            <w:tcMar>
              <w:left w:w="58" w:type="dxa"/>
              <w:right w:w="58" w:type="dxa"/>
            </w:tcMar>
            <w:vAlign w:val="center"/>
            <w:hideMark/>
          </w:tcPr>
          <w:p w14:paraId="5354BC6A"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Male</w:t>
            </w:r>
          </w:p>
        </w:tc>
        <w:tc>
          <w:tcPr>
            <w:tcW w:w="792" w:type="pct"/>
            <w:tcBorders>
              <w:top w:val="single" w:sz="4" w:space="0" w:color="auto"/>
              <w:left w:val="single" w:sz="4" w:space="0" w:color="A5A5A5" w:themeColor="accent3"/>
              <w:bottom w:val="single" w:sz="4" w:space="0" w:color="BFBFBF" w:themeColor="background1" w:themeShade="BF"/>
              <w:right w:val="single" w:sz="12" w:space="0" w:color="auto"/>
            </w:tcBorders>
            <w:shd w:val="clear" w:color="auto" w:fill="auto"/>
            <w:tcMar>
              <w:left w:w="58" w:type="dxa"/>
              <w:right w:w="58" w:type="dxa"/>
            </w:tcMar>
            <w:vAlign w:val="center"/>
            <w:hideMark/>
          </w:tcPr>
          <w:p w14:paraId="74CD0160"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Female</w:t>
            </w:r>
          </w:p>
        </w:tc>
        <w:tc>
          <w:tcPr>
            <w:tcW w:w="456" w:type="pct"/>
            <w:tcBorders>
              <w:top w:val="single" w:sz="4" w:space="0" w:color="auto"/>
              <w:left w:val="single" w:sz="12" w:space="0" w:color="auto"/>
              <w:bottom w:val="single" w:sz="4" w:space="0" w:color="BFBFBF" w:themeColor="background1" w:themeShade="BF"/>
              <w:right w:val="single" w:sz="4" w:space="0" w:color="BFBFBF" w:themeColor="background1" w:themeShade="BF"/>
            </w:tcBorders>
            <w:shd w:val="clear" w:color="auto" w:fill="auto"/>
            <w:vAlign w:val="center"/>
          </w:tcPr>
          <w:p w14:paraId="77BABC07" w14:textId="77777777" w:rsidR="002410C0" w:rsidRPr="004A3C2D" w:rsidRDefault="002410C0" w:rsidP="0076278B">
            <w:pPr>
              <w:jc w:val="right"/>
              <w:rPr>
                <w:rFonts w:eastAsia="Times New Roman" w:cs="Times New Roman"/>
                <w:color w:val="000000"/>
                <w:sz w:val="20"/>
                <w:szCs w:val="20"/>
              </w:rPr>
            </w:pPr>
            <w:r>
              <w:rPr>
                <w:color w:val="000000"/>
                <w:sz w:val="20"/>
                <w:szCs w:val="20"/>
              </w:rPr>
              <w:t>-29</w:t>
            </w:r>
          </w:p>
        </w:tc>
        <w:tc>
          <w:tcPr>
            <w:tcW w:w="482" w:type="pct"/>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CC57FF" w14:textId="77777777" w:rsidR="002410C0" w:rsidRPr="00B73138" w:rsidRDefault="002410C0" w:rsidP="0076278B">
            <w:pPr>
              <w:jc w:val="right"/>
              <w:rPr>
                <w:rFonts w:eastAsia="Times New Roman" w:cs="Times New Roman"/>
                <w:color w:val="000000"/>
                <w:sz w:val="20"/>
                <w:szCs w:val="20"/>
              </w:rPr>
            </w:pPr>
            <w:r w:rsidRPr="00B73138">
              <w:rPr>
                <w:color w:val="000000"/>
                <w:sz w:val="20"/>
                <w:szCs w:val="20"/>
              </w:rPr>
              <w:t>0</w:t>
            </w:r>
          </w:p>
        </w:tc>
        <w:tc>
          <w:tcPr>
            <w:tcW w:w="456" w:type="pct"/>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58AA6E" w14:textId="77777777" w:rsidR="002410C0" w:rsidRPr="00B73138" w:rsidRDefault="002410C0" w:rsidP="0076278B">
            <w:pPr>
              <w:jc w:val="right"/>
              <w:rPr>
                <w:rFonts w:eastAsia="Times New Roman" w:cs="Times New Roman"/>
                <w:color w:val="000000"/>
                <w:sz w:val="20"/>
                <w:szCs w:val="20"/>
              </w:rPr>
            </w:pPr>
            <w:r w:rsidRPr="00B73138">
              <w:rPr>
                <w:color w:val="000000"/>
                <w:sz w:val="20"/>
                <w:szCs w:val="20"/>
              </w:rPr>
              <w:t>-69</w:t>
            </w:r>
          </w:p>
        </w:tc>
        <w:tc>
          <w:tcPr>
            <w:tcW w:w="448" w:type="pct"/>
            <w:tcBorders>
              <w:top w:val="single" w:sz="4" w:space="0" w:color="auto"/>
              <w:left w:val="single" w:sz="4" w:space="0" w:color="BFBFBF" w:themeColor="background1" w:themeShade="BF"/>
              <w:bottom w:val="single" w:sz="4" w:space="0" w:color="BFBFBF" w:themeColor="background1" w:themeShade="BF"/>
              <w:right w:val="single" w:sz="8" w:space="0" w:color="auto"/>
            </w:tcBorders>
            <w:shd w:val="clear" w:color="auto" w:fill="auto"/>
            <w:vAlign w:val="center"/>
          </w:tcPr>
          <w:p w14:paraId="0F8EFACE" w14:textId="77777777" w:rsidR="002410C0" w:rsidRPr="00B73138" w:rsidRDefault="002410C0" w:rsidP="0076278B">
            <w:pPr>
              <w:jc w:val="right"/>
              <w:rPr>
                <w:rFonts w:eastAsia="Times New Roman" w:cs="Times New Roman"/>
                <w:color w:val="000000"/>
                <w:sz w:val="20"/>
                <w:szCs w:val="20"/>
              </w:rPr>
            </w:pPr>
            <w:r w:rsidRPr="00B73138">
              <w:rPr>
                <w:color w:val="000000"/>
                <w:sz w:val="20"/>
                <w:szCs w:val="20"/>
              </w:rPr>
              <w:t>2</w:t>
            </w:r>
          </w:p>
        </w:tc>
        <w:tc>
          <w:tcPr>
            <w:tcW w:w="416" w:type="pct"/>
            <w:tcBorders>
              <w:top w:val="single" w:sz="4" w:space="0" w:color="auto"/>
              <w:left w:val="nil"/>
              <w:bottom w:val="single" w:sz="4" w:space="0" w:color="BFBFBF" w:themeColor="background1" w:themeShade="BF"/>
              <w:right w:val="single" w:sz="12" w:space="0" w:color="auto"/>
            </w:tcBorders>
            <w:shd w:val="clear" w:color="auto" w:fill="auto"/>
            <w:vAlign w:val="center"/>
          </w:tcPr>
          <w:p w14:paraId="7B387731" w14:textId="77777777" w:rsidR="002410C0" w:rsidRPr="00B73138" w:rsidRDefault="002410C0" w:rsidP="0076278B">
            <w:pPr>
              <w:jc w:val="right"/>
              <w:rPr>
                <w:rFonts w:eastAsia="Times New Roman" w:cs="Times New Roman"/>
                <w:color w:val="000000"/>
                <w:sz w:val="20"/>
                <w:szCs w:val="20"/>
              </w:rPr>
            </w:pPr>
            <w:r w:rsidRPr="00B73138">
              <w:rPr>
                <w:color w:val="000000"/>
                <w:sz w:val="20"/>
                <w:szCs w:val="20"/>
              </w:rPr>
              <w:t>0</w:t>
            </w:r>
          </w:p>
        </w:tc>
        <w:tc>
          <w:tcPr>
            <w:tcW w:w="393" w:type="pct"/>
            <w:tcBorders>
              <w:top w:val="single" w:sz="4" w:space="0" w:color="auto"/>
              <w:left w:val="single" w:sz="4" w:space="0" w:color="auto"/>
              <w:bottom w:val="single" w:sz="4" w:space="0" w:color="BFBFBF" w:themeColor="background1" w:themeShade="BF"/>
              <w:right w:val="double" w:sz="6" w:space="0" w:color="auto"/>
            </w:tcBorders>
            <w:shd w:val="clear" w:color="auto" w:fill="auto"/>
            <w:vAlign w:val="center"/>
          </w:tcPr>
          <w:p w14:paraId="40418225"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-0.0742</w:t>
            </w:r>
          </w:p>
        </w:tc>
      </w:tr>
      <w:tr w:rsidR="005D1838" w:rsidRPr="004A3C2D" w14:paraId="7CBB4FFA" w14:textId="77777777" w:rsidTr="003B2A78">
        <w:trPr>
          <w:trHeight w:val="346"/>
        </w:trPr>
        <w:tc>
          <w:tcPr>
            <w:tcW w:w="895" w:type="pct"/>
            <w:tcBorders>
              <w:top w:val="single" w:sz="4" w:space="0" w:color="BFBFBF" w:themeColor="background1" w:themeShade="BF"/>
              <w:left w:val="double" w:sz="6" w:space="0" w:color="auto"/>
              <w:bottom w:val="single" w:sz="4" w:space="0" w:color="BFBFBF" w:themeColor="background1" w:themeShade="BF"/>
              <w:right w:val="single" w:sz="4" w:space="0" w:color="auto"/>
            </w:tcBorders>
            <w:shd w:val="clear" w:color="auto" w:fill="auto"/>
            <w:tcMar>
              <w:left w:w="58" w:type="dxa"/>
              <w:right w:w="58" w:type="dxa"/>
            </w:tcMar>
            <w:vAlign w:val="center"/>
          </w:tcPr>
          <w:p w14:paraId="79BA63FF"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Age</w:t>
            </w:r>
          </w:p>
        </w:tc>
        <w:tc>
          <w:tcPr>
            <w:tcW w:w="662" w:type="pct"/>
            <w:tcBorders>
              <w:top w:val="single" w:sz="4" w:space="0" w:color="BFBFBF" w:themeColor="background1" w:themeShade="BF"/>
              <w:left w:val="single" w:sz="4" w:space="0" w:color="auto"/>
              <w:bottom w:val="single" w:sz="4" w:space="0" w:color="BFBFBF" w:themeColor="background1" w:themeShade="BF"/>
              <w:right w:val="single" w:sz="4" w:space="0" w:color="A5A5A5" w:themeColor="accent3"/>
            </w:tcBorders>
            <w:shd w:val="clear" w:color="auto" w:fill="auto"/>
            <w:tcMar>
              <w:left w:w="58" w:type="dxa"/>
              <w:right w:w="58" w:type="dxa"/>
            </w:tcMar>
            <w:vAlign w:val="center"/>
          </w:tcPr>
          <w:p w14:paraId="7E9B38C6"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&lt;30</w:t>
            </w:r>
          </w:p>
        </w:tc>
        <w:tc>
          <w:tcPr>
            <w:tcW w:w="792" w:type="pct"/>
            <w:tcBorders>
              <w:top w:val="single" w:sz="4" w:space="0" w:color="BFBFBF" w:themeColor="background1" w:themeShade="BF"/>
              <w:left w:val="single" w:sz="4" w:space="0" w:color="A5A5A5" w:themeColor="accent3"/>
              <w:bottom w:val="single" w:sz="4" w:space="0" w:color="BFBFBF" w:themeColor="background1" w:themeShade="BF"/>
              <w:right w:val="single" w:sz="12" w:space="0" w:color="auto"/>
            </w:tcBorders>
            <w:shd w:val="clear" w:color="auto" w:fill="auto"/>
            <w:tcMar>
              <w:left w:w="58" w:type="dxa"/>
              <w:right w:w="58" w:type="dxa"/>
            </w:tcMar>
            <w:vAlign w:val="center"/>
          </w:tcPr>
          <w:p w14:paraId="23DE0FF9"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u w:val="single"/>
              </w:rPr>
              <w:t xml:space="preserve">&gt; </w:t>
            </w:r>
            <w:r w:rsidRPr="004A3C2D">
              <w:rPr>
                <w:rFonts w:eastAsia="Times New Roman" w:cs="Times New Roman"/>
                <w:color w:val="000000"/>
                <w:sz w:val="20"/>
                <w:szCs w:val="20"/>
              </w:rPr>
              <w:t>64</w:t>
            </w:r>
          </w:p>
        </w:tc>
        <w:tc>
          <w:tcPr>
            <w:tcW w:w="456" w:type="pct"/>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auto"/>
            <w:vAlign w:val="center"/>
          </w:tcPr>
          <w:p w14:paraId="191789AB" w14:textId="77777777" w:rsidR="002410C0" w:rsidRDefault="002410C0" w:rsidP="0076278B">
            <w:pPr>
              <w:jc w:val="right"/>
              <w:rPr>
                <w:color w:val="000000"/>
                <w:sz w:val="20"/>
                <w:szCs w:val="20"/>
              </w:rPr>
            </w:pPr>
            <w:r>
              <w:rPr>
                <w:color w:val="000000"/>
                <w:sz w:val="20"/>
                <w:szCs w:val="20"/>
              </w:rPr>
              <w:t>-40</w:t>
            </w:r>
          </w:p>
        </w:tc>
        <w:tc>
          <w:tcPr>
            <w:tcW w:w="4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709202A" w14:textId="77777777" w:rsidR="002410C0" w:rsidRPr="00B73138" w:rsidRDefault="002410C0" w:rsidP="0076278B">
            <w:pPr>
              <w:jc w:val="right"/>
              <w:rPr>
                <w:color w:val="000000"/>
                <w:sz w:val="20"/>
                <w:szCs w:val="20"/>
              </w:rPr>
            </w:pPr>
            <w:r w:rsidRPr="00B73138">
              <w:rPr>
                <w:color w:val="000000"/>
                <w:sz w:val="20"/>
                <w:szCs w:val="20"/>
              </w:rPr>
              <w:t>-3</w:t>
            </w:r>
          </w:p>
        </w:tc>
        <w:tc>
          <w:tcPr>
            <w:tcW w:w="4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423CA30" w14:textId="77777777" w:rsidR="002410C0" w:rsidRPr="00B73138" w:rsidRDefault="002410C0" w:rsidP="0076278B">
            <w:pPr>
              <w:jc w:val="right"/>
              <w:rPr>
                <w:color w:val="000000"/>
                <w:sz w:val="20"/>
                <w:szCs w:val="20"/>
              </w:rPr>
            </w:pPr>
            <w:r w:rsidRPr="00B73138">
              <w:rPr>
                <w:color w:val="000000"/>
                <w:sz w:val="20"/>
                <w:szCs w:val="20"/>
              </w:rPr>
              <w:t>-24</w:t>
            </w:r>
          </w:p>
        </w:tc>
        <w:tc>
          <w:tcPr>
            <w:tcW w:w="4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shd w:val="clear" w:color="auto" w:fill="auto"/>
            <w:vAlign w:val="center"/>
          </w:tcPr>
          <w:p w14:paraId="1C1098F6" w14:textId="77777777" w:rsidR="002410C0" w:rsidRPr="00B73138" w:rsidRDefault="002410C0" w:rsidP="0076278B">
            <w:pPr>
              <w:jc w:val="right"/>
              <w:rPr>
                <w:color w:val="000000"/>
                <w:sz w:val="20"/>
                <w:szCs w:val="20"/>
              </w:rPr>
            </w:pPr>
            <w:r w:rsidRPr="00B73138">
              <w:rPr>
                <w:color w:val="000000"/>
                <w:sz w:val="20"/>
                <w:szCs w:val="20"/>
              </w:rPr>
              <w:t>1</w:t>
            </w:r>
          </w:p>
        </w:tc>
        <w:tc>
          <w:tcPr>
            <w:tcW w:w="416" w:type="pct"/>
            <w:tcBorders>
              <w:top w:val="single" w:sz="4" w:space="0" w:color="BFBFBF" w:themeColor="background1" w:themeShade="BF"/>
              <w:left w:val="nil"/>
              <w:bottom w:val="single" w:sz="4" w:space="0" w:color="BFBFBF" w:themeColor="background1" w:themeShade="BF"/>
              <w:right w:val="single" w:sz="12" w:space="0" w:color="auto"/>
            </w:tcBorders>
            <w:shd w:val="clear" w:color="auto" w:fill="auto"/>
            <w:vAlign w:val="center"/>
          </w:tcPr>
          <w:p w14:paraId="43C8E338" w14:textId="77777777" w:rsidR="002410C0" w:rsidRPr="00B73138" w:rsidRDefault="002410C0" w:rsidP="0076278B">
            <w:pPr>
              <w:jc w:val="right"/>
              <w:rPr>
                <w:color w:val="000000"/>
                <w:sz w:val="20"/>
                <w:szCs w:val="20"/>
              </w:rPr>
            </w:pPr>
            <w:r w:rsidRPr="00B73138">
              <w:rPr>
                <w:color w:val="000000"/>
                <w:sz w:val="20"/>
                <w:szCs w:val="20"/>
              </w:rPr>
              <w:t>-32</w:t>
            </w:r>
          </w:p>
        </w:tc>
        <w:tc>
          <w:tcPr>
            <w:tcW w:w="393" w:type="pct"/>
            <w:tcBorders>
              <w:top w:val="single" w:sz="4" w:space="0" w:color="BFBFBF" w:themeColor="background1" w:themeShade="BF"/>
              <w:left w:val="single" w:sz="4" w:space="0" w:color="auto"/>
              <w:bottom w:val="single" w:sz="4" w:space="0" w:color="BFBFBF" w:themeColor="background1" w:themeShade="BF"/>
              <w:right w:val="double" w:sz="6" w:space="0" w:color="auto"/>
            </w:tcBorders>
            <w:shd w:val="clear" w:color="auto" w:fill="auto"/>
            <w:vAlign w:val="center"/>
          </w:tcPr>
          <w:p w14:paraId="0CC1AA9F"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-0.0159</w:t>
            </w:r>
          </w:p>
        </w:tc>
      </w:tr>
      <w:tr w:rsidR="005D1838" w:rsidRPr="004A3C2D" w14:paraId="61EB3334" w14:textId="77777777" w:rsidTr="003B2A78">
        <w:trPr>
          <w:trHeight w:val="346"/>
        </w:trPr>
        <w:tc>
          <w:tcPr>
            <w:tcW w:w="895" w:type="pct"/>
            <w:tcBorders>
              <w:top w:val="single" w:sz="4" w:space="0" w:color="BFBFBF" w:themeColor="background1" w:themeShade="BF"/>
              <w:left w:val="double" w:sz="6" w:space="0" w:color="auto"/>
              <w:bottom w:val="single" w:sz="4" w:space="0" w:color="BFBFBF" w:themeColor="background1" w:themeShade="BF"/>
              <w:right w:val="single" w:sz="4" w:space="0" w:color="auto"/>
            </w:tcBorders>
            <w:shd w:val="clear" w:color="auto" w:fill="auto"/>
            <w:tcMar>
              <w:left w:w="58" w:type="dxa"/>
              <w:right w:w="58" w:type="dxa"/>
            </w:tcMar>
            <w:vAlign w:val="center"/>
          </w:tcPr>
          <w:p w14:paraId="38F82F32"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Employment Status</w:t>
            </w:r>
          </w:p>
        </w:tc>
        <w:tc>
          <w:tcPr>
            <w:tcW w:w="662" w:type="pct"/>
            <w:tcBorders>
              <w:top w:val="single" w:sz="4" w:space="0" w:color="BFBFBF" w:themeColor="background1" w:themeShade="BF"/>
              <w:left w:val="single" w:sz="4" w:space="0" w:color="auto"/>
              <w:bottom w:val="single" w:sz="4" w:space="0" w:color="BFBFBF" w:themeColor="background1" w:themeShade="BF"/>
              <w:right w:val="single" w:sz="4" w:space="0" w:color="A5A5A5" w:themeColor="accent3"/>
            </w:tcBorders>
            <w:shd w:val="clear" w:color="auto" w:fill="auto"/>
            <w:tcMar>
              <w:left w:w="58" w:type="dxa"/>
              <w:right w:w="58" w:type="dxa"/>
            </w:tcMar>
            <w:vAlign w:val="center"/>
          </w:tcPr>
          <w:p w14:paraId="243750EE"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Unemployed</w:t>
            </w:r>
          </w:p>
        </w:tc>
        <w:tc>
          <w:tcPr>
            <w:tcW w:w="792" w:type="pct"/>
            <w:tcBorders>
              <w:top w:val="single" w:sz="4" w:space="0" w:color="BFBFBF" w:themeColor="background1" w:themeShade="BF"/>
              <w:left w:val="single" w:sz="4" w:space="0" w:color="A5A5A5" w:themeColor="accent3"/>
              <w:bottom w:val="single" w:sz="4" w:space="0" w:color="BFBFBF" w:themeColor="background1" w:themeShade="BF"/>
              <w:right w:val="single" w:sz="12" w:space="0" w:color="auto"/>
            </w:tcBorders>
            <w:shd w:val="clear" w:color="auto" w:fill="auto"/>
            <w:tcMar>
              <w:left w:w="58" w:type="dxa"/>
              <w:right w:w="58" w:type="dxa"/>
            </w:tcMar>
            <w:vAlign w:val="center"/>
          </w:tcPr>
          <w:p w14:paraId="7928840A" w14:textId="77777777" w:rsidR="002410C0" w:rsidRPr="004A3C2D" w:rsidRDefault="002410C0" w:rsidP="0076278B">
            <w:pPr>
              <w:rPr>
                <w:rFonts w:eastAsia="Times New Roman" w:cs="Times New Roman"/>
                <w:color w:val="000000"/>
                <w:sz w:val="20"/>
                <w:szCs w:val="20"/>
                <w:u w:val="single"/>
              </w:rPr>
            </w:pPr>
            <w:r w:rsidRPr="004A3C2D">
              <w:rPr>
                <w:rFonts w:eastAsia="Times New Roman" w:cs="Times New Roman"/>
                <w:color w:val="000000"/>
                <w:sz w:val="20"/>
                <w:szCs w:val="20"/>
              </w:rPr>
              <w:t>Employed</w:t>
            </w:r>
          </w:p>
        </w:tc>
        <w:tc>
          <w:tcPr>
            <w:tcW w:w="456" w:type="pct"/>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auto"/>
            <w:vAlign w:val="center"/>
          </w:tcPr>
          <w:p w14:paraId="225E5BB6" w14:textId="77777777" w:rsidR="002410C0" w:rsidRDefault="002410C0" w:rsidP="0076278B">
            <w:pPr>
              <w:jc w:val="right"/>
              <w:rPr>
                <w:color w:val="000000"/>
                <w:sz w:val="20"/>
                <w:szCs w:val="20"/>
              </w:rPr>
            </w:pPr>
            <w:r>
              <w:rPr>
                <w:color w:val="000000"/>
                <w:sz w:val="20"/>
                <w:szCs w:val="20"/>
              </w:rPr>
              <w:t>0</w:t>
            </w:r>
          </w:p>
        </w:tc>
        <w:tc>
          <w:tcPr>
            <w:tcW w:w="4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F11422" w14:textId="77777777" w:rsidR="002410C0" w:rsidRPr="00B73138" w:rsidRDefault="002410C0" w:rsidP="0076278B">
            <w:pPr>
              <w:jc w:val="right"/>
              <w:rPr>
                <w:color w:val="000000"/>
                <w:sz w:val="20"/>
                <w:szCs w:val="20"/>
              </w:rPr>
            </w:pPr>
            <w:r w:rsidRPr="00B73138">
              <w:rPr>
                <w:color w:val="000000"/>
                <w:sz w:val="20"/>
                <w:szCs w:val="20"/>
              </w:rPr>
              <w:t>0</w:t>
            </w:r>
          </w:p>
        </w:tc>
        <w:tc>
          <w:tcPr>
            <w:tcW w:w="4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39E2CF9" w14:textId="77777777" w:rsidR="002410C0" w:rsidRPr="00B73138" w:rsidRDefault="002410C0" w:rsidP="0076278B">
            <w:pPr>
              <w:jc w:val="right"/>
              <w:rPr>
                <w:color w:val="000000"/>
                <w:sz w:val="20"/>
                <w:szCs w:val="20"/>
              </w:rPr>
            </w:pPr>
            <w:r w:rsidRPr="00B73138">
              <w:rPr>
                <w:color w:val="000000"/>
                <w:sz w:val="20"/>
                <w:szCs w:val="20"/>
              </w:rPr>
              <w:t>100</w:t>
            </w:r>
          </w:p>
        </w:tc>
        <w:tc>
          <w:tcPr>
            <w:tcW w:w="4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shd w:val="clear" w:color="auto" w:fill="auto"/>
            <w:vAlign w:val="center"/>
          </w:tcPr>
          <w:p w14:paraId="16303762" w14:textId="77777777" w:rsidR="002410C0" w:rsidRPr="00B73138" w:rsidRDefault="002410C0" w:rsidP="0076278B">
            <w:pPr>
              <w:jc w:val="right"/>
              <w:rPr>
                <w:color w:val="000000"/>
                <w:sz w:val="20"/>
                <w:szCs w:val="20"/>
              </w:rPr>
            </w:pPr>
            <w:r w:rsidRPr="00B73138">
              <w:rPr>
                <w:color w:val="000000"/>
                <w:sz w:val="20"/>
                <w:szCs w:val="20"/>
              </w:rPr>
              <w:t>0</w:t>
            </w:r>
          </w:p>
        </w:tc>
        <w:tc>
          <w:tcPr>
            <w:tcW w:w="416" w:type="pct"/>
            <w:tcBorders>
              <w:top w:val="single" w:sz="4" w:space="0" w:color="BFBFBF" w:themeColor="background1" w:themeShade="BF"/>
              <w:left w:val="nil"/>
              <w:bottom w:val="single" w:sz="4" w:space="0" w:color="BFBFBF" w:themeColor="background1" w:themeShade="BF"/>
              <w:right w:val="single" w:sz="12" w:space="0" w:color="auto"/>
            </w:tcBorders>
            <w:shd w:val="clear" w:color="auto" w:fill="auto"/>
            <w:vAlign w:val="center"/>
          </w:tcPr>
          <w:p w14:paraId="52C965DE" w14:textId="77777777" w:rsidR="002410C0" w:rsidRPr="00B73138" w:rsidRDefault="002410C0" w:rsidP="0076278B">
            <w:pPr>
              <w:jc w:val="right"/>
              <w:rPr>
                <w:color w:val="000000"/>
                <w:sz w:val="20"/>
                <w:szCs w:val="20"/>
              </w:rPr>
            </w:pPr>
            <w:r w:rsidRPr="00B73138">
              <w:rPr>
                <w:color w:val="000000"/>
                <w:sz w:val="20"/>
                <w:szCs w:val="20"/>
              </w:rPr>
              <w:t>0</w:t>
            </w:r>
          </w:p>
        </w:tc>
        <w:tc>
          <w:tcPr>
            <w:tcW w:w="393" w:type="pct"/>
            <w:tcBorders>
              <w:top w:val="single" w:sz="4" w:space="0" w:color="BFBFBF" w:themeColor="background1" w:themeShade="BF"/>
              <w:left w:val="single" w:sz="4" w:space="0" w:color="auto"/>
              <w:bottom w:val="single" w:sz="4" w:space="0" w:color="BFBFBF" w:themeColor="background1" w:themeShade="BF"/>
              <w:right w:val="double" w:sz="6" w:space="0" w:color="auto"/>
            </w:tcBorders>
            <w:shd w:val="clear" w:color="auto" w:fill="auto"/>
            <w:vAlign w:val="center"/>
          </w:tcPr>
          <w:p w14:paraId="1355E97E"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0.0192</w:t>
            </w:r>
          </w:p>
        </w:tc>
      </w:tr>
      <w:tr w:rsidR="005D1838" w:rsidRPr="004A3C2D" w14:paraId="1C1B144B" w14:textId="77777777" w:rsidTr="003B2A78">
        <w:trPr>
          <w:trHeight w:val="346"/>
        </w:trPr>
        <w:tc>
          <w:tcPr>
            <w:tcW w:w="895" w:type="pct"/>
            <w:tcBorders>
              <w:top w:val="single" w:sz="4" w:space="0" w:color="BFBFBF" w:themeColor="background1" w:themeShade="BF"/>
              <w:left w:val="double" w:sz="6" w:space="0" w:color="auto"/>
              <w:bottom w:val="single" w:sz="4" w:space="0" w:color="BFBFBF" w:themeColor="background1" w:themeShade="BF"/>
              <w:right w:val="single" w:sz="4" w:space="0" w:color="auto"/>
            </w:tcBorders>
            <w:shd w:val="clear" w:color="auto" w:fill="auto"/>
            <w:tcMar>
              <w:left w:w="58" w:type="dxa"/>
              <w:right w:w="58" w:type="dxa"/>
            </w:tcMar>
            <w:vAlign w:val="center"/>
            <w:hideMark/>
          </w:tcPr>
          <w:p w14:paraId="17184715"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Education</w:t>
            </w:r>
          </w:p>
        </w:tc>
        <w:tc>
          <w:tcPr>
            <w:tcW w:w="662" w:type="pct"/>
            <w:tcBorders>
              <w:top w:val="single" w:sz="4" w:space="0" w:color="BFBFBF" w:themeColor="background1" w:themeShade="BF"/>
              <w:left w:val="single" w:sz="4" w:space="0" w:color="auto"/>
              <w:bottom w:val="single" w:sz="4" w:space="0" w:color="BFBFBF" w:themeColor="background1" w:themeShade="BF"/>
              <w:right w:val="single" w:sz="4" w:space="0" w:color="A5A5A5" w:themeColor="accent3"/>
            </w:tcBorders>
            <w:shd w:val="clear" w:color="auto" w:fill="auto"/>
            <w:tcMar>
              <w:left w:w="58" w:type="dxa"/>
              <w:right w:w="58" w:type="dxa"/>
            </w:tcMar>
            <w:vAlign w:val="center"/>
            <w:hideMark/>
          </w:tcPr>
          <w:p w14:paraId="196BA767"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High school or less</w:t>
            </w:r>
          </w:p>
        </w:tc>
        <w:tc>
          <w:tcPr>
            <w:tcW w:w="792" w:type="pct"/>
            <w:tcBorders>
              <w:top w:val="single" w:sz="4" w:space="0" w:color="BFBFBF" w:themeColor="background1" w:themeShade="BF"/>
              <w:left w:val="single" w:sz="4" w:space="0" w:color="A5A5A5" w:themeColor="accent3"/>
              <w:bottom w:val="single" w:sz="4" w:space="0" w:color="BFBFBF" w:themeColor="background1" w:themeShade="BF"/>
              <w:right w:val="single" w:sz="12" w:space="0" w:color="auto"/>
            </w:tcBorders>
            <w:shd w:val="clear" w:color="auto" w:fill="auto"/>
            <w:tcMar>
              <w:left w:w="58" w:type="dxa"/>
              <w:right w:w="58" w:type="dxa"/>
            </w:tcMar>
            <w:vAlign w:val="center"/>
            <w:hideMark/>
          </w:tcPr>
          <w:p w14:paraId="5201EBCA"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Higher than high school</w:t>
            </w:r>
          </w:p>
        </w:tc>
        <w:tc>
          <w:tcPr>
            <w:tcW w:w="456" w:type="pct"/>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auto"/>
            <w:vAlign w:val="center"/>
          </w:tcPr>
          <w:p w14:paraId="2EBF8843" w14:textId="77777777" w:rsidR="002410C0" w:rsidRPr="004A3C2D" w:rsidRDefault="002410C0" w:rsidP="0076278B">
            <w:pPr>
              <w:jc w:val="right"/>
              <w:rPr>
                <w:rFonts w:eastAsia="Times New Roman" w:cs="Times New Roman"/>
                <w:color w:val="000000"/>
                <w:sz w:val="20"/>
                <w:szCs w:val="20"/>
              </w:rPr>
            </w:pPr>
            <w:r>
              <w:rPr>
                <w:color w:val="000000"/>
                <w:sz w:val="20"/>
                <w:szCs w:val="20"/>
              </w:rPr>
              <w:t>94</w:t>
            </w:r>
          </w:p>
        </w:tc>
        <w:tc>
          <w:tcPr>
            <w:tcW w:w="4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4DB510E" w14:textId="77777777" w:rsidR="002410C0" w:rsidRPr="00B73138" w:rsidRDefault="002410C0" w:rsidP="0076278B">
            <w:pPr>
              <w:jc w:val="right"/>
              <w:rPr>
                <w:rFonts w:eastAsia="Times New Roman" w:cs="Times New Roman"/>
                <w:color w:val="000000"/>
                <w:sz w:val="20"/>
                <w:szCs w:val="20"/>
              </w:rPr>
            </w:pPr>
            <w:r w:rsidRPr="00B73138">
              <w:rPr>
                <w:color w:val="000000"/>
                <w:sz w:val="20"/>
                <w:szCs w:val="20"/>
              </w:rPr>
              <w:t>0</w:t>
            </w:r>
          </w:p>
        </w:tc>
        <w:tc>
          <w:tcPr>
            <w:tcW w:w="4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C129F9" w14:textId="77777777" w:rsidR="002410C0" w:rsidRPr="00B73138" w:rsidRDefault="002410C0" w:rsidP="0076278B">
            <w:pPr>
              <w:jc w:val="right"/>
              <w:rPr>
                <w:rFonts w:eastAsia="Times New Roman" w:cs="Times New Roman"/>
                <w:color w:val="000000"/>
                <w:sz w:val="20"/>
                <w:szCs w:val="20"/>
              </w:rPr>
            </w:pPr>
            <w:r w:rsidRPr="00B73138">
              <w:rPr>
                <w:color w:val="000000"/>
                <w:sz w:val="20"/>
                <w:szCs w:val="20"/>
              </w:rPr>
              <w:t>0</w:t>
            </w:r>
          </w:p>
        </w:tc>
        <w:tc>
          <w:tcPr>
            <w:tcW w:w="4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shd w:val="clear" w:color="auto" w:fill="auto"/>
            <w:vAlign w:val="center"/>
          </w:tcPr>
          <w:p w14:paraId="497435E2" w14:textId="77777777" w:rsidR="002410C0" w:rsidRPr="00B73138" w:rsidRDefault="002410C0" w:rsidP="0076278B">
            <w:pPr>
              <w:jc w:val="right"/>
              <w:rPr>
                <w:rFonts w:eastAsia="Times New Roman" w:cs="Times New Roman"/>
                <w:color w:val="000000"/>
                <w:sz w:val="20"/>
                <w:szCs w:val="20"/>
              </w:rPr>
            </w:pPr>
            <w:r w:rsidRPr="00B73138">
              <w:rPr>
                <w:color w:val="000000"/>
                <w:sz w:val="20"/>
                <w:szCs w:val="20"/>
              </w:rPr>
              <w:t>-6</w:t>
            </w:r>
          </w:p>
        </w:tc>
        <w:tc>
          <w:tcPr>
            <w:tcW w:w="416" w:type="pct"/>
            <w:tcBorders>
              <w:top w:val="single" w:sz="4" w:space="0" w:color="BFBFBF" w:themeColor="background1" w:themeShade="BF"/>
              <w:left w:val="nil"/>
              <w:bottom w:val="single" w:sz="4" w:space="0" w:color="BFBFBF" w:themeColor="background1" w:themeShade="BF"/>
              <w:right w:val="single" w:sz="12" w:space="0" w:color="auto"/>
            </w:tcBorders>
            <w:shd w:val="clear" w:color="auto" w:fill="auto"/>
            <w:vAlign w:val="center"/>
          </w:tcPr>
          <w:p w14:paraId="0A4405D5" w14:textId="77777777" w:rsidR="002410C0" w:rsidRPr="00B73138" w:rsidRDefault="002410C0" w:rsidP="0076278B">
            <w:pPr>
              <w:jc w:val="right"/>
              <w:rPr>
                <w:rFonts w:eastAsia="Times New Roman" w:cs="Times New Roman"/>
                <w:color w:val="000000"/>
                <w:sz w:val="20"/>
                <w:szCs w:val="20"/>
              </w:rPr>
            </w:pPr>
            <w:r w:rsidRPr="00B73138">
              <w:rPr>
                <w:color w:val="000000"/>
                <w:sz w:val="20"/>
                <w:szCs w:val="20"/>
              </w:rPr>
              <w:t>0</w:t>
            </w:r>
          </w:p>
        </w:tc>
        <w:tc>
          <w:tcPr>
            <w:tcW w:w="393" w:type="pct"/>
            <w:tcBorders>
              <w:top w:val="single" w:sz="4" w:space="0" w:color="BFBFBF" w:themeColor="background1" w:themeShade="BF"/>
              <w:left w:val="single" w:sz="4" w:space="0" w:color="auto"/>
              <w:bottom w:val="single" w:sz="4" w:space="0" w:color="BFBFBF" w:themeColor="background1" w:themeShade="BF"/>
              <w:right w:val="double" w:sz="6" w:space="0" w:color="auto"/>
            </w:tcBorders>
            <w:shd w:val="clear" w:color="auto" w:fill="auto"/>
            <w:vAlign w:val="center"/>
          </w:tcPr>
          <w:p w14:paraId="6EA070FA"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0.0014</w:t>
            </w:r>
          </w:p>
        </w:tc>
      </w:tr>
      <w:tr w:rsidR="005D1838" w:rsidRPr="004A3C2D" w14:paraId="036E4E22" w14:textId="77777777" w:rsidTr="003B2A78">
        <w:trPr>
          <w:trHeight w:val="346"/>
        </w:trPr>
        <w:tc>
          <w:tcPr>
            <w:tcW w:w="895" w:type="pct"/>
            <w:tcBorders>
              <w:top w:val="single" w:sz="4" w:space="0" w:color="BFBFBF" w:themeColor="background1" w:themeShade="BF"/>
              <w:left w:val="double" w:sz="6" w:space="0" w:color="auto"/>
              <w:bottom w:val="double" w:sz="4" w:space="0" w:color="auto"/>
              <w:right w:val="single" w:sz="4" w:space="0" w:color="auto"/>
            </w:tcBorders>
            <w:shd w:val="clear" w:color="auto" w:fill="auto"/>
            <w:tcMar>
              <w:left w:w="58" w:type="dxa"/>
              <w:right w:w="58" w:type="dxa"/>
            </w:tcMar>
            <w:vAlign w:val="center"/>
            <w:hideMark/>
          </w:tcPr>
          <w:p w14:paraId="55E64342"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Income</w:t>
            </w:r>
          </w:p>
        </w:tc>
        <w:tc>
          <w:tcPr>
            <w:tcW w:w="662" w:type="pct"/>
            <w:tcBorders>
              <w:top w:val="single" w:sz="4" w:space="0" w:color="BFBFBF" w:themeColor="background1" w:themeShade="BF"/>
              <w:left w:val="single" w:sz="4" w:space="0" w:color="auto"/>
              <w:bottom w:val="double" w:sz="4" w:space="0" w:color="auto"/>
              <w:right w:val="single" w:sz="4" w:space="0" w:color="A5A5A5" w:themeColor="accent3"/>
            </w:tcBorders>
            <w:shd w:val="clear" w:color="auto" w:fill="auto"/>
            <w:tcMar>
              <w:left w:w="58" w:type="dxa"/>
              <w:right w:w="58" w:type="dxa"/>
            </w:tcMar>
            <w:vAlign w:val="center"/>
            <w:hideMark/>
          </w:tcPr>
          <w:p w14:paraId="7DAF15C9" w14:textId="77777777" w:rsidR="002410C0" w:rsidRPr="004A3C2D" w:rsidRDefault="002410C0" w:rsidP="0076278B">
            <w:pPr>
              <w:rPr>
                <w:rFonts w:eastAsia="Times New Roman" w:cs="Times New Roman"/>
                <w:color w:val="000000"/>
                <w:sz w:val="20"/>
                <w:szCs w:val="20"/>
              </w:rPr>
            </w:pPr>
            <w:r w:rsidRPr="00A245F2">
              <w:rPr>
                <w:rFonts w:eastAsia="Times New Roman" w:cs="Times New Roman"/>
                <w:color w:val="000000"/>
                <w:sz w:val="20"/>
                <w:szCs w:val="20"/>
              </w:rPr>
              <w:t>&lt;</w:t>
            </w:r>
            <w:r w:rsidRPr="004A3C2D">
              <w:rPr>
                <w:rFonts w:eastAsia="Times New Roman" w:cs="Times New Roman"/>
                <w:color w:val="000000"/>
                <w:sz w:val="20"/>
                <w:szCs w:val="20"/>
              </w:rPr>
              <w:t>$100,000</w:t>
            </w:r>
          </w:p>
        </w:tc>
        <w:tc>
          <w:tcPr>
            <w:tcW w:w="792" w:type="pct"/>
            <w:tcBorders>
              <w:top w:val="single" w:sz="4" w:space="0" w:color="BFBFBF" w:themeColor="background1" w:themeShade="BF"/>
              <w:left w:val="single" w:sz="4" w:space="0" w:color="A5A5A5" w:themeColor="accent3"/>
              <w:bottom w:val="double" w:sz="4" w:space="0" w:color="auto"/>
              <w:right w:val="single" w:sz="12" w:space="0" w:color="auto"/>
            </w:tcBorders>
            <w:shd w:val="clear" w:color="auto" w:fill="auto"/>
            <w:tcMar>
              <w:left w:w="58" w:type="dxa"/>
              <w:right w:w="58" w:type="dxa"/>
            </w:tcMar>
            <w:vAlign w:val="center"/>
            <w:hideMark/>
          </w:tcPr>
          <w:p w14:paraId="40E3C5EB" w14:textId="77777777" w:rsidR="002410C0" w:rsidRPr="004A3C2D" w:rsidRDefault="002410C0" w:rsidP="0076278B">
            <w:pPr>
              <w:rPr>
                <w:rFonts w:eastAsia="Times New Roman" w:cs="Times New Roman"/>
                <w:color w:val="000000"/>
                <w:sz w:val="20"/>
                <w:szCs w:val="20"/>
              </w:rPr>
            </w:pPr>
            <w:r w:rsidRPr="00A245F2">
              <w:rPr>
                <w:rFonts w:eastAsia="Times New Roman" w:cs="Times New Roman"/>
                <w:color w:val="000000"/>
                <w:sz w:val="20"/>
                <w:szCs w:val="20"/>
                <w:u w:val="single"/>
              </w:rPr>
              <w:t>&gt;</w:t>
            </w:r>
            <w:r w:rsidRPr="004A3C2D">
              <w:rPr>
                <w:rFonts w:eastAsia="Times New Roman" w:cs="Times New Roman"/>
                <w:color w:val="000000"/>
                <w:sz w:val="20"/>
                <w:szCs w:val="20"/>
              </w:rPr>
              <w:t xml:space="preserve">$100,000 </w:t>
            </w:r>
          </w:p>
        </w:tc>
        <w:tc>
          <w:tcPr>
            <w:tcW w:w="456" w:type="pct"/>
            <w:tcBorders>
              <w:top w:val="single" w:sz="4" w:space="0" w:color="BFBFBF" w:themeColor="background1" w:themeShade="BF"/>
              <w:left w:val="single" w:sz="12" w:space="0" w:color="auto"/>
              <w:bottom w:val="double" w:sz="4" w:space="0" w:color="auto"/>
              <w:right w:val="single" w:sz="4" w:space="0" w:color="BFBFBF" w:themeColor="background1" w:themeShade="BF"/>
            </w:tcBorders>
            <w:shd w:val="clear" w:color="auto" w:fill="auto"/>
            <w:vAlign w:val="center"/>
          </w:tcPr>
          <w:p w14:paraId="7D2C929F" w14:textId="77777777" w:rsidR="002410C0" w:rsidRPr="004A3C2D" w:rsidRDefault="002410C0" w:rsidP="0076278B">
            <w:pPr>
              <w:jc w:val="right"/>
              <w:rPr>
                <w:rFonts w:eastAsia="Times New Roman" w:cs="Times New Roman"/>
                <w:color w:val="000000"/>
                <w:sz w:val="20"/>
                <w:szCs w:val="20"/>
              </w:rPr>
            </w:pPr>
            <w:r>
              <w:rPr>
                <w:color w:val="000000"/>
                <w:sz w:val="20"/>
                <w:szCs w:val="20"/>
              </w:rPr>
              <w:t>0</w:t>
            </w:r>
          </w:p>
        </w:tc>
        <w:tc>
          <w:tcPr>
            <w:tcW w:w="482" w:type="pct"/>
            <w:tcBorders>
              <w:top w:val="single" w:sz="4" w:space="0" w:color="BFBFBF" w:themeColor="background1" w:themeShade="BF"/>
              <w:left w:val="single" w:sz="4" w:space="0" w:color="BFBFBF" w:themeColor="background1" w:themeShade="BF"/>
              <w:bottom w:val="double" w:sz="4" w:space="0" w:color="auto"/>
              <w:right w:val="single" w:sz="4" w:space="0" w:color="BFBFBF" w:themeColor="background1" w:themeShade="BF"/>
            </w:tcBorders>
            <w:shd w:val="clear" w:color="auto" w:fill="auto"/>
            <w:vAlign w:val="center"/>
          </w:tcPr>
          <w:p w14:paraId="3201DE31" w14:textId="77777777" w:rsidR="002410C0" w:rsidRPr="00B73138" w:rsidRDefault="002410C0" w:rsidP="0076278B">
            <w:pPr>
              <w:jc w:val="right"/>
              <w:rPr>
                <w:rFonts w:eastAsia="Times New Roman" w:cs="Times New Roman"/>
                <w:color w:val="000000"/>
                <w:sz w:val="20"/>
                <w:szCs w:val="20"/>
              </w:rPr>
            </w:pPr>
            <w:r w:rsidRPr="00B73138">
              <w:rPr>
                <w:color w:val="000000"/>
                <w:sz w:val="20"/>
                <w:szCs w:val="20"/>
              </w:rPr>
              <w:t>0</w:t>
            </w:r>
          </w:p>
        </w:tc>
        <w:tc>
          <w:tcPr>
            <w:tcW w:w="456" w:type="pct"/>
            <w:tcBorders>
              <w:top w:val="single" w:sz="4" w:space="0" w:color="BFBFBF" w:themeColor="background1" w:themeShade="BF"/>
              <w:left w:val="single" w:sz="4" w:space="0" w:color="BFBFBF" w:themeColor="background1" w:themeShade="BF"/>
              <w:bottom w:val="double" w:sz="4" w:space="0" w:color="auto"/>
              <w:right w:val="single" w:sz="4" w:space="0" w:color="BFBFBF" w:themeColor="background1" w:themeShade="BF"/>
            </w:tcBorders>
            <w:shd w:val="clear" w:color="auto" w:fill="auto"/>
            <w:vAlign w:val="center"/>
          </w:tcPr>
          <w:p w14:paraId="0CB5BE2B" w14:textId="77777777" w:rsidR="002410C0" w:rsidRPr="00B73138" w:rsidRDefault="002410C0" w:rsidP="0076278B">
            <w:pPr>
              <w:jc w:val="right"/>
              <w:rPr>
                <w:rFonts w:eastAsia="Times New Roman" w:cs="Times New Roman"/>
                <w:color w:val="000000"/>
                <w:sz w:val="20"/>
                <w:szCs w:val="20"/>
              </w:rPr>
            </w:pPr>
            <w:r w:rsidRPr="00B73138">
              <w:rPr>
                <w:color w:val="000000"/>
                <w:sz w:val="20"/>
                <w:szCs w:val="20"/>
              </w:rPr>
              <w:t>0</w:t>
            </w:r>
          </w:p>
        </w:tc>
        <w:tc>
          <w:tcPr>
            <w:tcW w:w="448" w:type="pct"/>
            <w:tcBorders>
              <w:top w:val="single" w:sz="4" w:space="0" w:color="BFBFBF" w:themeColor="background1" w:themeShade="BF"/>
              <w:left w:val="single" w:sz="4" w:space="0" w:color="BFBFBF" w:themeColor="background1" w:themeShade="BF"/>
              <w:bottom w:val="double" w:sz="4" w:space="0" w:color="auto"/>
              <w:right w:val="single" w:sz="8" w:space="0" w:color="auto"/>
            </w:tcBorders>
            <w:shd w:val="clear" w:color="auto" w:fill="auto"/>
            <w:vAlign w:val="center"/>
          </w:tcPr>
          <w:p w14:paraId="334D2C39" w14:textId="77777777" w:rsidR="002410C0" w:rsidRPr="00B73138" w:rsidRDefault="002410C0" w:rsidP="0076278B">
            <w:pPr>
              <w:jc w:val="right"/>
              <w:rPr>
                <w:rFonts w:eastAsia="Times New Roman" w:cs="Times New Roman"/>
                <w:color w:val="000000"/>
                <w:sz w:val="20"/>
                <w:szCs w:val="20"/>
              </w:rPr>
            </w:pPr>
            <w:r w:rsidRPr="00B73138">
              <w:rPr>
                <w:color w:val="000000"/>
                <w:sz w:val="20"/>
                <w:szCs w:val="20"/>
              </w:rPr>
              <w:t>-9</w:t>
            </w:r>
          </w:p>
        </w:tc>
        <w:tc>
          <w:tcPr>
            <w:tcW w:w="416" w:type="pct"/>
            <w:tcBorders>
              <w:top w:val="single" w:sz="4" w:space="0" w:color="BFBFBF" w:themeColor="background1" w:themeShade="BF"/>
              <w:left w:val="nil"/>
              <w:bottom w:val="double" w:sz="4" w:space="0" w:color="auto"/>
              <w:right w:val="single" w:sz="12" w:space="0" w:color="auto"/>
            </w:tcBorders>
            <w:shd w:val="clear" w:color="auto" w:fill="auto"/>
            <w:vAlign w:val="center"/>
          </w:tcPr>
          <w:p w14:paraId="32A64DD1" w14:textId="77777777" w:rsidR="002410C0" w:rsidRPr="00B73138" w:rsidRDefault="002410C0" w:rsidP="0076278B">
            <w:pPr>
              <w:jc w:val="right"/>
              <w:rPr>
                <w:rFonts w:eastAsia="Times New Roman" w:cs="Times New Roman"/>
                <w:color w:val="000000"/>
                <w:sz w:val="20"/>
                <w:szCs w:val="20"/>
              </w:rPr>
            </w:pPr>
            <w:r w:rsidRPr="00B73138">
              <w:rPr>
                <w:color w:val="000000"/>
                <w:sz w:val="20"/>
                <w:szCs w:val="20"/>
              </w:rPr>
              <w:t>91</w:t>
            </w:r>
          </w:p>
        </w:tc>
        <w:tc>
          <w:tcPr>
            <w:tcW w:w="393" w:type="pct"/>
            <w:tcBorders>
              <w:top w:val="single" w:sz="4" w:space="0" w:color="BFBFBF" w:themeColor="background1" w:themeShade="BF"/>
              <w:left w:val="single" w:sz="4" w:space="0" w:color="auto"/>
              <w:bottom w:val="double" w:sz="4" w:space="0" w:color="auto"/>
              <w:right w:val="double" w:sz="6" w:space="0" w:color="auto"/>
            </w:tcBorders>
            <w:shd w:val="clear" w:color="auto" w:fill="auto"/>
            <w:vAlign w:val="center"/>
          </w:tcPr>
          <w:p w14:paraId="31040CDD"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0.0428</w:t>
            </w:r>
          </w:p>
        </w:tc>
      </w:tr>
      <w:tr w:rsidR="005D1838" w:rsidRPr="004A3C2D" w14:paraId="2F80DCB9" w14:textId="77777777" w:rsidTr="003B2A78">
        <w:trPr>
          <w:trHeight w:val="346"/>
        </w:trPr>
        <w:tc>
          <w:tcPr>
            <w:tcW w:w="2348" w:type="pct"/>
            <w:gridSpan w:val="3"/>
            <w:tcBorders>
              <w:top w:val="double" w:sz="4" w:space="0" w:color="auto"/>
              <w:left w:val="double" w:sz="6" w:space="0" w:color="auto"/>
              <w:bottom w:val="single" w:sz="4" w:space="0" w:color="auto"/>
              <w:right w:val="single" w:sz="12" w:space="0" w:color="auto"/>
            </w:tcBorders>
            <w:shd w:val="clear" w:color="auto" w:fill="auto"/>
            <w:tcMar>
              <w:left w:w="58" w:type="dxa"/>
              <w:right w:w="58" w:type="dxa"/>
            </w:tcMar>
            <w:vAlign w:val="center"/>
          </w:tcPr>
          <w:p w14:paraId="39B82BA5"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b/>
                <w:bCs/>
                <w:color w:val="000000"/>
                <w:sz w:val="20"/>
                <w:szCs w:val="20"/>
              </w:rPr>
              <w:t>Eventually purchase an AV (Base: Never purchase an AV)</w:t>
            </w:r>
          </w:p>
        </w:tc>
        <w:tc>
          <w:tcPr>
            <w:tcW w:w="456" w:type="pct"/>
            <w:tcBorders>
              <w:top w:val="double" w:sz="4" w:space="0" w:color="auto"/>
              <w:left w:val="single" w:sz="12" w:space="0" w:color="auto"/>
              <w:bottom w:val="single" w:sz="4" w:space="0" w:color="auto"/>
              <w:right w:val="single" w:sz="4" w:space="0" w:color="FFFFFF" w:themeColor="background1"/>
            </w:tcBorders>
            <w:shd w:val="clear" w:color="auto" w:fill="auto"/>
            <w:vAlign w:val="center"/>
          </w:tcPr>
          <w:p w14:paraId="696F22BE" w14:textId="77777777" w:rsidR="002410C0" w:rsidRPr="004A3C2D" w:rsidRDefault="002410C0" w:rsidP="0076278B">
            <w:pPr>
              <w:jc w:val="right"/>
              <w:rPr>
                <w:rFonts w:cs="Times New Roman"/>
                <w:color w:val="000000"/>
                <w:sz w:val="20"/>
                <w:szCs w:val="20"/>
              </w:rPr>
            </w:pPr>
          </w:p>
        </w:tc>
        <w:tc>
          <w:tcPr>
            <w:tcW w:w="482" w:type="pct"/>
            <w:tcBorders>
              <w:top w:val="double" w:sz="4" w:space="0" w:color="auto"/>
              <w:left w:val="single" w:sz="4" w:space="0" w:color="FFFFFF" w:themeColor="background1"/>
              <w:bottom w:val="single" w:sz="4" w:space="0" w:color="auto"/>
              <w:right w:val="single" w:sz="4" w:space="0" w:color="FFFFFF" w:themeColor="background1"/>
            </w:tcBorders>
            <w:shd w:val="clear" w:color="auto" w:fill="auto"/>
            <w:vAlign w:val="center"/>
          </w:tcPr>
          <w:p w14:paraId="6794D000" w14:textId="77777777" w:rsidR="002410C0" w:rsidRPr="00B73138" w:rsidRDefault="002410C0" w:rsidP="0076278B">
            <w:pPr>
              <w:jc w:val="right"/>
              <w:rPr>
                <w:rFonts w:cs="Times New Roman"/>
                <w:color w:val="000000"/>
                <w:sz w:val="20"/>
                <w:szCs w:val="20"/>
              </w:rPr>
            </w:pPr>
          </w:p>
        </w:tc>
        <w:tc>
          <w:tcPr>
            <w:tcW w:w="456" w:type="pct"/>
            <w:tcBorders>
              <w:top w:val="double" w:sz="4" w:space="0" w:color="auto"/>
              <w:left w:val="single" w:sz="4" w:space="0" w:color="FFFFFF" w:themeColor="background1"/>
              <w:bottom w:val="single" w:sz="4" w:space="0" w:color="auto"/>
              <w:right w:val="single" w:sz="4" w:space="0" w:color="FFFFFF" w:themeColor="background1"/>
            </w:tcBorders>
            <w:shd w:val="clear" w:color="auto" w:fill="auto"/>
            <w:vAlign w:val="center"/>
          </w:tcPr>
          <w:p w14:paraId="52FC8F4D" w14:textId="77777777" w:rsidR="002410C0" w:rsidRPr="00B73138" w:rsidRDefault="002410C0" w:rsidP="0076278B">
            <w:pPr>
              <w:jc w:val="right"/>
              <w:rPr>
                <w:rFonts w:cs="Times New Roman"/>
                <w:color w:val="000000"/>
                <w:sz w:val="20"/>
                <w:szCs w:val="20"/>
              </w:rPr>
            </w:pPr>
          </w:p>
        </w:tc>
        <w:tc>
          <w:tcPr>
            <w:tcW w:w="448" w:type="pct"/>
            <w:tcBorders>
              <w:top w:val="double" w:sz="4" w:space="0" w:color="auto"/>
              <w:left w:val="single" w:sz="4" w:space="0" w:color="FFFFFF" w:themeColor="background1"/>
              <w:bottom w:val="single" w:sz="4" w:space="0" w:color="auto"/>
              <w:right w:val="single" w:sz="8" w:space="0" w:color="auto"/>
            </w:tcBorders>
            <w:shd w:val="clear" w:color="auto" w:fill="auto"/>
            <w:vAlign w:val="center"/>
          </w:tcPr>
          <w:p w14:paraId="3E126E1D" w14:textId="77777777" w:rsidR="002410C0" w:rsidRPr="00B73138" w:rsidRDefault="002410C0" w:rsidP="0076278B">
            <w:pPr>
              <w:jc w:val="right"/>
              <w:rPr>
                <w:rFonts w:cs="Times New Roman"/>
                <w:color w:val="000000"/>
                <w:sz w:val="20"/>
                <w:szCs w:val="20"/>
              </w:rPr>
            </w:pPr>
          </w:p>
        </w:tc>
        <w:tc>
          <w:tcPr>
            <w:tcW w:w="416" w:type="pct"/>
            <w:tcBorders>
              <w:top w:val="double" w:sz="4" w:space="0" w:color="auto"/>
              <w:left w:val="nil"/>
              <w:bottom w:val="single" w:sz="4" w:space="0" w:color="auto"/>
              <w:right w:val="single" w:sz="12" w:space="0" w:color="auto"/>
            </w:tcBorders>
            <w:shd w:val="clear" w:color="auto" w:fill="auto"/>
            <w:vAlign w:val="center"/>
          </w:tcPr>
          <w:p w14:paraId="64173303" w14:textId="77777777" w:rsidR="002410C0" w:rsidRPr="00B73138" w:rsidRDefault="002410C0" w:rsidP="0076278B">
            <w:pPr>
              <w:jc w:val="right"/>
              <w:rPr>
                <w:rFonts w:cs="Times New Roman"/>
                <w:color w:val="000000"/>
                <w:sz w:val="20"/>
                <w:szCs w:val="20"/>
              </w:rPr>
            </w:pPr>
          </w:p>
        </w:tc>
        <w:tc>
          <w:tcPr>
            <w:tcW w:w="391" w:type="pct"/>
            <w:tcBorders>
              <w:top w:val="double" w:sz="4" w:space="0" w:color="auto"/>
              <w:left w:val="single" w:sz="4" w:space="0" w:color="auto"/>
              <w:bottom w:val="single" w:sz="4" w:space="0" w:color="auto"/>
              <w:right w:val="double" w:sz="6" w:space="0" w:color="auto"/>
            </w:tcBorders>
            <w:shd w:val="clear" w:color="auto" w:fill="auto"/>
            <w:vAlign w:val="center"/>
          </w:tcPr>
          <w:p w14:paraId="690CEA2E" w14:textId="77777777" w:rsidR="002410C0" w:rsidRPr="004A3C2D" w:rsidRDefault="002410C0" w:rsidP="0076278B">
            <w:pPr>
              <w:jc w:val="right"/>
              <w:rPr>
                <w:rFonts w:eastAsia="Times New Roman" w:cs="Times New Roman"/>
                <w:color w:val="000000"/>
                <w:sz w:val="20"/>
                <w:szCs w:val="20"/>
              </w:rPr>
            </w:pPr>
          </w:p>
        </w:tc>
      </w:tr>
      <w:tr w:rsidR="005D1838" w:rsidRPr="004A3C2D" w14:paraId="16446CB0" w14:textId="77777777" w:rsidTr="003B2A78">
        <w:trPr>
          <w:trHeight w:val="346"/>
        </w:trPr>
        <w:tc>
          <w:tcPr>
            <w:tcW w:w="895" w:type="pct"/>
            <w:tcBorders>
              <w:top w:val="single" w:sz="4" w:space="0" w:color="BFBFBF" w:themeColor="background1" w:themeShade="BF"/>
              <w:left w:val="double" w:sz="6" w:space="0" w:color="auto"/>
              <w:bottom w:val="single" w:sz="4" w:space="0" w:color="auto"/>
              <w:right w:val="single" w:sz="4" w:space="0" w:color="FFFFFF" w:themeColor="background1"/>
            </w:tcBorders>
            <w:shd w:val="clear" w:color="auto" w:fill="auto"/>
            <w:tcMar>
              <w:left w:w="58" w:type="dxa"/>
              <w:right w:w="58" w:type="dxa"/>
            </w:tcMar>
            <w:vAlign w:val="center"/>
          </w:tcPr>
          <w:p w14:paraId="7DA08244"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i/>
                <w:iCs/>
                <w:color w:val="000000"/>
                <w:sz w:val="20"/>
                <w:szCs w:val="20"/>
              </w:rPr>
              <w:t>Socio-demographic</w:t>
            </w:r>
          </w:p>
        </w:tc>
        <w:tc>
          <w:tcPr>
            <w:tcW w:w="662" w:type="pct"/>
            <w:tcBorders>
              <w:top w:val="single" w:sz="4" w:space="0" w:color="BFBFBF" w:themeColor="background1" w:themeShade="BF"/>
              <w:left w:val="single" w:sz="4" w:space="0" w:color="FFFFFF" w:themeColor="background1"/>
              <w:bottom w:val="single" w:sz="4" w:space="0" w:color="auto"/>
              <w:right w:val="single" w:sz="4" w:space="0" w:color="FFFFFF" w:themeColor="background1"/>
            </w:tcBorders>
            <w:shd w:val="clear" w:color="auto" w:fill="auto"/>
            <w:tcMar>
              <w:left w:w="58" w:type="dxa"/>
              <w:right w:w="58" w:type="dxa"/>
            </w:tcMar>
            <w:vAlign w:val="center"/>
          </w:tcPr>
          <w:p w14:paraId="11B25B79" w14:textId="77777777" w:rsidR="002410C0" w:rsidRPr="004A3C2D" w:rsidRDefault="002410C0" w:rsidP="0076278B">
            <w:pPr>
              <w:rPr>
                <w:rFonts w:eastAsia="Times New Roman" w:cs="Times New Roman"/>
                <w:color w:val="000000"/>
                <w:sz w:val="20"/>
                <w:szCs w:val="20"/>
              </w:rPr>
            </w:pPr>
          </w:p>
        </w:tc>
        <w:tc>
          <w:tcPr>
            <w:tcW w:w="792" w:type="pct"/>
            <w:tcBorders>
              <w:top w:val="single" w:sz="4" w:space="0" w:color="BFBFBF" w:themeColor="background1" w:themeShade="BF"/>
              <w:left w:val="single" w:sz="4" w:space="0" w:color="FFFFFF" w:themeColor="background1"/>
              <w:bottom w:val="single" w:sz="4" w:space="0" w:color="auto"/>
              <w:right w:val="single" w:sz="12" w:space="0" w:color="auto"/>
            </w:tcBorders>
            <w:shd w:val="clear" w:color="auto" w:fill="auto"/>
            <w:tcMar>
              <w:left w:w="58" w:type="dxa"/>
              <w:right w:w="58" w:type="dxa"/>
            </w:tcMar>
            <w:vAlign w:val="center"/>
          </w:tcPr>
          <w:p w14:paraId="026BF2AC" w14:textId="77777777" w:rsidR="002410C0" w:rsidRPr="004A3C2D" w:rsidRDefault="002410C0" w:rsidP="0076278B">
            <w:pPr>
              <w:rPr>
                <w:rFonts w:eastAsia="Times New Roman" w:cs="Times New Roman"/>
                <w:color w:val="000000"/>
                <w:sz w:val="20"/>
                <w:szCs w:val="20"/>
              </w:rPr>
            </w:pPr>
          </w:p>
        </w:tc>
        <w:tc>
          <w:tcPr>
            <w:tcW w:w="456" w:type="pct"/>
            <w:tcBorders>
              <w:top w:val="single" w:sz="4" w:space="0" w:color="BFBFBF" w:themeColor="background1" w:themeShade="BF"/>
              <w:left w:val="single" w:sz="12" w:space="0" w:color="auto"/>
              <w:bottom w:val="single" w:sz="4" w:space="0" w:color="auto"/>
              <w:right w:val="single" w:sz="4" w:space="0" w:color="FFFFFF" w:themeColor="background1"/>
            </w:tcBorders>
            <w:shd w:val="clear" w:color="auto" w:fill="auto"/>
            <w:vAlign w:val="center"/>
          </w:tcPr>
          <w:p w14:paraId="02496F6E" w14:textId="77777777" w:rsidR="002410C0" w:rsidRPr="004A3C2D" w:rsidRDefault="002410C0" w:rsidP="0076278B">
            <w:pPr>
              <w:jc w:val="right"/>
              <w:rPr>
                <w:rFonts w:cs="Times New Roman"/>
                <w:color w:val="000000"/>
                <w:sz w:val="20"/>
                <w:szCs w:val="20"/>
              </w:rPr>
            </w:pPr>
          </w:p>
        </w:tc>
        <w:tc>
          <w:tcPr>
            <w:tcW w:w="482" w:type="pct"/>
            <w:tcBorders>
              <w:top w:val="single" w:sz="4" w:space="0" w:color="BFBFBF" w:themeColor="background1" w:themeShade="BF"/>
              <w:left w:val="single" w:sz="4" w:space="0" w:color="FFFFFF" w:themeColor="background1"/>
              <w:bottom w:val="single" w:sz="4" w:space="0" w:color="auto"/>
              <w:right w:val="single" w:sz="4" w:space="0" w:color="FFFFFF" w:themeColor="background1"/>
            </w:tcBorders>
            <w:shd w:val="clear" w:color="auto" w:fill="auto"/>
            <w:vAlign w:val="center"/>
          </w:tcPr>
          <w:p w14:paraId="56447241" w14:textId="77777777" w:rsidR="002410C0" w:rsidRPr="00B73138" w:rsidRDefault="002410C0" w:rsidP="0076278B">
            <w:pPr>
              <w:jc w:val="right"/>
              <w:rPr>
                <w:rFonts w:cs="Times New Roman"/>
                <w:color w:val="000000"/>
                <w:sz w:val="20"/>
                <w:szCs w:val="20"/>
              </w:rPr>
            </w:pPr>
          </w:p>
        </w:tc>
        <w:tc>
          <w:tcPr>
            <w:tcW w:w="456" w:type="pct"/>
            <w:tcBorders>
              <w:top w:val="single" w:sz="4" w:space="0" w:color="BFBFBF" w:themeColor="background1" w:themeShade="BF"/>
              <w:left w:val="single" w:sz="4" w:space="0" w:color="FFFFFF" w:themeColor="background1"/>
              <w:bottom w:val="single" w:sz="4" w:space="0" w:color="auto"/>
              <w:right w:val="single" w:sz="4" w:space="0" w:color="FFFFFF" w:themeColor="background1"/>
            </w:tcBorders>
            <w:shd w:val="clear" w:color="auto" w:fill="auto"/>
            <w:vAlign w:val="center"/>
          </w:tcPr>
          <w:p w14:paraId="1AE0074B" w14:textId="77777777" w:rsidR="002410C0" w:rsidRPr="00B73138" w:rsidRDefault="002410C0" w:rsidP="0076278B">
            <w:pPr>
              <w:jc w:val="right"/>
              <w:rPr>
                <w:rFonts w:cs="Times New Roman"/>
                <w:color w:val="000000"/>
                <w:sz w:val="20"/>
                <w:szCs w:val="20"/>
              </w:rPr>
            </w:pPr>
          </w:p>
        </w:tc>
        <w:tc>
          <w:tcPr>
            <w:tcW w:w="448" w:type="pct"/>
            <w:tcBorders>
              <w:top w:val="single" w:sz="4" w:space="0" w:color="BFBFBF" w:themeColor="background1" w:themeShade="BF"/>
              <w:left w:val="single" w:sz="4" w:space="0" w:color="FFFFFF" w:themeColor="background1"/>
              <w:bottom w:val="single" w:sz="4" w:space="0" w:color="auto"/>
              <w:right w:val="single" w:sz="8" w:space="0" w:color="auto"/>
            </w:tcBorders>
            <w:shd w:val="clear" w:color="auto" w:fill="auto"/>
            <w:vAlign w:val="center"/>
          </w:tcPr>
          <w:p w14:paraId="1F8498B9" w14:textId="77777777" w:rsidR="002410C0" w:rsidRPr="00B73138" w:rsidRDefault="002410C0" w:rsidP="0076278B">
            <w:pPr>
              <w:jc w:val="right"/>
              <w:rPr>
                <w:rFonts w:cs="Times New Roman"/>
                <w:color w:val="000000"/>
                <w:sz w:val="20"/>
                <w:szCs w:val="20"/>
              </w:rPr>
            </w:pPr>
          </w:p>
        </w:tc>
        <w:tc>
          <w:tcPr>
            <w:tcW w:w="416" w:type="pct"/>
            <w:tcBorders>
              <w:top w:val="single" w:sz="4" w:space="0" w:color="BFBFBF" w:themeColor="background1" w:themeShade="BF"/>
              <w:left w:val="nil"/>
              <w:bottom w:val="single" w:sz="4" w:space="0" w:color="auto"/>
              <w:right w:val="single" w:sz="12" w:space="0" w:color="auto"/>
            </w:tcBorders>
            <w:shd w:val="clear" w:color="auto" w:fill="auto"/>
            <w:vAlign w:val="center"/>
          </w:tcPr>
          <w:p w14:paraId="3CE3A7D5" w14:textId="77777777" w:rsidR="002410C0" w:rsidRPr="00B73138" w:rsidRDefault="002410C0" w:rsidP="0076278B">
            <w:pPr>
              <w:jc w:val="right"/>
              <w:rPr>
                <w:rFonts w:cs="Times New Roman"/>
                <w:color w:val="000000"/>
                <w:sz w:val="20"/>
                <w:szCs w:val="20"/>
              </w:rPr>
            </w:pPr>
          </w:p>
        </w:tc>
        <w:tc>
          <w:tcPr>
            <w:tcW w:w="393" w:type="pct"/>
            <w:tcBorders>
              <w:top w:val="single" w:sz="4" w:space="0" w:color="BFBFBF" w:themeColor="background1" w:themeShade="BF"/>
              <w:left w:val="single" w:sz="4" w:space="0" w:color="auto"/>
              <w:bottom w:val="single" w:sz="4" w:space="0" w:color="auto"/>
              <w:right w:val="double" w:sz="6" w:space="0" w:color="auto"/>
            </w:tcBorders>
            <w:shd w:val="clear" w:color="auto" w:fill="auto"/>
            <w:vAlign w:val="center"/>
          </w:tcPr>
          <w:p w14:paraId="04AA59D1" w14:textId="77777777" w:rsidR="002410C0" w:rsidRPr="004A3C2D" w:rsidRDefault="002410C0" w:rsidP="0076278B">
            <w:pPr>
              <w:jc w:val="right"/>
              <w:rPr>
                <w:rFonts w:eastAsia="Times New Roman" w:cs="Times New Roman"/>
                <w:color w:val="000000"/>
                <w:sz w:val="20"/>
                <w:szCs w:val="20"/>
              </w:rPr>
            </w:pPr>
          </w:p>
        </w:tc>
      </w:tr>
      <w:tr w:rsidR="005D1838" w:rsidRPr="004A3C2D" w14:paraId="0B951096" w14:textId="77777777" w:rsidTr="003B2A78">
        <w:trPr>
          <w:trHeight w:val="346"/>
        </w:trPr>
        <w:tc>
          <w:tcPr>
            <w:tcW w:w="895" w:type="pct"/>
            <w:tcBorders>
              <w:top w:val="single" w:sz="4" w:space="0" w:color="BFBFBF" w:themeColor="background1" w:themeShade="BF"/>
              <w:left w:val="double" w:sz="6" w:space="0" w:color="auto"/>
              <w:bottom w:val="single" w:sz="4" w:space="0" w:color="A5A5A5" w:themeColor="accent3"/>
              <w:right w:val="single" w:sz="4" w:space="0" w:color="auto"/>
            </w:tcBorders>
            <w:shd w:val="clear" w:color="auto" w:fill="auto"/>
            <w:tcMar>
              <w:left w:w="58" w:type="dxa"/>
              <w:right w:w="58" w:type="dxa"/>
            </w:tcMar>
            <w:vAlign w:val="center"/>
          </w:tcPr>
          <w:p w14:paraId="5A0A5388"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Gender</w:t>
            </w:r>
          </w:p>
        </w:tc>
        <w:tc>
          <w:tcPr>
            <w:tcW w:w="662" w:type="pct"/>
            <w:tcBorders>
              <w:top w:val="single" w:sz="4" w:space="0" w:color="BFBFBF" w:themeColor="background1" w:themeShade="BF"/>
              <w:left w:val="single" w:sz="4" w:space="0" w:color="auto"/>
              <w:bottom w:val="single" w:sz="4" w:space="0" w:color="A5A5A5" w:themeColor="accent3"/>
              <w:right w:val="single" w:sz="4" w:space="0" w:color="A5A5A5" w:themeColor="accent3"/>
            </w:tcBorders>
            <w:shd w:val="clear" w:color="auto" w:fill="auto"/>
            <w:tcMar>
              <w:left w:w="58" w:type="dxa"/>
              <w:right w:w="58" w:type="dxa"/>
            </w:tcMar>
            <w:vAlign w:val="center"/>
          </w:tcPr>
          <w:p w14:paraId="59338011"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Male</w:t>
            </w:r>
          </w:p>
        </w:tc>
        <w:tc>
          <w:tcPr>
            <w:tcW w:w="792" w:type="pct"/>
            <w:tcBorders>
              <w:top w:val="single" w:sz="4" w:space="0" w:color="BFBFBF" w:themeColor="background1" w:themeShade="BF"/>
              <w:left w:val="single" w:sz="4" w:space="0" w:color="A5A5A5" w:themeColor="accent3"/>
              <w:bottom w:val="single" w:sz="4" w:space="0" w:color="A5A5A5" w:themeColor="accent3"/>
              <w:right w:val="single" w:sz="12" w:space="0" w:color="auto"/>
            </w:tcBorders>
            <w:shd w:val="clear" w:color="auto" w:fill="auto"/>
            <w:tcMar>
              <w:left w:w="58" w:type="dxa"/>
              <w:right w:w="58" w:type="dxa"/>
            </w:tcMar>
            <w:vAlign w:val="center"/>
          </w:tcPr>
          <w:p w14:paraId="27C4E917"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Female</w:t>
            </w:r>
          </w:p>
        </w:tc>
        <w:tc>
          <w:tcPr>
            <w:tcW w:w="456" w:type="pct"/>
            <w:tcBorders>
              <w:top w:val="single" w:sz="4" w:space="0" w:color="BFBFBF" w:themeColor="background1" w:themeShade="BF"/>
              <w:left w:val="single" w:sz="12" w:space="0" w:color="auto"/>
              <w:bottom w:val="single" w:sz="4" w:space="0" w:color="A5A5A5" w:themeColor="accent3"/>
              <w:right w:val="single" w:sz="4" w:space="0" w:color="BFBFBF" w:themeColor="background1" w:themeShade="BF"/>
            </w:tcBorders>
            <w:shd w:val="clear" w:color="auto" w:fill="auto"/>
            <w:vAlign w:val="center"/>
          </w:tcPr>
          <w:p w14:paraId="482ED3D3" w14:textId="77777777" w:rsidR="002410C0" w:rsidRPr="004A3C2D" w:rsidRDefault="002410C0" w:rsidP="0076278B">
            <w:pPr>
              <w:jc w:val="right"/>
              <w:rPr>
                <w:rFonts w:cs="Times New Roman"/>
                <w:color w:val="000000"/>
                <w:sz w:val="20"/>
                <w:szCs w:val="20"/>
              </w:rPr>
            </w:pPr>
            <w:r>
              <w:rPr>
                <w:color w:val="000000"/>
                <w:sz w:val="20"/>
                <w:szCs w:val="20"/>
              </w:rPr>
              <w:t>-71</w:t>
            </w:r>
          </w:p>
        </w:tc>
        <w:tc>
          <w:tcPr>
            <w:tcW w:w="482" w:type="pct"/>
            <w:tcBorders>
              <w:top w:val="single" w:sz="4" w:space="0" w:color="BFBFBF" w:themeColor="background1" w:themeShade="BF"/>
              <w:left w:val="single" w:sz="4" w:space="0" w:color="BFBFBF" w:themeColor="background1" w:themeShade="BF"/>
              <w:bottom w:val="single" w:sz="4" w:space="0" w:color="A5A5A5" w:themeColor="accent3"/>
              <w:right w:val="single" w:sz="4" w:space="0" w:color="BFBFBF" w:themeColor="background1" w:themeShade="BF"/>
            </w:tcBorders>
            <w:shd w:val="clear" w:color="auto" w:fill="auto"/>
            <w:vAlign w:val="center"/>
          </w:tcPr>
          <w:p w14:paraId="47810F88" w14:textId="77777777" w:rsidR="002410C0" w:rsidRPr="00B73138" w:rsidRDefault="002410C0" w:rsidP="0076278B">
            <w:pPr>
              <w:jc w:val="right"/>
              <w:rPr>
                <w:rFonts w:cs="Times New Roman"/>
                <w:color w:val="000000"/>
                <w:sz w:val="20"/>
                <w:szCs w:val="20"/>
              </w:rPr>
            </w:pPr>
            <w:r w:rsidRPr="00B73138">
              <w:rPr>
                <w:color w:val="000000"/>
                <w:sz w:val="20"/>
                <w:szCs w:val="20"/>
              </w:rPr>
              <w:t>0</w:t>
            </w:r>
          </w:p>
        </w:tc>
        <w:tc>
          <w:tcPr>
            <w:tcW w:w="456" w:type="pct"/>
            <w:tcBorders>
              <w:top w:val="single" w:sz="4" w:space="0" w:color="BFBFBF" w:themeColor="background1" w:themeShade="BF"/>
              <w:left w:val="single" w:sz="4" w:space="0" w:color="BFBFBF" w:themeColor="background1" w:themeShade="BF"/>
              <w:bottom w:val="single" w:sz="4" w:space="0" w:color="A5A5A5" w:themeColor="accent3"/>
              <w:right w:val="single" w:sz="4" w:space="0" w:color="BFBFBF" w:themeColor="background1" w:themeShade="BF"/>
            </w:tcBorders>
            <w:shd w:val="clear" w:color="auto" w:fill="auto"/>
            <w:vAlign w:val="center"/>
          </w:tcPr>
          <w:p w14:paraId="3D3DB1FE" w14:textId="77777777" w:rsidR="002410C0" w:rsidRPr="00B73138" w:rsidRDefault="002410C0" w:rsidP="0076278B">
            <w:pPr>
              <w:jc w:val="right"/>
              <w:rPr>
                <w:rFonts w:cs="Times New Roman"/>
                <w:color w:val="000000"/>
                <w:sz w:val="20"/>
                <w:szCs w:val="20"/>
              </w:rPr>
            </w:pPr>
            <w:r w:rsidRPr="00B73138">
              <w:rPr>
                <w:color w:val="000000"/>
                <w:sz w:val="20"/>
                <w:szCs w:val="20"/>
              </w:rPr>
              <w:t>-21</w:t>
            </w:r>
          </w:p>
        </w:tc>
        <w:tc>
          <w:tcPr>
            <w:tcW w:w="448" w:type="pct"/>
            <w:tcBorders>
              <w:top w:val="single" w:sz="4" w:space="0" w:color="BFBFBF" w:themeColor="background1" w:themeShade="BF"/>
              <w:left w:val="single" w:sz="4" w:space="0" w:color="BFBFBF" w:themeColor="background1" w:themeShade="BF"/>
              <w:bottom w:val="single" w:sz="4" w:space="0" w:color="A5A5A5" w:themeColor="accent3"/>
              <w:right w:val="single" w:sz="8" w:space="0" w:color="auto"/>
            </w:tcBorders>
            <w:shd w:val="clear" w:color="auto" w:fill="auto"/>
            <w:vAlign w:val="center"/>
          </w:tcPr>
          <w:p w14:paraId="02E23219" w14:textId="77777777" w:rsidR="002410C0" w:rsidRPr="00B73138" w:rsidRDefault="002410C0" w:rsidP="0076278B">
            <w:pPr>
              <w:jc w:val="right"/>
              <w:rPr>
                <w:rFonts w:cs="Times New Roman"/>
                <w:color w:val="000000"/>
                <w:sz w:val="20"/>
                <w:szCs w:val="20"/>
              </w:rPr>
            </w:pPr>
            <w:r w:rsidRPr="00B73138">
              <w:rPr>
                <w:color w:val="000000"/>
                <w:sz w:val="20"/>
                <w:szCs w:val="20"/>
              </w:rPr>
              <w:t>-8</w:t>
            </w:r>
          </w:p>
        </w:tc>
        <w:tc>
          <w:tcPr>
            <w:tcW w:w="416" w:type="pct"/>
            <w:tcBorders>
              <w:top w:val="single" w:sz="4" w:space="0" w:color="BFBFBF" w:themeColor="background1" w:themeShade="BF"/>
              <w:left w:val="nil"/>
              <w:bottom w:val="single" w:sz="4" w:space="0" w:color="A5A5A5" w:themeColor="accent3"/>
              <w:right w:val="single" w:sz="12" w:space="0" w:color="auto"/>
            </w:tcBorders>
            <w:shd w:val="clear" w:color="auto" w:fill="auto"/>
            <w:vAlign w:val="center"/>
          </w:tcPr>
          <w:p w14:paraId="3AA88DDF" w14:textId="77777777" w:rsidR="002410C0" w:rsidRPr="00B73138" w:rsidRDefault="002410C0" w:rsidP="0076278B">
            <w:pPr>
              <w:jc w:val="right"/>
              <w:rPr>
                <w:rFonts w:cs="Times New Roman"/>
                <w:color w:val="000000"/>
                <w:sz w:val="20"/>
                <w:szCs w:val="20"/>
              </w:rPr>
            </w:pPr>
            <w:r w:rsidRPr="00B73138">
              <w:rPr>
                <w:color w:val="000000"/>
                <w:sz w:val="20"/>
                <w:szCs w:val="20"/>
              </w:rPr>
              <w:t>0</w:t>
            </w:r>
          </w:p>
        </w:tc>
        <w:tc>
          <w:tcPr>
            <w:tcW w:w="393" w:type="pct"/>
            <w:tcBorders>
              <w:top w:val="single" w:sz="4" w:space="0" w:color="BFBFBF" w:themeColor="background1" w:themeShade="BF"/>
              <w:left w:val="single" w:sz="4" w:space="0" w:color="auto"/>
              <w:bottom w:val="single" w:sz="4" w:space="0" w:color="A5A5A5" w:themeColor="accent3"/>
              <w:right w:val="double" w:sz="6" w:space="0" w:color="auto"/>
            </w:tcBorders>
            <w:shd w:val="clear" w:color="auto" w:fill="auto"/>
            <w:vAlign w:val="center"/>
          </w:tcPr>
          <w:p w14:paraId="6F5784F8"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-0.0202</w:t>
            </w:r>
          </w:p>
        </w:tc>
      </w:tr>
      <w:tr w:rsidR="005D1838" w:rsidRPr="004A3C2D" w14:paraId="0A1995CF" w14:textId="77777777" w:rsidTr="003B2A78">
        <w:trPr>
          <w:trHeight w:val="346"/>
        </w:trPr>
        <w:tc>
          <w:tcPr>
            <w:tcW w:w="895" w:type="pct"/>
            <w:tcBorders>
              <w:top w:val="single" w:sz="4" w:space="0" w:color="A5A5A5" w:themeColor="accent3"/>
              <w:left w:val="double" w:sz="6" w:space="0" w:color="auto"/>
              <w:bottom w:val="single" w:sz="4" w:space="0" w:color="A5A5A5" w:themeColor="accent3"/>
              <w:right w:val="single" w:sz="4" w:space="0" w:color="auto"/>
            </w:tcBorders>
            <w:shd w:val="clear" w:color="auto" w:fill="auto"/>
            <w:tcMar>
              <w:left w:w="58" w:type="dxa"/>
              <w:right w:w="58" w:type="dxa"/>
            </w:tcMar>
            <w:vAlign w:val="center"/>
          </w:tcPr>
          <w:p w14:paraId="70AA12F2"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Age</w:t>
            </w:r>
          </w:p>
        </w:tc>
        <w:tc>
          <w:tcPr>
            <w:tcW w:w="662" w:type="pct"/>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Mar>
              <w:left w:w="58" w:type="dxa"/>
              <w:right w:w="58" w:type="dxa"/>
            </w:tcMar>
            <w:vAlign w:val="center"/>
          </w:tcPr>
          <w:p w14:paraId="47A5C08E"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&lt;30</w:t>
            </w:r>
          </w:p>
        </w:tc>
        <w:tc>
          <w:tcPr>
            <w:tcW w:w="792" w:type="pct"/>
            <w:tcBorders>
              <w:top w:val="single" w:sz="4" w:space="0" w:color="A5A5A5" w:themeColor="accent3"/>
              <w:left w:val="single" w:sz="4" w:space="0" w:color="A5A5A5" w:themeColor="accent3"/>
              <w:bottom w:val="single" w:sz="4" w:space="0" w:color="A5A5A5" w:themeColor="accent3"/>
              <w:right w:val="single" w:sz="12" w:space="0" w:color="auto"/>
            </w:tcBorders>
            <w:shd w:val="clear" w:color="auto" w:fill="auto"/>
            <w:tcMar>
              <w:left w:w="58" w:type="dxa"/>
              <w:right w:w="58" w:type="dxa"/>
            </w:tcMar>
            <w:vAlign w:val="center"/>
          </w:tcPr>
          <w:p w14:paraId="3CD8DE21"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u w:val="single"/>
              </w:rPr>
              <w:t xml:space="preserve">&gt; </w:t>
            </w:r>
            <w:r w:rsidRPr="004A3C2D">
              <w:rPr>
                <w:rFonts w:eastAsia="Times New Roman" w:cs="Times New Roman"/>
                <w:color w:val="000000"/>
                <w:sz w:val="20"/>
                <w:szCs w:val="20"/>
              </w:rPr>
              <w:t>64</w:t>
            </w:r>
          </w:p>
        </w:tc>
        <w:tc>
          <w:tcPr>
            <w:tcW w:w="456" w:type="pct"/>
            <w:tcBorders>
              <w:top w:val="single" w:sz="4" w:space="0" w:color="A5A5A5" w:themeColor="accent3"/>
              <w:left w:val="single" w:sz="12" w:space="0" w:color="auto"/>
              <w:bottom w:val="single" w:sz="4" w:space="0" w:color="A5A5A5" w:themeColor="accent3"/>
              <w:right w:val="single" w:sz="4" w:space="0" w:color="BFBFBF" w:themeColor="background1" w:themeShade="BF"/>
            </w:tcBorders>
            <w:shd w:val="clear" w:color="auto" w:fill="auto"/>
            <w:vAlign w:val="center"/>
          </w:tcPr>
          <w:p w14:paraId="66CE69F5" w14:textId="77777777" w:rsidR="002410C0" w:rsidRDefault="002410C0" w:rsidP="0076278B">
            <w:pPr>
              <w:jc w:val="right"/>
              <w:rPr>
                <w:color w:val="000000"/>
                <w:sz w:val="20"/>
                <w:szCs w:val="20"/>
              </w:rPr>
            </w:pPr>
            <w:r>
              <w:rPr>
                <w:color w:val="000000"/>
                <w:sz w:val="20"/>
                <w:szCs w:val="20"/>
              </w:rPr>
              <w:t>-56</w:t>
            </w:r>
          </w:p>
        </w:tc>
        <w:tc>
          <w:tcPr>
            <w:tcW w:w="482" w:type="pct"/>
            <w:tcBorders>
              <w:top w:val="single" w:sz="4" w:space="0" w:color="A5A5A5" w:themeColor="accent3"/>
              <w:left w:val="single" w:sz="4" w:space="0" w:color="BFBFBF" w:themeColor="background1" w:themeShade="BF"/>
              <w:bottom w:val="single" w:sz="4" w:space="0" w:color="A5A5A5" w:themeColor="accent3"/>
              <w:right w:val="single" w:sz="4" w:space="0" w:color="BFBFBF" w:themeColor="background1" w:themeShade="BF"/>
            </w:tcBorders>
            <w:shd w:val="clear" w:color="auto" w:fill="auto"/>
            <w:vAlign w:val="center"/>
          </w:tcPr>
          <w:p w14:paraId="17C3D145" w14:textId="77777777" w:rsidR="002410C0" w:rsidRPr="00B73138" w:rsidRDefault="002410C0" w:rsidP="0076278B">
            <w:pPr>
              <w:jc w:val="right"/>
              <w:rPr>
                <w:color w:val="000000"/>
                <w:sz w:val="20"/>
                <w:szCs w:val="20"/>
              </w:rPr>
            </w:pPr>
            <w:r w:rsidRPr="00B73138">
              <w:rPr>
                <w:color w:val="000000"/>
                <w:sz w:val="20"/>
                <w:szCs w:val="20"/>
              </w:rPr>
              <w:t>8</w:t>
            </w:r>
          </w:p>
        </w:tc>
        <w:tc>
          <w:tcPr>
            <w:tcW w:w="456" w:type="pct"/>
            <w:tcBorders>
              <w:top w:val="single" w:sz="4" w:space="0" w:color="A5A5A5" w:themeColor="accent3"/>
              <w:left w:val="single" w:sz="4" w:space="0" w:color="BFBFBF" w:themeColor="background1" w:themeShade="BF"/>
              <w:bottom w:val="single" w:sz="4" w:space="0" w:color="A5A5A5" w:themeColor="accent3"/>
              <w:right w:val="single" w:sz="4" w:space="0" w:color="BFBFBF" w:themeColor="background1" w:themeShade="BF"/>
            </w:tcBorders>
            <w:shd w:val="clear" w:color="auto" w:fill="auto"/>
            <w:vAlign w:val="center"/>
          </w:tcPr>
          <w:p w14:paraId="4E4001CF" w14:textId="77777777" w:rsidR="002410C0" w:rsidRPr="00B73138" w:rsidRDefault="002410C0" w:rsidP="0076278B">
            <w:pPr>
              <w:jc w:val="right"/>
              <w:rPr>
                <w:color w:val="000000"/>
                <w:sz w:val="20"/>
                <w:szCs w:val="20"/>
              </w:rPr>
            </w:pPr>
            <w:r w:rsidRPr="00B73138">
              <w:rPr>
                <w:color w:val="000000"/>
                <w:sz w:val="20"/>
                <w:szCs w:val="20"/>
              </w:rPr>
              <w:t>-4</w:t>
            </w:r>
          </w:p>
        </w:tc>
        <w:tc>
          <w:tcPr>
            <w:tcW w:w="448" w:type="pct"/>
            <w:tcBorders>
              <w:top w:val="single" w:sz="4" w:space="0" w:color="A5A5A5" w:themeColor="accent3"/>
              <w:left w:val="single" w:sz="4" w:space="0" w:color="BFBFBF" w:themeColor="background1" w:themeShade="BF"/>
              <w:bottom w:val="single" w:sz="4" w:space="0" w:color="A5A5A5" w:themeColor="accent3"/>
              <w:right w:val="single" w:sz="8" w:space="0" w:color="auto"/>
            </w:tcBorders>
            <w:shd w:val="clear" w:color="auto" w:fill="auto"/>
            <w:vAlign w:val="center"/>
          </w:tcPr>
          <w:p w14:paraId="08922F74" w14:textId="77777777" w:rsidR="002410C0" w:rsidRPr="00B73138" w:rsidRDefault="002410C0" w:rsidP="0076278B">
            <w:pPr>
              <w:jc w:val="right"/>
              <w:rPr>
                <w:color w:val="000000"/>
                <w:sz w:val="20"/>
                <w:szCs w:val="20"/>
              </w:rPr>
            </w:pPr>
            <w:r w:rsidRPr="00B73138">
              <w:rPr>
                <w:color w:val="000000"/>
                <w:sz w:val="20"/>
                <w:szCs w:val="20"/>
              </w:rPr>
              <w:t>-5</w:t>
            </w:r>
          </w:p>
        </w:tc>
        <w:tc>
          <w:tcPr>
            <w:tcW w:w="416" w:type="pct"/>
            <w:tcBorders>
              <w:top w:val="single" w:sz="4" w:space="0" w:color="A5A5A5" w:themeColor="accent3"/>
              <w:left w:val="nil"/>
              <w:bottom w:val="single" w:sz="4" w:space="0" w:color="A5A5A5" w:themeColor="accent3"/>
              <w:right w:val="single" w:sz="12" w:space="0" w:color="auto"/>
            </w:tcBorders>
            <w:shd w:val="clear" w:color="auto" w:fill="auto"/>
            <w:vAlign w:val="center"/>
          </w:tcPr>
          <w:p w14:paraId="6B333307" w14:textId="77777777" w:rsidR="002410C0" w:rsidRPr="00B73138" w:rsidRDefault="002410C0" w:rsidP="0076278B">
            <w:pPr>
              <w:jc w:val="right"/>
              <w:rPr>
                <w:color w:val="000000"/>
                <w:sz w:val="20"/>
                <w:szCs w:val="20"/>
              </w:rPr>
            </w:pPr>
            <w:r w:rsidRPr="00B73138">
              <w:rPr>
                <w:color w:val="000000"/>
                <w:sz w:val="20"/>
                <w:szCs w:val="20"/>
              </w:rPr>
              <w:t>-27</w:t>
            </w:r>
          </w:p>
        </w:tc>
        <w:tc>
          <w:tcPr>
            <w:tcW w:w="393" w:type="pct"/>
            <w:tcBorders>
              <w:top w:val="single" w:sz="4" w:space="0" w:color="A5A5A5" w:themeColor="accent3"/>
              <w:left w:val="single" w:sz="4" w:space="0" w:color="auto"/>
              <w:bottom w:val="single" w:sz="4" w:space="0" w:color="A5A5A5" w:themeColor="accent3"/>
              <w:right w:val="double" w:sz="6" w:space="0" w:color="auto"/>
            </w:tcBorders>
            <w:shd w:val="clear" w:color="auto" w:fill="auto"/>
            <w:vAlign w:val="center"/>
          </w:tcPr>
          <w:p w14:paraId="26399519"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-0.1151</w:t>
            </w:r>
          </w:p>
        </w:tc>
      </w:tr>
      <w:tr w:rsidR="005D1838" w:rsidRPr="004A3C2D" w14:paraId="2C477BFC" w14:textId="77777777" w:rsidTr="003B2A78">
        <w:trPr>
          <w:trHeight w:val="346"/>
        </w:trPr>
        <w:tc>
          <w:tcPr>
            <w:tcW w:w="895" w:type="pct"/>
            <w:tcBorders>
              <w:top w:val="single" w:sz="4" w:space="0" w:color="A5A5A5" w:themeColor="accent3"/>
              <w:left w:val="double" w:sz="6" w:space="0" w:color="auto"/>
              <w:bottom w:val="single" w:sz="4" w:space="0" w:color="A5A5A5" w:themeColor="accent3"/>
              <w:right w:val="single" w:sz="4" w:space="0" w:color="auto"/>
            </w:tcBorders>
            <w:shd w:val="clear" w:color="auto" w:fill="auto"/>
            <w:tcMar>
              <w:left w:w="58" w:type="dxa"/>
              <w:right w:w="58" w:type="dxa"/>
            </w:tcMar>
            <w:vAlign w:val="center"/>
          </w:tcPr>
          <w:p w14:paraId="1294E2BF"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Employment Status</w:t>
            </w:r>
          </w:p>
        </w:tc>
        <w:tc>
          <w:tcPr>
            <w:tcW w:w="662" w:type="pct"/>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Mar>
              <w:left w:w="58" w:type="dxa"/>
              <w:right w:w="58" w:type="dxa"/>
            </w:tcMar>
            <w:vAlign w:val="center"/>
          </w:tcPr>
          <w:p w14:paraId="74CB63DE"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Unemployed</w:t>
            </w:r>
          </w:p>
        </w:tc>
        <w:tc>
          <w:tcPr>
            <w:tcW w:w="792" w:type="pct"/>
            <w:tcBorders>
              <w:top w:val="single" w:sz="4" w:space="0" w:color="A5A5A5" w:themeColor="accent3"/>
              <w:left w:val="single" w:sz="4" w:space="0" w:color="A5A5A5" w:themeColor="accent3"/>
              <w:bottom w:val="single" w:sz="4" w:space="0" w:color="A5A5A5" w:themeColor="accent3"/>
              <w:right w:val="single" w:sz="12" w:space="0" w:color="auto"/>
            </w:tcBorders>
            <w:shd w:val="clear" w:color="auto" w:fill="auto"/>
            <w:tcMar>
              <w:left w:w="58" w:type="dxa"/>
              <w:right w:w="58" w:type="dxa"/>
            </w:tcMar>
            <w:vAlign w:val="center"/>
          </w:tcPr>
          <w:p w14:paraId="39C33B7A" w14:textId="77777777" w:rsidR="002410C0" w:rsidRPr="004A3C2D" w:rsidRDefault="002410C0" w:rsidP="0076278B">
            <w:pPr>
              <w:rPr>
                <w:rFonts w:eastAsia="Times New Roman" w:cs="Times New Roman"/>
                <w:color w:val="000000"/>
                <w:sz w:val="20"/>
                <w:szCs w:val="20"/>
                <w:u w:val="single"/>
              </w:rPr>
            </w:pPr>
            <w:r w:rsidRPr="004A3C2D">
              <w:rPr>
                <w:rFonts w:eastAsia="Times New Roman" w:cs="Times New Roman"/>
                <w:color w:val="000000"/>
                <w:sz w:val="20"/>
                <w:szCs w:val="20"/>
              </w:rPr>
              <w:t>Employed</w:t>
            </w:r>
          </w:p>
        </w:tc>
        <w:tc>
          <w:tcPr>
            <w:tcW w:w="456" w:type="pct"/>
            <w:tcBorders>
              <w:top w:val="single" w:sz="4" w:space="0" w:color="A5A5A5" w:themeColor="accent3"/>
              <w:left w:val="single" w:sz="12" w:space="0" w:color="auto"/>
              <w:bottom w:val="single" w:sz="4" w:space="0" w:color="A5A5A5" w:themeColor="accent3"/>
              <w:right w:val="single" w:sz="4" w:space="0" w:color="BFBFBF" w:themeColor="background1" w:themeShade="BF"/>
            </w:tcBorders>
            <w:shd w:val="clear" w:color="auto" w:fill="auto"/>
            <w:vAlign w:val="center"/>
          </w:tcPr>
          <w:p w14:paraId="11CD8CAB" w14:textId="77777777" w:rsidR="002410C0" w:rsidRDefault="002410C0" w:rsidP="0076278B">
            <w:pPr>
              <w:jc w:val="right"/>
              <w:rPr>
                <w:color w:val="000000"/>
                <w:sz w:val="20"/>
                <w:szCs w:val="20"/>
              </w:rPr>
            </w:pPr>
            <w:r>
              <w:rPr>
                <w:color w:val="000000"/>
                <w:sz w:val="20"/>
                <w:szCs w:val="20"/>
              </w:rPr>
              <w:t>0</w:t>
            </w:r>
          </w:p>
        </w:tc>
        <w:tc>
          <w:tcPr>
            <w:tcW w:w="482" w:type="pct"/>
            <w:tcBorders>
              <w:top w:val="single" w:sz="4" w:space="0" w:color="A5A5A5" w:themeColor="accent3"/>
              <w:left w:val="single" w:sz="4" w:space="0" w:color="BFBFBF" w:themeColor="background1" w:themeShade="BF"/>
              <w:bottom w:val="single" w:sz="4" w:space="0" w:color="A5A5A5" w:themeColor="accent3"/>
              <w:right w:val="single" w:sz="4" w:space="0" w:color="BFBFBF" w:themeColor="background1" w:themeShade="BF"/>
            </w:tcBorders>
            <w:shd w:val="clear" w:color="auto" w:fill="auto"/>
            <w:vAlign w:val="center"/>
          </w:tcPr>
          <w:p w14:paraId="159A2B54" w14:textId="77777777" w:rsidR="002410C0" w:rsidRPr="00B73138" w:rsidRDefault="002410C0" w:rsidP="0076278B">
            <w:pPr>
              <w:jc w:val="right"/>
              <w:rPr>
                <w:color w:val="000000"/>
                <w:sz w:val="20"/>
                <w:szCs w:val="20"/>
              </w:rPr>
            </w:pPr>
            <w:r w:rsidRPr="00B73138">
              <w:rPr>
                <w:color w:val="000000"/>
                <w:sz w:val="20"/>
                <w:szCs w:val="20"/>
              </w:rPr>
              <w:t>0</w:t>
            </w:r>
          </w:p>
        </w:tc>
        <w:tc>
          <w:tcPr>
            <w:tcW w:w="456" w:type="pct"/>
            <w:tcBorders>
              <w:top w:val="single" w:sz="4" w:space="0" w:color="A5A5A5" w:themeColor="accent3"/>
              <w:left w:val="single" w:sz="4" w:space="0" w:color="BFBFBF" w:themeColor="background1" w:themeShade="BF"/>
              <w:bottom w:val="single" w:sz="4" w:space="0" w:color="A5A5A5" w:themeColor="accent3"/>
              <w:right w:val="single" w:sz="4" w:space="0" w:color="BFBFBF" w:themeColor="background1" w:themeShade="BF"/>
            </w:tcBorders>
            <w:shd w:val="clear" w:color="auto" w:fill="auto"/>
            <w:vAlign w:val="center"/>
          </w:tcPr>
          <w:p w14:paraId="567CF9A0" w14:textId="77777777" w:rsidR="002410C0" w:rsidRPr="00B73138" w:rsidRDefault="002410C0" w:rsidP="0076278B">
            <w:pPr>
              <w:jc w:val="right"/>
              <w:rPr>
                <w:color w:val="000000"/>
                <w:sz w:val="20"/>
                <w:szCs w:val="20"/>
              </w:rPr>
            </w:pPr>
            <w:r w:rsidRPr="00B73138">
              <w:rPr>
                <w:color w:val="000000"/>
                <w:sz w:val="20"/>
                <w:szCs w:val="20"/>
              </w:rPr>
              <w:t>100</w:t>
            </w:r>
          </w:p>
        </w:tc>
        <w:tc>
          <w:tcPr>
            <w:tcW w:w="448" w:type="pct"/>
            <w:tcBorders>
              <w:top w:val="single" w:sz="4" w:space="0" w:color="A5A5A5" w:themeColor="accent3"/>
              <w:left w:val="single" w:sz="4" w:space="0" w:color="BFBFBF" w:themeColor="background1" w:themeShade="BF"/>
              <w:bottom w:val="single" w:sz="4" w:space="0" w:color="A5A5A5" w:themeColor="accent3"/>
              <w:right w:val="single" w:sz="8" w:space="0" w:color="auto"/>
            </w:tcBorders>
            <w:shd w:val="clear" w:color="auto" w:fill="auto"/>
            <w:vAlign w:val="center"/>
          </w:tcPr>
          <w:p w14:paraId="13814D3D" w14:textId="77777777" w:rsidR="002410C0" w:rsidRPr="00B73138" w:rsidRDefault="002410C0" w:rsidP="0076278B">
            <w:pPr>
              <w:jc w:val="right"/>
              <w:rPr>
                <w:color w:val="000000"/>
                <w:sz w:val="20"/>
                <w:szCs w:val="20"/>
              </w:rPr>
            </w:pPr>
            <w:r w:rsidRPr="00B73138">
              <w:rPr>
                <w:color w:val="000000"/>
                <w:sz w:val="20"/>
                <w:szCs w:val="20"/>
              </w:rPr>
              <w:t>0</w:t>
            </w:r>
          </w:p>
        </w:tc>
        <w:tc>
          <w:tcPr>
            <w:tcW w:w="416" w:type="pct"/>
            <w:tcBorders>
              <w:top w:val="single" w:sz="4" w:space="0" w:color="A5A5A5" w:themeColor="accent3"/>
              <w:left w:val="nil"/>
              <w:bottom w:val="single" w:sz="4" w:space="0" w:color="A5A5A5" w:themeColor="accent3"/>
              <w:right w:val="single" w:sz="12" w:space="0" w:color="auto"/>
            </w:tcBorders>
            <w:shd w:val="clear" w:color="auto" w:fill="auto"/>
            <w:vAlign w:val="center"/>
          </w:tcPr>
          <w:p w14:paraId="627CD607" w14:textId="77777777" w:rsidR="002410C0" w:rsidRPr="00B73138" w:rsidRDefault="002410C0" w:rsidP="0076278B">
            <w:pPr>
              <w:jc w:val="right"/>
              <w:rPr>
                <w:color w:val="000000"/>
                <w:sz w:val="20"/>
                <w:szCs w:val="20"/>
              </w:rPr>
            </w:pPr>
            <w:r w:rsidRPr="00B73138">
              <w:rPr>
                <w:color w:val="000000"/>
                <w:sz w:val="20"/>
                <w:szCs w:val="20"/>
              </w:rPr>
              <w:t>0</w:t>
            </w:r>
          </w:p>
        </w:tc>
        <w:tc>
          <w:tcPr>
            <w:tcW w:w="393" w:type="pct"/>
            <w:tcBorders>
              <w:top w:val="single" w:sz="4" w:space="0" w:color="A5A5A5" w:themeColor="accent3"/>
              <w:left w:val="single" w:sz="4" w:space="0" w:color="auto"/>
              <w:bottom w:val="single" w:sz="4" w:space="0" w:color="A5A5A5" w:themeColor="accent3"/>
              <w:right w:val="double" w:sz="6" w:space="0" w:color="auto"/>
            </w:tcBorders>
            <w:shd w:val="clear" w:color="auto" w:fill="auto"/>
            <w:vAlign w:val="center"/>
          </w:tcPr>
          <w:p w14:paraId="6A2BC593"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0.0009</w:t>
            </w:r>
          </w:p>
        </w:tc>
      </w:tr>
      <w:tr w:rsidR="005D1838" w:rsidRPr="004A3C2D" w14:paraId="69918344" w14:textId="77777777" w:rsidTr="003B2A78">
        <w:trPr>
          <w:trHeight w:val="346"/>
        </w:trPr>
        <w:tc>
          <w:tcPr>
            <w:tcW w:w="895" w:type="pct"/>
            <w:tcBorders>
              <w:top w:val="single" w:sz="4" w:space="0" w:color="A5A5A5" w:themeColor="accent3"/>
              <w:left w:val="double" w:sz="6" w:space="0" w:color="auto"/>
              <w:bottom w:val="single" w:sz="4" w:space="0" w:color="A5A5A5" w:themeColor="accent3"/>
              <w:right w:val="single" w:sz="4" w:space="0" w:color="auto"/>
            </w:tcBorders>
            <w:shd w:val="clear" w:color="auto" w:fill="auto"/>
            <w:tcMar>
              <w:left w:w="58" w:type="dxa"/>
              <w:right w:w="58" w:type="dxa"/>
            </w:tcMar>
            <w:vAlign w:val="center"/>
          </w:tcPr>
          <w:p w14:paraId="4D6C3562"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Education</w:t>
            </w:r>
          </w:p>
        </w:tc>
        <w:tc>
          <w:tcPr>
            <w:tcW w:w="662" w:type="pct"/>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Mar>
              <w:left w:w="58" w:type="dxa"/>
              <w:right w:w="58" w:type="dxa"/>
            </w:tcMar>
            <w:vAlign w:val="center"/>
          </w:tcPr>
          <w:p w14:paraId="4B48CB57"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High school or less</w:t>
            </w:r>
          </w:p>
        </w:tc>
        <w:tc>
          <w:tcPr>
            <w:tcW w:w="792" w:type="pct"/>
            <w:tcBorders>
              <w:top w:val="single" w:sz="4" w:space="0" w:color="A5A5A5" w:themeColor="accent3"/>
              <w:left w:val="single" w:sz="4" w:space="0" w:color="A5A5A5" w:themeColor="accent3"/>
              <w:bottom w:val="single" w:sz="4" w:space="0" w:color="A5A5A5" w:themeColor="accent3"/>
              <w:right w:val="single" w:sz="12" w:space="0" w:color="auto"/>
            </w:tcBorders>
            <w:shd w:val="clear" w:color="auto" w:fill="auto"/>
            <w:tcMar>
              <w:left w:w="58" w:type="dxa"/>
              <w:right w:w="58" w:type="dxa"/>
            </w:tcMar>
            <w:vAlign w:val="center"/>
          </w:tcPr>
          <w:p w14:paraId="42ADA12C"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Higher than high school</w:t>
            </w:r>
          </w:p>
        </w:tc>
        <w:tc>
          <w:tcPr>
            <w:tcW w:w="456" w:type="pct"/>
            <w:tcBorders>
              <w:top w:val="single" w:sz="4" w:space="0" w:color="A5A5A5" w:themeColor="accent3"/>
              <w:left w:val="single" w:sz="12" w:space="0" w:color="auto"/>
              <w:bottom w:val="single" w:sz="4" w:space="0" w:color="A5A5A5" w:themeColor="accent3"/>
              <w:right w:val="single" w:sz="4" w:space="0" w:color="BFBFBF" w:themeColor="background1" w:themeShade="BF"/>
            </w:tcBorders>
            <w:shd w:val="clear" w:color="auto" w:fill="auto"/>
            <w:vAlign w:val="center"/>
          </w:tcPr>
          <w:p w14:paraId="1A0CE349" w14:textId="77777777" w:rsidR="002410C0" w:rsidRPr="004A3C2D" w:rsidRDefault="002410C0" w:rsidP="0076278B">
            <w:pPr>
              <w:jc w:val="right"/>
              <w:rPr>
                <w:rFonts w:cs="Times New Roman"/>
                <w:color w:val="000000"/>
                <w:sz w:val="20"/>
                <w:szCs w:val="20"/>
              </w:rPr>
            </w:pPr>
            <w:r>
              <w:rPr>
                <w:color w:val="000000"/>
                <w:sz w:val="20"/>
                <w:szCs w:val="20"/>
              </w:rPr>
              <w:t>93</w:t>
            </w:r>
          </w:p>
        </w:tc>
        <w:tc>
          <w:tcPr>
            <w:tcW w:w="482" w:type="pct"/>
            <w:tcBorders>
              <w:top w:val="single" w:sz="4" w:space="0" w:color="A5A5A5" w:themeColor="accent3"/>
              <w:left w:val="single" w:sz="4" w:space="0" w:color="BFBFBF" w:themeColor="background1" w:themeShade="BF"/>
              <w:bottom w:val="single" w:sz="4" w:space="0" w:color="A5A5A5" w:themeColor="accent3"/>
              <w:right w:val="single" w:sz="4" w:space="0" w:color="BFBFBF" w:themeColor="background1" w:themeShade="BF"/>
            </w:tcBorders>
            <w:shd w:val="clear" w:color="auto" w:fill="auto"/>
            <w:vAlign w:val="center"/>
          </w:tcPr>
          <w:p w14:paraId="7B783A3D" w14:textId="77777777" w:rsidR="002410C0" w:rsidRPr="00B73138" w:rsidRDefault="002410C0" w:rsidP="0076278B">
            <w:pPr>
              <w:jc w:val="right"/>
              <w:rPr>
                <w:rFonts w:cs="Times New Roman"/>
                <w:color w:val="000000"/>
                <w:sz w:val="20"/>
                <w:szCs w:val="20"/>
              </w:rPr>
            </w:pPr>
            <w:r w:rsidRPr="00B73138">
              <w:rPr>
                <w:color w:val="000000"/>
                <w:sz w:val="20"/>
                <w:szCs w:val="20"/>
              </w:rPr>
              <w:t>0</w:t>
            </w:r>
          </w:p>
        </w:tc>
        <w:tc>
          <w:tcPr>
            <w:tcW w:w="456" w:type="pct"/>
            <w:tcBorders>
              <w:top w:val="single" w:sz="4" w:space="0" w:color="A5A5A5" w:themeColor="accent3"/>
              <w:left w:val="single" w:sz="4" w:space="0" w:color="BFBFBF" w:themeColor="background1" w:themeShade="BF"/>
              <w:bottom w:val="single" w:sz="4" w:space="0" w:color="A5A5A5" w:themeColor="accent3"/>
              <w:right w:val="single" w:sz="4" w:space="0" w:color="BFBFBF" w:themeColor="background1" w:themeShade="BF"/>
            </w:tcBorders>
            <w:shd w:val="clear" w:color="auto" w:fill="auto"/>
            <w:vAlign w:val="center"/>
          </w:tcPr>
          <w:p w14:paraId="4E5F2461" w14:textId="77777777" w:rsidR="002410C0" w:rsidRPr="00B73138" w:rsidRDefault="002410C0" w:rsidP="0076278B">
            <w:pPr>
              <w:jc w:val="right"/>
              <w:rPr>
                <w:rFonts w:cs="Times New Roman"/>
                <w:color w:val="000000"/>
                <w:sz w:val="20"/>
                <w:szCs w:val="20"/>
              </w:rPr>
            </w:pPr>
            <w:r w:rsidRPr="00B73138">
              <w:rPr>
                <w:color w:val="000000"/>
                <w:sz w:val="20"/>
                <w:szCs w:val="20"/>
              </w:rPr>
              <w:t>0</w:t>
            </w:r>
          </w:p>
        </w:tc>
        <w:tc>
          <w:tcPr>
            <w:tcW w:w="448" w:type="pct"/>
            <w:tcBorders>
              <w:top w:val="single" w:sz="4" w:space="0" w:color="A5A5A5" w:themeColor="accent3"/>
              <w:left w:val="single" w:sz="4" w:space="0" w:color="BFBFBF" w:themeColor="background1" w:themeShade="BF"/>
              <w:bottom w:val="single" w:sz="4" w:space="0" w:color="A5A5A5" w:themeColor="accent3"/>
              <w:right w:val="single" w:sz="8" w:space="0" w:color="auto"/>
            </w:tcBorders>
            <w:shd w:val="clear" w:color="auto" w:fill="auto"/>
            <w:vAlign w:val="center"/>
          </w:tcPr>
          <w:p w14:paraId="33037E92" w14:textId="77777777" w:rsidR="002410C0" w:rsidRPr="00B73138" w:rsidRDefault="002410C0" w:rsidP="0076278B">
            <w:pPr>
              <w:jc w:val="right"/>
              <w:rPr>
                <w:rFonts w:cs="Times New Roman"/>
                <w:color w:val="000000"/>
                <w:sz w:val="20"/>
                <w:szCs w:val="20"/>
              </w:rPr>
            </w:pPr>
            <w:r w:rsidRPr="00B73138">
              <w:rPr>
                <w:color w:val="000000"/>
                <w:sz w:val="20"/>
                <w:szCs w:val="20"/>
              </w:rPr>
              <w:t>7</w:t>
            </w:r>
          </w:p>
        </w:tc>
        <w:tc>
          <w:tcPr>
            <w:tcW w:w="416" w:type="pct"/>
            <w:tcBorders>
              <w:top w:val="single" w:sz="4" w:space="0" w:color="A5A5A5" w:themeColor="accent3"/>
              <w:left w:val="nil"/>
              <w:bottom w:val="single" w:sz="4" w:space="0" w:color="A5A5A5" w:themeColor="accent3"/>
              <w:right w:val="single" w:sz="12" w:space="0" w:color="auto"/>
            </w:tcBorders>
            <w:shd w:val="clear" w:color="auto" w:fill="auto"/>
            <w:vAlign w:val="center"/>
          </w:tcPr>
          <w:p w14:paraId="281B7F02" w14:textId="77777777" w:rsidR="002410C0" w:rsidRPr="00B73138" w:rsidRDefault="002410C0" w:rsidP="0076278B">
            <w:pPr>
              <w:jc w:val="right"/>
              <w:rPr>
                <w:rFonts w:cs="Times New Roman"/>
                <w:color w:val="000000"/>
                <w:sz w:val="20"/>
                <w:szCs w:val="20"/>
              </w:rPr>
            </w:pPr>
            <w:r w:rsidRPr="00B73138">
              <w:rPr>
                <w:color w:val="000000"/>
                <w:sz w:val="20"/>
                <w:szCs w:val="20"/>
              </w:rPr>
              <w:t>0</w:t>
            </w:r>
          </w:p>
        </w:tc>
        <w:tc>
          <w:tcPr>
            <w:tcW w:w="393" w:type="pct"/>
            <w:tcBorders>
              <w:top w:val="single" w:sz="4" w:space="0" w:color="A5A5A5" w:themeColor="accent3"/>
              <w:left w:val="single" w:sz="4" w:space="0" w:color="auto"/>
              <w:bottom w:val="single" w:sz="4" w:space="0" w:color="A5A5A5" w:themeColor="accent3"/>
              <w:right w:val="double" w:sz="6" w:space="0" w:color="auto"/>
            </w:tcBorders>
            <w:shd w:val="clear" w:color="auto" w:fill="auto"/>
            <w:vAlign w:val="center"/>
          </w:tcPr>
          <w:p w14:paraId="41E42CA5"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0.0741</w:t>
            </w:r>
          </w:p>
        </w:tc>
      </w:tr>
      <w:tr w:rsidR="005D1838" w:rsidRPr="004A3C2D" w14:paraId="70B49FED" w14:textId="77777777" w:rsidTr="003B2A78">
        <w:trPr>
          <w:trHeight w:val="346"/>
        </w:trPr>
        <w:tc>
          <w:tcPr>
            <w:tcW w:w="895" w:type="pct"/>
            <w:tcBorders>
              <w:top w:val="single" w:sz="4" w:space="0" w:color="A5A5A5" w:themeColor="accent3"/>
              <w:left w:val="double" w:sz="6" w:space="0" w:color="auto"/>
              <w:bottom w:val="double" w:sz="4" w:space="0" w:color="auto"/>
              <w:right w:val="single" w:sz="4" w:space="0" w:color="auto"/>
            </w:tcBorders>
            <w:shd w:val="clear" w:color="auto" w:fill="auto"/>
            <w:tcMar>
              <w:left w:w="58" w:type="dxa"/>
              <w:right w:w="58" w:type="dxa"/>
            </w:tcMar>
            <w:vAlign w:val="center"/>
          </w:tcPr>
          <w:p w14:paraId="0E65B2EE" w14:textId="77777777" w:rsidR="002410C0" w:rsidRPr="004A3C2D" w:rsidRDefault="002410C0" w:rsidP="0076278B">
            <w:pPr>
              <w:rPr>
                <w:rFonts w:eastAsia="Times New Roman" w:cs="Times New Roman"/>
                <w:color w:val="000000"/>
                <w:sz w:val="20"/>
                <w:szCs w:val="20"/>
              </w:rPr>
            </w:pPr>
            <w:r w:rsidRPr="004A3C2D">
              <w:rPr>
                <w:rFonts w:eastAsia="Times New Roman" w:cs="Times New Roman"/>
                <w:color w:val="000000"/>
                <w:sz w:val="20"/>
                <w:szCs w:val="20"/>
              </w:rPr>
              <w:t>Income</w:t>
            </w:r>
          </w:p>
        </w:tc>
        <w:tc>
          <w:tcPr>
            <w:tcW w:w="662" w:type="pct"/>
            <w:tcBorders>
              <w:top w:val="single" w:sz="4" w:space="0" w:color="A5A5A5" w:themeColor="accent3"/>
              <w:left w:val="single" w:sz="4" w:space="0" w:color="auto"/>
              <w:bottom w:val="double" w:sz="4" w:space="0" w:color="auto"/>
              <w:right w:val="single" w:sz="4" w:space="0" w:color="A5A5A5" w:themeColor="accent3"/>
            </w:tcBorders>
            <w:shd w:val="clear" w:color="auto" w:fill="auto"/>
            <w:tcMar>
              <w:left w:w="58" w:type="dxa"/>
              <w:right w:w="58" w:type="dxa"/>
            </w:tcMar>
            <w:vAlign w:val="center"/>
          </w:tcPr>
          <w:p w14:paraId="6E8E0529" w14:textId="77777777" w:rsidR="002410C0" w:rsidRPr="004A3C2D" w:rsidRDefault="002410C0" w:rsidP="0076278B">
            <w:pPr>
              <w:rPr>
                <w:rFonts w:eastAsia="Times New Roman" w:cs="Times New Roman"/>
                <w:color w:val="000000"/>
                <w:sz w:val="20"/>
                <w:szCs w:val="20"/>
              </w:rPr>
            </w:pPr>
            <w:r w:rsidRPr="00A245F2">
              <w:rPr>
                <w:rFonts w:eastAsia="Times New Roman" w:cs="Times New Roman"/>
                <w:color w:val="000000"/>
                <w:sz w:val="20"/>
                <w:szCs w:val="20"/>
              </w:rPr>
              <w:t>&lt;</w:t>
            </w:r>
            <w:r w:rsidRPr="004A3C2D">
              <w:rPr>
                <w:rFonts w:eastAsia="Times New Roman" w:cs="Times New Roman"/>
                <w:color w:val="000000"/>
                <w:sz w:val="20"/>
                <w:szCs w:val="20"/>
              </w:rPr>
              <w:t>$100,000</w:t>
            </w:r>
          </w:p>
        </w:tc>
        <w:tc>
          <w:tcPr>
            <w:tcW w:w="792" w:type="pct"/>
            <w:tcBorders>
              <w:top w:val="single" w:sz="4" w:space="0" w:color="A5A5A5" w:themeColor="accent3"/>
              <w:left w:val="single" w:sz="4" w:space="0" w:color="A5A5A5" w:themeColor="accent3"/>
              <w:bottom w:val="double" w:sz="4" w:space="0" w:color="auto"/>
              <w:right w:val="single" w:sz="12" w:space="0" w:color="auto"/>
            </w:tcBorders>
            <w:shd w:val="clear" w:color="auto" w:fill="auto"/>
            <w:tcMar>
              <w:left w:w="58" w:type="dxa"/>
              <w:right w:w="58" w:type="dxa"/>
            </w:tcMar>
            <w:vAlign w:val="center"/>
          </w:tcPr>
          <w:p w14:paraId="5968F8A5" w14:textId="77777777" w:rsidR="002410C0" w:rsidRPr="004A3C2D" w:rsidRDefault="002410C0" w:rsidP="0076278B">
            <w:pPr>
              <w:rPr>
                <w:rFonts w:eastAsia="Times New Roman" w:cs="Times New Roman"/>
                <w:color w:val="000000"/>
                <w:sz w:val="20"/>
                <w:szCs w:val="20"/>
              </w:rPr>
            </w:pPr>
            <w:r w:rsidRPr="00A245F2">
              <w:rPr>
                <w:rFonts w:eastAsia="Times New Roman" w:cs="Times New Roman"/>
                <w:color w:val="000000"/>
                <w:sz w:val="20"/>
                <w:szCs w:val="20"/>
                <w:u w:val="single"/>
              </w:rPr>
              <w:t>&gt;</w:t>
            </w:r>
            <w:r w:rsidRPr="004A3C2D">
              <w:rPr>
                <w:rFonts w:eastAsia="Times New Roman" w:cs="Times New Roman"/>
                <w:color w:val="000000"/>
                <w:sz w:val="20"/>
                <w:szCs w:val="20"/>
              </w:rPr>
              <w:t xml:space="preserve">$100,000 </w:t>
            </w:r>
          </w:p>
        </w:tc>
        <w:tc>
          <w:tcPr>
            <w:tcW w:w="456" w:type="pct"/>
            <w:tcBorders>
              <w:top w:val="single" w:sz="4" w:space="0" w:color="A5A5A5" w:themeColor="accent3"/>
              <w:left w:val="single" w:sz="12" w:space="0" w:color="auto"/>
              <w:bottom w:val="double" w:sz="4" w:space="0" w:color="auto"/>
              <w:right w:val="single" w:sz="4" w:space="0" w:color="BFBFBF" w:themeColor="background1" w:themeShade="BF"/>
            </w:tcBorders>
            <w:shd w:val="clear" w:color="auto" w:fill="auto"/>
            <w:vAlign w:val="center"/>
          </w:tcPr>
          <w:p w14:paraId="2B17AA6F" w14:textId="77777777" w:rsidR="002410C0" w:rsidRPr="004A3C2D" w:rsidRDefault="002410C0" w:rsidP="0076278B">
            <w:pPr>
              <w:jc w:val="right"/>
              <w:rPr>
                <w:rFonts w:cs="Times New Roman"/>
                <w:color w:val="000000"/>
                <w:sz w:val="20"/>
                <w:szCs w:val="20"/>
              </w:rPr>
            </w:pPr>
            <w:r>
              <w:rPr>
                <w:color w:val="000000"/>
                <w:sz w:val="20"/>
                <w:szCs w:val="20"/>
              </w:rPr>
              <w:t>0</w:t>
            </w:r>
          </w:p>
        </w:tc>
        <w:tc>
          <w:tcPr>
            <w:tcW w:w="482" w:type="pct"/>
            <w:tcBorders>
              <w:top w:val="single" w:sz="4" w:space="0" w:color="A5A5A5" w:themeColor="accent3"/>
              <w:left w:val="single" w:sz="4" w:space="0" w:color="BFBFBF" w:themeColor="background1" w:themeShade="BF"/>
              <w:bottom w:val="double" w:sz="4" w:space="0" w:color="auto"/>
              <w:right w:val="single" w:sz="4" w:space="0" w:color="BFBFBF" w:themeColor="background1" w:themeShade="BF"/>
            </w:tcBorders>
            <w:shd w:val="clear" w:color="auto" w:fill="auto"/>
            <w:vAlign w:val="center"/>
          </w:tcPr>
          <w:p w14:paraId="45F22BA8" w14:textId="77777777" w:rsidR="002410C0" w:rsidRPr="00B73138" w:rsidRDefault="002410C0" w:rsidP="0076278B">
            <w:pPr>
              <w:jc w:val="right"/>
              <w:rPr>
                <w:rFonts w:cs="Times New Roman"/>
                <w:color w:val="000000"/>
                <w:sz w:val="20"/>
                <w:szCs w:val="20"/>
              </w:rPr>
            </w:pPr>
            <w:r w:rsidRPr="00B73138">
              <w:rPr>
                <w:color w:val="000000"/>
                <w:sz w:val="20"/>
                <w:szCs w:val="20"/>
              </w:rPr>
              <w:t>0</w:t>
            </w:r>
          </w:p>
        </w:tc>
        <w:tc>
          <w:tcPr>
            <w:tcW w:w="456" w:type="pct"/>
            <w:tcBorders>
              <w:top w:val="single" w:sz="4" w:space="0" w:color="A5A5A5" w:themeColor="accent3"/>
              <w:left w:val="single" w:sz="4" w:space="0" w:color="BFBFBF" w:themeColor="background1" w:themeShade="BF"/>
              <w:bottom w:val="double" w:sz="4" w:space="0" w:color="auto"/>
              <w:right w:val="single" w:sz="4" w:space="0" w:color="BFBFBF" w:themeColor="background1" w:themeShade="BF"/>
            </w:tcBorders>
            <w:shd w:val="clear" w:color="auto" w:fill="auto"/>
            <w:vAlign w:val="center"/>
          </w:tcPr>
          <w:p w14:paraId="7681A2DF" w14:textId="77777777" w:rsidR="002410C0" w:rsidRPr="00B73138" w:rsidRDefault="002410C0" w:rsidP="0076278B">
            <w:pPr>
              <w:jc w:val="right"/>
              <w:rPr>
                <w:rFonts w:cs="Times New Roman"/>
                <w:color w:val="000000"/>
                <w:sz w:val="20"/>
                <w:szCs w:val="20"/>
              </w:rPr>
            </w:pPr>
            <w:r w:rsidRPr="00B73138">
              <w:rPr>
                <w:color w:val="000000"/>
                <w:sz w:val="20"/>
                <w:szCs w:val="20"/>
              </w:rPr>
              <w:t>0</w:t>
            </w:r>
          </w:p>
        </w:tc>
        <w:tc>
          <w:tcPr>
            <w:tcW w:w="448" w:type="pct"/>
            <w:tcBorders>
              <w:top w:val="single" w:sz="4" w:space="0" w:color="A5A5A5" w:themeColor="accent3"/>
              <w:left w:val="single" w:sz="4" w:space="0" w:color="BFBFBF" w:themeColor="background1" w:themeShade="BF"/>
              <w:bottom w:val="double" w:sz="4" w:space="0" w:color="auto"/>
              <w:right w:val="single" w:sz="8" w:space="0" w:color="auto"/>
            </w:tcBorders>
            <w:shd w:val="clear" w:color="auto" w:fill="auto"/>
            <w:vAlign w:val="center"/>
          </w:tcPr>
          <w:p w14:paraId="665232DB" w14:textId="77777777" w:rsidR="002410C0" w:rsidRPr="00B73138" w:rsidRDefault="002410C0" w:rsidP="0076278B">
            <w:pPr>
              <w:jc w:val="right"/>
              <w:rPr>
                <w:rFonts w:cs="Times New Roman"/>
                <w:color w:val="000000"/>
                <w:sz w:val="20"/>
                <w:szCs w:val="20"/>
              </w:rPr>
            </w:pPr>
            <w:r w:rsidRPr="00B73138">
              <w:rPr>
                <w:color w:val="000000"/>
                <w:sz w:val="20"/>
                <w:szCs w:val="20"/>
              </w:rPr>
              <w:t>60</w:t>
            </w:r>
          </w:p>
        </w:tc>
        <w:tc>
          <w:tcPr>
            <w:tcW w:w="416" w:type="pct"/>
            <w:tcBorders>
              <w:top w:val="single" w:sz="4" w:space="0" w:color="A5A5A5" w:themeColor="accent3"/>
              <w:left w:val="nil"/>
              <w:bottom w:val="double" w:sz="4" w:space="0" w:color="auto"/>
              <w:right w:val="single" w:sz="12" w:space="0" w:color="auto"/>
            </w:tcBorders>
            <w:shd w:val="clear" w:color="auto" w:fill="auto"/>
            <w:vAlign w:val="center"/>
          </w:tcPr>
          <w:p w14:paraId="7A75E07C" w14:textId="77777777" w:rsidR="002410C0" w:rsidRPr="00B73138" w:rsidRDefault="002410C0" w:rsidP="0076278B">
            <w:pPr>
              <w:jc w:val="right"/>
              <w:rPr>
                <w:rFonts w:cs="Times New Roman"/>
                <w:color w:val="000000"/>
                <w:sz w:val="20"/>
                <w:szCs w:val="20"/>
              </w:rPr>
            </w:pPr>
            <w:r w:rsidRPr="00B73138">
              <w:rPr>
                <w:color w:val="000000"/>
                <w:sz w:val="20"/>
                <w:szCs w:val="20"/>
              </w:rPr>
              <w:t>-40</w:t>
            </w:r>
          </w:p>
        </w:tc>
        <w:tc>
          <w:tcPr>
            <w:tcW w:w="393" w:type="pct"/>
            <w:tcBorders>
              <w:top w:val="single" w:sz="4" w:space="0" w:color="A5A5A5" w:themeColor="accent3"/>
              <w:left w:val="single" w:sz="4" w:space="0" w:color="auto"/>
              <w:bottom w:val="double" w:sz="4" w:space="0" w:color="auto"/>
              <w:right w:val="double" w:sz="6" w:space="0" w:color="auto"/>
            </w:tcBorders>
            <w:shd w:val="clear" w:color="auto" w:fill="auto"/>
            <w:vAlign w:val="center"/>
          </w:tcPr>
          <w:p w14:paraId="1731E897" w14:textId="77777777" w:rsidR="002410C0" w:rsidRPr="004A3C2D" w:rsidRDefault="002410C0" w:rsidP="0076278B">
            <w:pPr>
              <w:jc w:val="right"/>
              <w:rPr>
                <w:rFonts w:eastAsia="Times New Roman" w:cs="Times New Roman"/>
                <w:color w:val="000000"/>
                <w:sz w:val="20"/>
                <w:szCs w:val="20"/>
              </w:rPr>
            </w:pPr>
            <w:r w:rsidRPr="004A3C2D">
              <w:rPr>
                <w:rFonts w:eastAsia="Times New Roman" w:cs="Times New Roman"/>
                <w:color w:val="000000"/>
                <w:sz w:val="20"/>
                <w:szCs w:val="20"/>
              </w:rPr>
              <w:t>0.0042</w:t>
            </w:r>
          </w:p>
        </w:tc>
      </w:tr>
    </w:tbl>
    <w:p w14:paraId="5C683457" w14:textId="77777777" w:rsidR="002410C0" w:rsidRDefault="002410C0" w:rsidP="002410C0"/>
    <w:p w14:paraId="24ACE784" w14:textId="77777777" w:rsidR="002410C0" w:rsidRPr="007A1B66" w:rsidRDefault="002410C0" w:rsidP="002410C0">
      <w:pPr>
        <w:tabs>
          <w:tab w:val="left" w:pos="3720"/>
        </w:tabs>
        <w:jc w:val="both"/>
        <w:rPr>
          <w:rFonts w:cs="Times New Roman"/>
          <w:b/>
          <w:bCs/>
          <w:szCs w:val="24"/>
        </w:rPr>
      </w:pPr>
    </w:p>
    <w:p w14:paraId="1957E6B7" w14:textId="07116015" w:rsidR="00C96874" w:rsidRPr="007A1B66" w:rsidRDefault="00C96874" w:rsidP="00194EF3">
      <w:pPr>
        <w:rPr>
          <w:rFonts w:cs="Times New Roman"/>
          <w:b/>
          <w:bCs/>
          <w:szCs w:val="24"/>
        </w:rPr>
      </w:pPr>
    </w:p>
    <w:sectPr w:rsidR="00C96874" w:rsidRPr="007A1B66" w:rsidSect="0087285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43356" w14:textId="77777777" w:rsidR="006F13E3" w:rsidRDefault="006F13E3" w:rsidP="00042F23">
      <w:r>
        <w:separator/>
      </w:r>
    </w:p>
  </w:endnote>
  <w:endnote w:type="continuationSeparator" w:id="0">
    <w:p w14:paraId="335CB1B3" w14:textId="77777777" w:rsidR="006F13E3" w:rsidRDefault="006F13E3" w:rsidP="0004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318034"/>
      <w:docPartObj>
        <w:docPartGallery w:val="Page Numbers (Bottom of Page)"/>
        <w:docPartUnique/>
      </w:docPartObj>
    </w:sdtPr>
    <w:sdtEndPr>
      <w:rPr>
        <w:noProof/>
      </w:rPr>
    </w:sdtEndPr>
    <w:sdtContent>
      <w:p w14:paraId="481AA329" w14:textId="5BFF13FA" w:rsidR="00FA69D9" w:rsidRDefault="003519DF" w:rsidP="0091464C">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184592"/>
      <w:docPartObj>
        <w:docPartGallery w:val="Page Numbers (Bottom of Page)"/>
        <w:docPartUnique/>
      </w:docPartObj>
    </w:sdtPr>
    <w:sdtEndPr>
      <w:rPr>
        <w:noProof/>
      </w:rPr>
    </w:sdtEndPr>
    <w:sdtContent>
      <w:p w14:paraId="57365F9E" w14:textId="77777777" w:rsidR="00FA69D9" w:rsidRDefault="00FA69D9" w:rsidP="009146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AECC4" w14:textId="77777777" w:rsidR="006F13E3" w:rsidRDefault="006F13E3" w:rsidP="00042F23">
      <w:r>
        <w:separator/>
      </w:r>
    </w:p>
  </w:footnote>
  <w:footnote w:type="continuationSeparator" w:id="0">
    <w:p w14:paraId="3D9D905A" w14:textId="77777777" w:rsidR="006F13E3" w:rsidRDefault="006F13E3" w:rsidP="00042F23">
      <w:r>
        <w:continuationSeparator/>
      </w:r>
    </w:p>
  </w:footnote>
  <w:footnote w:id="1">
    <w:p w14:paraId="560BD172" w14:textId="18771BF4" w:rsidR="00FA69D9" w:rsidRPr="0004354B" w:rsidRDefault="00FA69D9" w:rsidP="00FA69D9">
      <w:pPr>
        <w:pStyle w:val="Response"/>
        <w:spacing w:after="0"/>
        <w:ind w:left="0"/>
        <w:rPr>
          <w:bCs/>
          <w:sz w:val="20"/>
          <w:szCs w:val="20"/>
        </w:rPr>
      </w:pPr>
      <w:r>
        <w:rPr>
          <w:rStyle w:val="FootnoteReference"/>
        </w:rPr>
        <w:footnoteRef/>
      </w:r>
      <w:bookmarkStart w:id="1" w:name="_Hlk52782008"/>
      <w:bookmarkStart w:id="2" w:name="_Hlk52781810"/>
      <w:r w:rsidRPr="0004354B">
        <w:rPr>
          <w:sz w:val="20"/>
          <w:szCs w:val="20"/>
        </w:rPr>
        <w:t xml:space="preserve">There has been substantial discussion </w:t>
      </w:r>
      <w:r>
        <w:rPr>
          <w:sz w:val="20"/>
          <w:szCs w:val="20"/>
        </w:rPr>
        <w:t xml:space="preserve">in the literature </w:t>
      </w:r>
      <w:r w:rsidRPr="0004354B">
        <w:rPr>
          <w:sz w:val="20"/>
          <w:szCs w:val="20"/>
        </w:rPr>
        <w:t xml:space="preserve">about the terminology of autonomous versus automated vehicles. </w:t>
      </w:r>
      <w:r>
        <w:rPr>
          <w:sz w:val="20"/>
          <w:szCs w:val="20"/>
        </w:rPr>
        <w:t>The label “</w:t>
      </w:r>
      <w:r w:rsidRPr="0004354B">
        <w:rPr>
          <w:sz w:val="20"/>
          <w:szCs w:val="20"/>
        </w:rPr>
        <w:t>Automated vehicle</w:t>
      </w:r>
      <w:r>
        <w:rPr>
          <w:sz w:val="20"/>
          <w:szCs w:val="20"/>
        </w:rPr>
        <w:t>s”</w:t>
      </w:r>
      <w:r w:rsidRPr="0004354B">
        <w:rPr>
          <w:sz w:val="20"/>
          <w:szCs w:val="20"/>
        </w:rPr>
        <w:t xml:space="preserve"> is a general term that includes autonomous vehicles as a special case. Thus, for example, many vehicles even today may be labeled as “automated”, in the sense that at least for specific parts of a journey and specific </w:t>
      </w:r>
      <w:r>
        <w:rPr>
          <w:sz w:val="20"/>
          <w:szCs w:val="20"/>
        </w:rPr>
        <w:t xml:space="preserve">driving </w:t>
      </w:r>
      <w:r w:rsidRPr="0004354B">
        <w:rPr>
          <w:sz w:val="20"/>
          <w:szCs w:val="20"/>
        </w:rPr>
        <w:t xml:space="preserve">tasks, the human may be </w:t>
      </w:r>
      <w:r>
        <w:rPr>
          <w:sz w:val="20"/>
          <w:szCs w:val="20"/>
        </w:rPr>
        <w:t xml:space="preserve">dispensed with </w:t>
      </w:r>
      <w:r w:rsidRPr="0004354B">
        <w:rPr>
          <w:sz w:val="20"/>
          <w:szCs w:val="20"/>
        </w:rPr>
        <w:t xml:space="preserve">transiently. For example, a human driver on a highway may set the vehicle to cruise control mode, which essentially maintains the vehicle at a desired speed without the need for the driver to be having a foot on the gas pedal. </w:t>
      </w:r>
      <w:r>
        <w:rPr>
          <w:sz w:val="20"/>
          <w:szCs w:val="20"/>
        </w:rPr>
        <w:t>The label “</w:t>
      </w:r>
      <w:r w:rsidRPr="0004354B">
        <w:rPr>
          <w:sz w:val="20"/>
          <w:szCs w:val="20"/>
        </w:rPr>
        <w:t>Autonomous vehicle</w:t>
      </w:r>
      <w:r>
        <w:rPr>
          <w:sz w:val="20"/>
          <w:szCs w:val="20"/>
        </w:rPr>
        <w:t xml:space="preserve">”, on the other hand, </w:t>
      </w:r>
      <w:r w:rsidRPr="0004354B">
        <w:rPr>
          <w:sz w:val="20"/>
          <w:szCs w:val="20"/>
        </w:rPr>
        <w:t>refers to a vehicle that pretty much takes over the entire driving task</w:t>
      </w:r>
      <w:r>
        <w:rPr>
          <w:sz w:val="20"/>
          <w:szCs w:val="20"/>
        </w:rPr>
        <w:t xml:space="preserve"> for the entire journey</w:t>
      </w:r>
      <w:r w:rsidRPr="0004354B">
        <w:rPr>
          <w:sz w:val="20"/>
          <w:szCs w:val="20"/>
        </w:rPr>
        <w:t xml:space="preserve">, with the human driver simply providing guidance instructions (such as origin/destination points) or routing desires (no tolls or taking a scenic route or instructing the computer to take a specific desired route). </w:t>
      </w:r>
      <w:r>
        <w:rPr>
          <w:sz w:val="20"/>
          <w:szCs w:val="20"/>
        </w:rPr>
        <w:t xml:space="preserve">Autonomous vehicles correspond to a high level of artificial intelligence involvement and literally zero human involvement in the driving task. </w:t>
      </w:r>
      <w:r w:rsidRPr="0004354B">
        <w:rPr>
          <w:sz w:val="20"/>
          <w:szCs w:val="20"/>
        </w:rPr>
        <w:t xml:space="preserve">In the survey used in the analysis of the current study, autonomous vehicles are defined </w:t>
      </w:r>
      <w:r>
        <w:rPr>
          <w:sz w:val="20"/>
          <w:szCs w:val="20"/>
        </w:rPr>
        <w:t xml:space="preserve">in a general and non-technical fashion </w:t>
      </w:r>
      <w:r w:rsidRPr="0004354B">
        <w:rPr>
          <w:sz w:val="20"/>
          <w:szCs w:val="20"/>
        </w:rPr>
        <w:t>as “cars and trucks that can operate on their own without a human driver.” Formally, such a description would correspond to an automation level of 4 or above according to the SAE description of levels of automation (</w:t>
      </w:r>
      <w:r w:rsidRPr="0004354B">
        <w:rPr>
          <w:noProof/>
          <w:sz w:val="20"/>
          <w:szCs w:val="20"/>
        </w:rPr>
        <w:t>SAE International, 201</w:t>
      </w:r>
      <w:r>
        <w:rPr>
          <w:noProof/>
          <w:sz w:val="20"/>
          <w:szCs w:val="20"/>
        </w:rPr>
        <w:t>8</w:t>
      </w:r>
      <w:r w:rsidRPr="0004354B">
        <w:rPr>
          <w:noProof/>
          <w:sz w:val="20"/>
          <w:szCs w:val="20"/>
        </w:rPr>
        <w:t>)</w:t>
      </w:r>
      <w:r w:rsidRPr="0004354B">
        <w:rPr>
          <w:sz w:val="20"/>
          <w:szCs w:val="20"/>
        </w:rPr>
        <w:t>.</w:t>
      </w:r>
      <w:r>
        <w:rPr>
          <w:sz w:val="20"/>
          <w:szCs w:val="20"/>
        </w:rPr>
        <w:t xml:space="preserve"> In the rest of the paper, we will consistently use the term AVs to refer to autonomous vehicles. </w:t>
      </w:r>
      <w:bookmarkEnd w:id="1"/>
    </w:p>
    <w:bookmarkEnd w:id="2"/>
    <w:p w14:paraId="1E6ED6DC" w14:textId="77777777" w:rsidR="00FA69D9" w:rsidRDefault="00FA69D9" w:rsidP="002C4BC5">
      <w:pPr>
        <w:pStyle w:val="FootnoteText"/>
      </w:pPr>
    </w:p>
  </w:footnote>
  <w:footnote w:id="2">
    <w:p w14:paraId="60BE422C" w14:textId="36236119" w:rsidR="00FA69D9" w:rsidRDefault="00FA69D9" w:rsidP="0091464C">
      <w:pPr>
        <w:pStyle w:val="FootnoteText"/>
      </w:pPr>
      <w:r>
        <w:rPr>
          <w:rStyle w:val="FootnoteReference"/>
        </w:rPr>
        <w:footnoteRef/>
      </w:r>
      <w:r>
        <w:t xml:space="preserve">The cost structures for regular vehicles were based off estimates from the U.S. Bureau of Labor Statistics (2018), that estimated fixed costs at about $330 per month and variable costs at about 35 cents per mile. Similar cost structures were assumed for an AV. For SAV, the variable cost structure was based off current ride-hailing estimates plus a premium cost; see </w:t>
      </w:r>
      <w:r>
        <w:t>B</w:t>
      </w:r>
      <w:r w:rsidR="00482543" w:rsidRPr="002617E3">
        <w:rPr>
          <w:rFonts w:cs="Times New Roman"/>
          <w:color w:val="222222"/>
          <w:szCs w:val="24"/>
          <w:shd w:val="clear" w:color="auto" w:fill="FFFFFF"/>
        </w:rPr>
        <w:t>ö</w:t>
      </w:r>
      <w:r>
        <w:t xml:space="preserve">sch </w:t>
      </w:r>
      <w:r w:rsidRPr="00194EF3">
        <w:rPr>
          <w:i/>
          <w:iCs/>
        </w:rPr>
        <w:t>et al</w:t>
      </w:r>
      <w:r w:rsidRPr="00264E6C">
        <w:rPr>
          <w:iCs/>
        </w:rPr>
        <w:t>.</w:t>
      </w:r>
      <w:r w:rsidRPr="003A48DA">
        <w:rPr>
          <w:iCs/>
        </w:rPr>
        <w:t>,</w:t>
      </w:r>
      <w:r>
        <w:t xml:space="preserve"> 2018 </w:t>
      </w:r>
      <w:r w:rsidRPr="0076278B">
        <w:t xml:space="preserve">and Narayanan </w:t>
      </w:r>
      <w:r w:rsidRPr="0076278B">
        <w:rPr>
          <w:i/>
          <w:iCs/>
        </w:rPr>
        <w:t>et al</w:t>
      </w:r>
      <w:r w:rsidRPr="00264E6C">
        <w:rPr>
          <w:iCs/>
        </w:rPr>
        <w:t>.,</w:t>
      </w:r>
      <w:r w:rsidRPr="0076278B">
        <w:t xml:space="preserve"> 2020).</w:t>
      </w:r>
    </w:p>
  </w:footnote>
  <w:footnote w:id="3">
    <w:p w14:paraId="250CA8CE" w14:textId="4F78F179" w:rsidR="00FA69D9" w:rsidRPr="00874B05" w:rsidRDefault="00FA69D9" w:rsidP="00FA69D9">
      <w:pPr>
        <w:pStyle w:val="FootnoteText"/>
        <w:rPr>
          <w:rFonts w:cs="Times New Roman"/>
          <w:color w:val="000000"/>
          <w:szCs w:val="24"/>
        </w:rPr>
      </w:pPr>
      <w:r>
        <w:rPr>
          <w:rStyle w:val="FootnoteReference"/>
        </w:rPr>
        <w:footnoteRef/>
      </w:r>
      <w:r>
        <w:t xml:space="preserve"> Of course, we readily admit that this correlation is also a simple reflection of our wording in the survey instrument. For example, the indicator just discussed about safety concerns was worded as “</w:t>
      </w:r>
      <w:r w:rsidRPr="00A266EC">
        <w:rPr>
          <w:rFonts w:cs="Times New Roman"/>
          <w:color w:val="000000"/>
          <w:szCs w:val="24"/>
        </w:rPr>
        <w:t>I am concerned about the potential failure of AV sensors, equipment, technology, or programs</w:t>
      </w:r>
      <w:r>
        <w:rPr>
          <w:rFonts w:cs="Times New Roman"/>
          <w:color w:val="000000"/>
          <w:szCs w:val="24"/>
        </w:rPr>
        <w:t xml:space="preserve">”. There is some ambiguity in this wording, because it does not differentiate between technology failures that may lead to a traffic safety problem and failures that may lead to security breaches. More generally, it would be helpful for the transportation community to develop a standard battery of indicator questions related to each possible psycho-social construct, as a way to avoid ambiguity. </w:t>
      </w:r>
    </w:p>
  </w:footnote>
  <w:footnote w:id="4">
    <w:p w14:paraId="24DBF5DF" w14:textId="02E3BCDC" w:rsidR="00FA69D9" w:rsidRPr="005E01F9" w:rsidRDefault="00FA69D9" w:rsidP="002F034A">
      <w:pPr>
        <w:pStyle w:val="FootnoteText"/>
      </w:pPr>
      <w:r>
        <w:rPr>
          <w:rStyle w:val="FootnoteReference"/>
        </w:rPr>
        <w:footnoteRef/>
      </w:r>
      <w:r>
        <w:t xml:space="preserve"> </w:t>
      </w:r>
      <w:r w:rsidRPr="005E01F9">
        <w:t>Interestingly, emotive factors (such as need for control or anxiety) have not been adequately considered in traditional psychosocial models, such as the Theory of Planned Behavior (TP</w:t>
      </w:r>
      <w:r w:rsidR="005D76A9">
        <w:t>B</w:t>
      </w:r>
      <w:r w:rsidRPr="005E01F9">
        <w:t xml:space="preserve">; </w:t>
      </w:r>
      <w:r w:rsidRPr="005E01F9">
        <w:t>Ajzen, 1991), which focuse</w:t>
      </w:r>
      <w:r>
        <w:t>s</w:t>
      </w:r>
      <w:r w:rsidRPr="005E01F9">
        <w:t xml:space="preserve"> </w:t>
      </w:r>
      <w:r>
        <w:t xml:space="preserve">more </w:t>
      </w:r>
      <w:r w:rsidRPr="005E01F9">
        <w:t>on attitudes toward a behavior (</w:t>
      </w:r>
      <w:r>
        <w:t xml:space="preserve">such as </w:t>
      </w:r>
      <w:r w:rsidRPr="005E01F9">
        <w:t>safety benefits</w:t>
      </w:r>
      <w:r>
        <w:t xml:space="preserve"> and</w:t>
      </w:r>
      <w:r w:rsidRPr="005E01F9">
        <w:t xml:space="preserve"> privacy/security concerns), subjective norms (what people around think of a specific viewpoint), and perceived behavior control (but more whether a new product/technology is within the skill set for use by an individual, rather than an intrinsic </w:t>
      </w:r>
      <w:r>
        <w:t xml:space="preserve">control-oriented </w:t>
      </w:r>
      <w:r w:rsidRPr="005E01F9">
        <w:t>personality trait). Similarly, the traditional Technology Acceptance Model (TAM) (Davis, 1989</w:t>
      </w:r>
      <w:r>
        <w:t xml:space="preserve">; </w:t>
      </w:r>
      <w:r w:rsidRPr="005E01F9">
        <w:t>Venkatesh and Davis, 200</w:t>
      </w:r>
      <w:r>
        <w:t>0</w:t>
      </w:r>
      <w:r w:rsidRPr="005E01F9">
        <w:t xml:space="preserve">) </w:t>
      </w:r>
      <w:r w:rsidRPr="005E01F9">
        <w:rPr>
          <w:rFonts w:cs="Times New Roman"/>
        </w:rPr>
        <w:t>focuses on perceived usefulness and perceived ease of use but not antecedent awareness or emotive consideratio</w:t>
      </w:r>
      <w:r>
        <w:rPr>
          <w:rFonts w:cs="Times New Roman"/>
        </w:rPr>
        <w:t>ns</w:t>
      </w:r>
      <w:r w:rsidRPr="005E01F9">
        <w:rPr>
          <w:rFonts w:cs="Times New Roman"/>
        </w:rPr>
        <w:t xml:space="preserve">, as indicated by </w:t>
      </w:r>
      <w:r w:rsidRPr="005E01F9">
        <w:rPr>
          <w:rFonts w:cs="Times New Roman"/>
          <w:noProof/>
        </w:rPr>
        <w:t xml:space="preserve">Piao </w:t>
      </w:r>
      <w:r w:rsidRPr="004D7EA3">
        <w:rPr>
          <w:rFonts w:cs="Times New Roman"/>
          <w:i/>
          <w:iCs/>
          <w:noProof/>
        </w:rPr>
        <w:t>et al</w:t>
      </w:r>
      <w:r w:rsidRPr="00264E6C">
        <w:rPr>
          <w:rFonts w:cs="Times New Roman"/>
          <w:noProof/>
        </w:rPr>
        <w:t>.</w:t>
      </w:r>
      <w:r w:rsidRPr="00264E6C">
        <w:rPr>
          <w:rFonts w:cs="Times New Roman"/>
          <w:i/>
          <w:noProof/>
        </w:rPr>
        <w:t xml:space="preserve"> </w:t>
      </w:r>
      <w:r w:rsidRPr="005E01F9">
        <w:rPr>
          <w:rFonts w:cs="Times New Roman"/>
          <w:noProof/>
        </w:rPr>
        <w:t>(2016)</w:t>
      </w:r>
      <w:r w:rsidRPr="005E01F9">
        <w:rPr>
          <w:rFonts w:cs="Times New Roman"/>
        </w:rPr>
        <w:t xml:space="preserve">, </w:t>
      </w:r>
      <w:r w:rsidRPr="0063569C">
        <w:rPr>
          <w:rFonts w:cs="Times New Roman"/>
          <w:noProof/>
        </w:rPr>
        <w:t xml:space="preserve">Ward </w:t>
      </w:r>
      <w:r w:rsidRPr="0063569C">
        <w:rPr>
          <w:rFonts w:cs="Times New Roman"/>
          <w:i/>
          <w:iCs/>
          <w:noProof/>
        </w:rPr>
        <w:t>et al</w:t>
      </w:r>
      <w:r w:rsidRPr="00264E6C">
        <w:rPr>
          <w:rFonts w:cs="Times New Roman"/>
          <w:iCs/>
          <w:noProof/>
        </w:rPr>
        <w:t>.</w:t>
      </w:r>
      <w:r w:rsidRPr="0063569C">
        <w:rPr>
          <w:rFonts w:cs="Times New Roman"/>
          <w:i/>
          <w:iCs/>
          <w:noProof/>
        </w:rPr>
        <w:t xml:space="preserve"> </w:t>
      </w:r>
      <w:r w:rsidRPr="0063569C">
        <w:rPr>
          <w:rFonts w:cs="Times New Roman"/>
          <w:noProof/>
        </w:rPr>
        <w:t>(2017)</w:t>
      </w:r>
      <w:r w:rsidRPr="0063569C">
        <w:rPr>
          <w:rFonts w:cs="Times New Roman"/>
        </w:rPr>
        <w:t xml:space="preserve"> and</w:t>
      </w:r>
      <w:r w:rsidRPr="005E01F9">
        <w:rPr>
          <w:rFonts w:cs="Times New Roman"/>
        </w:rPr>
        <w:t xml:space="preserve"> </w:t>
      </w:r>
      <w:r w:rsidRPr="005E01F9">
        <w:rPr>
          <w:rFonts w:cs="Times New Roman"/>
          <w:noProof/>
        </w:rPr>
        <w:t xml:space="preserve">Marikyan </w:t>
      </w:r>
      <w:r w:rsidRPr="004D7EA3">
        <w:rPr>
          <w:rFonts w:cs="Times New Roman"/>
          <w:i/>
          <w:iCs/>
          <w:noProof/>
        </w:rPr>
        <w:t>et al</w:t>
      </w:r>
      <w:r w:rsidRPr="00264E6C">
        <w:rPr>
          <w:rFonts w:cs="Times New Roman"/>
          <w:iCs/>
          <w:noProof/>
        </w:rPr>
        <w:t>.</w:t>
      </w:r>
      <w:r w:rsidRPr="005E01F9">
        <w:rPr>
          <w:rFonts w:cs="Times New Roman"/>
          <w:noProof/>
        </w:rPr>
        <w:t xml:space="preserve"> (2019)</w:t>
      </w:r>
      <w:r w:rsidRPr="005E01F9">
        <w:rPr>
          <w:rFonts w:cs="Times New Roman"/>
        </w:rPr>
        <w:t xml:space="preserve"> in the socio-technical literature. Here, we attempt to strengthen the TPB and TAM frameworks by adding control as another construct, while retaining some of the other constructs (including safety concerns and tech-sav</w:t>
      </w:r>
      <w:r>
        <w:rPr>
          <w:rFonts w:cs="Times New Roman"/>
        </w:rPr>
        <w:t>v</w:t>
      </w:r>
      <w:r w:rsidRPr="005E01F9">
        <w:rPr>
          <w:rFonts w:cs="Times New Roman"/>
        </w:rPr>
        <w:t>iness levels) that fall within the purview of one or both of the TP</w:t>
      </w:r>
      <w:r w:rsidR="005D76A9">
        <w:rPr>
          <w:rFonts w:cs="Times New Roman"/>
        </w:rPr>
        <w:t>B</w:t>
      </w:r>
      <w:r w:rsidRPr="005E01F9">
        <w:rPr>
          <w:rFonts w:cs="Times New Roman"/>
        </w:rPr>
        <w:t xml:space="preserve"> and TAM frameworks</w:t>
      </w:r>
      <w:r>
        <w:rPr>
          <w:rFonts w:cs="Times New Roman"/>
        </w:rPr>
        <w:t xml:space="preserve"> (see also Rahman </w:t>
      </w:r>
      <w:r w:rsidRPr="00194EF3">
        <w:rPr>
          <w:rFonts w:cs="Times New Roman"/>
          <w:i/>
          <w:iCs/>
        </w:rPr>
        <w:t>et al</w:t>
      </w:r>
      <w:r w:rsidRPr="00264E6C">
        <w:rPr>
          <w:rFonts w:cs="Times New Roman"/>
          <w:iCs/>
        </w:rPr>
        <w:t>.,</w:t>
      </w:r>
      <w:r>
        <w:rPr>
          <w:rFonts w:cs="Times New Roman"/>
        </w:rPr>
        <w:t xml:space="preserve"> 2017).</w:t>
      </w:r>
    </w:p>
  </w:footnote>
  <w:footnote w:id="5">
    <w:p w14:paraId="6293DA14" w14:textId="77B57086" w:rsidR="00FA69D9" w:rsidRDefault="00FA69D9" w:rsidP="006B657E">
      <w:pPr>
        <w:pStyle w:val="FootnoteText"/>
        <w:spacing w:after="120"/>
      </w:pPr>
      <w:r>
        <w:rPr>
          <w:rStyle w:val="FootnoteReference"/>
        </w:rPr>
        <w:footnoteRef/>
      </w:r>
      <w:r>
        <w:t xml:space="preserve"> The term “leapfrogging” is generally used to refer to a less industrialized nation “catching up” with more developed countries on a new technology, completely bypassing an intermediate development point (as happened with mobile phones where less developed countries skipped investing much in land-line communications infrastructure). Our use of the term here is more at an individual-level choice mindset, based on foregoing the purchase of a current technology product (regular vehicles) in anticipation of a new, better product in the near future (an AV).</w:t>
      </w:r>
    </w:p>
  </w:footnote>
  <w:footnote w:id="6">
    <w:p w14:paraId="1373848F" w14:textId="156CA460" w:rsidR="00FA69D9" w:rsidRDefault="00FA69D9">
      <w:pPr>
        <w:pStyle w:val="FootnoteText"/>
      </w:pPr>
      <w:r>
        <w:rPr>
          <w:rStyle w:val="FootnoteReference"/>
        </w:rPr>
        <w:footnoteRef/>
      </w:r>
      <w:r>
        <w:t xml:space="preserve"> To be precise, we can only estimate the correlation of the latent constructs with the differenced error terms in the AVD and DAD dimensions. But, for ease in interpretation, we assume that there is no correlation among (a) the latent constructs and the RV alternative in the AVD dimension, and (b) the latent constructs and the NB alternative in the DAD dimension. Again, this is innocuous, and is only done for ease in interpretation.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4C72"/>
    <w:multiLevelType w:val="hybridMultilevel"/>
    <w:tmpl w:val="1102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F2819"/>
    <w:multiLevelType w:val="multilevel"/>
    <w:tmpl w:val="BB86BB18"/>
    <w:lvl w:ilvl="0">
      <w:start w:val="1"/>
      <w:numFmt w:val="decimal"/>
      <w:lvlText w:val="%1."/>
      <w:lvlJc w:val="left"/>
      <w:pPr>
        <w:ind w:left="425" w:hanging="425"/>
      </w:pPr>
    </w:lvl>
    <w:lvl w:ilvl="1">
      <w:start w:val="1"/>
      <w:numFmt w:val="decimal"/>
      <w:lvlText w:val="%1.%2."/>
      <w:lvlJc w:val="left"/>
      <w:pPr>
        <w:ind w:left="567" w:hanging="567"/>
      </w:pPr>
      <w:rPr>
        <w:i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75F6649"/>
    <w:multiLevelType w:val="multilevel"/>
    <w:tmpl w:val="BB98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34802"/>
    <w:multiLevelType w:val="hybridMultilevel"/>
    <w:tmpl w:val="5384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90B64"/>
    <w:multiLevelType w:val="multilevel"/>
    <w:tmpl w:val="68C600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EA726A"/>
    <w:multiLevelType w:val="multilevel"/>
    <w:tmpl w:val="7B8ABD3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25301BC"/>
    <w:multiLevelType w:val="hybridMultilevel"/>
    <w:tmpl w:val="5D121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B6ECA"/>
    <w:multiLevelType w:val="hybridMultilevel"/>
    <w:tmpl w:val="1A487F7E"/>
    <w:lvl w:ilvl="0" w:tplc="0650959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B0BA8"/>
    <w:multiLevelType w:val="hybridMultilevel"/>
    <w:tmpl w:val="E6ACE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2284D"/>
    <w:multiLevelType w:val="hybridMultilevel"/>
    <w:tmpl w:val="AE581A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0151E"/>
    <w:multiLevelType w:val="hybridMultilevel"/>
    <w:tmpl w:val="CED691A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43C93"/>
    <w:multiLevelType w:val="hybridMultilevel"/>
    <w:tmpl w:val="38E4F2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9C090A"/>
    <w:multiLevelType w:val="hybridMultilevel"/>
    <w:tmpl w:val="ECBA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1271A"/>
    <w:multiLevelType w:val="multilevel"/>
    <w:tmpl w:val="9716C082"/>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707F83"/>
    <w:multiLevelType w:val="hybridMultilevel"/>
    <w:tmpl w:val="5854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BB2DD6"/>
    <w:multiLevelType w:val="hybridMultilevel"/>
    <w:tmpl w:val="615A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005CF"/>
    <w:multiLevelType w:val="hybridMultilevel"/>
    <w:tmpl w:val="47FAB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B4695"/>
    <w:multiLevelType w:val="multilevel"/>
    <w:tmpl w:val="E8F207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6E656AA"/>
    <w:multiLevelType w:val="hybridMultilevel"/>
    <w:tmpl w:val="AE581A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7312E4"/>
    <w:multiLevelType w:val="hybridMultilevel"/>
    <w:tmpl w:val="5F9A0CD2"/>
    <w:lvl w:ilvl="0" w:tplc="836C605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611555"/>
    <w:multiLevelType w:val="hybridMultilevel"/>
    <w:tmpl w:val="FF1A461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E33473"/>
    <w:multiLevelType w:val="multilevel"/>
    <w:tmpl w:val="AB50B03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F00005"/>
    <w:multiLevelType w:val="hybridMultilevel"/>
    <w:tmpl w:val="DC24F7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9"/>
  </w:num>
  <w:num w:numId="3">
    <w:abstractNumId w:val="18"/>
  </w:num>
  <w:num w:numId="4">
    <w:abstractNumId w:val="7"/>
  </w:num>
  <w:num w:numId="5">
    <w:abstractNumId w:val="10"/>
  </w:num>
  <w:num w:numId="6">
    <w:abstractNumId w:val="20"/>
  </w:num>
  <w:num w:numId="7">
    <w:abstractNumId w:val="11"/>
  </w:num>
  <w:num w:numId="8">
    <w:abstractNumId w:val="12"/>
  </w:num>
  <w:num w:numId="9">
    <w:abstractNumId w:val="15"/>
  </w:num>
  <w:num w:numId="10">
    <w:abstractNumId w:val="14"/>
  </w:num>
  <w:num w:numId="11">
    <w:abstractNumId w:val="3"/>
  </w:num>
  <w:num w:numId="12">
    <w:abstractNumId w:val="6"/>
  </w:num>
  <w:num w:numId="13">
    <w:abstractNumId w:val="19"/>
  </w:num>
  <w:num w:numId="14">
    <w:abstractNumId w:val="8"/>
  </w:num>
  <w:num w:numId="15">
    <w:abstractNumId w:val="5"/>
  </w:num>
  <w:num w:numId="16">
    <w:abstractNumId w:val="0"/>
  </w:num>
  <w:num w:numId="17">
    <w:abstractNumId w:val="1"/>
  </w:num>
  <w:num w:numId="18">
    <w:abstractNumId w:val="21"/>
  </w:num>
  <w:num w:numId="19">
    <w:abstractNumId w:val="13"/>
  </w:num>
  <w:num w:numId="20">
    <w:abstractNumId w:val="4"/>
  </w:num>
  <w:num w:numId="21">
    <w:abstractNumId w:val="17"/>
  </w:num>
  <w:num w:numId="22">
    <w:abstractNumId w:val="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D2"/>
    <w:rsid w:val="000066AD"/>
    <w:rsid w:val="0000691D"/>
    <w:rsid w:val="00007CBA"/>
    <w:rsid w:val="000112F9"/>
    <w:rsid w:val="00014A77"/>
    <w:rsid w:val="00016C1F"/>
    <w:rsid w:val="00017667"/>
    <w:rsid w:val="0002035B"/>
    <w:rsid w:val="000254FC"/>
    <w:rsid w:val="0003182B"/>
    <w:rsid w:val="00034BD6"/>
    <w:rsid w:val="0004204C"/>
    <w:rsid w:val="00042F23"/>
    <w:rsid w:val="0004354B"/>
    <w:rsid w:val="0004530C"/>
    <w:rsid w:val="0004580E"/>
    <w:rsid w:val="000503E4"/>
    <w:rsid w:val="00052432"/>
    <w:rsid w:val="00052815"/>
    <w:rsid w:val="00054862"/>
    <w:rsid w:val="00055095"/>
    <w:rsid w:val="00061E48"/>
    <w:rsid w:val="0006250B"/>
    <w:rsid w:val="00065125"/>
    <w:rsid w:val="000659C0"/>
    <w:rsid w:val="000660C4"/>
    <w:rsid w:val="00074CD6"/>
    <w:rsid w:val="000763A7"/>
    <w:rsid w:val="00076B97"/>
    <w:rsid w:val="00077DDD"/>
    <w:rsid w:val="00077EFC"/>
    <w:rsid w:val="00080AEC"/>
    <w:rsid w:val="00081347"/>
    <w:rsid w:val="00085AD7"/>
    <w:rsid w:val="00090760"/>
    <w:rsid w:val="00090CC7"/>
    <w:rsid w:val="00090FAE"/>
    <w:rsid w:val="000931C2"/>
    <w:rsid w:val="00096AE3"/>
    <w:rsid w:val="00096F16"/>
    <w:rsid w:val="00096FCA"/>
    <w:rsid w:val="0009790B"/>
    <w:rsid w:val="000A0D68"/>
    <w:rsid w:val="000A2999"/>
    <w:rsid w:val="000A5F23"/>
    <w:rsid w:val="000B0B28"/>
    <w:rsid w:val="000B2AC6"/>
    <w:rsid w:val="000B4881"/>
    <w:rsid w:val="000B6D8E"/>
    <w:rsid w:val="000D0460"/>
    <w:rsid w:val="000D47D2"/>
    <w:rsid w:val="000D480C"/>
    <w:rsid w:val="000D6C9D"/>
    <w:rsid w:val="000E0815"/>
    <w:rsid w:val="000E148E"/>
    <w:rsid w:val="000F13B8"/>
    <w:rsid w:val="00100DEB"/>
    <w:rsid w:val="00102B36"/>
    <w:rsid w:val="00103842"/>
    <w:rsid w:val="00107A16"/>
    <w:rsid w:val="001100B4"/>
    <w:rsid w:val="00112C62"/>
    <w:rsid w:val="00112CDB"/>
    <w:rsid w:val="00114DA6"/>
    <w:rsid w:val="00116FED"/>
    <w:rsid w:val="001267B5"/>
    <w:rsid w:val="00131995"/>
    <w:rsid w:val="00131D69"/>
    <w:rsid w:val="001322F3"/>
    <w:rsid w:val="00133DE0"/>
    <w:rsid w:val="00134DB0"/>
    <w:rsid w:val="00142C51"/>
    <w:rsid w:val="001523DB"/>
    <w:rsid w:val="00152A49"/>
    <w:rsid w:val="00154CE5"/>
    <w:rsid w:val="00161083"/>
    <w:rsid w:val="0016254A"/>
    <w:rsid w:val="001753ED"/>
    <w:rsid w:val="00176F5A"/>
    <w:rsid w:val="001770A9"/>
    <w:rsid w:val="0018126F"/>
    <w:rsid w:val="001815B4"/>
    <w:rsid w:val="00182463"/>
    <w:rsid w:val="00183583"/>
    <w:rsid w:val="00184CFF"/>
    <w:rsid w:val="00184E9E"/>
    <w:rsid w:val="00185D83"/>
    <w:rsid w:val="001860AA"/>
    <w:rsid w:val="0019203E"/>
    <w:rsid w:val="00192C0D"/>
    <w:rsid w:val="001937D1"/>
    <w:rsid w:val="00194E1C"/>
    <w:rsid w:val="00194EF3"/>
    <w:rsid w:val="001A2C57"/>
    <w:rsid w:val="001A2C83"/>
    <w:rsid w:val="001A3442"/>
    <w:rsid w:val="001A3F28"/>
    <w:rsid w:val="001A457A"/>
    <w:rsid w:val="001A496D"/>
    <w:rsid w:val="001A5558"/>
    <w:rsid w:val="001A6D08"/>
    <w:rsid w:val="001A7EEE"/>
    <w:rsid w:val="001B1657"/>
    <w:rsid w:val="001B290F"/>
    <w:rsid w:val="001B4B99"/>
    <w:rsid w:val="001B67D7"/>
    <w:rsid w:val="001C206D"/>
    <w:rsid w:val="001C534F"/>
    <w:rsid w:val="001C6C47"/>
    <w:rsid w:val="001D43B2"/>
    <w:rsid w:val="001D4669"/>
    <w:rsid w:val="001D4774"/>
    <w:rsid w:val="001D6FA8"/>
    <w:rsid w:val="001E378C"/>
    <w:rsid w:val="001E4232"/>
    <w:rsid w:val="001E7AF3"/>
    <w:rsid w:val="001F1786"/>
    <w:rsid w:val="001F3407"/>
    <w:rsid w:val="001F446A"/>
    <w:rsid w:val="00202449"/>
    <w:rsid w:val="00204CF6"/>
    <w:rsid w:val="00207AE5"/>
    <w:rsid w:val="00212203"/>
    <w:rsid w:val="00216EEB"/>
    <w:rsid w:val="0022096B"/>
    <w:rsid w:val="002228DF"/>
    <w:rsid w:val="00222B39"/>
    <w:rsid w:val="00224112"/>
    <w:rsid w:val="00230549"/>
    <w:rsid w:val="00236AA5"/>
    <w:rsid w:val="00237D11"/>
    <w:rsid w:val="00237E15"/>
    <w:rsid w:val="002407FC"/>
    <w:rsid w:val="002410C0"/>
    <w:rsid w:val="0024132F"/>
    <w:rsid w:val="00241898"/>
    <w:rsid w:val="00244EB7"/>
    <w:rsid w:val="00247AA2"/>
    <w:rsid w:val="002516E9"/>
    <w:rsid w:val="00252C71"/>
    <w:rsid w:val="00253292"/>
    <w:rsid w:val="00253AF9"/>
    <w:rsid w:val="00255BC1"/>
    <w:rsid w:val="00255D9E"/>
    <w:rsid w:val="002577E1"/>
    <w:rsid w:val="00260252"/>
    <w:rsid w:val="00262D24"/>
    <w:rsid w:val="00264E6C"/>
    <w:rsid w:val="002716A4"/>
    <w:rsid w:val="00272B23"/>
    <w:rsid w:val="00274134"/>
    <w:rsid w:val="00275034"/>
    <w:rsid w:val="00280642"/>
    <w:rsid w:val="00280797"/>
    <w:rsid w:val="00280934"/>
    <w:rsid w:val="002814E4"/>
    <w:rsid w:val="00283425"/>
    <w:rsid w:val="002835AA"/>
    <w:rsid w:val="0029156E"/>
    <w:rsid w:val="00291C79"/>
    <w:rsid w:val="00291FC5"/>
    <w:rsid w:val="00297436"/>
    <w:rsid w:val="002A0718"/>
    <w:rsid w:val="002A0BDA"/>
    <w:rsid w:val="002A4407"/>
    <w:rsid w:val="002A5219"/>
    <w:rsid w:val="002A7890"/>
    <w:rsid w:val="002B1054"/>
    <w:rsid w:val="002B476C"/>
    <w:rsid w:val="002B764F"/>
    <w:rsid w:val="002B79B4"/>
    <w:rsid w:val="002B7FB1"/>
    <w:rsid w:val="002C15ED"/>
    <w:rsid w:val="002C2903"/>
    <w:rsid w:val="002C42AB"/>
    <w:rsid w:val="002C4BC5"/>
    <w:rsid w:val="002D79E8"/>
    <w:rsid w:val="002E2ABC"/>
    <w:rsid w:val="002E30BD"/>
    <w:rsid w:val="002E3603"/>
    <w:rsid w:val="002F034A"/>
    <w:rsid w:val="002F25F0"/>
    <w:rsid w:val="002F316B"/>
    <w:rsid w:val="002F4D4F"/>
    <w:rsid w:val="00300B7A"/>
    <w:rsid w:val="00302509"/>
    <w:rsid w:val="00304BA2"/>
    <w:rsid w:val="00306A43"/>
    <w:rsid w:val="00312426"/>
    <w:rsid w:val="00312CEC"/>
    <w:rsid w:val="003162FA"/>
    <w:rsid w:val="0032016C"/>
    <w:rsid w:val="00321CFD"/>
    <w:rsid w:val="00322619"/>
    <w:rsid w:val="00327A8B"/>
    <w:rsid w:val="003313BB"/>
    <w:rsid w:val="00335EE4"/>
    <w:rsid w:val="00336205"/>
    <w:rsid w:val="00336A4B"/>
    <w:rsid w:val="0034307F"/>
    <w:rsid w:val="003433A5"/>
    <w:rsid w:val="0034391C"/>
    <w:rsid w:val="003473F8"/>
    <w:rsid w:val="00350313"/>
    <w:rsid w:val="003519DF"/>
    <w:rsid w:val="00352E83"/>
    <w:rsid w:val="00353433"/>
    <w:rsid w:val="00354432"/>
    <w:rsid w:val="00354511"/>
    <w:rsid w:val="00361597"/>
    <w:rsid w:val="00361B1E"/>
    <w:rsid w:val="00363BE9"/>
    <w:rsid w:val="00365368"/>
    <w:rsid w:val="00366F08"/>
    <w:rsid w:val="003717C1"/>
    <w:rsid w:val="00371871"/>
    <w:rsid w:val="003735D5"/>
    <w:rsid w:val="0037433C"/>
    <w:rsid w:val="003749A3"/>
    <w:rsid w:val="003762A4"/>
    <w:rsid w:val="003771C9"/>
    <w:rsid w:val="00387E78"/>
    <w:rsid w:val="0039018C"/>
    <w:rsid w:val="0039040B"/>
    <w:rsid w:val="0039429D"/>
    <w:rsid w:val="00394AC2"/>
    <w:rsid w:val="003953CE"/>
    <w:rsid w:val="00396EA5"/>
    <w:rsid w:val="003A289F"/>
    <w:rsid w:val="003A48DA"/>
    <w:rsid w:val="003A71BD"/>
    <w:rsid w:val="003A7A62"/>
    <w:rsid w:val="003B1DAB"/>
    <w:rsid w:val="003B2A78"/>
    <w:rsid w:val="003B328E"/>
    <w:rsid w:val="003B6012"/>
    <w:rsid w:val="003B6BD2"/>
    <w:rsid w:val="003B6EA1"/>
    <w:rsid w:val="003B7D91"/>
    <w:rsid w:val="003C58B0"/>
    <w:rsid w:val="003C6D9D"/>
    <w:rsid w:val="003D1668"/>
    <w:rsid w:val="003D432B"/>
    <w:rsid w:val="003D54FB"/>
    <w:rsid w:val="003E0F35"/>
    <w:rsid w:val="003E1026"/>
    <w:rsid w:val="003E6A76"/>
    <w:rsid w:val="003F18C3"/>
    <w:rsid w:val="003F518F"/>
    <w:rsid w:val="003F5848"/>
    <w:rsid w:val="003F5AB6"/>
    <w:rsid w:val="00400CB6"/>
    <w:rsid w:val="004019C4"/>
    <w:rsid w:val="00401B27"/>
    <w:rsid w:val="0040619B"/>
    <w:rsid w:val="004065DE"/>
    <w:rsid w:val="00406F8F"/>
    <w:rsid w:val="00410111"/>
    <w:rsid w:val="0041126D"/>
    <w:rsid w:val="00411CC4"/>
    <w:rsid w:val="0041520C"/>
    <w:rsid w:val="00423EE7"/>
    <w:rsid w:val="00430256"/>
    <w:rsid w:val="00430DE6"/>
    <w:rsid w:val="004311DF"/>
    <w:rsid w:val="0043171A"/>
    <w:rsid w:val="004320B2"/>
    <w:rsid w:val="004325D3"/>
    <w:rsid w:val="00437C21"/>
    <w:rsid w:val="00440D49"/>
    <w:rsid w:val="00441246"/>
    <w:rsid w:val="00441F4E"/>
    <w:rsid w:val="0045200E"/>
    <w:rsid w:val="00455A0B"/>
    <w:rsid w:val="004560F5"/>
    <w:rsid w:val="00456ED1"/>
    <w:rsid w:val="0046358F"/>
    <w:rsid w:val="00463753"/>
    <w:rsid w:val="004650DD"/>
    <w:rsid w:val="00467287"/>
    <w:rsid w:val="004718A1"/>
    <w:rsid w:val="00475417"/>
    <w:rsid w:val="0047547B"/>
    <w:rsid w:val="004764AC"/>
    <w:rsid w:val="00477FA7"/>
    <w:rsid w:val="004802AC"/>
    <w:rsid w:val="00480AE7"/>
    <w:rsid w:val="00482543"/>
    <w:rsid w:val="00482D4A"/>
    <w:rsid w:val="00482DE4"/>
    <w:rsid w:val="00483CE1"/>
    <w:rsid w:val="00484A24"/>
    <w:rsid w:val="00486169"/>
    <w:rsid w:val="00487A62"/>
    <w:rsid w:val="004907A6"/>
    <w:rsid w:val="00493DDD"/>
    <w:rsid w:val="00497318"/>
    <w:rsid w:val="004A139D"/>
    <w:rsid w:val="004A4980"/>
    <w:rsid w:val="004A549E"/>
    <w:rsid w:val="004A69D5"/>
    <w:rsid w:val="004B02AA"/>
    <w:rsid w:val="004B0CBE"/>
    <w:rsid w:val="004B0DC2"/>
    <w:rsid w:val="004B3E5C"/>
    <w:rsid w:val="004B5FB3"/>
    <w:rsid w:val="004B6722"/>
    <w:rsid w:val="004C0EF1"/>
    <w:rsid w:val="004C2E6D"/>
    <w:rsid w:val="004C584A"/>
    <w:rsid w:val="004D1438"/>
    <w:rsid w:val="004D2934"/>
    <w:rsid w:val="004D316E"/>
    <w:rsid w:val="004D4692"/>
    <w:rsid w:val="004D7EA3"/>
    <w:rsid w:val="004E07F5"/>
    <w:rsid w:val="004E4915"/>
    <w:rsid w:val="004E5B81"/>
    <w:rsid w:val="004F0DD2"/>
    <w:rsid w:val="004F79EF"/>
    <w:rsid w:val="00501CD0"/>
    <w:rsid w:val="00501DD1"/>
    <w:rsid w:val="00502F39"/>
    <w:rsid w:val="00513A8B"/>
    <w:rsid w:val="00515BCE"/>
    <w:rsid w:val="005218D5"/>
    <w:rsid w:val="00523D9F"/>
    <w:rsid w:val="0052493B"/>
    <w:rsid w:val="00526C51"/>
    <w:rsid w:val="005279CF"/>
    <w:rsid w:val="00530140"/>
    <w:rsid w:val="0053248D"/>
    <w:rsid w:val="0053407B"/>
    <w:rsid w:val="00540754"/>
    <w:rsid w:val="00540998"/>
    <w:rsid w:val="00546F88"/>
    <w:rsid w:val="00551DC9"/>
    <w:rsid w:val="005527C6"/>
    <w:rsid w:val="00554695"/>
    <w:rsid w:val="0055794C"/>
    <w:rsid w:val="00560D76"/>
    <w:rsid w:val="005622D8"/>
    <w:rsid w:val="0056696E"/>
    <w:rsid w:val="00571773"/>
    <w:rsid w:val="00572C4D"/>
    <w:rsid w:val="00575DFE"/>
    <w:rsid w:val="00575FA2"/>
    <w:rsid w:val="00584B40"/>
    <w:rsid w:val="00586738"/>
    <w:rsid w:val="005875A6"/>
    <w:rsid w:val="005875B9"/>
    <w:rsid w:val="00590DE3"/>
    <w:rsid w:val="00595171"/>
    <w:rsid w:val="00595E11"/>
    <w:rsid w:val="0059697C"/>
    <w:rsid w:val="005A3FBC"/>
    <w:rsid w:val="005A5C8E"/>
    <w:rsid w:val="005A60FD"/>
    <w:rsid w:val="005A70F5"/>
    <w:rsid w:val="005A7477"/>
    <w:rsid w:val="005A7E9A"/>
    <w:rsid w:val="005B754D"/>
    <w:rsid w:val="005C3348"/>
    <w:rsid w:val="005D1838"/>
    <w:rsid w:val="005D45A0"/>
    <w:rsid w:val="005D5617"/>
    <w:rsid w:val="005D76A9"/>
    <w:rsid w:val="005D7855"/>
    <w:rsid w:val="005E0E50"/>
    <w:rsid w:val="005E2841"/>
    <w:rsid w:val="005E4992"/>
    <w:rsid w:val="005E6655"/>
    <w:rsid w:val="005F001F"/>
    <w:rsid w:val="005F49B2"/>
    <w:rsid w:val="005F6FA5"/>
    <w:rsid w:val="00601964"/>
    <w:rsid w:val="00603CBA"/>
    <w:rsid w:val="0060558B"/>
    <w:rsid w:val="00607AD8"/>
    <w:rsid w:val="00611055"/>
    <w:rsid w:val="006121FF"/>
    <w:rsid w:val="006135A5"/>
    <w:rsid w:val="00614BDD"/>
    <w:rsid w:val="00621618"/>
    <w:rsid w:val="00621EF7"/>
    <w:rsid w:val="00622259"/>
    <w:rsid w:val="00623C25"/>
    <w:rsid w:val="00624E4B"/>
    <w:rsid w:val="00633C9C"/>
    <w:rsid w:val="006348FE"/>
    <w:rsid w:val="00635276"/>
    <w:rsid w:val="0063569C"/>
    <w:rsid w:val="006372E9"/>
    <w:rsid w:val="006407D8"/>
    <w:rsid w:val="00643883"/>
    <w:rsid w:val="0065031F"/>
    <w:rsid w:val="00650C21"/>
    <w:rsid w:val="00652082"/>
    <w:rsid w:val="0065213B"/>
    <w:rsid w:val="006522B5"/>
    <w:rsid w:val="00654EE9"/>
    <w:rsid w:val="00655A13"/>
    <w:rsid w:val="00660F8E"/>
    <w:rsid w:val="0066571C"/>
    <w:rsid w:val="006735E1"/>
    <w:rsid w:val="00674470"/>
    <w:rsid w:val="006777F8"/>
    <w:rsid w:val="00680A63"/>
    <w:rsid w:val="00681966"/>
    <w:rsid w:val="0068239A"/>
    <w:rsid w:val="00682496"/>
    <w:rsid w:val="00685FE9"/>
    <w:rsid w:val="00687DBB"/>
    <w:rsid w:val="006904A0"/>
    <w:rsid w:val="006934E8"/>
    <w:rsid w:val="0069747C"/>
    <w:rsid w:val="006A0FF4"/>
    <w:rsid w:val="006A32A3"/>
    <w:rsid w:val="006A33EA"/>
    <w:rsid w:val="006B0173"/>
    <w:rsid w:val="006B13EF"/>
    <w:rsid w:val="006B3123"/>
    <w:rsid w:val="006B584B"/>
    <w:rsid w:val="006B657E"/>
    <w:rsid w:val="006B715F"/>
    <w:rsid w:val="006C00C0"/>
    <w:rsid w:val="006C0787"/>
    <w:rsid w:val="006C1E65"/>
    <w:rsid w:val="006C39E8"/>
    <w:rsid w:val="006C3E92"/>
    <w:rsid w:val="006C6535"/>
    <w:rsid w:val="006C6CB6"/>
    <w:rsid w:val="006D014B"/>
    <w:rsid w:val="006D4347"/>
    <w:rsid w:val="006D57D5"/>
    <w:rsid w:val="006D59D2"/>
    <w:rsid w:val="006D728F"/>
    <w:rsid w:val="006D74D5"/>
    <w:rsid w:val="006E08A8"/>
    <w:rsid w:val="006E1DCB"/>
    <w:rsid w:val="006E1E2E"/>
    <w:rsid w:val="006F13E3"/>
    <w:rsid w:val="006F5FC0"/>
    <w:rsid w:val="006F6F51"/>
    <w:rsid w:val="006F77B6"/>
    <w:rsid w:val="00700A6B"/>
    <w:rsid w:val="00701729"/>
    <w:rsid w:val="0070450F"/>
    <w:rsid w:val="007053E1"/>
    <w:rsid w:val="007060BA"/>
    <w:rsid w:val="00710347"/>
    <w:rsid w:val="00714A71"/>
    <w:rsid w:val="007213F4"/>
    <w:rsid w:val="0072389C"/>
    <w:rsid w:val="007258FA"/>
    <w:rsid w:val="00730503"/>
    <w:rsid w:val="007350FB"/>
    <w:rsid w:val="00737905"/>
    <w:rsid w:val="00742A0E"/>
    <w:rsid w:val="00744048"/>
    <w:rsid w:val="0074466D"/>
    <w:rsid w:val="007446FF"/>
    <w:rsid w:val="0074579A"/>
    <w:rsid w:val="00746048"/>
    <w:rsid w:val="007501A7"/>
    <w:rsid w:val="0075043D"/>
    <w:rsid w:val="00753905"/>
    <w:rsid w:val="00754F6D"/>
    <w:rsid w:val="0075548E"/>
    <w:rsid w:val="007567CD"/>
    <w:rsid w:val="007607A5"/>
    <w:rsid w:val="007613B6"/>
    <w:rsid w:val="00762085"/>
    <w:rsid w:val="0076278B"/>
    <w:rsid w:val="007628B1"/>
    <w:rsid w:val="00762C3B"/>
    <w:rsid w:val="00762F7F"/>
    <w:rsid w:val="00764E41"/>
    <w:rsid w:val="00767906"/>
    <w:rsid w:val="00782435"/>
    <w:rsid w:val="00782AC8"/>
    <w:rsid w:val="0078537F"/>
    <w:rsid w:val="007865D9"/>
    <w:rsid w:val="0078666A"/>
    <w:rsid w:val="00791C0A"/>
    <w:rsid w:val="007926BF"/>
    <w:rsid w:val="007945AF"/>
    <w:rsid w:val="00795623"/>
    <w:rsid w:val="007969CC"/>
    <w:rsid w:val="007A1C08"/>
    <w:rsid w:val="007A3049"/>
    <w:rsid w:val="007A6462"/>
    <w:rsid w:val="007A6D7B"/>
    <w:rsid w:val="007A72E0"/>
    <w:rsid w:val="007B2BDE"/>
    <w:rsid w:val="007B46A8"/>
    <w:rsid w:val="007B5A9F"/>
    <w:rsid w:val="007C167E"/>
    <w:rsid w:val="007C298C"/>
    <w:rsid w:val="007C3233"/>
    <w:rsid w:val="007C5716"/>
    <w:rsid w:val="007C64E7"/>
    <w:rsid w:val="007C66A9"/>
    <w:rsid w:val="007D3433"/>
    <w:rsid w:val="007D3670"/>
    <w:rsid w:val="007D7032"/>
    <w:rsid w:val="007D79B5"/>
    <w:rsid w:val="007E1DFC"/>
    <w:rsid w:val="007E5E86"/>
    <w:rsid w:val="0080212E"/>
    <w:rsid w:val="00804BC8"/>
    <w:rsid w:val="00804D4D"/>
    <w:rsid w:val="00805363"/>
    <w:rsid w:val="008072BF"/>
    <w:rsid w:val="008102E7"/>
    <w:rsid w:val="0081463C"/>
    <w:rsid w:val="008161E6"/>
    <w:rsid w:val="008224C7"/>
    <w:rsid w:val="00823642"/>
    <w:rsid w:val="0082498B"/>
    <w:rsid w:val="00826F23"/>
    <w:rsid w:val="00836337"/>
    <w:rsid w:val="008419A6"/>
    <w:rsid w:val="00842FF4"/>
    <w:rsid w:val="00846EC0"/>
    <w:rsid w:val="00847164"/>
    <w:rsid w:val="008477DB"/>
    <w:rsid w:val="00861561"/>
    <w:rsid w:val="00865C65"/>
    <w:rsid w:val="0087285B"/>
    <w:rsid w:val="00873498"/>
    <w:rsid w:val="008744A6"/>
    <w:rsid w:val="00874B05"/>
    <w:rsid w:val="008764FA"/>
    <w:rsid w:val="008768D6"/>
    <w:rsid w:val="00881A3E"/>
    <w:rsid w:val="00881AF4"/>
    <w:rsid w:val="00884467"/>
    <w:rsid w:val="00887818"/>
    <w:rsid w:val="008950FC"/>
    <w:rsid w:val="008A0622"/>
    <w:rsid w:val="008A5974"/>
    <w:rsid w:val="008A5C0B"/>
    <w:rsid w:val="008A62DE"/>
    <w:rsid w:val="008B0FD2"/>
    <w:rsid w:val="008B5BCA"/>
    <w:rsid w:val="008B6137"/>
    <w:rsid w:val="008C0034"/>
    <w:rsid w:val="008C19E1"/>
    <w:rsid w:val="008C297A"/>
    <w:rsid w:val="008C2D59"/>
    <w:rsid w:val="008C33B1"/>
    <w:rsid w:val="008C3857"/>
    <w:rsid w:val="008C62C6"/>
    <w:rsid w:val="008C719F"/>
    <w:rsid w:val="008D0550"/>
    <w:rsid w:val="008D5A6F"/>
    <w:rsid w:val="008E0B37"/>
    <w:rsid w:val="008E0D44"/>
    <w:rsid w:val="008E1646"/>
    <w:rsid w:val="008E1B70"/>
    <w:rsid w:val="008E2EB5"/>
    <w:rsid w:val="008E406F"/>
    <w:rsid w:val="008E514F"/>
    <w:rsid w:val="008E7E69"/>
    <w:rsid w:val="008F11F8"/>
    <w:rsid w:val="008F72EC"/>
    <w:rsid w:val="00901853"/>
    <w:rsid w:val="00903858"/>
    <w:rsid w:val="00903D9A"/>
    <w:rsid w:val="00905D0D"/>
    <w:rsid w:val="009074BC"/>
    <w:rsid w:val="009144BF"/>
    <w:rsid w:val="0091464C"/>
    <w:rsid w:val="009159FD"/>
    <w:rsid w:val="009202FC"/>
    <w:rsid w:val="00922AD5"/>
    <w:rsid w:val="00923E52"/>
    <w:rsid w:val="00927177"/>
    <w:rsid w:val="00930E8A"/>
    <w:rsid w:val="00931602"/>
    <w:rsid w:val="00935C04"/>
    <w:rsid w:val="009419C9"/>
    <w:rsid w:val="009427FA"/>
    <w:rsid w:val="0094369D"/>
    <w:rsid w:val="00944534"/>
    <w:rsid w:val="00947164"/>
    <w:rsid w:val="00950CA6"/>
    <w:rsid w:val="0095379A"/>
    <w:rsid w:val="00953DF9"/>
    <w:rsid w:val="0095458B"/>
    <w:rsid w:val="00956BD6"/>
    <w:rsid w:val="009617AA"/>
    <w:rsid w:val="009624D2"/>
    <w:rsid w:val="009645A9"/>
    <w:rsid w:val="00972000"/>
    <w:rsid w:val="0097423D"/>
    <w:rsid w:val="00976F51"/>
    <w:rsid w:val="00982C45"/>
    <w:rsid w:val="00983B30"/>
    <w:rsid w:val="009848FE"/>
    <w:rsid w:val="00984E7E"/>
    <w:rsid w:val="009873D5"/>
    <w:rsid w:val="009874A8"/>
    <w:rsid w:val="00990E2D"/>
    <w:rsid w:val="00991263"/>
    <w:rsid w:val="0099399A"/>
    <w:rsid w:val="0099612F"/>
    <w:rsid w:val="009A35E8"/>
    <w:rsid w:val="009A7E33"/>
    <w:rsid w:val="009B3E34"/>
    <w:rsid w:val="009B5308"/>
    <w:rsid w:val="009B5329"/>
    <w:rsid w:val="009C34EF"/>
    <w:rsid w:val="009C3E15"/>
    <w:rsid w:val="009C46B2"/>
    <w:rsid w:val="009C5D38"/>
    <w:rsid w:val="009C786E"/>
    <w:rsid w:val="009D0940"/>
    <w:rsid w:val="009D3A01"/>
    <w:rsid w:val="009D6267"/>
    <w:rsid w:val="009D7EF5"/>
    <w:rsid w:val="009E3171"/>
    <w:rsid w:val="009E487C"/>
    <w:rsid w:val="009E56A2"/>
    <w:rsid w:val="009E5A2B"/>
    <w:rsid w:val="009F6A0C"/>
    <w:rsid w:val="009F75C8"/>
    <w:rsid w:val="009F77D5"/>
    <w:rsid w:val="009F782A"/>
    <w:rsid w:val="00A057E8"/>
    <w:rsid w:val="00A12F82"/>
    <w:rsid w:val="00A1374E"/>
    <w:rsid w:val="00A14EAF"/>
    <w:rsid w:val="00A201E8"/>
    <w:rsid w:val="00A20DAA"/>
    <w:rsid w:val="00A2256D"/>
    <w:rsid w:val="00A24268"/>
    <w:rsid w:val="00A2573F"/>
    <w:rsid w:val="00A266EC"/>
    <w:rsid w:val="00A267AC"/>
    <w:rsid w:val="00A27912"/>
    <w:rsid w:val="00A320CB"/>
    <w:rsid w:val="00A329B9"/>
    <w:rsid w:val="00A3305D"/>
    <w:rsid w:val="00A402A2"/>
    <w:rsid w:val="00A40E60"/>
    <w:rsid w:val="00A442C7"/>
    <w:rsid w:val="00A446D8"/>
    <w:rsid w:val="00A46F13"/>
    <w:rsid w:val="00A553A1"/>
    <w:rsid w:val="00A62BE9"/>
    <w:rsid w:val="00A65E15"/>
    <w:rsid w:val="00A67C9E"/>
    <w:rsid w:val="00A7247A"/>
    <w:rsid w:val="00A724C2"/>
    <w:rsid w:val="00A7413C"/>
    <w:rsid w:val="00A76F89"/>
    <w:rsid w:val="00A8004A"/>
    <w:rsid w:val="00A80D5D"/>
    <w:rsid w:val="00A81B35"/>
    <w:rsid w:val="00A826B9"/>
    <w:rsid w:val="00A83061"/>
    <w:rsid w:val="00A84848"/>
    <w:rsid w:val="00A85728"/>
    <w:rsid w:val="00A91D79"/>
    <w:rsid w:val="00A91F2F"/>
    <w:rsid w:val="00A94CB5"/>
    <w:rsid w:val="00AA4551"/>
    <w:rsid w:val="00AA57F4"/>
    <w:rsid w:val="00AA7543"/>
    <w:rsid w:val="00AB0874"/>
    <w:rsid w:val="00AB090D"/>
    <w:rsid w:val="00AB1D1C"/>
    <w:rsid w:val="00AB20AD"/>
    <w:rsid w:val="00AB2BC6"/>
    <w:rsid w:val="00AC1B1F"/>
    <w:rsid w:val="00AC214A"/>
    <w:rsid w:val="00AC2AD1"/>
    <w:rsid w:val="00AD57C2"/>
    <w:rsid w:val="00AD5930"/>
    <w:rsid w:val="00AD77B8"/>
    <w:rsid w:val="00AE08D6"/>
    <w:rsid w:val="00AF2C79"/>
    <w:rsid w:val="00AF3954"/>
    <w:rsid w:val="00AF3E42"/>
    <w:rsid w:val="00AF57A5"/>
    <w:rsid w:val="00AF7BDC"/>
    <w:rsid w:val="00B0099B"/>
    <w:rsid w:val="00B00C9E"/>
    <w:rsid w:val="00B02425"/>
    <w:rsid w:val="00B0749E"/>
    <w:rsid w:val="00B07D50"/>
    <w:rsid w:val="00B20F85"/>
    <w:rsid w:val="00B21D49"/>
    <w:rsid w:val="00B24BB7"/>
    <w:rsid w:val="00B25BE6"/>
    <w:rsid w:val="00B304AE"/>
    <w:rsid w:val="00B30DC8"/>
    <w:rsid w:val="00B311C5"/>
    <w:rsid w:val="00B31660"/>
    <w:rsid w:val="00B31D5C"/>
    <w:rsid w:val="00B325F5"/>
    <w:rsid w:val="00B329C3"/>
    <w:rsid w:val="00B34F5E"/>
    <w:rsid w:val="00B364B9"/>
    <w:rsid w:val="00B4238B"/>
    <w:rsid w:val="00B4307C"/>
    <w:rsid w:val="00B432C7"/>
    <w:rsid w:val="00B471F5"/>
    <w:rsid w:val="00B502FE"/>
    <w:rsid w:val="00B50E0B"/>
    <w:rsid w:val="00B51419"/>
    <w:rsid w:val="00B5476A"/>
    <w:rsid w:val="00B5480B"/>
    <w:rsid w:val="00B56ECD"/>
    <w:rsid w:val="00B57214"/>
    <w:rsid w:val="00B6151E"/>
    <w:rsid w:val="00B61D8B"/>
    <w:rsid w:val="00B6542B"/>
    <w:rsid w:val="00B65AF8"/>
    <w:rsid w:val="00B66FD2"/>
    <w:rsid w:val="00B703B4"/>
    <w:rsid w:val="00B70C91"/>
    <w:rsid w:val="00B70EA2"/>
    <w:rsid w:val="00B715FD"/>
    <w:rsid w:val="00B72629"/>
    <w:rsid w:val="00B76222"/>
    <w:rsid w:val="00B83BA5"/>
    <w:rsid w:val="00B86E70"/>
    <w:rsid w:val="00B90EB2"/>
    <w:rsid w:val="00B90F81"/>
    <w:rsid w:val="00B97437"/>
    <w:rsid w:val="00BA291E"/>
    <w:rsid w:val="00BA29A9"/>
    <w:rsid w:val="00BA4553"/>
    <w:rsid w:val="00BA540E"/>
    <w:rsid w:val="00BA7D84"/>
    <w:rsid w:val="00BB01B3"/>
    <w:rsid w:val="00BB2279"/>
    <w:rsid w:val="00BB6A55"/>
    <w:rsid w:val="00BB7538"/>
    <w:rsid w:val="00BC14A6"/>
    <w:rsid w:val="00BC1652"/>
    <w:rsid w:val="00BC28D1"/>
    <w:rsid w:val="00BC3A93"/>
    <w:rsid w:val="00BC405C"/>
    <w:rsid w:val="00BC4E23"/>
    <w:rsid w:val="00BC572B"/>
    <w:rsid w:val="00BD23B2"/>
    <w:rsid w:val="00BD3E1C"/>
    <w:rsid w:val="00BD5C67"/>
    <w:rsid w:val="00BD7446"/>
    <w:rsid w:val="00BE569F"/>
    <w:rsid w:val="00BE56AD"/>
    <w:rsid w:val="00BE5E5B"/>
    <w:rsid w:val="00BE62C4"/>
    <w:rsid w:val="00BE7711"/>
    <w:rsid w:val="00BF3EEE"/>
    <w:rsid w:val="00BF4AED"/>
    <w:rsid w:val="00BF4E27"/>
    <w:rsid w:val="00BF790E"/>
    <w:rsid w:val="00BF7F76"/>
    <w:rsid w:val="00C01FAC"/>
    <w:rsid w:val="00C02022"/>
    <w:rsid w:val="00C02497"/>
    <w:rsid w:val="00C100E9"/>
    <w:rsid w:val="00C10442"/>
    <w:rsid w:val="00C10956"/>
    <w:rsid w:val="00C121E4"/>
    <w:rsid w:val="00C14D67"/>
    <w:rsid w:val="00C1504C"/>
    <w:rsid w:val="00C20521"/>
    <w:rsid w:val="00C2146C"/>
    <w:rsid w:val="00C22CE0"/>
    <w:rsid w:val="00C24F36"/>
    <w:rsid w:val="00C2530B"/>
    <w:rsid w:val="00C30B2F"/>
    <w:rsid w:val="00C3350B"/>
    <w:rsid w:val="00C3359E"/>
    <w:rsid w:val="00C3538E"/>
    <w:rsid w:val="00C42DB4"/>
    <w:rsid w:val="00C47167"/>
    <w:rsid w:val="00C4754D"/>
    <w:rsid w:val="00C51CD1"/>
    <w:rsid w:val="00C521F3"/>
    <w:rsid w:val="00C5420E"/>
    <w:rsid w:val="00C56906"/>
    <w:rsid w:val="00C56F14"/>
    <w:rsid w:val="00C57042"/>
    <w:rsid w:val="00C61BE4"/>
    <w:rsid w:val="00C61F9E"/>
    <w:rsid w:val="00C63F62"/>
    <w:rsid w:val="00C667BE"/>
    <w:rsid w:val="00C71873"/>
    <w:rsid w:val="00C71E35"/>
    <w:rsid w:val="00C7720E"/>
    <w:rsid w:val="00C7753E"/>
    <w:rsid w:val="00C77D08"/>
    <w:rsid w:val="00C80DD6"/>
    <w:rsid w:val="00C875B5"/>
    <w:rsid w:val="00C877A0"/>
    <w:rsid w:val="00C9392F"/>
    <w:rsid w:val="00C93B61"/>
    <w:rsid w:val="00C93D45"/>
    <w:rsid w:val="00C956F5"/>
    <w:rsid w:val="00C958B9"/>
    <w:rsid w:val="00C96874"/>
    <w:rsid w:val="00CA2E8F"/>
    <w:rsid w:val="00CA47A6"/>
    <w:rsid w:val="00CA4BA7"/>
    <w:rsid w:val="00CA5962"/>
    <w:rsid w:val="00CB244A"/>
    <w:rsid w:val="00CB2DEF"/>
    <w:rsid w:val="00CB3AD2"/>
    <w:rsid w:val="00CB3B0E"/>
    <w:rsid w:val="00CC1D5D"/>
    <w:rsid w:val="00CC6340"/>
    <w:rsid w:val="00CC726E"/>
    <w:rsid w:val="00CD296D"/>
    <w:rsid w:val="00CE371A"/>
    <w:rsid w:val="00CF1557"/>
    <w:rsid w:val="00CF34DE"/>
    <w:rsid w:val="00CF5DEE"/>
    <w:rsid w:val="00CF707B"/>
    <w:rsid w:val="00D028CA"/>
    <w:rsid w:val="00D02F0B"/>
    <w:rsid w:val="00D03022"/>
    <w:rsid w:val="00D034D7"/>
    <w:rsid w:val="00D04D52"/>
    <w:rsid w:val="00D057BF"/>
    <w:rsid w:val="00D07127"/>
    <w:rsid w:val="00D076BE"/>
    <w:rsid w:val="00D1155E"/>
    <w:rsid w:val="00D20D09"/>
    <w:rsid w:val="00D21054"/>
    <w:rsid w:val="00D24077"/>
    <w:rsid w:val="00D24166"/>
    <w:rsid w:val="00D25C81"/>
    <w:rsid w:val="00D277D6"/>
    <w:rsid w:val="00D33E4B"/>
    <w:rsid w:val="00D34BF5"/>
    <w:rsid w:val="00D35D95"/>
    <w:rsid w:val="00D424E7"/>
    <w:rsid w:val="00D43164"/>
    <w:rsid w:val="00D4604A"/>
    <w:rsid w:val="00D461EF"/>
    <w:rsid w:val="00D47D34"/>
    <w:rsid w:val="00D51049"/>
    <w:rsid w:val="00D51C3F"/>
    <w:rsid w:val="00D5345A"/>
    <w:rsid w:val="00D5363C"/>
    <w:rsid w:val="00D55BB4"/>
    <w:rsid w:val="00D61051"/>
    <w:rsid w:val="00D63926"/>
    <w:rsid w:val="00D740C1"/>
    <w:rsid w:val="00D7456D"/>
    <w:rsid w:val="00D74C46"/>
    <w:rsid w:val="00D77228"/>
    <w:rsid w:val="00D81A72"/>
    <w:rsid w:val="00D8229C"/>
    <w:rsid w:val="00D8263F"/>
    <w:rsid w:val="00D85E62"/>
    <w:rsid w:val="00D913B4"/>
    <w:rsid w:val="00D91F61"/>
    <w:rsid w:val="00D97225"/>
    <w:rsid w:val="00DA46AF"/>
    <w:rsid w:val="00DB299F"/>
    <w:rsid w:val="00DB40BC"/>
    <w:rsid w:val="00DB4249"/>
    <w:rsid w:val="00DB6AE4"/>
    <w:rsid w:val="00DB7B7D"/>
    <w:rsid w:val="00DC4072"/>
    <w:rsid w:val="00DC50EC"/>
    <w:rsid w:val="00DC63AD"/>
    <w:rsid w:val="00DC7DF9"/>
    <w:rsid w:val="00DD026D"/>
    <w:rsid w:val="00DD0713"/>
    <w:rsid w:val="00DD0F87"/>
    <w:rsid w:val="00DD2454"/>
    <w:rsid w:val="00DD3A42"/>
    <w:rsid w:val="00DD3CDB"/>
    <w:rsid w:val="00DD4697"/>
    <w:rsid w:val="00DD557D"/>
    <w:rsid w:val="00DD72B0"/>
    <w:rsid w:val="00DD7D13"/>
    <w:rsid w:val="00DE440B"/>
    <w:rsid w:val="00DF3BAC"/>
    <w:rsid w:val="00DF3CC3"/>
    <w:rsid w:val="00DF5476"/>
    <w:rsid w:val="00DF57DA"/>
    <w:rsid w:val="00DF63A4"/>
    <w:rsid w:val="00DF7E89"/>
    <w:rsid w:val="00E012D7"/>
    <w:rsid w:val="00E04EEA"/>
    <w:rsid w:val="00E054C1"/>
    <w:rsid w:val="00E07875"/>
    <w:rsid w:val="00E07C9E"/>
    <w:rsid w:val="00E07D3A"/>
    <w:rsid w:val="00E1221A"/>
    <w:rsid w:val="00E14239"/>
    <w:rsid w:val="00E15D7F"/>
    <w:rsid w:val="00E20414"/>
    <w:rsid w:val="00E210FF"/>
    <w:rsid w:val="00E23C9F"/>
    <w:rsid w:val="00E25F92"/>
    <w:rsid w:val="00E26EDA"/>
    <w:rsid w:val="00E279B0"/>
    <w:rsid w:val="00E310E7"/>
    <w:rsid w:val="00E32A2A"/>
    <w:rsid w:val="00E360B5"/>
    <w:rsid w:val="00E365A7"/>
    <w:rsid w:val="00E37198"/>
    <w:rsid w:val="00E40A28"/>
    <w:rsid w:val="00E41BEA"/>
    <w:rsid w:val="00E52E1A"/>
    <w:rsid w:val="00E533B8"/>
    <w:rsid w:val="00E54AA4"/>
    <w:rsid w:val="00E60098"/>
    <w:rsid w:val="00E63814"/>
    <w:rsid w:val="00E6536C"/>
    <w:rsid w:val="00E66133"/>
    <w:rsid w:val="00E66249"/>
    <w:rsid w:val="00E71A07"/>
    <w:rsid w:val="00E71B41"/>
    <w:rsid w:val="00E7260A"/>
    <w:rsid w:val="00E766C5"/>
    <w:rsid w:val="00E820A1"/>
    <w:rsid w:val="00E84345"/>
    <w:rsid w:val="00E90BF1"/>
    <w:rsid w:val="00E946DA"/>
    <w:rsid w:val="00E94819"/>
    <w:rsid w:val="00E963C4"/>
    <w:rsid w:val="00EA1A56"/>
    <w:rsid w:val="00EA675F"/>
    <w:rsid w:val="00EB0CD0"/>
    <w:rsid w:val="00EB23E8"/>
    <w:rsid w:val="00EB2492"/>
    <w:rsid w:val="00EB3531"/>
    <w:rsid w:val="00EB552B"/>
    <w:rsid w:val="00EC0EBA"/>
    <w:rsid w:val="00EC12CE"/>
    <w:rsid w:val="00EC197D"/>
    <w:rsid w:val="00EC4D06"/>
    <w:rsid w:val="00EC7356"/>
    <w:rsid w:val="00ED221D"/>
    <w:rsid w:val="00ED329E"/>
    <w:rsid w:val="00ED4EE9"/>
    <w:rsid w:val="00ED6527"/>
    <w:rsid w:val="00ED6EE2"/>
    <w:rsid w:val="00EE0D11"/>
    <w:rsid w:val="00EE2C9C"/>
    <w:rsid w:val="00EF363C"/>
    <w:rsid w:val="00EF7B3C"/>
    <w:rsid w:val="00F00AAA"/>
    <w:rsid w:val="00F01CD2"/>
    <w:rsid w:val="00F050B3"/>
    <w:rsid w:val="00F071A1"/>
    <w:rsid w:val="00F12410"/>
    <w:rsid w:val="00F12551"/>
    <w:rsid w:val="00F12D2A"/>
    <w:rsid w:val="00F148D9"/>
    <w:rsid w:val="00F15BF0"/>
    <w:rsid w:val="00F205B6"/>
    <w:rsid w:val="00F238F4"/>
    <w:rsid w:val="00F24676"/>
    <w:rsid w:val="00F327B7"/>
    <w:rsid w:val="00F32ACC"/>
    <w:rsid w:val="00F36533"/>
    <w:rsid w:val="00F377AC"/>
    <w:rsid w:val="00F44F41"/>
    <w:rsid w:val="00F45154"/>
    <w:rsid w:val="00F462DD"/>
    <w:rsid w:val="00F467AD"/>
    <w:rsid w:val="00F506B5"/>
    <w:rsid w:val="00F55BD4"/>
    <w:rsid w:val="00F56397"/>
    <w:rsid w:val="00F56C94"/>
    <w:rsid w:val="00F60E2D"/>
    <w:rsid w:val="00F654C9"/>
    <w:rsid w:val="00F71F5E"/>
    <w:rsid w:val="00F73DBA"/>
    <w:rsid w:val="00F76953"/>
    <w:rsid w:val="00F8167D"/>
    <w:rsid w:val="00F8234A"/>
    <w:rsid w:val="00F85929"/>
    <w:rsid w:val="00F87E5A"/>
    <w:rsid w:val="00F90863"/>
    <w:rsid w:val="00F9117B"/>
    <w:rsid w:val="00F93297"/>
    <w:rsid w:val="00F93C1C"/>
    <w:rsid w:val="00F94F43"/>
    <w:rsid w:val="00F95300"/>
    <w:rsid w:val="00FA1AA1"/>
    <w:rsid w:val="00FA1F31"/>
    <w:rsid w:val="00FA21B0"/>
    <w:rsid w:val="00FA319B"/>
    <w:rsid w:val="00FA437E"/>
    <w:rsid w:val="00FA69D9"/>
    <w:rsid w:val="00FB29E0"/>
    <w:rsid w:val="00FB3D8B"/>
    <w:rsid w:val="00FB6DB2"/>
    <w:rsid w:val="00FC27DC"/>
    <w:rsid w:val="00FC32B2"/>
    <w:rsid w:val="00FC3F14"/>
    <w:rsid w:val="00FC5796"/>
    <w:rsid w:val="00FC5D6D"/>
    <w:rsid w:val="00FD46DE"/>
    <w:rsid w:val="00FD5C14"/>
    <w:rsid w:val="00FD674E"/>
    <w:rsid w:val="00FE51B9"/>
    <w:rsid w:val="00FE700C"/>
    <w:rsid w:val="00FE704C"/>
    <w:rsid w:val="00FE7B8F"/>
    <w:rsid w:val="00FF0911"/>
    <w:rsid w:val="00FF226E"/>
    <w:rsid w:val="00FF2B8C"/>
    <w:rsid w:val="00FF36FB"/>
    <w:rsid w:val="00FF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4C5281"/>
  <w15:chartTrackingRefBased/>
  <w15:docId w15:val="{1811774C-77B7-4846-96E4-49E679CE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54A"/>
    <w:pPr>
      <w:spacing w:after="0" w:line="240" w:lineRule="auto"/>
    </w:pPr>
    <w:rPr>
      <w:rFonts w:ascii="Times New Roman" w:hAnsi="Times New Roman"/>
      <w:sz w:val="24"/>
    </w:rPr>
  </w:style>
  <w:style w:type="paragraph" w:styleId="Heading1">
    <w:name w:val="heading 1"/>
    <w:basedOn w:val="Normal"/>
    <w:next w:val="Normal"/>
    <w:link w:val="Heading1Char"/>
    <w:uiPriority w:val="99"/>
    <w:qFormat/>
    <w:rsid w:val="00BE56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56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569F"/>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814E4"/>
    <w:pPr>
      <w:keepNext/>
      <w:keepLines/>
      <w:spacing w:before="40" w:after="120"/>
      <w:ind w:left="864" w:hanging="864"/>
      <w:jc w:val="both"/>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14E4"/>
    <w:pPr>
      <w:keepNext/>
      <w:keepLines/>
      <w:spacing w:before="40" w:after="120"/>
      <w:ind w:left="1008" w:hanging="1008"/>
      <w:jc w:val="both"/>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814E4"/>
    <w:pPr>
      <w:keepNext/>
      <w:keepLines/>
      <w:spacing w:before="40" w:after="120"/>
      <w:ind w:left="1152" w:hanging="1152"/>
      <w:jc w:val="both"/>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14E4"/>
    <w:pPr>
      <w:keepNext/>
      <w:keepLines/>
      <w:spacing w:before="40" w:after="120"/>
      <w:ind w:left="1296" w:hanging="1296"/>
      <w:jc w:val="both"/>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14E4"/>
    <w:pPr>
      <w:keepNext/>
      <w:keepLines/>
      <w:spacing w:before="40" w:after="120"/>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14E4"/>
    <w:pPr>
      <w:keepNext/>
      <w:keepLines/>
      <w:spacing w:before="40" w:after="120"/>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E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E78"/>
    <w:rPr>
      <w:rFonts w:ascii="Segoe UI" w:hAnsi="Segoe UI" w:cs="Segoe UI"/>
      <w:sz w:val="18"/>
      <w:szCs w:val="18"/>
    </w:rPr>
  </w:style>
  <w:style w:type="character" w:customStyle="1" w:styleId="Heading1Char">
    <w:name w:val="Heading 1 Char"/>
    <w:basedOn w:val="DefaultParagraphFont"/>
    <w:link w:val="Heading1"/>
    <w:uiPriority w:val="99"/>
    <w:rsid w:val="00BE56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569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E569F"/>
    <w:rPr>
      <w:rFonts w:asciiTheme="majorHAnsi" w:eastAsiaTheme="majorEastAsia" w:hAnsiTheme="majorHAnsi" w:cstheme="majorBidi"/>
      <w:color w:val="1F3763" w:themeColor="accent1" w:themeShade="7F"/>
      <w:sz w:val="24"/>
      <w:szCs w:val="24"/>
    </w:rPr>
  </w:style>
  <w:style w:type="paragraph" w:customStyle="1" w:styleId="Style1">
    <w:name w:val="Style1"/>
    <w:basedOn w:val="Heading1"/>
    <w:link w:val="Style1Char"/>
    <w:qFormat/>
    <w:rsid w:val="00FE704C"/>
    <w:rPr>
      <w:rFonts w:ascii="Times New Roman" w:hAnsi="Times New Roman"/>
      <w:b/>
      <w:bCs/>
      <w:color w:val="auto"/>
      <w:sz w:val="28"/>
    </w:rPr>
  </w:style>
  <w:style w:type="paragraph" w:customStyle="1" w:styleId="Style2">
    <w:name w:val="Style2"/>
    <w:basedOn w:val="Heading2"/>
    <w:link w:val="Style2Char"/>
    <w:qFormat/>
    <w:rsid w:val="00FE704C"/>
    <w:rPr>
      <w:rFonts w:ascii="Times New Roman" w:hAnsi="Times New Roman"/>
      <w:b/>
      <w:color w:val="auto"/>
      <w:sz w:val="24"/>
    </w:rPr>
  </w:style>
  <w:style w:type="character" w:customStyle="1" w:styleId="Style1Char">
    <w:name w:val="Style1 Char"/>
    <w:basedOn w:val="Heading1Char"/>
    <w:link w:val="Style1"/>
    <w:rsid w:val="00FE704C"/>
    <w:rPr>
      <w:rFonts w:ascii="Times New Roman" w:eastAsiaTheme="majorEastAsia" w:hAnsi="Times New Roman" w:cstheme="majorBidi"/>
      <w:b/>
      <w:bCs/>
      <w:color w:val="2F5496" w:themeColor="accent1" w:themeShade="BF"/>
      <w:sz w:val="28"/>
      <w:szCs w:val="32"/>
    </w:rPr>
  </w:style>
  <w:style w:type="paragraph" w:customStyle="1" w:styleId="Style3">
    <w:name w:val="Style3"/>
    <w:basedOn w:val="Normal"/>
    <w:link w:val="Style3Char"/>
    <w:qFormat/>
    <w:rsid w:val="00FE704C"/>
    <w:pPr>
      <w:jc w:val="both"/>
    </w:pPr>
    <w:rPr>
      <w:rFonts w:cs="Times New Roman"/>
      <w:i/>
    </w:rPr>
  </w:style>
  <w:style w:type="character" w:customStyle="1" w:styleId="Style2Char">
    <w:name w:val="Style2 Char"/>
    <w:basedOn w:val="Heading2Char"/>
    <w:link w:val="Style2"/>
    <w:rsid w:val="00FE704C"/>
    <w:rPr>
      <w:rFonts w:ascii="Times New Roman" w:eastAsiaTheme="majorEastAsia" w:hAnsi="Times New Roman" w:cstheme="majorBidi"/>
      <w:b/>
      <w:color w:val="2F5496" w:themeColor="accent1" w:themeShade="BF"/>
      <w:sz w:val="24"/>
      <w:szCs w:val="26"/>
    </w:rPr>
  </w:style>
  <w:style w:type="table" w:styleId="TableGrid">
    <w:name w:val="Table Grid"/>
    <w:basedOn w:val="TableNormal"/>
    <w:uiPriority w:val="39"/>
    <w:rsid w:val="00681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har">
    <w:name w:val="Style3 Char"/>
    <w:basedOn w:val="DefaultParagraphFont"/>
    <w:link w:val="Style3"/>
    <w:rsid w:val="00FE704C"/>
    <w:rPr>
      <w:rFonts w:ascii="Times New Roman" w:hAnsi="Times New Roman" w:cs="Times New Roman"/>
      <w:i/>
    </w:rPr>
  </w:style>
  <w:style w:type="table" w:styleId="PlainTable2">
    <w:name w:val="Plain Table 2"/>
    <w:basedOn w:val="TableNormal"/>
    <w:uiPriority w:val="42"/>
    <w:rsid w:val="00BE5E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qFormat/>
    <w:rsid w:val="00D97225"/>
    <w:pPr>
      <w:ind w:left="720"/>
      <w:contextualSpacing/>
    </w:pPr>
  </w:style>
  <w:style w:type="character" w:styleId="Hyperlink">
    <w:name w:val="Hyperlink"/>
    <w:basedOn w:val="DefaultParagraphFont"/>
    <w:uiPriority w:val="99"/>
    <w:unhideWhenUsed/>
    <w:rsid w:val="00FC5D6D"/>
    <w:rPr>
      <w:color w:val="0000FF"/>
      <w:u w:val="single"/>
    </w:rPr>
  </w:style>
  <w:style w:type="character" w:styleId="Emphasis">
    <w:name w:val="Emphasis"/>
    <w:basedOn w:val="DefaultParagraphFont"/>
    <w:uiPriority w:val="20"/>
    <w:qFormat/>
    <w:rsid w:val="00FC5D6D"/>
    <w:rPr>
      <w:i/>
      <w:iCs/>
    </w:rPr>
  </w:style>
  <w:style w:type="character" w:customStyle="1" w:styleId="Heading4Char">
    <w:name w:val="Heading 4 Char"/>
    <w:basedOn w:val="DefaultParagraphFont"/>
    <w:link w:val="Heading4"/>
    <w:uiPriority w:val="9"/>
    <w:semiHidden/>
    <w:rsid w:val="002814E4"/>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2814E4"/>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2814E4"/>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2814E4"/>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2814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814E4"/>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042F23"/>
    <w:pPr>
      <w:jc w:val="both"/>
    </w:pPr>
    <w:rPr>
      <w:sz w:val="20"/>
      <w:szCs w:val="20"/>
    </w:rPr>
  </w:style>
  <w:style w:type="character" w:customStyle="1" w:styleId="FootnoteTextChar">
    <w:name w:val="Footnote Text Char"/>
    <w:basedOn w:val="DefaultParagraphFont"/>
    <w:link w:val="FootnoteText"/>
    <w:uiPriority w:val="99"/>
    <w:rsid w:val="00042F23"/>
    <w:rPr>
      <w:rFonts w:ascii="Times New Roman" w:hAnsi="Times New Roman"/>
      <w:sz w:val="20"/>
      <w:szCs w:val="20"/>
    </w:rPr>
  </w:style>
  <w:style w:type="character" w:styleId="FootnoteReference">
    <w:name w:val="footnote reference"/>
    <w:basedOn w:val="DefaultParagraphFont"/>
    <w:uiPriority w:val="99"/>
    <w:semiHidden/>
    <w:unhideWhenUsed/>
    <w:rsid w:val="00042F23"/>
    <w:rPr>
      <w:vertAlign w:val="superscript"/>
    </w:rPr>
  </w:style>
  <w:style w:type="paragraph" w:styleId="Header">
    <w:name w:val="header"/>
    <w:basedOn w:val="Normal"/>
    <w:link w:val="HeaderChar"/>
    <w:uiPriority w:val="99"/>
    <w:unhideWhenUsed/>
    <w:rsid w:val="00BC572B"/>
    <w:pPr>
      <w:tabs>
        <w:tab w:val="center" w:pos="4680"/>
        <w:tab w:val="right" w:pos="9360"/>
      </w:tabs>
    </w:pPr>
  </w:style>
  <w:style w:type="character" w:customStyle="1" w:styleId="HeaderChar">
    <w:name w:val="Header Char"/>
    <w:basedOn w:val="DefaultParagraphFont"/>
    <w:link w:val="Header"/>
    <w:uiPriority w:val="99"/>
    <w:rsid w:val="00BC572B"/>
    <w:rPr>
      <w:rFonts w:ascii="Times New Roman" w:hAnsi="Times New Roman"/>
    </w:rPr>
  </w:style>
  <w:style w:type="paragraph" w:styleId="Footer">
    <w:name w:val="footer"/>
    <w:basedOn w:val="Normal"/>
    <w:link w:val="FooterChar"/>
    <w:uiPriority w:val="99"/>
    <w:unhideWhenUsed/>
    <w:rsid w:val="00BC572B"/>
    <w:pPr>
      <w:tabs>
        <w:tab w:val="center" w:pos="4680"/>
        <w:tab w:val="right" w:pos="9360"/>
      </w:tabs>
    </w:pPr>
  </w:style>
  <w:style w:type="character" w:customStyle="1" w:styleId="FooterChar">
    <w:name w:val="Footer Char"/>
    <w:basedOn w:val="DefaultParagraphFont"/>
    <w:link w:val="Footer"/>
    <w:uiPriority w:val="99"/>
    <w:rsid w:val="00BC572B"/>
    <w:rPr>
      <w:rFonts w:ascii="Times New Roman" w:hAnsi="Times New Roman"/>
    </w:rPr>
  </w:style>
  <w:style w:type="paragraph" w:styleId="Revision">
    <w:name w:val="Revision"/>
    <w:hidden/>
    <w:uiPriority w:val="99"/>
    <w:semiHidden/>
    <w:rsid w:val="009144BF"/>
    <w:pPr>
      <w:spacing w:after="0" w:line="240" w:lineRule="auto"/>
    </w:pPr>
    <w:rPr>
      <w:rFonts w:ascii="Times New Roman" w:hAnsi="Times New Roman"/>
    </w:rPr>
  </w:style>
  <w:style w:type="character" w:customStyle="1" w:styleId="hlfld-contribauthor">
    <w:name w:val="hlfld-contribauthor"/>
    <w:basedOn w:val="DefaultParagraphFont"/>
    <w:rsid w:val="001B1657"/>
  </w:style>
  <w:style w:type="character" w:customStyle="1" w:styleId="nlmgiven-names">
    <w:name w:val="nlm_given-names"/>
    <w:basedOn w:val="DefaultParagraphFont"/>
    <w:rsid w:val="001B1657"/>
  </w:style>
  <w:style w:type="character" w:customStyle="1" w:styleId="nlmyear">
    <w:name w:val="nlm_year"/>
    <w:basedOn w:val="DefaultParagraphFont"/>
    <w:rsid w:val="001B1657"/>
  </w:style>
  <w:style w:type="character" w:customStyle="1" w:styleId="nlmarticle-title">
    <w:name w:val="nlm_article-title"/>
    <w:basedOn w:val="DefaultParagraphFont"/>
    <w:rsid w:val="001B1657"/>
  </w:style>
  <w:style w:type="character" w:customStyle="1" w:styleId="nlmfpage">
    <w:name w:val="nlm_fpage"/>
    <w:basedOn w:val="DefaultParagraphFont"/>
    <w:rsid w:val="001B1657"/>
  </w:style>
  <w:style w:type="character" w:customStyle="1" w:styleId="nlmlpage">
    <w:name w:val="nlm_lpage"/>
    <w:basedOn w:val="DefaultParagraphFont"/>
    <w:rsid w:val="001B1657"/>
  </w:style>
  <w:style w:type="character" w:styleId="FollowedHyperlink">
    <w:name w:val="FollowedHyperlink"/>
    <w:basedOn w:val="DefaultParagraphFont"/>
    <w:uiPriority w:val="99"/>
    <w:semiHidden/>
    <w:unhideWhenUsed/>
    <w:rsid w:val="00222B39"/>
    <w:rPr>
      <w:color w:val="954F72" w:themeColor="followedHyperlink"/>
      <w:u w:val="single"/>
    </w:rPr>
  </w:style>
  <w:style w:type="character" w:styleId="UnresolvedMention">
    <w:name w:val="Unresolved Mention"/>
    <w:basedOn w:val="DefaultParagraphFont"/>
    <w:uiPriority w:val="99"/>
    <w:semiHidden/>
    <w:unhideWhenUsed/>
    <w:rsid w:val="00C96874"/>
    <w:rPr>
      <w:color w:val="605E5C"/>
      <w:shd w:val="clear" w:color="auto" w:fill="E1DFDD"/>
    </w:rPr>
  </w:style>
  <w:style w:type="character" w:styleId="CommentReference">
    <w:name w:val="annotation reference"/>
    <w:basedOn w:val="DefaultParagraphFont"/>
    <w:uiPriority w:val="99"/>
    <w:semiHidden/>
    <w:unhideWhenUsed/>
    <w:rsid w:val="00680A63"/>
    <w:rPr>
      <w:sz w:val="16"/>
      <w:szCs w:val="16"/>
    </w:rPr>
  </w:style>
  <w:style w:type="paragraph" w:styleId="CommentText">
    <w:name w:val="annotation text"/>
    <w:basedOn w:val="Normal"/>
    <w:link w:val="CommentTextChar"/>
    <w:uiPriority w:val="99"/>
    <w:semiHidden/>
    <w:unhideWhenUsed/>
    <w:rsid w:val="00680A63"/>
    <w:rPr>
      <w:sz w:val="20"/>
      <w:szCs w:val="20"/>
    </w:rPr>
  </w:style>
  <w:style w:type="character" w:customStyle="1" w:styleId="CommentTextChar">
    <w:name w:val="Comment Text Char"/>
    <w:basedOn w:val="DefaultParagraphFont"/>
    <w:link w:val="CommentText"/>
    <w:uiPriority w:val="99"/>
    <w:semiHidden/>
    <w:rsid w:val="00680A6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80A63"/>
    <w:rPr>
      <w:b/>
      <w:bCs/>
    </w:rPr>
  </w:style>
  <w:style w:type="character" w:customStyle="1" w:styleId="CommentSubjectChar">
    <w:name w:val="Comment Subject Char"/>
    <w:basedOn w:val="CommentTextChar"/>
    <w:link w:val="CommentSubject"/>
    <w:uiPriority w:val="99"/>
    <w:semiHidden/>
    <w:rsid w:val="00680A63"/>
    <w:rPr>
      <w:rFonts w:ascii="Times New Roman" w:hAnsi="Times New Roman"/>
      <w:b/>
      <w:bCs/>
      <w:sz w:val="20"/>
      <w:szCs w:val="20"/>
    </w:rPr>
  </w:style>
  <w:style w:type="paragraph" w:styleId="NormalWeb">
    <w:name w:val="Normal (Web)"/>
    <w:basedOn w:val="Normal"/>
    <w:uiPriority w:val="99"/>
    <w:unhideWhenUsed/>
    <w:rsid w:val="007213F4"/>
    <w:pPr>
      <w:spacing w:after="360"/>
    </w:pPr>
    <w:rPr>
      <w:rFonts w:eastAsia="Times New Roman" w:cs="Times New Roman"/>
      <w:szCs w:val="24"/>
    </w:rPr>
  </w:style>
  <w:style w:type="paragraph" w:customStyle="1" w:styleId="Response">
    <w:name w:val="Response"/>
    <w:basedOn w:val="Normal"/>
    <w:link w:val="ResponseChar"/>
    <w:qFormat/>
    <w:rsid w:val="0004354B"/>
    <w:pPr>
      <w:spacing w:after="160" w:line="259" w:lineRule="auto"/>
      <w:ind w:left="720"/>
      <w:jc w:val="both"/>
    </w:pPr>
    <w:rPr>
      <w:rFonts w:cs="Times New Roman"/>
      <w:szCs w:val="24"/>
    </w:rPr>
  </w:style>
  <w:style w:type="character" w:customStyle="1" w:styleId="ResponseChar">
    <w:name w:val="Response Char"/>
    <w:basedOn w:val="DefaultParagraphFont"/>
    <w:link w:val="Response"/>
    <w:rsid w:val="000435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059639">
      <w:bodyDiv w:val="1"/>
      <w:marLeft w:val="0"/>
      <w:marRight w:val="0"/>
      <w:marTop w:val="0"/>
      <w:marBottom w:val="0"/>
      <w:divBdr>
        <w:top w:val="none" w:sz="0" w:space="0" w:color="auto"/>
        <w:left w:val="none" w:sz="0" w:space="0" w:color="auto"/>
        <w:bottom w:val="none" w:sz="0" w:space="0" w:color="auto"/>
        <w:right w:val="none" w:sz="0" w:space="0" w:color="auto"/>
      </w:divBdr>
    </w:div>
    <w:div w:id="448202812">
      <w:bodyDiv w:val="1"/>
      <w:marLeft w:val="0"/>
      <w:marRight w:val="0"/>
      <w:marTop w:val="0"/>
      <w:marBottom w:val="0"/>
      <w:divBdr>
        <w:top w:val="none" w:sz="0" w:space="0" w:color="auto"/>
        <w:left w:val="none" w:sz="0" w:space="0" w:color="auto"/>
        <w:bottom w:val="none" w:sz="0" w:space="0" w:color="auto"/>
        <w:right w:val="none" w:sz="0" w:space="0" w:color="auto"/>
      </w:divBdr>
    </w:div>
    <w:div w:id="182265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hyperlink" Target="https://irle.ucla.edu/wp-content/uploads/2018/05/Final-Report.-UCLA-More-than-a-Gig.pdf" TargetMode="External"/><Relationship Id="rId21" Type="http://schemas.openxmlformats.org/officeDocument/2006/relationships/image" Target="media/image5.wmf"/><Relationship Id="rId34" Type="http://schemas.openxmlformats.org/officeDocument/2006/relationships/hyperlink" Target="https://www.aarp.org/content/dam/aarp/research/surveys_statistics/life-leisure/2019/2020-travel-trends.doi.10.26419-2Fres.00359.001.pdf" TargetMode="External"/><Relationship Id="rId42" Type="http://schemas.openxmlformats.org/officeDocument/2006/relationships/hyperlink" Target="http://www.carinsurance.com/Articles/autonomous-cars-ready.aspx"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hyperlink" Target="https://thriveworks.com/blog/control-freak-personality-disord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6.bin"/><Relationship Id="rId32" Type="http://schemas.openxmlformats.org/officeDocument/2006/relationships/hyperlink" Target="https://doi.org/10.1016/j.paid.2004.09.015" TargetMode="External"/><Relationship Id="rId37" Type="http://schemas.openxmlformats.org/officeDocument/2006/relationships/hyperlink" Target="https://assets.kpmg/content/dam/kpmg/pdf/2013/10/self-driving-cars-are-we-ready.pdf" TargetMode="External"/><Relationship Id="rId40" Type="http://schemas.openxmlformats.org/officeDocument/2006/relationships/hyperlink" Target="https://www.bls.gov/news.release/pdf/cesan.pdf" TargetMode="External"/><Relationship Id="rId45"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s://doi.org/10.3386/t0117" TargetMode="External"/><Relationship Id="rId36" Type="http://schemas.openxmlformats.org/officeDocument/2006/relationships/hyperlink" Target="https://www.caee.utexas.edu/prof/bhat/TechAV.html" TargetMode="External"/><Relationship Id="rId10" Type="http://schemas.openxmlformats.org/officeDocument/2006/relationships/hyperlink" Target="mailto:bhat@mail.utexas.edu" TargetMode="External"/><Relationship Id="rId19" Type="http://schemas.openxmlformats.org/officeDocument/2006/relationships/image" Target="media/image4.wmf"/><Relationship Id="rId31" Type="http://schemas.openxmlformats.org/officeDocument/2006/relationships/hyperlink" Target="https://doi.org/10.1109/IVS.2019.8814145" TargetMode="External"/><Relationship Id="rId44" Type="http://schemas.openxmlformats.org/officeDocument/2006/relationships/hyperlink" Target="https://doi.org/10.1177/0739456X18776062" TargetMode="External"/><Relationship Id="rId4" Type="http://schemas.openxmlformats.org/officeDocument/2006/relationships/settings" Target="settings.xml"/><Relationship Id="rId9" Type="http://schemas.openxmlformats.org/officeDocument/2006/relationships/hyperlink" Target="mailto:aupal.mondal@utexas.edu"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yperlink" Target="https://spectrum.ieee.org/transportation/self-driving/surprise-2020-is-not-the-year-for-selfdriving-cars" TargetMode="External"/><Relationship Id="rId30" Type="http://schemas.openxmlformats.org/officeDocument/2006/relationships/hyperlink" Target="https://ssrn.com/abstract=3490803" TargetMode="External"/><Relationship Id="rId35" Type="http://schemas.openxmlformats.org/officeDocument/2006/relationships/hyperlink" Target="https://www.vtpi.org/avip.pdf" TargetMode="External"/><Relationship Id="rId43" Type="http://schemas.openxmlformats.org/officeDocument/2006/relationships/hyperlink" Target="https://doi.org/10.1007/978-3-319-58071-5_20" TargetMode="External"/><Relationship Id="rId48" Type="http://schemas.openxmlformats.org/officeDocument/2006/relationships/theme" Target="theme/theme1.xml"/><Relationship Id="rId8" Type="http://schemas.openxmlformats.org/officeDocument/2006/relationships/hyperlink" Target="mailto:kasmussen29@utexas.edu" TargetMode="External"/><Relationship Id="rId3" Type="http://schemas.openxmlformats.org/officeDocument/2006/relationships/styles" Target="styles.xml"/><Relationship Id="rId12" Type="http://schemas.openxmlformats.org/officeDocument/2006/relationships/hyperlink" Target="https://www.caee.utexas.edu/prof/bhat/ABSTRACTS/STRCSP/OnlineSupp.pdf"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yperlink" Target="https://planning-org-uploaded-media.s3.amazonaws.com/document/Autonomous-Vehicles-Symposium-Report.pdf" TargetMode="External"/><Relationship Id="rId38" Type="http://schemas.openxmlformats.org/officeDocument/2006/relationships/hyperlink" Target="https://www.sae.org/news/press-room/2018/12/sae-international-releases-updated-visual-chart-for-its-%E2%80%9Clevels-of-driving-automation%E2%80%9D-standard-for-self-driving-vehicles" TargetMode="External"/><Relationship Id="rId46" Type="http://schemas.openxmlformats.org/officeDocument/2006/relationships/footer" Target="footer2.xml"/><Relationship Id="rId20" Type="http://schemas.openxmlformats.org/officeDocument/2006/relationships/oleObject" Target="embeddings/oleObject4.bin"/><Relationship Id="rId41" Type="http://schemas.openxmlformats.org/officeDocument/2006/relationships/hyperlink" Target="https://censusreporter.org/profiles/31000US12420-austin-round-rock-tx-metro-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75BF7-EED7-46E0-AFDE-E7FD35E62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18976</Words>
  <Characters>108164</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asmussen</dc:creator>
  <cp:keywords/>
  <dc:description/>
  <cp:lastModifiedBy>Macias, Lisa J</cp:lastModifiedBy>
  <cp:revision>2</cp:revision>
  <cp:lastPrinted>2020-07-19T17:07:00Z</cp:lastPrinted>
  <dcterms:created xsi:type="dcterms:W3CDTF">2020-10-07T20:27:00Z</dcterms:created>
  <dcterms:modified xsi:type="dcterms:W3CDTF">2020-10-07T20:27:00Z</dcterms:modified>
</cp:coreProperties>
</file>