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4FAB9" w14:textId="77777777" w:rsidR="00D96884" w:rsidRDefault="00D96884" w:rsidP="00D96884">
      <w:pPr>
        <w:spacing w:after="120"/>
        <w:jc w:val="center"/>
        <w:rPr>
          <w:b/>
        </w:rPr>
      </w:pPr>
      <w:r w:rsidRPr="00F70568">
        <w:rPr>
          <w:b/>
        </w:rPr>
        <w:t xml:space="preserve">Online Supplement to </w:t>
      </w:r>
    </w:p>
    <w:p w14:paraId="6FB370BB" w14:textId="77777777" w:rsidR="00620AE8" w:rsidRDefault="00620AE8" w:rsidP="00D96884">
      <w:pPr>
        <w:spacing w:after="120"/>
        <w:jc w:val="center"/>
        <w:rPr>
          <w:b/>
        </w:rPr>
      </w:pPr>
    </w:p>
    <w:p w14:paraId="608DC392" w14:textId="3B288C15" w:rsidR="00D361D2" w:rsidRDefault="00D96884" w:rsidP="00D96884">
      <w:pPr>
        <w:jc w:val="center"/>
        <w:rPr>
          <w:b/>
          <w:bCs/>
        </w:rPr>
      </w:pPr>
      <w:r w:rsidRPr="00F70568">
        <w:rPr>
          <w:b/>
        </w:rPr>
        <w:t>“</w:t>
      </w:r>
      <w:r w:rsidR="00620AE8" w:rsidRPr="00620AE8">
        <w:rPr>
          <w:b/>
          <w:bCs/>
        </w:rPr>
        <w:t xml:space="preserve">Analysis </w:t>
      </w:r>
      <w:r w:rsidR="0005013D" w:rsidRPr="00620AE8">
        <w:rPr>
          <w:b/>
          <w:bCs/>
        </w:rPr>
        <w:t>of</w:t>
      </w:r>
      <w:r w:rsidR="00620AE8" w:rsidRPr="00620AE8">
        <w:rPr>
          <w:b/>
          <w:bCs/>
        </w:rPr>
        <w:t xml:space="preserve"> The Impact </w:t>
      </w:r>
      <w:r w:rsidR="0005013D">
        <w:rPr>
          <w:b/>
          <w:bCs/>
        </w:rPr>
        <w:t>o</w:t>
      </w:r>
      <w:r w:rsidR="0005013D" w:rsidRPr="00620AE8">
        <w:rPr>
          <w:b/>
          <w:bCs/>
        </w:rPr>
        <w:t xml:space="preserve">f </w:t>
      </w:r>
      <w:r w:rsidR="00620AE8" w:rsidRPr="00620AE8">
        <w:rPr>
          <w:b/>
          <w:bCs/>
        </w:rPr>
        <w:t xml:space="preserve">Technology Use On Multi-Modality </w:t>
      </w:r>
      <w:r w:rsidR="0005013D">
        <w:rPr>
          <w:b/>
          <w:bCs/>
        </w:rPr>
        <w:t>a</w:t>
      </w:r>
      <w:r w:rsidR="0005013D" w:rsidRPr="00620AE8">
        <w:rPr>
          <w:b/>
          <w:bCs/>
        </w:rPr>
        <w:t xml:space="preserve">nd </w:t>
      </w:r>
    </w:p>
    <w:p w14:paraId="51F8BADB" w14:textId="299BFEE1" w:rsidR="00D96884" w:rsidRDefault="00620AE8" w:rsidP="00D96884">
      <w:pPr>
        <w:jc w:val="center"/>
        <w:rPr>
          <w:b/>
        </w:rPr>
      </w:pPr>
      <w:r w:rsidRPr="00620AE8">
        <w:rPr>
          <w:b/>
          <w:bCs/>
        </w:rPr>
        <w:t>Activity-Travel Characteristics</w:t>
      </w:r>
      <w:r w:rsidR="00D96884" w:rsidRPr="00F70568">
        <w:rPr>
          <w:b/>
        </w:rPr>
        <w:t>”</w:t>
      </w:r>
    </w:p>
    <w:p w14:paraId="4E254663" w14:textId="77777777" w:rsidR="00620AE8" w:rsidRDefault="00620AE8" w:rsidP="00620AE8">
      <w:pPr>
        <w:rPr>
          <w:b/>
        </w:rPr>
      </w:pPr>
    </w:p>
    <w:p w14:paraId="070A3436" w14:textId="77777777" w:rsidR="00620AE8" w:rsidRDefault="00620AE8" w:rsidP="00620AE8">
      <w:pPr>
        <w:jc w:val="center"/>
        <w:rPr>
          <w:bCs/>
        </w:rPr>
      </w:pPr>
      <w:r w:rsidRPr="00145322">
        <w:t>Sebastian Astroza,</w:t>
      </w:r>
      <w:r>
        <w:t xml:space="preserve"> Venu M. Garikapati, </w:t>
      </w:r>
      <w:r w:rsidRPr="00145322">
        <w:t xml:space="preserve">Chandra R. Bhat </w:t>
      </w:r>
      <w:r w:rsidRPr="00145322">
        <w:rPr>
          <w:bCs/>
          <w:i/>
        </w:rPr>
        <w:t>(corresponding author)</w:t>
      </w:r>
      <w:r>
        <w:rPr>
          <w:bCs/>
        </w:rPr>
        <w:t xml:space="preserve">, </w:t>
      </w:r>
    </w:p>
    <w:p w14:paraId="2D81B2D7" w14:textId="27D4B74D" w:rsidR="00620AE8" w:rsidRPr="00620AE8" w:rsidRDefault="00620AE8" w:rsidP="00620AE8">
      <w:pPr>
        <w:jc w:val="center"/>
      </w:pPr>
      <w:r>
        <w:rPr>
          <w:bCs/>
        </w:rPr>
        <w:t xml:space="preserve">Ram M. Pendyala, Patricia </w:t>
      </w:r>
      <w:r w:rsidR="00432336">
        <w:rPr>
          <w:bCs/>
        </w:rPr>
        <w:t xml:space="preserve">S. </w:t>
      </w:r>
      <w:r>
        <w:rPr>
          <w:bCs/>
        </w:rPr>
        <w:t>Lavíeri, and Felipe F. Dias.</w:t>
      </w:r>
    </w:p>
    <w:p w14:paraId="63B6B6EC" w14:textId="77777777" w:rsidR="00D96884" w:rsidRDefault="00D96884" w:rsidP="00D96884">
      <w:pPr>
        <w:spacing w:line="360" w:lineRule="auto"/>
        <w:rPr>
          <w:b/>
        </w:rPr>
      </w:pPr>
    </w:p>
    <w:p w14:paraId="73946D3F" w14:textId="1D92E1D7" w:rsidR="00A8233B" w:rsidRPr="00D96884" w:rsidRDefault="00A8233B" w:rsidP="00D96884">
      <w:pPr>
        <w:spacing w:line="360" w:lineRule="auto"/>
        <w:rPr>
          <w:u w:val="single"/>
        </w:rPr>
      </w:pPr>
      <w:r w:rsidRPr="00D96884">
        <w:rPr>
          <w:u w:val="single"/>
        </w:rPr>
        <w:t xml:space="preserve">Descriptive </w:t>
      </w:r>
      <w:r w:rsidR="00D56517">
        <w:rPr>
          <w:u w:val="single"/>
        </w:rPr>
        <w:t>Statistics</w:t>
      </w:r>
      <w:r w:rsidR="00D56517" w:rsidRPr="00D96884">
        <w:rPr>
          <w:u w:val="single"/>
        </w:rPr>
        <w:t xml:space="preserve"> </w:t>
      </w:r>
      <w:r w:rsidRPr="00D96884">
        <w:rPr>
          <w:u w:val="single"/>
        </w:rPr>
        <w:t xml:space="preserve">of the </w:t>
      </w:r>
      <w:r w:rsidR="00D56517">
        <w:rPr>
          <w:u w:val="single"/>
        </w:rPr>
        <w:t xml:space="preserve">Survey </w:t>
      </w:r>
      <w:r w:rsidRPr="00D96884">
        <w:rPr>
          <w:u w:val="single"/>
        </w:rPr>
        <w:t>Sample</w:t>
      </w:r>
    </w:p>
    <w:p w14:paraId="6F10F9E3" w14:textId="45017A25" w:rsidR="00A8233B" w:rsidRPr="00676764" w:rsidRDefault="00A8233B" w:rsidP="00676764">
      <w:pPr>
        <w:pStyle w:val="ListParagraph"/>
        <w:spacing w:line="360" w:lineRule="auto"/>
        <w:ind w:left="0"/>
        <w:jc w:val="both"/>
      </w:pPr>
      <w:r w:rsidRPr="00934F70">
        <w:t xml:space="preserve">Table 1 provides descriptive statistics of </w:t>
      </w:r>
      <w:r>
        <w:t xml:space="preserve">the </w:t>
      </w:r>
      <w:r w:rsidR="00795688">
        <w:t>dependent variables</w:t>
      </w:r>
      <w:r w:rsidRPr="00934F70">
        <w:t xml:space="preserve"> </w:t>
      </w:r>
      <w:r w:rsidR="00795688">
        <w:t>that are common for both years</w:t>
      </w:r>
      <w:r w:rsidR="004D609A">
        <w:t xml:space="preserve"> (</w:t>
      </w:r>
      <w:r w:rsidR="00795688">
        <w:t>2014 and 2015</w:t>
      </w:r>
      <w:r w:rsidR="004D609A">
        <w:t>)</w:t>
      </w:r>
      <w:r w:rsidR="00795688">
        <w:t xml:space="preserve">. </w:t>
      </w:r>
      <w:r w:rsidR="004D609A">
        <w:t>It can be observed from the table</w:t>
      </w:r>
      <w:r w:rsidR="00795688">
        <w:t xml:space="preserve"> that the differences </w:t>
      </w:r>
      <w:r w:rsidR="004D609A">
        <w:t xml:space="preserve">in distributions of dependent variables across survey years </w:t>
      </w:r>
      <w:r w:rsidR="00795688">
        <w:t xml:space="preserve">are </w:t>
      </w:r>
      <w:r w:rsidR="00676764">
        <w:t>relatively small</w:t>
      </w:r>
      <w:r w:rsidR="00795688">
        <w:t>.</w:t>
      </w:r>
      <w:r w:rsidR="00676764">
        <w:t xml:space="preserve"> This </w:t>
      </w:r>
      <w:r w:rsidR="004D609A">
        <w:t>finding reinforces the ‘</w:t>
      </w:r>
      <w:r w:rsidR="00676764" w:rsidRPr="00676764">
        <w:t>transferability of behavior</w:t>
      </w:r>
      <w:r w:rsidR="00155391">
        <w:t>’</w:t>
      </w:r>
      <w:r w:rsidR="00676764">
        <w:t xml:space="preserve"> assumption</w:t>
      </w:r>
      <w:r w:rsidR="004D609A">
        <w:t xml:space="preserve"> made i</w:t>
      </w:r>
      <w:bookmarkStart w:id="0" w:name="_GoBack"/>
      <w:bookmarkEnd w:id="0"/>
      <w:r w:rsidR="004D609A">
        <w:t xml:space="preserve">n utilizing the pooled survey dataset </w:t>
      </w:r>
      <w:r w:rsidR="00676764">
        <w:t>(see footnote 1 from the original paper).</w:t>
      </w:r>
    </w:p>
    <w:p w14:paraId="794F7F49" w14:textId="60549493" w:rsidR="00A8233B" w:rsidRDefault="00676764" w:rsidP="00A8233B">
      <w:pPr>
        <w:pStyle w:val="ListParagraph"/>
        <w:spacing w:line="360" w:lineRule="auto"/>
        <w:ind w:left="0" w:firstLine="720"/>
        <w:jc w:val="both"/>
      </w:pPr>
      <w:r>
        <w:t>Figure 1</w:t>
      </w:r>
      <w:r w:rsidR="003416A5">
        <w:t xml:space="preserve"> is a graphic</w:t>
      </w:r>
      <w:r w:rsidR="004D609A">
        <w:t>al</w:t>
      </w:r>
      <w:r w:rsidR="003416A5">
        <w:t xml:space="preserve"> r</w:t>
      </w:r>
      <w:r w:rsidR="003416A5" w:rsidRPr="003416A5">
        <w:t>epresentation of</w:t>
      </w:r>
      <w:r w:rsidR="003416A5">
        <w:t xml:space="preserve"> the relationship between</w:t>
      </w:r>
      <w:r w:rsidR="00432336">
        <w:t xml:space="preserve"> age cohorts, smart</w:t>
      </w:r>
      <w:r w:rsidR="003416A5" w:rsidRPr="003416A5">
        <w:t>phone app</w:t>
      </w:r>
      <w:r w:rsidR="00432336">
        <w:t>s</w:t>
      </w:r>
      <w:r w:rsidR="003416A5" w:rsidRPr="003416A5">
        <w:t xml:space="preserve"> use, and mode choice</w:t>
      </w:r>
      <w:r w:rsidR="003416A5">
        <w:t xml:space="preserve">. For each of the five age </w:t>
      </w:r>
      <w:r w:rsidR="004D609A">
        <w:t xml:space="preserve">categories </w:t>
      </w:r>
      <w:r w:rsidR="003416A5">
        <w:t xml:space="preserve">in </w:t>
      </w:r>
      <w:r w:rsidR="004D609A">
        <w:t xml:space="preserve">the final survey </w:t>
      </w:r>
      <w:r w:rsidR="003416A5">
        <w:t xml:space="preserve">sample, </w:t>
      </w:r>
      <w:r w:rsidR="004D609A">
        <w:t>the graphs depict</w:t>
      </w:r>
      <w:r w:rsidR="00EA578A">
        <w:t xml:space="preserve"> the percentage of individuals that fall in each of the categories defined by smartphone level of use (3 levels) and transportation mode (6 modes)</w:t>
      </w:r>
      <w:r w:rsidR="003416A5">
        <w:t>.</w:t>
      </w:r>
      <w:r w:rsidR="00EA578A">
        <w:t xml:space="preserve"> For example, the first blue bar </w:t>
      </w:r>
      <w:r w:rsidR="004D609A">
        <w:t xml:space="preserve">towards </w:t>
      </w:r>
      <w:r w:rsidR="00EA578A">
        <w:t>the left in the first graph can be interpreted as</w:t>
      </w:r>
      <w:r w:rsidR="004D609A">
        <w:t>:</w:t>
      </w:r>
      <w:r w:rsidR="00EA578A">
        <w:t xml:space="preserve"> </w:t>
      </w:r>
      <w:r w:rsidR="004D609A">
        <w:t xml:space="preserve">about </w:t>
      </w:r>
      <w:r w:rsidR="00EA578A">
        <w:t xml:space="preserve">20% of the individuals between 18 and 34 years old never use their smartphone (to obtain travel information) and usually use </w:t>
      </w:r>
      <w:r w:rsidR="004D609A">
        <w:t xml:space="preserve">a </w:t>
      </w:r>
      <w:r w:rsidR="00EA578A">
        <w:t>car</w:t>
      </w:r>
      <w:r w:rsidR="007C098A">
        <w:t xml:space="preserve"> for their travel needs</w:t>
      </w:r>
      <w:r w:rsidR="00EA578A">
        <w:t>.</w:t>
      </w:r>
      <w:r w:rsidR="00E25C7D">
        <w:t xml:space="preserve"> </w:t>
      </w:r>
      <w:r w:rsidR="00E71B06">
        <w:t>The graphs clearly show</w:t>
      </w:r>
      <w:r w:rsidR="00E25C7D">
        <w:t xml:space="preserve"> </w:t>
      </w:r>
      <w:r w:rsidR="00E71B06">
        <w:t xml:space="preserve">how </w:t>
      </w:r>
      <w:r w:rsidR="00E25C7D">
        <w:t>the new</w:t>
      </w:r>
      <w:r w:rsidR="00E71B06">
        <w:t>er</w:t>
      </w:r>
      <w:r w:rsidR="00E25C7D">
        <w:t xml:space="preserve"> mode</w:t>
      </w:r>
      <w:r w:rsidR="00E71B06">
        <w:t>s</w:t>
      </w:r>
      <w:r w:rsidR="00E25C7D">
        <w:t xml:space="preserve"> of transportation (car-sharing and ride-sourcing) are related to the use of smartphone. For young</w:t>
      </w:r>
      <w:r w:rsidR="00E71B06">
        <w:t>er</w:t>
      </w:r>
      <w:r w:rsidR="00E25C7D">
        <w:t xml:space="preserve"> </w:t>
      </w:r>
      <w:r w:rsidR="00E71B06">
        <w:t xml:space="preserve">(18-34 years) </w:t>
      </w:r>
      <w:r w:rsidR="00E25C7D">
        <w:t xml:space="preserve">individuals, the use of smartphone also increases the use of transit, walking and biking. </w:t>
      </w:r>
      <w:r w:rsidR="00E71B06">
        <w:t>It can also be observed from the graphs</w:t>
      </w:r>
      <w:r w:rsidR="00E25C7D">
        <w:t xml:space="preserve"> that for old</w:t>
      </w:r>
      <w:r w:rsidR="00E71B06">
        <w:t>er</w:t>
      </w:r>
      <w:r w:rsidR="00E25C7D">
        <w:t xml:space="preserve"> individuals</w:t>
      </w:r>
      <w:r w:rsidR="00E71B06">
        <w:t xml:space="preserve"> (≥ 55 years)</w:t>
      </w:r>
      <w:r w:rsidR="00E25C7D">
        <w:t>, car is clearly the dominant mode</w:t>
      </w:r>
      <w:r w:rsidR="00E71B06">
        <w:t xml:space="preserve"> of choice</w:t>
      </w:r>
      <w:r w:rsidR="00E25C7D">
        <w:t xml:space="preserve">. </w:t>
      </w:r>
    </w:p>
    <w:p w14:paraId="79D2FD3D" w14:textId="77777777" w:rsidR="00A8233B" w:rsidRDefault="00A8233B" w:rsidP="00A8233B">
      <w:pPr>
        <w:spacing w:line="360" w:lineRule="auto"/>
        <w:jc w:val="center"/>
        <w:rPr>
          <w:b/>
        </w:rPr>
      </w:pPr>
    </w:p>
    <w:p w14:paraId="2E4A18C1" w14:textId="77777777" w:rsidR="00A8233B" w:rsidRPr="00D96884" w:rsidRDefault="00A8233B" w:rsidP="00D96884">
      <w:pPr>
        <w:spacing w:line="360" w:lineRule="auto"/>
        <w:rPr>
          <w:u w:val="single"/>
        </w:rPr>
      </w:pPr>
      <w:r w:rsidRPr="00D96884">
        <w:rPr>
          <w:u w:val="single"/>
        </w:rPr>
        <w:t>Computation of the Average Treatment Effects</w:t>
      </w:r>
    </w:p>
    <w:p w14:paraId="1D0B7326" w14:textId="129517DD" w:rsidR="00A8233B" w:rsidRPr="0006288D" w:rsidRDefault="00A8233B" w:rsidP="00D310AB">
      <w:pPr>
        <w:spacing w:line="360" w:lineRule="auto"/>
        <w:jc w:val="both"/>
      </w:pPr>
      <w:r>
        <w:t xml:space="preserve">For </w:t>
      </w:r>
      <w:r w:rsidR="00D310AB">
        <w:t>the ordinal and binomial variables (multi-modality, tour accompaniment</w:t>
      </w:r>
      <w:r w:rsidR="00D56517">
        <w:t>,</w:t>
      </w:r>
      <w:r w:rsidR="00D310AB">
        <w:t xml:space="preserve"> and recreational tours)</w:t>
      </w:r>
      <w:r>
        <w:t>, t</w:t>
      </w:r>
      <w:r w:rsidRPr="00C25681">
        <w:t>he measure</w:t>
      </w:r>
      <w:r w:rsidR="00D310AB">
        <w:t xml:space="preserve"> of treatment effect due to a change in smartphone ownership</w:t>
      </w:r>
      <w:r w:rsidRPr="00C25681">
        <w:t xml:space="preserve"> is estimated as follows:</w:t>
      </w:r>
    </w:p>
    <w:p w14:paraId="5B4D2F47" w14:textId="665BAF01" w:rsidR="00A8233B" w:rsidRPr="00C25681" w:rsidRDefault="00ED6A14" w:rsidP="00A8233B">
      <w:pPr>
        <w:tabs>
          <w:tab w:val="right" w:pos="9360"/>
        </w:tabs>
        <w:spacing w:line="360" w:lineRule="auto"/>
        <w:jc w:val="both"/>
      </w:pPr>
      <w:r w:rsidRPr="00D310AB">
        <w:rPr>
          <w:position w:val="-30"/>
        </w:rPr>
        <w:object w:dxaOrig="9440" w:dyaOrig="720" w14:anchorId="536EC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2pt;height:36.85pt" o:ole="" o:preferrelative="f">
            <v:imagedata r:id="rId6" o:title=""/>
            <o:lock v:ext="edit" aspectratio="f"/>
          </v:shape>
          <o:OLEObject Type="Embed" ProgID="Equation.3" ShapeID="_x0000_i1025" DrawAspect="Content" ObjectID="_1540727409" r:id="rId7"/>
        </w:object>
      </w:r>
    </w:p>
    <w:p w14:paraId="3B1B92A8" w14:textId="496B6CE0" w:rsidR="00A8233B" w:rsidRDefault="00A8233B" w:rsidP="00795688">
      <w:pPr>
        <w:spacing w:line="360" w:lineRule="auto"/>
        <w:jc w:val="both"/>
      </w:pPr>
      <w:r w:rsidRPr="00C25681">
        <w:lastRenderedPageBreak/>
        <w:t xml:space="preserve">where </w:t>
      </w:r>
      <w:r w:rsidR="00D310AB" w:rsidRPr="00C25681">
        <w:rPr>
          <w:position w:val="-14"/>
        </w:rPr>
        <w:object w:dxaOrig="279" w:dyaOrig="380" w14:anchorId="5B1880CF">
          <v:shape id="_x0000_i1026" type="#_x0000_t75" style="width:13.4pt;height:18.4pt" o:ole="" o:preferrelative="f">
            <v:imagedata r:id="rId8" o:title=""/>
            <o:lock v:ext="edit" aspectratio="f"/>
          </v:shape>
          <o:OLEObject Type="Embed" ProgID="Equation.3" ShapeID="_x0000_i1026" DrawAspect="Content" ObjectID="_1540727410" r:id="rId9"/>
        </w:object>
      </w:r>
      <w:r>
        <w:t xml:space="preserve"> </w:t>
      </w:r>
      <w:r w:rsidRPr="00C25681">
        <w:t xml:space="preserve">is the dummy variable for the </w:t>
      </w:r>
      <w:r w:rsidR="00D310AB">
        <w:t>smartphone ownership fo</w:t>
      </w:r>
      <w:r w:rsidRPr="00C25681">
        <w:t>r</w:t>
      </w:r>
      <w:r>
        <w:t xml:space="preserve"> </w:t>
      </w:r>
      <w:r w:rsidRPr="00C25681">
        <w:t xml:space="preserve">the </w:t>
      </w:r>
      <w:r w:rsidR="00D310AB">
        <w:t xml:space="preserve">individual </w:t>
      </w:r>
      <w:r w:rsidRPr="00C25681">
        <w:rPr>
          <w:i/>
        </w:rPr>
        <w:t>q</w:t>
      </w:r>
      <w:r w:rsidR="00D310AB">
        <w:t xml:space="preserve">, and </w:t>
      </w:r>
      <w:r w:rsidR="00D310AB" w:rsidRPr="00B93509">
        <w:rPr>
          <w:i/>
        </w:rPr>
        <w:t>g</w:t>
      </w:r>
      <w:r w:rsidR="00D310AB">
        <w:t xml:space="preserve"> is any category of the ordinal/binomial variable.</w:t>
      </w:r>
      <w:r w:rsidRPr="00C25681">
        <w:t xml:space="preserve"> </w:t>
      </w:r>
      <w:r w:rsidR="00795688">
        <w:t xml:space="preserve">Similarly, the ATE measure can be computed when </w:t>
      </w:r>
      <w:r w:rsidR="00795688" w:rsidRPr="00C25681">
        <w:rPr>
          <w:position w:val="-14"/>
        </w:rPr>
        <w:object w:dxaOrig="279" w:dyaOrig="380" w14:anchorId="56127597">
          <v:shape id="_x0000_i1027" type="#_x0000_t75" style="width:13.4pt;height:18.4pt" o:ole="" o:preferrelative="f">
            <v:imagedata r:id="rId8" o:title=""/>
            <o:lock v:ext="edit" aspectratio="f"/>
          </v:shape>
          <o:OLEObject Type="Embed" ProgID="Equation.3" ShapeID="_x0000_i1027" DrawAspect="Content" ObjectID="_1540727411" r:id="rId10"/>
        </w:object>
      </w:r>
      <w:r w:rsidR="00795688">
        <w:t xml:space="preserve"> represents the dummy variable for smartphone use (0 if  the individual </w:t>
      </w:r>
      <w:r w:rsidR="00795688" w:rsidRPr="00795688">
        <w:t>does not own and does not use a sm</w:t>
      </w:r>
      <w:r w:rsidR="00795688">
        <w:t>artphone for travel information</w:t>
      </w:r>
      <w:r w:rsidR="0085780B">
        <w:t>,</w:t>
      </w:r>
      <w:r w:rsidR="00795688">
        <w:t xml:space="preserve"> and 1 if the individual </w:t>
      </w:r>
      <w:r w:rsidR="00795688" w:rsidRPr="00795688">
        <w:t>owns and uses a sm</w:t>
      </w:r>
      <w:r w:rsidR="00795688">
        <w:t>artphone for travel information). For the continuous variable (average number of stops)</w:t>
      </w:r>
      <w:r w:rsidR="00ED6A14">
        <w:t>,</w:t>
      </w:r>
      <w:r w:rsidR="00795688">
        <w:t xml:space="preserve"> </w:t>
      </w:r>
      <w:r w:rsidR="00ED6A14">
        <w:t xml:space="preserve">the actual predicted value is computed </w:t>
      </w:r>
      <w:r w:rsidR="00795688">
        <w:t xml:space="preserve">instead of the probability. Since recreational tours impact two other endogenous variables (multi-modality and tour accompaniment), it must be predicted before the other variables. </w:t>
      </w:r>
      <w:r>
        <w:t xml:space="preserve">The standard error of the measure is computed using bootstraps from the sampling distributions of the estimated parameters. </w:t>
      </w:r>
    </w:p>
    <w:p w14:paraId="2BD60508" w14:textId="77777777" w:rsidR="00816BB0" w:rsidRDefault="00816BB0" w:rsidP="00795688">
      <w:pPr>
        <w:spacing w:line="360" w:lineRule="auto"/>
        <w:jc w:val="both"/>
      </w:pPr>
    </w:p>
    <w:p w14:paraId="4C8BE11E" w14:textId="686B113E" w:rsidR="00816BB0" w:rsidRPr="00D96884" w:rsidRDefault="00816BB0" w:rsidP="00816BB0">
      <w:pPr>
        <w:spacing w:line="360" w:lineRule="auto"/>
        <w:rPr>
          <w:u w:val="single"/>
        </w:rPr>
      </w:pPr>
      <w:r>
        <w:rPr>
          <w:u w:val="single"/>
        </w:rPr>
        <w:t xml:space="preserve">Performance of GHDM and IHDM </w:t>
      </w:r>
      <w:r w:rsidR="00ED6A14">
        <w:rPr>
          <w:u w:val="single"/>
        </w:rPr>
        <w:t>for</w:t>
      </w:r>
      <w:r>
        <w:rPr>
          <w:u w:val="single"/>
        </w:rPr>
        <w:t xml:space="preserve"> market segments</w:t>
      </w:r>
    </w:p>
    <w:p w14:paraId="413D47EB" w14:textId="77FB3B87" w:rsidR="000508FC" w:rsidRDefault="004033B6" w:rsidP="00A65EAC">
      <w:pPr>
        <w:spacing w:line="360" w:lineRule="auto"/>
        <w:jc w:val="both"/>
      </w:pPr>
      <w:r>
        <w:t>I</w:t>
      </w:r>
      <w:r w:rsidRPr="004033B6">
        <w:t xml:space="preserve">n order to use all the information possible in the estimation of a complex model, no observations were left out for an “out-of-sample” fit assessment. To ensure that the superior data fit of the GHDM is not simply an artifact of overfitting on the estimation sample, the performance of the GHDM and IHDM </w:t>
      </w:r>
      <w:r w:rsidR="00ED6A14">
        <w:t>in replicating activity-travel characteristics was</w:t>
      </w:r>
      <w:r w:rsidRPr="004033B6">
        <w:t xml:space="preserve"> evaluated </w:t>
      </w:r>
      <w:r w:rsidR="00ED6A14">
        <w:t>for</w:t>
      </w:r>
      <w:r w:rsidRPr="004033B6">
        <w:t xml:space="preserve"> various market segments of the estimation sample.</w:t>
      </w:r>
      <w:r w:rsidR="00816BB0" w:rsidRPr="00816BB0">
        <w:t xml:space="preserve"> </w:t>
      </w:r>
      <w:r w:rsidR="00874627">
        <w:t xml:space="preserve">The market segments were defined using independent variables that played a significant role in </w:t>
      </w:r>
      <w:r w:rsidR="00E70227">
        <w:t xml:space="preserve">the </w:t>
      </w:r>
      <w:r w:rsidR="00874627">
        <w:t>GHDM specification</w:t>
      </w:r>
      <w:r w:rsidR="004D30B5">
        <w:t>.</w:t>
      </w:r>
      <w:r w:rsidR="00874627">
        <w:t xml:space="preserve"> </w:t>
      </w:r>
      <w:r>
        <w:t>Results of the</w:t>
      </w:r>
      <w:r w:rsidR="00816BB0" w:rsidRPr="00816BB0">
        <w:t xml:space="preserve"> market segmentation analysis </w:t>
      </w:r>
      <w:r>
        <w:t>are presented in</w:t>
      </w:r>
      <w:r w:rsidR="00816BB0" w:rsidRPr="00816BB0">
        <w:t xml:space="preserve"> </w:t>
      </w:r>
      <w:r w:rsidR="00816BB0">
        <w:t>Table 2</w:t>
      </w:r>
      <w:r w:rsidR="00816BB0" w:rsidRPr="00816BB0">
        <w:t>.</w:t>
      </w:r>
      <w:r w:rsidR="004D30B5">
        <w:t xml:space="preserve"> </w:t>
      </w:r>
      <w:r>
        <w:t>T</w:t>
      </w:r>
      <w:r w:rsidR="00F20C45">
        <w:t xml:space="preserve">he </w:t>
      </w:r>
      <w:r w:rsidR="000508FC">
        <w:t xml:space="preserve">predicted and actual (observed) </w:t>
      </w:r>
      <w:r w:rsidR="00F20C45">
        <w:t xml:space="preserve">shares for each </w:t>
      </w:r>
      <w:r w:rsidR="000508FC">
        <w:t>category for each market segment</w:t>
      </w:r>
      <w:r>
        <w:t xml:space="preserve"> were compared</w:t>
      </w:r>
      <w:r w:rsidR="000508FC">
        <w:t xml:space="preserve"> using </w:t>
      </w:r>
      <w:r w:rsidR="00F20C45">
        <w:t>the root mean squared error (RM</w:t>
      </w:r>
      <w:r w:rsidR="000508FC">
        <w:t xml:space="preserve">SE) and the absolute percentage error measures. </w:t>
      </w:r>
    </w:p>
    <w:p w14:paraId="66FCE174" w14:textId="19000188" w:rsidR="00816BB0" w:rsidRPr="00816BB0" w:rsidRDefault="00A65EAC" w:rsidP="000508FC">
      <w:pPr>
        <w:spacing w:line="360" w:lineRule="auto"/>
        <w:ind w:firstLine="720"/>
        <w:jc w:val="both"/>
      </w:pPr>
      <w:r>
        <w:t xml:space="preserve">For each selected variable, the data fit for the market segment with the most number of observations is </w:t>
      </w:r>
      <w:r w:rsidR="00433744">
        <w:t>presented</w:t>
      </w:r>
      <w:r>
        <w:t xml:space="preserve">. </w:t>
      </w:r>
      <w:r w:rsidR="004D30B5">
        <w:t xml:space="preserve">The results clearly show that the predicted shares from the </w:t>
      </w:r>
      <w:r>
        <w:t>GHDM</w:t>
      </w:r>
      <w:r w:rsidR="004D30B5">
        <w:t xml:space="preserve"> are closer to the true shares than the predicted shares from the </w:t>
      </w:r>
      <w:r>
        <w:t>IHDM</w:t>
      </w:r>
      <w:r w:rsidR="004D30B5">
        <w:t xml:space="preserve"> for the full sample and </w:t>
      </w:r>
      <w:r w:rsidR="00E2132A">
        <w:t xml:space="preserve">for </w:t>
      </w:r>
      <w:r w:rsidR="004D30B5">
        <w:t xml:space="preserve">each </w:t>
      </w:r>
      <w:r w:rsidR="00256CCA">
        <w:t>market segment</w:t>
      </w:r>
      <w:r w:rsidR="004D30B5">
        <w:t xml:space="preserve">. </w:t>
      </w:r>
      <w:r w:rsidR="004033B6">
        <w:t>A</w:t>
      </w:r>
      <w:r w:rsidR="004D30B5">
        <w:t xml:space="preserve">ll </w:t>
      </w:r>
      <w:r w:rsidR="00ED6A14">
        <w:t xml:space="preserve">of </w:t>
      </w:r>
      <w:r w:rsidR="004D30B5">
        <w:t xml:space="preserve">the measures of fit point to the superior performance of the </w:t>
      </w:r>
      <w:r>
        <w:t>GHDM</w:t>
      </w:r>
      <w:r w:rsidR="004D30B5">
        <w:t xml:space="preserve"> over the </w:t>
      </w:r>
      <w:r>
        <w:t>IHDM</w:t>
      </w:r>
      <w:r w:rsidR="004D30B5">
        <w:t>.</w:t>
      </w:r>
    </w:p>
    <w:p w14:paraId="627C459E" w14:textId="77777777" w:rsidR="00F4005F" w:rsidRDefault="00F4005F" w:rsidP="00A8233B">
      <w:pPr>
        <w:spacing w:line="360" w:lineRule="auto"/>
        <w:jc w:val="both"/>
      </w:pPr>
    </w:p>
    <w:p w14:paraId="5487A6D9" w14:textId="59A2E748" w:rsidR="00ED6A14" w:rsidRDefault="00ED6A14">
      <w:pPr>
        <w:autoSpaceDE/>
        <w:autoSpaceDN/>
        <w:adjustRightInd/>
        <w:spacing w:after="200" w:line="276" w:lineRule="auto"/>
      </w:pPr>
      <w:r>
        <w:br w:type="page"/>
      </w:r>
    </w:p>
    <w:p w14:paraId="452AF455" w14:textId="77777777" w:rsidR="00F4005F" w:rsidRDefault="00F4005F" w:rsidP="00F4005F">
      <w:pPr>
        <w:spacing w:after="120"/>
        <w:ind w:left="720" w:hanging="720"/>
        <w:jc w:val="center"/>
        <w:rPr>
          <w:b/>
        </w:rPr>
      </w:pPr>
      <w:r>
        <w:rPr>
          <w:b/>
        </w:rPr>
        <w:lastRenderedPageBreak/>
        <w:t>Table 1.</w:t>
      </w:r>
      <w:r w:rsidRPr="00201180">
        <w:rPr>
          <w:b/>
        </w:rPr>
        <w:t xml:space="preserve"> Sample </w:t>
      </w:r>
      <w:r>
        <w:rPr>
          <w:b/>
        </w:rPr>
        <w:t>C</w:t>
      </w:r>
      <w:r w:rsidRPr="00201180">
        <w:rPr>
          <w:b/>
        </w:rPr>
        <w:t>haracteristics</w:t>
      </w:r>
      <w:r>
        <w:rPr>
          <w:b/>
        </w:rPr>
        <w:t xml:space="preserve"> of Independent Variables</w:t>
      </w:r>
    </w:p>
    <w:tbl>
      <w:tblPr>
        <w:tblStyle w:val="TableGrid"/>
        <w:tblW w:w="10331" w:type="dxa"/>
        <w:jc w:val="center"/>
        <w:tblLayout w:type="fixed"/>
        <w:tblLook w:val="04A0" w:firstRow="1" w:lastRow="0" w:firstColumn="1" w:lastColumn="0" w:noHBand="0" w:noVBand="1"/>
      </w:tblPr>
      <w:tblGrid>
        <w:gridCol w:w="4176"/>
        <w:gridCol w:w="3464"/>
        <w:gridCol w:w="1322"/>
        <w:gridCol w:w="1369"/>
      </w:tblGrid>
      <w:tr w:rsidR="00F4005F" w:rsidRPr="00425E9A" w14:paraId="5EBD055D" w14:textId="77777777" w:rsidTr="00B93509">
        <w:trPr>
          <w:trHeight w:val="555"/>
          <w:jc w:val="center"/>
        </w:trPr>
        <w:tc>
          <w:tcPr>
            <w:tcW w:w="41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1BEC3075" w14:textId="77777777" w:rsidR="00F4005F" w:rsidRPr="00425E9A" w:rsidRDefault="00F4005F" w:rsidP="00A672D5">
            <w:pPr>
              <w:jc w:val="center"/>
              <w:rPr>
                <w:b/>
                <w:sz w:val="22"/>
                <w:szCs w:val="22"/>
              </w:rPr>
            </w:pPr>
            <w:r w:rsidRPr="00425E9A">
              <w:rPr>
                <w:b/>
                <w:sz w:val="22"/>
                <w:szCs w:val="22"/>
              </w:rPr>
              <w:t>Socio demographic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4F0BA83C" w14:textId="77777777" w:rsidR="00F4005F" w:rsidRPr="00425E9A" w:rsidRDefault="00F4005F" w:rsidP="00A672D5">
            <w:pPr>
              <w:jc w:val="center"/>
              <w:rPr>
                <w:b/>
                <w:sz w:val="22"/>
                <w:szCs w:val="22"/>
              </w:rPr>
            </w:pPr>
            <w:r w:rsidRPr="00425E9A">
              <w:rPr>
                <w:b/>
                <w:sz w:val="22"/>
                <w:szCs w:val="22"/>
              </w:rPr>
              <w:t>Categories</w:t>
            </w:r>
          </w:p>
        </w:tc>
        <w:tc>
          <w:tcPr>
            <w:tcW w:w="132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D41D453" w14:textId="77777777" w:rsidR="00F4005F" w:rsidRPr="00425E9A" w:rsidRDefault="00607335" w:rsidP="00A67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2014</w:t>
            </w:r>
            <w:r w:rsidR="00F4005F" w:rsidRPr="00425E9A">
              <w:rPr>
                <w:b/>
                <w:sz w:val="22"/>
                <w:szCs w:val="22"/>
              </w:rPr>
              <w:t xml:space="preserve"> Distribution</w:t>
            </w: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317B356B" w14:textId="77777777" w:rsidR="00F4005F" w:rsidRPr="00425E9A" w:rsidRDefault="00607335" w:rsidP="00A672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2015 </w:t>
            </w:r>
            <w:r w:rsidR="00F4005F" w:rsidRPr="00425E9A">
              <w:rPr>
                <w:b/>
                <w:sz w:val="22"/>
                <w:szCs w:val="22"/>
              </w:rPr>
              <w:t>Distribution</w:t>
            </w:r>
          </w:p>
        </w:tc>
      </w:tr>
      <w:tr w:rsidR="000C78B9" w:rsidRPr="00425E9A" w14:paraId="6A9BD363" w14:textId="77777777" w:rsidTr="000958D5">
        <w:trPr>
          <w:trHeight w:val="360"/>
          <w:jc w:val="center"/>
        </w:trPr>
        <w:tc>
          <w:tcPr>
            <w:tcW w:w="4176" w:type="dxa"/>
            <w:tcBorders>
              <w:top w:val="double" w:sz="4" w:space="0" w:color="auto"/>
              <w:lef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83A32B" w14:textId="77777777" w:rsidR="000C78B9" w:rsidRPr="000C78B9" w:rsidRDefault="000C78B9" w:rsidP="000508FC">
            <w:pPr>
              <w:jc w:val="center"/>
              <w:rPr>
                <w:sz w:val="22"/>
                <w:szCs w:val="22"/>
              </w:rPr>
            </w:pPr>
            <w:r w:rsidRPr="000C78B9">
              <w:rPr>
                <w:color w:val="000000"/>
                <w:sz w:val="22"/>
                <w:szCs w:val="22"/>
              </w:rPr>
              <w:t>Average number of stops per tour</w:t>
            </w:r>
          </w:p>
        </w:tc>
        <w:tc>
          <w:tcPr>
            <w:tcW w:w="346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176F0E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Mean</w:t>
            </w:r>
          </w:p>
        </w:tc>
        <w:tc>
          <w:tcPr>
            <w:tcW w:w="132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0C3C09" w14:textId="77777777" w:rsidR="000C78B9" w:rsidRPr="00425E9A" w:rsidRDefault="000C78B9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2.08</w:t>
            </w:r>
          </w:p>
        </w:tc>
        <w:tc>
          <w:tcPr>
            <w:tcW w:w="13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7F7D6" w14:textId="77777777" w:rsidR="000C78B9" w:rsidRPr="00425E9A" w:rsidRDefault="000C78B9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</w:tr>
      <w:tr w:rsidR="000C78B9" w:rsidRPr="00425E9A" w14:paraId="1191BA85" w14:textId="77777777" w:rsidTr="000958D5">
        <w:trPr>
          <w:trHeight w:val="360"/>
          <w:jc w:val="center"/>
        </w:trPr>
        <w:tc>
          <w:tcPr>
            <w:tcW w:w="4176" w:type="dxa"/>
            <w:vMerge w:val="restart"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7096689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Importance of having a walkable neighborhood</w:t>
            </w: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EAF935A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unimportant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vAlign w:val="center"/>
          </w:tcPr>
          <w:p w14:paraId="70B4A7A7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  <w:r w:rsidR="000C78B9"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D90A834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7.1%</w:t>
            </w:r>
          </w:p>
        </w:tc>
      </w:tr>
      <w:tr w:rsidR="000C78B9" w:rsidRPr="00425E9A" w14:paraId="07AC48FD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1EAD3BD0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6DC5694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Unimportant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7DF2588F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  <w:r w:rsidR="000C78B9"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553C5C43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6.0%</w:t>
            </w:r>
          </w:p>
        </w:tc>
      </w:tr>
      <w:tr w:rsidR="000C78B9" w:rsidRPr="00425E9A" w14:paraId="77F82A55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7778D2CC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713BC17C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Neutral</w:t>
            </w:r>
            <w:r w:rsidRPr="00425E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1C7AA91C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="000C78B9"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8B662C7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10.6%</w:t>
            </w:r>
          </w:p>
        </w:tc>
      </w:tr>
      <w:tr w:rsidR="000C78B9" w:rsidRPr="00425E9A" w14:paraId="25EB3FDC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067CE802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0DD4236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Important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4341CEE9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</w:t>
            </w:r>
            <w:r w:rsidR="000C78B9"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EAB8A73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30.0%</w:t>
            </w:r>
          </w:p>
        </w:tc>
      </w:tr>
      <w:tr w:rsidR="000C78B9" w:rsidRPr="00425E9A" w14:paraId="3C4B39FD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FDABD8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3AB65DE7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important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14:paraId="013D37FF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46.3%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499D348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46.3%</w:t>
            </w:r>
          </w:p>
        </w:tc>
      </w:tr>
      <w:tr w:rsidR="000C78B9" w:rsidRPr="00425E9A" w14:paraId="3AE27E6E" w14:textId="77777777" w:rsidTr="000958D5">
        <w:trPr>
          <w:trHeight w:val="360"/>
          <w:jc w:val="center"/>
        </w:trPr>
        <w:tc>
          <w:tcPr>
            <w:tcW w:w="4176" w:type="dxa"/>
            <w:vMerge w:val="restart"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FC732B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Importance of being close to public transit</w:t>
            </w:r>
          </w:p>
        </w:tc>
        <w:tc>
          <w:tcPr>
            <w:tcW w:w="3464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6BDB0917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unimportant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vAlign w:val="center"/>
          </w:tcPr>
          <w:p w14:paraId="4CF8BAB4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15.5%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7D1F7543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15.2%</w:t>
            </w:r>
          </w:p>
        </w:tc>
      </w:tr>
      <w:tr w:rsidR="000C78B9" w:rsidRPr="00425E9A" w14:paraId="65237C0F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191BCD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44C5925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Unimportant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4004B9D5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059EE9B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10.5%</w:t>
            </w:r>
          </w:p>
        </w:tc>
      </w:tr>
      <w:tr w:rsidR="000C78B9" w:rsidRPr="00425E9A" w14:paraId="79719FC5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5B3DCB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05E4F44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Neutral</w:t>
            </w:r>
            <w:r w:rsidRPr="00425E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4D13B839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88F385B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14.4%</w:t>
            </w:r>
          </w:p>
        </w:tc>
      </w:tr>
      <w:tr w:rsidR="000C78B9" w:rsidRPr="00425E9A" w14:paraId="7E7FF978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170B48EC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6F93F0E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Important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42F4D434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457D99BE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22.4%</w:t>
            </w:r>
          </w:p>
        </w:tc>
      </w:tr>
      <w:tr w:rsidR="000C78B9" w:rsidRPr="00425E9A" w14:paraId="166DA3D2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0E925C92" w14:textId="77777777" w:rsidR="000C78B9" w:rsidRPr="00425E9A" w:rsidRDefault="000C78B9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1FF5F6C7" w14:textId="77777777" w:rsidR="000C78B9" w:rsidRPr="00425E9A" w:rsidRDefault="000C78B9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important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14:paraId="3A08EA70" w14:textId="77777777" w:rsidR="000C78B9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37.4%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316A2BB" w14:textId="77777777" w:rsidR="000C78B9" w:rsidRPr="00425E9A" w:rsidRDefault="0059193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37.5%</w:t>
            </w:r>
          </w:p>
        </w:tc>
      </w:tr>
      <w:tr w:rsidR="000958D5" w:rsidRPr="00425E9A" w14:paraId="576BF3F8" w14:textId="77777777" w:rsidTr="000958D5">
        <w:trPr>
          <w:trHeight w:val="360"/>
          <w:jc w:val="center"/>
        </w:trPr>
        <w:tc>
          <w:tcPr>
            <w:tcW w:w="4176" w:type="dxa"/>
            <w:vMerge w:val="restart"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327880" w14:textId="77777777" w:rsidR="000958D5" w:rsidRPr="00425E9A" w:rsidRDefault="000958D5" w:rsidP="000958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Importance of being within a 30 minutes commute to work</w:t>
            </w:r>
          </w:p>
        </w:tc>
        <w:tc>
          <w:tcPr>
            <w:tcW w:w="3464" w:type="dxa"/>
            <w:tcBorders>
              <w:left w:val="double" w:sz="4" w:space="0" w:color="auto"/>
              <w:bottom w:val="nil"/>
            </w:tcBorders>
            <w:vAlign w:val="center"/>
          </w:tcPr>
          <w:p w14:paraId="36457C60" w14:textId="77777777" w:rsidR="000958D5" w:rsidRPr="00425E9A" w:rsidRDefault="000958D5" w:rsidP="00095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unimportant</w:t>
            </w:r>
          </w:p>
        </w:tc>
        <w:tc>
          <w:tcPr>
            <w:tcW w:w="1322" w:type="dxa"/>
            <w:tcBorders>
              <w:bottom w:val="nil"/>
            </w:tcBorders>
            <w:vAlign w:val="center"/>
          </w:tcPr>
          <w:p w14:paraId="22C1395B" w14:textId="77777777" w:rsidR="000958D5" w:rsidRPr="00425E9A" w:rsidRDefault="000958D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bottom w:val="nil"/>
              <w:right w:val="double" w:sz="4" w:space="0" w:color="auto"/>
            </w:tcBorders>
            <w:vAlign w:val="center"/>
          </w:tcPr>
          <w:p w14:paraId="69C220A9" w14:textId="77777777" w:rsidR="000958D5" w:rsidRPr="00425E9A" w:rsidRDefault="0059193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11.1%</w:t>
            </w:r>
          </w:p>
        </w:tc>
      </w:tr>
      <w:tr w:rsidR="000958D5" w:rsidRPr="00425E9A" w14:paraId="682E242E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637B659B" w14:textId="77777777" w:rsidR="000958D5" w:rsidRPr="00425E9A" w:rsidRDefault="000958D5" w:rsidP="000958D5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FF5D676" w14:textId="77777777" w:rsidR="000958D5" w:rsidRPr="00425E9A" w:rsidRDefault="000958D5" w:rsidP="00095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Unimportant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6531169A" w14:textId="77777777" w:rsidR="000958D5" w:rsidRPr="00425E9A" w:rsidRDefault="000958D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273CF274" w14:textId="77777777" w:rsidR="000958D5" w:rsidRPr="00425E9A" w:rsidRDefault="0059193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6.4%</w:t>
            </w:r>
          </w:p>
        </w:tc>
      </w:tr>
      <w:tr w:rsidR="000958D5" w:rsidRPr="00425E9A" w14:paraId="75FD2C9E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4D2EE2F5" w14:textId="77777777" w:rsidR="000958D5" w:rsidRPr="00425E9A" w:rsidRDefault="000958D5" w:rsidP="000958D5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AC5C093" w14:textId="77777777" w:rsidR="000958D5" w:rsidRPr="00425E9A" w:rsidRDefault="000958D5" w:rsidP="00095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Neutral</w:t>
            </w:r>
            <w:r w:rsidRPr="00425E9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2F798CA3" w14:textId="77777777" w:rsidR="000958D5" w:rsidRPr="00425E9A" w:rsidRDefault="000958D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5151CC2" w14:textId="77777777" w:rsidR="000958D5" w:rsidRPr="00425E9A" w:rsidRDefault="0059193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15.8%</w:t>
            </w:r>
          </w:p>
        </w:tc>
      </w:tr>
      <w:tr w:rsidR="000958D5" w:rsidRPr="00425E9A" w14:paraId="362217D8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0CA5AA0E" w14:textId="77777777" w:rsidR="000958D5" w:rsidRPr="00425E9A" w:rsidRDefault="000958D5" w:rsidP="000958D5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A7989EA" w14:textId="77777777" w:rsidR="000958D5" w:rsidRPr="00425E9A" w:rsidRDefault="000958D5" w:rsidP="00095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Important</w:t>
            </w:r>
          </w:p>
        </w:tc>
        <w:tc>
          <w:tcPr>
            <w:tcW w:w="1322" w:type="dxa"/>
            <w:tcBorders>
              <w:top w:val="nil"/>
              <w:bottom w:val="nil"/>
            </w:tcBorders>
            <w:vAlign w:val="center"/>
          </w:tcPr>
          <w:p w14:paraId="33ACC401" w14:textId="77777777" w:rsidR="000958D5" w:rsidRPr="00425E9A" w:rsidRDefault="000958D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20.6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05E826B8" w14:textId="77777777" w:rsidR="000958D5" w:rsidRPr="00425E9A" w:rsidRDefault="0059193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20.9%</w:t>
            </w:r>
          </w:p>
        </w:tc>
      </w:tr>
      <w:tr w:rsidR="000958D5" w:rsidRPr="00425E9A" w14:paraId="6E575C86" w14:textId="77777777" w:rsidTr="000958D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</w:tcPr>
          <w:p w14:paraId="54F97962" w14:textId="77777777" w:rsidR="000958D5" w:rsidRPr="00425E9A" w:rsidRDefault="000958D5" w:rsidP="000958D5">
            <w:pPr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01B27C1F" w14:textId="77777777" w:rsidR="000958D5" w:rsidRPr="00425E9A" w:rsidRDefault="000958D5" w:rsidP="000958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Very important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14:paraId="37506ABC" w14:textId="77777777" w:rsidR="000958D5" w:rsidRPr="00425E9A" w:rsidRDefault="000958D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45.7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31B6DFE" w14:textId="77777777" w:rsidR="000958D5" w:rsidRPr="00425E9A" w:rsidRDefault="00591935" w:rsidP="000958D5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45.8%</w:t>
            </w:r>
          </w:p>
        </w:tc>
      </w:tr>
      <w:tr w:rsidR="000958D5" w:rsidRPr="00425E9A" w14:paraId="20F35A3E" w14:textId="77777777" w:rsidTr="000958D5">
        <w:trPr>
          <w:trHeight w:val="360"/>
          <w:jc w:val="center"/>
        </w:trPr>
        <w:tc>
          <w:tcPr>
            <w:tcW w:w="4176" w:type="dxa"/>
            <w:vMerge w:val="restart"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88563D0" w14:textId="77777777" w:rsidR="000958D5" w:rsidRPr="00425E9A" w:rsidRDefault="000958D5" w:rsidP="000C7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Tour accompaniment</w:t>
            </w:r>
          </w:p>
        </w:tc>
        <w:tc>
          <w:tcPr>
            <w:tcW w:w="3464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2052E207" w14:textId="77777777" w:rsidR="000958D5" w:rsidRPr="00425E9A" w:rsidRDefault="000958D5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makes all tours alone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vAlign w:val="center"/>
          </w:tcPr>
          <w:p w14:paraId="26B5FA9D" w14:textId="77777777" w:rsidR="000958D5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E5C2B3C" w14:textId="77777777" w:rsidR="000958D5" w:rsidRPr="00425E9A" w:rsidRDefault="000958D5" w:rsidP="000C78B9">
            <w:pPr>
              <w:tabs>
                <w:tab w:val="decimal" w:pos="5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  <w:r w:rsidRPr="00425E9A">
              <w:rPr>
                <w:sz w:val="22"/>
                <w:szCs w:val="22"/>
              </w:rPr>
              <w:t>%</w:t>
            </w:r>
          </w:p>
        </w:tc>
      </w:tr>
      <w:tr w:rsidR="000958D5" w:rsidRPr="00425E9A" w14:paraId="0045705F" w14:textId="77777777" w:rsidTr="0059193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2D9ADE7" w14:textId="77777777" w:rsidR="000958D5" w:rsidRPr="00425E9A" w:rsidRDefault="000958D5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single" w:sz="4" w:space="0" w:color="auto"/>
            </w:tcBorders>
            <w:vAlign w:val="center"/>
          </w:tcPr>
          <w:p w14:paraId="63F1454B" w14:textId="77777777" w:rsidR="000958D5" w:rsidRPr="00425E9A" w:rsidRDefault="000958D5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makes at least one tour with accompaniment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14:paraId="39FC27F0" w14:textId="77777777" w:rsidR="000958D5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40.9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994E5ED" w14:textId="77777777" w:rsidR="000958D5" w:rsidRPr="00425E9A" w:rsidRDefault="000958D5" w:rsidP="000958D5">
            <w:pPr>
              <w:tabs>
                <w:tab w:val="decimal" w:pos="25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39.8%</w:t>
            </w:r>
          </w:p>
        </w:tc>
      </w:tr>
      <w:tr w:rsidR="000958D5" w:rsidRPr="00425E9A" w14:paraId="0A74D8D6" w14:textId="77777777" w:rsidTr="000958D5">
        <w:trPr>
          <w:trHeight w:val="360"/>
          <w:jc w:val="center"/>
        </w:trPr>
        <w:tc>
          <w:tcPr>
            <w:tcW w:w="4176" w:type="dxa"/>
            <w:vMerge w:val="restart"/>
            <w:tcBorders>
              <w:left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F493A1" w14:textId="77777777" w:rsidR="000958D5" w:rsidRPr="00425E9A" w:rsidRDefault="000958D5" w:rsidP="000C7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Recreational tours</w:t>
            </w:r>
          </w:p>
        </w:tc>
        <w:tc>
          <w:tcPr>
            <w:tcW w:w="3464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7BD033EB" w14:textId="77777777" w:rsidR="000958D5" w:rsidRPr="00425E9A" w:rsidRDefault="000958D5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makes no recreational tours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  <w:vAlign w:val="center"/>
          </w:tcPr>
          <w:p w14:paraId="7D64C1EE" w14:textId="77777777" w:rsidR="000958D5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60.5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D70C651" w14:textId="77777777" w:rsidR="000958D5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56.7%</w:t>
            </w:r>
          </w:p>
        </w:tc>
      </w:tr>
      <w:tr w:rsidR="000958D5" w:rsidRPr="00425E9A" w14:paraId="025367FA" w14:textId="77777777" w:rsidTr="00591935">
        <w:trPr>
          <w:trHeight w:val="360"/>
          <w:jc w:val="center"/>
        </w:trPr>
        <w:tc>
          <w:tcPr>
            <w:tcW w:w="41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AF4131" w14:textId="77777777" w:rsidR="000958D5" w:rsidRPr="00425E9A" w:rsidRDefault="000958D5" w:rsidP="000C78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4164B829" w14:textId="77777777" w:rsidR="000958D5" w:rsidRPr="00425E9A" w:rsidRDefault="000958D5" w:rsidP="000C78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Individual makes at least one recreational tour</w:t>
            </w:r>
          </w:p>
        </w:tc>
        <w:tc>
          <w:tcPr>
            <w:tcW w:w="1322" w:type="dxa"/>
            <w:tcBorders>
              <w:top w:val="nil"/>
              <w:bottom w:val="double" w:sz="4" w:space="0" w:color="auto"/>
            </w:tcBorders>
            <w:vAlign w:val="center"/>
          </w:tcPr>
          <w:p w14:paraId="4FF9E20C" w14:textId="77777777" w:rsidR="000958D5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39.5</w:t>
            </w:r>
            <w:r w:rsidRPr="00425E9A">
              <w:rPr>
                <w:sz w:val="22"/>
                <w:szCs w:val="22"/>
              </w:rPr>
              <w:t>%</w:t>
            </w:r>
          </w:p>
        </w:tc>
        <w:tc>
          <w:tcPr>
            <w:tcW w:w="1369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061C871" w14:textId="77777777" w:rsidR="000958D5" w:rsidRPr="00425E9A" w:rsidRDefault="000958D5" w:rsidP="000C78B9">
            <w:pPr>
              <w:tabs>
                <w:tab w:val="decimal" w:pos="25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43.3%</w:t>
            </w:r>
          </w:p>
        </w:tc>
      </w:tr>
    </w:tbl>
    <w:p w14:paraId="54C89BE4" w14:textId="77777777" w:rsidR="00122BC1" w:rsidRDefault="00122BC1" w:rsidP="00F4005F">
      <w:pPr>
        <w:spacing w:after="120"/>
        <w:rPr>
          <w:sz w:val="20"/>
        </w:rPr>
      </w:pPr>
    </w:p>
    <w:p w14:paraId="2F114AE7" w14:textId="77777777" w:rsidR="00122BC1" w:rsidRDefault="00122BC1" w:rsidP="00F4005F">
      <w:pPr>
        <w:spacing w:after="120"/>
        <w:rPr>
          <w:sz w:val="20"/>
        </w:rPr>
      </w:pPr>
    </w:p>
    <w:p w14:paraId="45735EED" w14:textId="77777777" w:rsidR="00122BC1" w:rsidRDefault="00122BC1" w:rsidP="00F4005F">
      <w:pPr>
        <w:spacing w:after="120"/>
        <w:rPr>
          <w:sz w:val="20"/>
        </w:rPr>
      </w:pPr>
    </w:p>
    <w:p w14:paraId="760D9039" w14:textId="77777777" w:rsidR="00122BC1" w:rsidRDefault="00122BC1" w:rsidP="00F4005F">
      <w:pPr>
        <w:spacing w:after="120"/>
        <w:rPr>
          <w:sz w:val="20"/>
        </w:rPr>
      </w:pPr>
    </w:p>
    <w:p w14:paraId="0162CAA7" w14:textId="77777777" w:rsidR="00122BC1" w:rsidRDefault="00122BC1" w:rsidP="00F4005F">
      <w:pPr>
        <w:spacing w:after="120"/>
        <w:rPr>
          <w:sz w:val="20"/>
        </w:rPr>
      </w:pPr>
    </w:p>
    <w:p w14:paraId="46052A88" w14:textId="77777777" w:rsidR="00122BC1" w:rsidRDefault="00122BC1" w:rsidP="00F4005F">
      <w:pPr>
        <w:spacing w:after="120"/>
        <w:rPr>
          <w:sz w:val="20"/>
        </w:rPr>
      </w:pPr>
    </w:p>
    <w:p w14:paraId="4F3D7049" w14:textId="77777777" w:rsidR="00122BC1" w:rsidRDefault="00122BC1" w:rsidP="00F4005F">
      <w:pPr>
        <w:spacing w:after="120"/>
        <w:rPr>
          <w:sz w:val="20"/>
        </w:rPr>
      </w:pPr>
    </w:p>
    <w:p w14:paraId="03096D66" w14:textId="77777777" w:rsidR="007428D2" w:rsidRDefault="007428D2" w:rsidP="00F4005F">
      <w:pPr>
        <w:spacing w:after="120"/>
        <w:rPr>
          <w:sz w:val="20"/>
        </w:rPr>
      </w:pPr>
    </w:p>
    <w:p w14:paraId="1BB6A378" w14:textId="77777777" w:rsidR="007428D2" w:rsidRDefault="007428D2" w:rsidP="00F4005F">
      <w:pPr>
        <w:spacing w:after="120"/>
        <w:rPr>
          <w:sz w:val="20"/>
        </w:rPr>
      </w:pPr>
    </w:p>
    <w:p w14:paraId="48A9FC07" w14:textId="77777777" w:rsidR="007428D2" w:rsidRDefault="007428D2" w:rsidP="00F4005F">
      <w:pPr>
        <w:spacing w:after="120"/>
        <w:rPr>
          <w:sz w:val="20"/>
        </w:rPr>
      </w:pPr>
    </w:p>
    <w:p w14:paraId="3C366352" w14:textId="77777777" w:rsidR="007428D2" w:rsidRDefault="007428D2" w:rsidP="00F4005F">
      <w:pPr>
        <w:spacing w:after="120"/>
        <w:rPr>
          <w:sz w:val="20"/>
        </w:rPr>
        <w:sectPr w:rsidR="007428D2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DB91CB" w14:textId="77777777" w:rsidR="007428D2" w:rsidRDefault="007428D2" w:rsidP="009854E7">
      <w:pPr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T</w:t>
      </w:r>
      <w:r w:rsidR="009854E7">
        <w:rPr>
          <w:b/>
        </w:rPr>
        <w:t>able</w:t>
      </w:r>
      <w:r>
        <w:rPr>
          <w:b/>
        </w:rPr>
        <w:t xml:space="preserve"> 2.  Measures of Fit in the Estimation S</w:t>
      </w:r>
      <w:r w:rsidRPr="007428D2">
        <w:rPr>
          <w:b/>
        </w:rPr>
        <w:t>ample</w:t>
      </w:r>
    </w:p>
    <w:p w14:paraId="54750EC2" w14:textId="77777777" w:rsidR="00EF6F7E" w:rsidRDefault="00EF6F7E" w:rsidP="007428D2">
      <w:pPr>
        <w:autoSpaceDE/>
        <w:autoSpaceDN/>
        <w:adjustRightInd/>
        <w:rPr>
          <w:b/>
        </w:rPr>
      </w:pPr>
    </w:p>
    <w:tbl>
      <w:tblPr>
        <w:tblStyle w:val="TableGrid"/>
        <w:tblW w:w="15071" w:type="dxa"/>
        <w:jc w:val="center"/>
        <w:tblLayout w:type="fixed"/>
        <w:tblLook w:val="04A0" w:firstRow="1" w:lastRow="0" w:firstColumn="1" w:lastColumn="0" w:noHBand="0" w:noVBand="1"/>
      </w:tblPr>
      <w:tblGrid>
        <w:gridCol w:w="2209"/>
        <w:gridCol w:w="1071"/>
        <w:gridCol w:w="1072"/>
        <w:gridCol w:w="1072"/>
        <w:gridCol w:w="1072"/>
        <w:gridCol w:w="1072"/>
        <w:gridCol w:w="1071"/>
        <w:gridCol w:w="1072"/>
        <w:gridCol w:w="1072"/>
        <w:gridCol w:w="1072"/>
        <w:gridCol w:w="1072"/>
        <w:gridCol w:w="1072"/>
        <w:gridCol w:w="1072"/>
      </w:tblGrid>
      <w:tr w:rsidR="00563004" w:rsidRPr="00815F35" w14:paraId="0F2715E1" w14:textId="77777777" w:rsidTr="006E2BCA">
        <w:trPr>
          <w:trHeight w:val="327"/>
          <w:jc w:val="center"/>
        </w:trPr>
        <w:tc>
          <w:tcPr>
            <w:tcW w:w="2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C4059D" w14:textId="77777777" w:rsidR="00563004" w:rsidRPr="00815F35" w:rsidRDefault="00563004" w:rsidP="008E188D">
            <w:pPr>
              <w:jc w:val="center"/>
              <w:rPr>
                <w:b/>
                <w:sz w:val="20"/>
                <w:szCs w:val="20"/>
              </w:rPr>
            </w:pPr>
            <w:r w:rsidRPr="00815F35">
              <w:rPr>
                <w:b/>
                <w:sz w:val="20"/>
                <w:szCs w:val="20"/>
              </w:rPr>
              <w:t>Variable</w:t>
            </w:r>
            <w:r w:rsidR="005E0FF0">
              <w:rPr>
                <w:b/>
                <w:sz w:val="20"/>
                <w:szCs w:val="20"/>
              </w:rPr>
              <w:t xml:space="preserve"> Category/ Measure of Fit</w:t>
            </w:r>
          </w:p>
        </w:tc>
        <w:tc>
          <w:tcPr>
            <w:tcW w:w="321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0182968" w14:textId="77777777" w:rsidR="00563004" w:rsidRPr="00815F35" w:rsidRDefault="00563004" w:rsidP="008E1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 Sample</w:t>
            </w:r>
          </w:p>
        </w:tc>
        <w:tc>
          <w:tcPr>
            <w:tcW w:w="321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9F95EAA" w14:textId="77777777" w:rsidR="00563004" w:rsidRPr="00815F35" w:rsidRDefault="00563004" w:rsidP="008E1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 years or older</w:t>
            </w:r>
          </w:p>
        </w:tc>
        <w:tc>
          <w:tcPr>
            <w:tcW w:w="321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B1581B" w14:textId="77777777" w:rsidR="00563004" w:rsidRPr="00815F35" w:rsidRDefault="00B64B05" w:rsidP="008E1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Full-time workers</w:t>
            </w:r>
          </w:p>
        </w:tc>
        <w:tc>
          <w:tcPr>
            <w:tcW w:w="321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8DCE10" w14:textId="77777777" w:rsidR="00563004" w:rsidRPr="00815F35" w:rsidRDefault="00B64B05" w:rsidP="008E18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Income </w:t>
            </w:r>
            <w:r w:rsidRPr="00B64B05">
              <w:rPr>
                <w:b/>
                <w:sz w:val="20"/>
                <w:szCs w:val="20"/>
              </w:rPr>
              <w:t>100k or more</w:t>
            </w:r>
          </w:p>
        </w:tc>
      </w:tr>
      <w:tr w:rsidR="00563004" w:rsidRPr="00815F35" w14:paraId="54A60849" w14:textId="77777777" w:rsidTr="004B1EFD">
        <w:trPr>
          <w:trHeight w:val="663"/>
          <w:jc w:val="center"/>
        </w:trPr>
        <w:tc>
          <w:tcPr>
            <w:tcW w:w="22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97F18F3" w14:textId="77777777" w:rsidR="00563004" w:rsidRPr="00815F35" w:rsidRDefault="00563004" w:rsidP="005630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ED15AB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Actual share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651078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GHDM prediction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35B324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IHDM prediction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266D55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Actual share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3D1618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GHDM prediction</w:t>
            </w:r>
          </w:p>
        </w:tc>
        <w:tc>
          <w:tcPr>
            <w:tcW w:w="10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8563BF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IHDM prediction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5065BC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Actual share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25BC4DA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GHDM prediction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9B93B8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IHDM prediction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7EE059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Actual share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A717C64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GHDM prediction</w:t>
            </w:r>
          </w:p>
        </w:tc>
        <w:tc>
          <w:tcPr>
            <w:tcW w:w="107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BDDBCB" w14:textId="77777777" w:rsidR="00563004" w:rsidRPr="00A13AF0" w:rsidRDefault="00563004" w:rsidP="00563004">
            <w:pPr>
              <w:jc w:val="center"/>
              <w:rPr>
                <w:sz w:val="20"/>
                <w:szCs w:val="20"/>
              </w:rPr>
            </w:pPr>
            <w:r w:rsidRPr="00A13AF0">
              <w:rPr>
                <w:sz w:val="20"/>
                <w:szCs w:val="20"/>
              </w:rPr>
              <w:t>IHDM prediction</w:t>
            </w:r>
          </w:p>
        </w:tc>
      </w:tr>
      <w:tr w:rsidR="00563004" w:rsidRPr="00815F35" w14:paraId="1E0DD160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098B702" w14:textId="77777777" w:rsidR="00563004" w:rsidRPr="00815F35" w:rsidRDefault="00563004" w:rsidP="00563004">
            <w:pPr>
              <w:rPr>
                <w:i/>
                <w:sz w:val="20"/>
                <w:szCs w:val="20"/>
              </w:rPr>
            </w:pPr>
            <w:r w:rsidRPr="00815F35">
              <w:rPr>
                <w:i/>
                <w:sz w:val="20"/>
                <w:szCs w:val="20"/>
              </w:rPr>
              <w:t>Multi-modality measure</w:t>
            </w: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DB17D12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D182855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2D00F95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2F2A4A4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A2F56D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3AE4C3D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0AF7A88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FC79FE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EE0BCCC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EB7A871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6C5B1B8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93FC24C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</w:tr>
      <w:tr w:rsidR="00563004" w:rsidRPr="00815F35" w14:paraId="74CB15A2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3261BC8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1 mode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047B35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F778E5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</w:t>
            </w:r>
            <w:r w:rsidR="00BC2B31">
              <w:rPr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6E5BE76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6C88379" w14:textId="77777777" w:rsidR="00563004" w:rsidRPr="00815F35" w:rsidRDefault="00D63ED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5685AD3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F712E64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40D6EB8" w14:textId="77777777" w:rsidR="00563004" w:rsidRPr="00815F35" w:rsidRDefault="00176F6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5D721F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5EFCA9A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B3C70C2" w14:textId="77777777" w:rsidR="00563004" w:rsidRPr="00815F35" w:rsidRDefault="000872C7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8BE6ADD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167674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4.0%</w:t>
            </w:r>
          </w:p>
        </w:tc>
      </w:tr>
      <w:tr w:rsidR="00563004" w:rsidRPr="00815F35" w14:paraId="6122D558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E09CB5C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2 modes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8CB444A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07A9BE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24.3</w:t>
            </w:r>
            <w:r w:rsidR="00BC2B31">
              <w:rPr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607B636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E62DCE" w14:textId="77777777" w:rsidR="00563004" w:rsidRPr="00815F35" w:rsidRDefault="00D63ED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77F8CD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34.5%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909675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E8D302" w14:textId="77777777" w:rsidR="00563004" w:rsidRPr="00815F35" w:rsidRDefault="00176F6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9F3B8AA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16.8%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600096F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76993A" w14:textId="77777777" w:rsidR="00563004" w:rsidRPr="00815F35" w:rsidRDefault="000872C7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2E11EDC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169C120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14.4%</w:t>
            </w:r>
          </w:p>
        </w:tc>
      </w:tr>
      <w:tr w:rsidR="00563004" w:rsidRPr="00815F35" w14:paraId="63690FA3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05F8051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3 modes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CA53C1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EFBF305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</w:t>
            </w:r>
            <w:r w:rsidR="00BC2B31">
              <w:rPr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A6F3D7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E53DAB" w14:textId="77777777" w:rsidR="00563004" w:rsidRPr="00815F35" w:rsidRDefault="00D63ED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A7BBCA9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45.9%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8017CD5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C1EBE42" w14:textId="77777777" w:rsidR="00563004" w:rsidRPr="00815F35" w:rsidRDefault="00176F6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75E3BD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FAE8382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F7CE66" w14:textId="77777777" w:rsidR="00563004" w:rsidRPr="00815F35" w:rsidRDefault="000872C7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1B5CD10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88A685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34.3%</w:t>
            </w:r>
          </w:p>
        </w:tc>
      </w:tr>
      <w:tr w:rsidR="00563004" w:rsidRPr="00815F35" w14:paraId="1D838A49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089B974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4 modes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E9C7DCB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492A8BD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</w:t>
            </w:r>
            <w:r w:rsidR="00BC2B31">
              <w:rPr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604C40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E5A1B2D" w14:textId="77777777" w:rsidR="00563004" w:rsidRPr="00815F35" w:rsidRDefault="00D63ED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1D164B7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119260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2295B2B" w14:textId="77777777" w:rsidR="00563004" w:rsidRPr="00815F35" w:rsidRDefault="00176F6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79B68D8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01219B5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1711C87" w14:textId="77777777" w:rsidR="00563004" w:rsidRPr="00815F35" w:rsidRDefault="000872C7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B6056D6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9F029E1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30.5%</w:t>
            </w:r>
          </w:p>
        </w:tc>
      </w:tr>
      <w:tr w:rsidR="00563004" w:rsidRPr="00815F35" w14:paraId="4B8B69BA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A5CDB6C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5 modes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75AB452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DC491D2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  <w:r w:rsidR="00BC2B31">
              <w:rPr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91AEB92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8CC286A" w14:textId="77777777" w:rsidR="00563004" w:rsidRPr="00815F35" w:rsidRDefault="00D63ED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B374552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6B3A52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6A94C56" w14:textId="77777777" w:rsidR="00563004" w:rsidRPr="00815F35" w:rsidRDefault="00176F6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E22C1F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AC399E6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CF3D11C" w14:textId="77777777" w:rsidR="00563004" w:rsidRPr="00815F35" w:rsidRDefault="000872C7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0AA2718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AAA8A61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10.0%</w:t>
            </w:r>
          </w:p>
        </w:tc>
      </w:tr>
      <w:tr w:rsidR="00563004" w:rsidRPr="00815F35" w14:paraId="0EC0FFE4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14:paraId="3E63F124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6</w:t>
            </w:r>
            <w:r w:rsidRPr="00815F35">
              <w:rPr>
                <w:sz w:val="20"/>
                <w:szCs w:val="20"/>
              </w:rPr>
              <w:t xml:space="preserve"> modes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B26D37D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B8C1AFB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="00BC2B31">
              <w:rPr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08F3EE59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10B73AC" w14:textId="77777777" w:rsidR="00563004" w:rsidRPr="00815F35" w:rsidRDefault="00D63ED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F614ED1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5319B71D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1C92B1DF" w14:textId="77777777" w:rsidR="00563004" w:rsidRPr="00815F35" w:rsidRDefault="00176F6D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42BE85CA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21F5EB1" w14:textId="77777777" w:rsidR="00563004" w:rsidRPr="00815F35" w:rsidRDefault="0071626A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8806AA5" w14:textId="77777777" w:rsidR="00563004" w:rsidRPr="00815F35" w:rsidRDefault="000872C7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6187F436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37B0A544" w14:textId="77777777" w:rsidR="00563004" w:rsidRPr="00815F35" w:rsidRDefault="00150D4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6.8%</w:t>
            </w:r>
          </w:p>
        </w:tc>
      </w:tr>
      <w:tr w:rsidR="00563004" w:rsidRPr="00815F35" w14:paraId="5DF2C71A" w14:textId="77777777" w:rsidTr="00563004">
        <w:trPr>
          <w:trHeight w:val="350"/>
          <w:jc w:val="center"/>
        </w:trPr>
        <w:tc>
          <w:tcPr>
            <w:tcW w:w="2209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D258DAB" w14:textId="77777777" w:rsidR="00563004" w:rsidRPr="00815F35" w:rsidRDefault="00563004" w:rsidP="00563004">
            <w:pPr>
              <w:rPr>
                <w:i/>
                <w:sz w:val="20"/>
                <w:szCs w:val="20"/>
              </w:rPr>
            </w:pPr>
            <w:r w:rsidRPr="00815F35">
              <w:rPr>
                <w:i/>
                <w:sz w:val="20"/>
                <w:szCs w:val="20"/>
              </w:rPr>
              <w:t>Tour accompaniment</w:t>
            </w:r>
          </w:p>
        </w:tc>
        <w:tc>
          <w:tcPr>
            <w:tcW w:w="1071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4B8A9AB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B51E912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0676395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9641156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EF9F1A6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5B84C3E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A519F51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859DA7E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A1FD51C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23F7BFF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884C3F9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85EF53C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</w:tr>
      <w:tr w:rsidR="00563004" w:rsidRPr="00815F35" w14:paraId="02604CCF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5CD1526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All tours alone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7B13170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3C27F57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9BE46E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970FCD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45FC06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58.6%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FE22FC5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34F7E3F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BAAFD06" w14:textId="77777777" w:rsidR="00563004" w:rsidRPr="00815F35" w:rsidRDefault="00E474F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9B98341" w14:textId="77777777" w:rsidR="00563004" w:rsidRPr="00815F35" w:rsidRDefault="00E474F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CED37AC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7D79E8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BA8A82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48.7%</w:t>
            </w:r>
          </w:p>
        </w:tc>
      </w:tr>
      <w:tr w:rsidR="00563004" w:rsidRPr="00815F35" w14:paraId="43120CE5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6F61CA" w14:textId="77777777" w:rsidR="00563004" w:rsidRPr="00815F35" w:rsidRDefault="00563004" w:rsidP="00563004">
            <w:pPr>
              <w:ind w:left="153" w:hanging="153"/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At least one tour with accompaniment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074BE4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F73B93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B556C2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CE40F1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9E500A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41.4%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717E74" w14:textId="77777777" w:rsidR="00563004" w:rsidRPr="00815F35" w:rsidRDefault="000D4E49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CF47E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B0C6322" w14:textId="77777777" w:rsidR="00563004" w:rsidRPr="00815F35" w:rsidRDefault="00E474F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43F5C7" w14:textId="77777777" w:rsidR="00563004" w:rsidRPr="00815F35" w:rsidRDefault="00E474F2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38B8D3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172ED9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6D1D84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51.3%</w:t>
            </w:r>
          </w:p>
        </w:tc>
      </w:tr>
      <w:tr w:rsidR="00563004" w:rsidRPr="00815F35" w14:paraId="77B74F1C" w14:textId="77777777" w:rsidTr="00563004">
        <w:trPr>
          <w:trHeight w:val="350"/>
          <w:jc w:val="center"/>
        </w:trPr>
        <w:tc>
          <w:tcPr>
            <w:tcW w:w="2209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6859305" w14:textId="77777777" w:rsidR="00563004" w:rsidRPr="00815F35" w:rsidRDefault="00563004" w:rsidP="00563004">
            <w:pPr>
              <w:rPr>
                <w:i/>
                <w:sz w:val="20"/>
                <w:szCs w:val="20"/>
              </w:rPr>
            </w:pPr>
            <w:r w:rsidRPr="00815F35">
              <w:rPr>
                <w:i/>
                <w:sz w:val="20"/>
                <w:szCs w:val="20"/>
              </w:rPr>
              <w:t>Recreational tours</w:t>
            </w:r>
          </w:p>
        </w:tc>
        <w:tc>
          <w:tcPr>
            <w:tcW w:w="1071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6D65FAE2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C56A8A8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3913F47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6353F38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3C6F235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52468AD5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748F454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4D22A62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4DB0D2C8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393330D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111A3EE2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6EB30AE" w14:textId="77777777" w:rsidR="00563004" w:rsidRPr="00815F35" w:rsidRDefault="00563004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</w:p>
        </w:tc>
      </w:tr>
      <w:tr w:rsidR="00563004" w:rsidRPr="00815F35" w14:paraId="65D18E4D" w14:textId="77777777" w:rsidTr="00563004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E62E573" w14:textId="77777777" w:rsidR="00563004" w:rsidRPr="00815F35" w:rsidRDefault="00563004" w:rsidP="00563004">
            <w:pPr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 No recreational tours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09456B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5B8EF23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2BB06AE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BFC0971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F0311CA" w14:textId="77777777" w:rsidR="00563004" w:rsidRPr="00815F35" w:rsidRDefault="00634C0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50.7%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3CE2EC6" w14:textId="77777777" w:rsidR="00563004" w:rsidRPr="00815F35" w:rsidRDefault="00634C0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7E54B35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63.4%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282EB99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3952107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B20D837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613AB8C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60.1%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BA8CD1D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58.9%</w:t>
            </w:r>
          </w:p>
        </w:tc>
      </w:tr>
      <w:tr w:rsidR="00563004" w:rsidRPr="00815F35" w14:paraId="799B776F" w14:textId="77777777" w:rsidTr="005E0FF0">
        <w:trPr>
          <w:trHeight w:val="350"/>
          <w:jc w:val="center"/>
        </w:trPr>
        <w:tc>
          <w:tcPr>
            <w:tcW w:w="2209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4D05BA" w14:textId="77777777" w:rsidR="00563004" w:rsidRPr="00815F35" w:rsidRDefault="00563004" w:rsidP="00563004">
            <w:pPr>
              <w:ind w:left="153" w:hanging="153"/>
              <w:rPr>
                <w:sz w:val="20"/>
                <w:szCs w:val="20"/>
              </w:rPr>
            </w:pPr>
            <w:r w:rsidRPr="00815F35">
              <w:rPr>
                <w:sz w:val="20"/>
                <w:szCs w:val="20"/>
              </w:rPr>
              <w:t xml:space="preserve">  At least one recreational tour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E17DAC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F05CD" w14:textId="77777777" w:rsidR="00563004" w:rsidRPr="00815F35" w:rsidRDefault="00BC2B31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41.3%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AE6CE7" w14:textId="77777777" w:rsidR="00563004" w:rsidRPr="00815F35" w:rsidRDefault="00B1034B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94B52E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46.4%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F788B0" w14:textId="77777777" w:rsidR="00563004" w:rsidRPr="00815F35" w:rsidRDefault="00634C0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49.3%</w:t>
            </w:r>
          </w:p>
        </w:tc>
        <w:tc>
          <w:tcPr>
            <w:tcW w:w="107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3C61E" w14:textId="77777777" w:rsidR="00563004" w:rsidRPr="00815F35" w:rsidRDefault="00634C0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51.4%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4423E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3E1A17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39.7%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7BCED5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BA7920" w14:textId="77777777" w:rsidR="00563004" w:rsidRPr="00815F35" w:rsidRDefault="008C7070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38.8%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59FDD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39.9%</w:t>
            </w:r>
          </w:p>
        </w:tc>
        <w:tc>
          <w:tcPr>
            <w:tcW w:w="1072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928F98" w14:textId="77777777" w:rsidR="00563004" w:rsidRPr="00815F35" w:rsidRDefault="00D646F8" w:rsidP="00563004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41.1%</w:t>
            </w:r>
          </w:p>
        </w:tc>
      </w:tr>
      <w:tr w:rsidR="005E0FF0" w:rsidRPr="00815F35" w14:paraId="2B24F2B6" w14:textId="77777777" w:rsidTr="00193CF8">
        <w:trPr>
          <w:trHeight w:val="350"/>
          <w:jc w:val="center"/>
        </w:trPr>
        <w:tc>
          <w:tcPr>
            <w:tcW w:w="22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41C686" w14:textId="77777777" w:rsidR="005E0FF0" w:rsidRPr="00815F35" w:rsidRDefault="005E0FF0" w:rsidP="00563004">
            <w:pPr>
              <w:ind w:left="153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Observations</w:t>
            </w:r>
          </w:p>
        </w:tc>
        <w:tc>
          <w:tcPr>
            <w:tcW w:w="32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9DD6B" w14:textId="77777777" w:rsidR="005E0FF0" w:rsidRPr="00815F35" w:rsidRDefault="005E0FF0" w:rsidP="005E0FF0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</w:t>
            </w:r>
          </w:p>
        </w:tc>
        <w:tc>
          <w:tcPr>
            <w:tcW w:w="321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02A70" w14:textId="77777777" w:rsidR="005E0FF0" w:rsidRPr="00815F35" w:rsidRDefault="005E0FF0" w:rsidP="005E0FF0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321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8D8FE" w14:textId="77777777" w:rsidR="005E0FF0" w:rsidRPr="00815F35" w:rsidRDefault="005E0FF0" w:rsidP="005E0FF0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</w:t>
            </w:r>
          </w:p>
        </w:tc>
        <w:tc>
          <w:tcPr>
            <w:tcW w:w="321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B934A2" w14:textId="77777777" w:rsidR="005E0FF0" w:rsidRPr="00815F35" w:rsidRDefault="005E0FF0" w:rsidP="005E0FF0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</w:tr>
      <w:tr w:rsidR="005E0FF0" w:rsidRPr="00815F35" w14:paraId="23E87BB7" w14:textId="77777777" w:rsidTr="003155D3">
        <w:trPr>
          <w:trHeight w:val="350"/>
          <w:jc w:val="center"/>
        </w:trPr>
        <w:tc>
          <w:tcPr>
            <w:tcW w:w="22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FEB03" w14:textId="77777777" w:rsidR="005E0FF0" w:rsidRPr="00815F35" w:rsidRDefault="005E0FF0" w:rsidP="00563004">
            <w:pPr>
              <w:ind w:left="153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Root Mean Square Error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67A317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E86A65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4671A5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8F53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C12877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3A1162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0.23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B9A044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460501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3AC8F6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3C57C9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00B2BA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57B51" w14:textId="77777777" w:rsidR="005E0FF0" w:rsidRPr="00815F35" w:rsidRDefault="00002CD0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</w:tr>
      <w:tr w:rsidR="005E0FF0" w:rsidRPr="00815F35" w14:paraId="51836D30" w14:textId="77777777" w:rsidTr="003155D3">
        <w:trPr>
          <w:trHeight w:val="350"/>
          <w:jc w:val="center"/>
        </w:trPr>
        <w:tc>
          <w:tcPr>
            <w:tcW w:w="22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ED22E" w14:textId="77777777" w:rsidR="005E0FF0" w:rsidRPr="00815F35" w:rsidRDefault="005E0FF0" w:rsidP="00563004">
            <w:pPr>
              <w:ind w:left="153" w:hanging="1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Absolute Percentage Error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1F91E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EB58A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13.0%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F7271A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29.8%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40496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50B6CC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17.2%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8194D1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26.6%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6CE32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913DD0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18.0%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FD32C0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25.0%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0AF97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AD0468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17.4%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8EC760" w14:textId="77777777" w:rsidR="005E0FF0" w:rsidRPr="00815F35" w:rsidRDefault="003155D3" w:rsidP="003155D3">
            <w:pPr>
              <w:tabs>
                <w:tab w:val="decimal" w:pos="23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25.8%</w:t>
            </w:r>
          </w:p>
        </w:tc>
      </w:tr>
    </w:tbl>
    <w:p w14:paraId="3A00B6EF" w14:textId="77777777" w:rsidR="007428D2" w:rsidRDefault="007428D2" w:rsidP="00F4005F">
      <w:pPr>
        <w:spacing w:after="120"/>
        <w:rPr>
          <w:sz w:val="20"/>
        </w:rPr>
        <w:sectPr w:rsidR="007428D2" w:rsidSect="007428D2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876C943" w14:textId="77777777" w:rsidR="00122BC1" w:rsidRPr="00425E9A" w:rsidRDefault="00122BC1" w:rsidP="00F4005F">
      <w:pPr>
        <w:spacing w:after="120"/>
        <w:rPr>
          <w:sz w:val="20"/>
        </w:rPr>
      </w:pPr>
    </w:p>
    <w:p w14:paraId="1013F266" w14:textId="77777777" w:rsidR="00F4005F" w:rsidRDefault="00122BC1" w:rsidP="00A8233B">
      <w:pPr>
        <w:spacing w:line="360" w:lineRule="auto"/>
        <w:jc w:val="both"/>
      </w:pPr>
      <w:r>
        <w:rPr>
          <w:noProof/>
        </w:rPr>
        <w:drawing>
          <wp:inline distT="0" distB="0" distL="0" distR="0" wp14:anchorId="1D360D61" wp14:editId="3DAC0ED1">
            <wp:extent cx="3526367" cy="21197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952" cy="2127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133D5" wp14:editId="6AEE25ED">
            <wp:extent cx="3526367" cy="21197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055" cy="2125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46EB79" w14:textId="77777777" w:rsidR="00122BC1" w:rsidRDefault="00122BC1" w:rsidP="00A8233B">
      <w:pPr>
        <w:spacing w:line="360" w:lineRule="auto"/>
        <w:jc w:val="both"/>
      </w:pPr>
      <w:r>
        <w:rPr>
          <w:noProof/>
        </w:rPr>
        <w:drawing>
          <wp:inline distT="0" distB="0" distL="0" distR="0" wp14:anchorId="4D31F41A" wp14:editId="106E5ECB">
            <wp:extent cx="3521276" cy="2116667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921" cy="21302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3740F3" wp14:editId="63C394C0">
            <wp:extent cx="3534622" cy="212468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679" cy="2137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C4788C" w14:textId="77777777" w:rsidR="00C463B3" w:rsidRDefault="00122BC1" w:rsidP="00122BC1">
      <w:pPr>
        <w:jc w:val="center"/>
      </w:pPr>
      <w:r>
        <w:rPr>
          <w:noProof/>
        </w:rPr>
        <w:drawing>
          <wp:inline distT="0" distB="0" distL="0" distR="0" wp14:anchorId="612E67EF" wp14:editId="4C562207">
            <wp:extent cx="3530600" cy="212227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878" cy="2130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14271" w14:textId="77777777" w:rsidR="00122BC1" w:rsidRDefault="00122BC1" w:rsidP="00122BC1">
      <w:pPr>
        <w:jc w:val="center"/>
      </w:pPr>
    </w:p>
    <w:p w14:paraId="7F6EA9A3" w14:textId="77777777" w:rsidR="00122BC1" w:rsidRPr="00122BC1" w:rsidRDefault="00122BC1" w:rsidP="00122BC1">
      <w:pPr>
        <w:jc w:val="center"/>
        <w:rPr>
          <w:b/>
        </w:rPr>
      </w:pPr>
      <w:r>
        <w:rPr>
          <w:b/>
        </w:rPr>
        <w:t>Figure 1. Distribution of Smartphone Use and Transportation Mode by Age Range</w:t>
      </w:r>
    </w:p>
    <w:sectPr w:rsidR="00122BC1" w:rsidRPr="00122BC1" w:rsidSect="007428D2">
      <w:footerReference w:type="default" r:id="rId17"/>
      <w:pgSz w:w="12240" w:h="15840"/>
      <w:pgMar w:top="1440" w:right="288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405D3" w14:textId="77777777" w:rsidR="0073412F" w:rsidRDefault="0073412F" w:rsidP="003B786F">
      <w:r>
        <w:separator/>
      </w:r>
    </w:p>
  </w:endnote>
  <w:endnote w:type="continuationSeparator" w:id="0">
    <w:p w14:paraId="4BA0184A" w14:textId="77777777" w:rsidR="0073412F" w:rsidRDefault="0073412F" w:rsidP="003B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21292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AAE651" w14:textId="25BBD30F" w:rsidR="003B786F" w:rsidRDefault="003B78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3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FB050A" w14:textId="77777777" w:rsidR="003B786F" w:rsidRDefault="003B78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6023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018DE9" w14:textId="77777777" w:rsidR="007E7AD6" w:rsidRDefault="007E7AD6" w:rsidP="007E7AD6">
        <w:pPr>
          <w:pStyle w:val="Footer"/>
          <w:tabs>
            <w:tab w:val="clear" w:pos="4680"/>
            <w:tab w:val="clear" w:pos="9360"/>
          </w:tabs>
          <w:ind w:right="129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3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2ADF492" w14:textId="77777777" w:rsidR="007E7AD6" w:rsidRDefault="007E7A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51631" w14:textId="77777777" w:rsidR="0073412F" w:rsidRDefault="0073412F" w:rsidP="003B786F">
      <w:r>
        <w:separator/>
      </w:r>
    </w:p>
  </w:footnote>
  <w:footnote w:type="continuationSeparator" w:id="0">
    <w:p w14:paraId="00A051F9" w14:textId="77777777" w:rsidR="0073412F" w:rsidRDefault="0073412F" w:rsidP="003B7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33B"/>
    <w:rsid w:val="00002CD0"/>
    <w:rsid w:val="00027086"/>
    <w:rsid w:val="0005013D"/>
    <w:rsid w:val="000508FC"/>
    <w:rsid w:val="000872C7"/>
    <w:rsid w:val="000958D5"/>
    <w:rsid w:val="000A3291"/>
    <w:rsid w:val="000C78B9"/>
    <w:rsid w:val="000D4E49"/>
    <w:rsid w:val="00122BC1"/>
    <w:rsid w:val="00150D42"/>
    <w:rsid w:val="00155391"/>
    <w:rsid w:val="00176F6D"/>
    <w:rsid w:val="00214DA2"/>
    <w:rsid w:val="00256CCA"/>
    <w:rsid w:val="003072DC"/>
    <w:rsid w:val="003155D3"/>
    <w:rsid w:val="003416A5"/>
    <w:rsid w:val="003A7FC4"/>
    <w:rsid w:val="003B786F"/>
    <w:rsid w:val="004033B6"/>
    <w:rsid w:val="00432336"/>
    <w:rsid w:val="00433744"/>
    <w:rsid w:val="004844CB"/>
    <w:rsid w:val="004879B4"/>
    <w:rsid w:val="004B7D28"/>
    <w:rsid w:val="004D30B5"/>
    <w:rsid w:val="004D609A"/>
    <w:rsid w:val="00563004"/>
    <w:rsid w:val="0057453B"/>
    <w:rsid w:val="00591935"/>
    <w:rsid w:val="005A6BF2"/>
    <w:rsid w:val="005E0FF0"/>
    <w:rsid w:val="00607335"/>
    <w:rsid w:val="00610F8A"/>
    <w:rsid w:val="00620AE8"/>
    <w:rsid w:val="00634C08"/>
    <w:rsid w:val="00636FB7"/>
    <w:rsid w:val="006535FA"/>
    <w:rsid w:val="00676764"/>
    <w:rsid w:val="0071626A"/>
    <w:rsid w:val="0073412F"/>
    <w:rsid w:val="007428D2"/>
    <w:rsid w:val="00795688"/>
    <w:rsid w:val="007C098A"/>
    <w:rsid w:val="007E7AD6"/>
    <w:rsid w:val="0081563E"/>
    <w:rsid w:val="00816BB0"/>
    <w:rsid w:val="00852444"/>
    <w:rsid w:val="0085780B"/>
    <w:rsid w:val="00874627"/>
    <w:rsid w:val="008C0B61"/>
    <w:rsid w:val="008C7070"/>
    <w:rsid w:val="009229E9"/>
    <w:rsid w:val="009854E7"/>
    <w:rsid w:val="00996271"/>
    <w:rsid w:val="009B132A"/>
    <w:rsid w:val="009F7160"/>
    <w:rsid w:val="00A13AF0"/>
    <w:rsid w:val="00A65EAC"/>
    <w:rsid w:val="00A8233B"/>
    <w:rsid w:val="00AF6DC6"/>
    <w:rsid w:val="00B1034B"/>
    <w:rsid w:val="00B236CF"/>
    <w:rsid w:val="00B64B05"/>
    <w:rsid w:val="00B67611"/>
    <w:rsid w:val="00B93509"/>
    <w:rsid w:val="00BC2B31"/>
    <w:rsid w:val="00C04B4E"/>
    <w:rsid w:val="00C07D5D"/>
    <w:rsid w:val="00C429A4"/>
    <w:rsid w:val="00C5080D"/>
    <w:rsid w:val="00CB3EDC"/>
    <w:rsid w:val="00D310AB"/>
    <w:rsid w:val="00D361D2"/>
    <w:rsid w:val="00D56517"/>
    <w:rsid w:val="00D63EDD"/>
    <w:rsid w:val="00D646F8"/>
    <w:rsid w:val="00D64EAF"/>
    <w:rsid w:val="00D96884"/>
    <w:rsid w:val="00DD290D"/>
    <w:rsid w:val="00E2132A"/>
    <w:rsid w:val="00E25C7D"/>
    <w:rsid w:val="00E474F2"/>
    <w:rsid w:val="00E70227"/>
    <w:rsid w:val="00E71B06"/>
    <w:rsid w:val="00EA578A"/>
    <w:rsid w:val="00ED6A14"/>
    <w:rsid w:val="00EF0DDE"/>
    <w:rsid w:val="00EF6F7E"/>
    <w:rsid w:val="00F20C45"/>
    <w:rsid w:val="00F4005F"/>
    <w:rsid w:val="00FE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6BFAF3"/>
  <w15:docId w15:val="{53128342-7D31-433E-A8EA-C02AEACA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3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33B"/>
    <w:pPr>
      <w:ind w:left="720"/>
      <w:contextualSpacing/>
    </w:pPr>
  </w:style>
  <w:style w:type="table" w:styleId="TableGrid">
    <w:name w:val="Table Grid"/>
    <w:basedOn w:val="TableNormal"/>
    <w:uiPriority w:val="59"/>
    <w:rsid w:val="00F4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60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0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0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0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0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9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7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8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8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Bhat, Chandra R</dc:creator>
  <cp:lastModifiedBy>Macias, Lisa J</cp:lastModifiedBy>
  <cp:revision>3</cp:revision>
  <cp:lastPrinted>2016-11-15T21:03:00Z</cp:lastPrinted>
  <dcterms:created xsi:type="dcterms:W3CDTF">2016-11-15T16:53:00Z</dcterms:created>
  <dcterms:modified xsi:type="dcterms:W3CDTF">2016-11-15T21:04:00Z</dcterms:modified>
</cp:coreProperties>
</file>