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A3D6B" w14:textId="6BAD2826" w:rsidR="005E36CD" w:rsidRDefault="005E36CD" w:rsidP="007D7FDD">
      <w:pPr>
        <w:pStyle w:val="Title"/>
        <w:rPr>
          <w:spacing w:val="0"/>
          <w:sz w:val="24"/>
          <w:szCs w:val="24"/>
        </w:rPr>
      </w:pPr>
    </w:p>
    <w:p w14:paraId="6CEA1C2F" w14:textId="77777777" w:rsidR="00FA2674" w:rsidRPr="00FA2674" w:rsidRDefault="00FA2674" w:rsidP="00FA2674"/>
    <w:p w14:paraId="0613B1BD" w14:textId="718767E9" w:rsidR="0010797F" w:rsidRPr="005E36CD" w:rsidRDefault="00125C26" w:rsidP="007D7FDD">
      <w:pPr>
        <w:pStyle w:val="Title"/>
        <w:rPr>
          <w:spacing w:val="0"/>
          <w:sz w:val="24"/>
          <w:szCs w:val="24"/>
        </w:rPr>
      </w:pPr>
      <w:r w:rsidRPr="005E36CD">
        <w:rPr>
          <w:spacing w:val="0"/>
          <w:sz w:val="24"/>
          <w:szCs w:val="24"/>
        </w:rPr>
        <w:t>Where We Work and Why: A Joint Model of Work Arrangements, Telework Motivations, and Commute Travel</w:t>
      </w:r>
    </w:p>
    <w:p w14:paraId="0F19CD39" w14:textId="57BDC0EB" w:rsidR="007D7FDD" w:rsidRDefault="007D7FDD" w:rsidP="00A808CF">
      <w:pPr>
        <w:rPr>
          <w:rFonts w:ascii="Times New Roman" w:hAnsi="Times New Roman" w:cs="Times New Roman"/>
          <w:b/>
        </w:rPr>
      </w:pPr>
    </w:p>
    <w:p w14:paraId="259EEECF" w14:textId="5D3C4334" w:rsidR="005E36CD" w:rsidRDefault="005E36CD" w:rsidP="00A808CF">
      <w:pPr>
        <w:rPr>
          <w:rFonts w:ascii="Times New Roman" w:hAnsi="Times New Roman" w:cs="Times New Roman"/>
          <w:b/>
        </w:rPr>
      </w:pPr>
    </w:p>
    <w:p w14:paraId="6BEB1115" w14:textId="080321BE" w:rsidR="005E36CD" w:rsidRDefault="005E36CD" w:rsidP="00A808CF">
      <w:pPr>
        <w:rPr>
          <w:rFonts w:ascii="Times New Roman" w:hAnsi="Times New Roman" w:cs="Times New Roman"/>
          <w:b/>
        </w:rPr>
      </w:pPr>
    </w:p>
    <w:p w14:paraId="464F2BA9" w14:textId="77777777" w:rsidR="005E36CD" w:rsidRPr="005E36CD" w:rsidRDefault="005E36CD" w:rsidP="00A808CF">
      <w:pPr>
        <w:rPr>
          <w:rFonts w:ascii="Times New Roman" w:hAnsi="Times New Roman" w:cs="Times New Roman"/>
          <w:b/>
        </w:rPr>
      </w:pPr>
    </w:p>
    <w:p w14:paraId="1F191254" w14:textId="77777777" w:rsidR="00F349F2" w:rsidRPr="004E7954" w:rsidRDefault="00F349F2" w:rsidP="00F349F2">
      <w:pPr>
        <w:rPr>
          <w:rFonts w:ascii="Times" w:eastAsia="Times" w:hAnsi="Times" w:cs="Times New Roman"/>
          <w:b/>
          <w:szCs w:val="20"/>
        </w:rPr>
      </w:pPr>
      <w:r>
        <w:rPr>
          <w:rFonts w:ascii="Times" w:eastAsia="Times" w:hAnsi="Times" w:cs="Times New Roman"/>
          <w:b/>
          <w:szCs w:val="20"/>
        </w:rPr>
        <w:t>Anna Beliveau</w:t>
      </w:r>
    </w:p>
    <w:p w14:paraId="6ACE2368" w14:textId="77777777" w:rsidR="00FA2674" w:rsidRDefault="00FA2674" w:rsidP="00FA2674">
      <w:pPr>
        <w:rPr>
          <w:rFonts w:ascii="Times" w:eastAsia="Times" w:hAnsi="Times" w:cs="Times New Roman"/>
          <w:szCs w:val="20"/>
        </w:rPr>
      </w:pPr>
      <w:r w:rsidRPr="004E7954">
        <w:rPr>
          <w:rFonts w:ascii="Times" w:eastAsia="Times" w:hAnsi="Times" w:cs="Times New Roman"/>
          <w:szCs w:val="20"/>
        </w:rPr>
        <w:t>The University of Texas at Austin</w:t>
      </w:r>
    </w:p>
    <w:p w14:paraId="01314CB0" w14:textId="77777777" w:rsidR="00FA2674" w:rsidRPr="004E7954" w:rsidRDefault="00FA2674" w:rsidP="00FA2674">
      <w:pPr>
        <w:rPr>
          <w:rFonts w:ascii="Times" w:eastAsia="Times" w:hAnsi="Times" w:cs="Times New Roman"/>
          <w:szCs w:val="20"/>
        </w:rPr>
      </w:pPr>
      <w:r w:rsidRPr="004E7954">
        <w:rPr>
          <w:rFonts w:ascii="Times" w:eastAsia="Times" w:hAnsi="Times" w:cs="Times New Roman"/>
          <w:szCs w:val="20"/>
        </w:rPr>
        <w:t>Department of Civil, Architectural and Environmental Engineering</w:t>
      </w:r>
    </w:p>
    <w:p w14:paraId="1067FAFB" w14:textId="5B57B1CF" w:rsidR="00F349F2" w:rsidRPr="004E7954" w:rsidRDefault="00FA2674" w:rsidP="00FA2674">
      <w:pPr>
        <w:rPr>
          <w:rFonts w:ascii="Times" w:eastAsia="Times" w:hAnsi="Times" w:cs="Times New Roman"/>
          <w:szCs w:val="20"/>
        </w:rPr>
      </w:pPr>
      <w:r w:rsidRPr="004E7954">
        <w:rPr>
          <w:rFonts w:ascii="Times" w:eastAsia="Times" w:hAnsi="Times" w:cs="Times New Roman"/>
          <w:szCs w:val="20"/>
        </w:rPr>
        <w:t>301 E. Dean Keeton St. Stop C1761, Austin, TX 78712, USA</w:t>
      </w:r>
    </w:p>
    <w:p w14:paraId="00143180" w14:textId="7741C1BE" w:rsidR="00F349F2" w:rsidRPr="00D64E75" w:rsidRDefault="00F349F2" w:rsidP="00F349F2">
      <w:pPr>
        <w:rPr>
          <w:rFonts w:ascii="Times" w:eastAsia="Times" w:hAnsi="Times" w:cs="Times New Roman"/>
          <w:szCs w:val="20"/>
        </w:rPr>
      </w:pPr>
      <w:r w:rsidRPr="00D64E75">
        <w:rPr>
          <w:rFonts w:ascii="Times" w:eastAsia="Times" w:hAnsi="Times" w:cs="Times New Roman"/>
          <w:szCs w:val="20"/>
        </w:rPr>
        <w:t xml:space="preserve">Email: </w:t>
      </w:r>
      <w:hyperlink r:id="rId8" w:history="1">
        <w:r w:rsidRPr="00D64E75">
          <w:rPr>
            <w:rStyle w:val="Hyperlink"/>
            <w:rFonts w:ascii="Times" w:eastAsia="Times" w:hAnsi="Times" w:cs="Times New Roman"/>
            <w:szCs w:val="20"/>
          </w:rPr>
          <w:t>annabeliveau@utexas.edu</w:t>
        </w:r>
      </w:hyperlink>
      <w:r w:rsidRPr="00D64E75">
        <w:rPr>
          <w:rFonts w:ascii="Times" w:eastAsia="Times" w:hAnsi="Times" w:cs="Times New Roman"/>
          <w:szCs w:val="20"/>
        </w:rPr>
        <w:t xml:space="preserve">     </w:t>
      </w:r>
    </w:p>
    <w:p w14:paraId="420E5E63" w14:textId="77777777" w:rsidR="00F349F2" w:rsidRDefault="00F349F2" w:rsidP="00F349F2">
      <w:pPr>
        <w:rPr>
          <w:rFonts w:ascii="Times New Roman" w:eastAsia="Calibri" w:hAnsi="Times New Roman" w:cs="Times New Roman"/>
          <w:color w:val="0563C1"/>
          <w:u w:val="single"/>
        </w:rPr>
      </w:pPr>
    </w:p>
    <w:p w14:paraId="3C47C7F1" w14:textId="77777777" w:rsidR="00F349F2" w:rsidRPr="004E7954" w:rsidRDefault="00F349F2" w:rsidP="00F349F2">
      <w:pPr>
        <w:rPr>
          <w:rFonts w:ascii="Times" w:eastAsia="Times" w:hAnsi="Times" w:cs="Times New Roman"/>
          <w:b/>
          <w:szCs w:val="20"/>
        </w:rPr>
      </w:pPr>
      <w:r>
        <w:rPr>
          <w:rFonts w:ascii="Times" w:eastAsia="Times" w:hAnsi="Times" w:cs="Times New Roman"/>
          <w:b/>
          <w:szCs w:val="20"/>
        </w:rPr>
        <w:t>Dale Robbennolt</w:t>
      </w:r>
    </w:p>
    <w:p w14:paraId="22BC1D4B" w14:textId="77777777" w:rsidR="00FA2674" w:rsidRDefault="00FA2674" w:rsidP="00F349F2">
      <w:pPr>
        <w:rPr>
          <w:rFonts w:ascii="Times" w:eastAsia="Times" w:hAnsi="Times" w:cs="Times New Roman"/>
          <w:szCs w:val="20"/>
        </w:rPr>
      </w:pPr>
      <w:r w:rsidRPr="004E7954">
        <w:rPr>
          <w:rFonts w:ascii="Times" w:eastAsia="Times" w:hAnsi="Times" w:cs="Times New Roman"/>
          <w:szCs w:val="20"/>
        </w:rPr>
        <w:t>The University of Texas at Austin</w:t>
      </w:r>
    </w:p>
    <w:p w14:paraId="28CE496F" w14:textId="26519489" w:rsidR="00F349F2" w:rsidRPr="004E7954" w:rsidRDefault="00F349F2" w:rsidP="00F349F2">
      <w:pPr>
        <w:rPr>
          <w:rFonts w:ascii="Times" w:eastAsia="Times" w:hAnsi="Times" w:cs="Times New Roman"/>
          <w:szCs w:val="20"/>
        </w:rPr>
      </w:pPr>
      <w:r w:rsidRPr="004E7954">
        <w:rPr>
          <w:rFonts w:ascii="Times" w:eastAsia="Times" w:hAnsi="Times" w:cs="Times New Roman"/>
          <w:szCs w:val="20"/>
        </w:rPr>
        <w:t>Department of Civil, Architectural and Environmental Engineering</w:t>
      </w:r>
    </w:p>
    <w:p w14:paraId="0CE3FBD9" w14:textId="32CD134C" w:rsidR="00F349F2" w:rsidRPr="004E7954" w:rsidRDefault="00F349F2" w:rsidP="00F349F2">
      <w:pPr>
        <w:rPr>
          <w:rFonts w:ascii="Times" w:eastAsia="Times" w:hAnsi="Times" w:cs="Times New Roman"/>
          <w:szCs w:val="20"/>
        </w:rPr>
      </w:pPr>
      <w:r w:rsidRPr="004E7954">
        <w:rPr>
          <w:rFonts w:ascii="Times" w:eastAsia="Times" w:hAnsi="Times" w:cs="Times New Roman"/>
          <w:szCs w:val="20"/>
        </w:rPr>
        <w:t>301 E. Dean Keeton St. Stop C1761, Austin, TX 78712, USA</w:t>
      </w:r>
    </w:p>
    <w:p w14:paraId="2141631D" w14:textId="4E9BBC6B" w:rsidR="00F349F2" w:rsidRPr="00FA51C6" w:rsidRDefault="00F349F2" w:rsidP="00F349F2">
      <w:pPr>
        <w:rPr>
          <w:rFonts w:ascii="Times" w:eastAsia="Times" w:hAnsi="Times" w:cs="Times New Roman"/>
          <w:szCs w:val="20"/>
          <w:lang w:val="es-MX"/>
        </w:rPr>
      </w:pPr>
      <w:r w:rsidRPr="00FA51C6">
        <w:rPr>
          <w:rFonts w:ascii="Times" w:eastAsia="Times" w:hAnsi="Times" w:cs="Times New Roman"/>
          <w:szCs w:val="20"/>
          <w:lang w:val="es-MX"/>
        </w:rPr>
        <w:t xml:space="preserve">Email: </w:t>
      </w:r>
      <w:hyperlink r:id="rId9" w:history="1">
        <w:r w:rsidRPr="00FA51C6">
          <w:rPr>
            <w:rFonts w:ascii="Times" w:eastAsia="Times" w:hAnsi="Times" w:cs="Times New Roman"/>
            <w:color w:val="007FAA"/>
            <w:szCs w:val="20"/>
            <w:u w:val="single"/>
            <w:lang w:val="es-MX"/>
          </w:rPr>
          <w:t>dar4836@utexas.edu</w:t>
        </w:r>
      </w:hyperlink>
      <w:r w:rsidRPr="00FA51C6">
        <w:rPr>
          <w:rFonts w:ascii="Times" w:eastAsia="Times" w:hAnsi="Times" w:cs="Times New Roman"/>
          <w:szCs w:val="20"/>
          <w:lang w:val="es-MX"/>
        </w:rPr>
        <w:t xml:space="preserve">     </w:t>
      </w:r>
    </w:p>
    <w:p w14:paraId="64841A9D" w14:textId="77777777" w:rsidR="00F349F2" w:rsidRPr="00FA51C6" w:rsidRDefault="00F349F2" w:rsidP="00F349F2">
      <w:pPr>
        <w:rPr>
          <w:rFonts w:ascii="Times New Roman" w:eastAsia="Times New Roman" w:hAnsi="Times New Roman" w:cs="Times New Roman"/>
          <w:color w:val="0563C1"/>
          <w:u w:val="single"/>
          <w:lang w:val="es-MX"/>
        </w:rPr>
      </w:pPr>
    </w:p>
    <w:p w14:paraId="2F6D314F" w14:textId="77777777" w:rsidR="00D64E75" w:rsidRPr="00FA51C6" w:rsidRDefault="00D64E75" w:rsidP="00D64E75">
      <w:pPr>
        <w:rPr>
          <w:rFonts w:asciiTheme="majorHAnsi" w:hAnsiTheme="majorHAnsi" w:cstheme="majorHAnsi"/>
          <w:b/>
          <w:bCs/>
          <w:lang w:val="es-MX"/>
        </w:rPr>
      </w:pPr>
      <w:r w:rsidRPr="00FA51C6">
        <w:rPr>
          <w:rFonts w:asciiTheme="majorHAnsi" w:hAnsiTheme="majorHAnsi" w:cstheme="majorHAnsi"/>
          <w:b/>
          <w:bCs/>
          <w:lang w:val="es-MX"/>
        </w:rPr>
        <w:t>Miguel G. Rodriguez Ocana</w:t>
      </w:r>
    </w:p>
    <w:p w14:paraId="17026731" w14:textId="77777777" w:rsidR="00FA2674" w:rsidRDefault="00FA2674" w:rsidP="00FA2674">
      <w:pPr>
        <w:rPr>
          <w:rFonts w:ascii="Times New Roman" w:eastAsia="Calibri" w:hAnsi="Times New Roman" w:cs="Times New Roman"/>
        </w:rPr>
      </w:pPr>
      <w:r w:rsidRPr="004E7954">
        <w:rPr>
          <w:rFonts w:ascii="Times New Roman" w:eastAsia="Calibri" w:hAnsi="Times New Roman" w:cs="Times New Roman"/>
        </w:rPr>
        <w:t>Arizona State University</w:t>
      </w:r>
    </w:p>
    <w:p w14:paraId="523D9153" w14:textId="77777777" w:rsidR="00FA2674" w:rsidRPr="004E7954" w:rsidRDefault="00FA2674" w:rsidP="00FA2674">
      <w:pPr>
        <w:rPr>
          <w:rFonts w:ascii="Times New Roman" w:eastAsia="Calibri" w:hAnsi="Times New Roman" w:cs="Times New Roman"/>
        </w:rPr>
      </w:pPr>
      <w:r w:rsidRPr="004E7954">
        <w:rPr>
          <w:rFonts w:ascii="Times New Roman" w:eastAsia="Calibri" w:hAnsi="Times New Roman" w:cs="Times New Roman"/>
        </w:rPr>
        <w:t>School of Sustainable Engineering and the Built Environment</w:t>
      </w:r>
    </w:p>
    <w:p w14:paraId="01EBF94E" w14:textId="1EFD04C8" w:rsidR="00D64E75" w:rsidRPr="00947BE7" w:rsidRDefault="00FA2674" w:rsidP="00FA2674">
      <w:pPr>
        <w:rPr>
          <w:rFonts w:asciiTheme="majorHAnsi" w:hAnsiTheme="majorHAnsi" w:cstheme="majorHAnsi"/>
        </w:rPr>
      </w:pPr>
      <w:r w:rsidRPr="004E7954">
        <w:rPr>
          <w:rFonts w:ascii="Times New Roman" w:eastAsia="Calibri" w:hAnsi="Times New Roman" w:cs="Times New Roman"/>
        </w:rPr>
        <w:t xml:space="preserve">660 S. College Avenue, Tempe, AZ 85287-3005, </w:t>
      </w:r>
      <w:r w:rsidRPr="004E7954">
        <w:rPr>
          <w:rFonts w:ascii="Times" w:eastAsia="Times" w:hAnsi="Times" w:cs="Times New Roman"/>
          <w:szCs w:val="20"/>
        </w:rPr>
        <w:t>USA</w:t>
      </w:r>
    </w:p>
    <w:p w14:paraId="54C7E33A" w14:textId="373E8B85" w:rsidR="00D64E75" w:rsidRDefault="00D64E75" w:rsidP="00D64E75">
      <w:pPr>
        <w:rPr>
          <w:rFonts w:asciiTheme="majorHAnsi" w:hAnsiTheme="majorHAnsi" w:cstheme="majorHAnsi"/>
        </w:rPr>
      </w:pPr>
      <w:r w:rsidRPr="00947BE7">
        <w:rPr>
          <w:rFonts w:asciiTheme="majorHAnsi" w:hAnsiTheme="majorHAnsi" w:cstheme="majorHAnsi"/>
        </w:rPr>
        <w:t xml:space="preserve">Email: </w:t>
      </w:r>
      <w:hyperlink r:id="rId10" w:history="1">
        <w:r w:rsidRPr="00947BE7">
          <w:rPr>
            <w:rStyle w:val="Hyperlink"/>
            <w:rFonts w:asciiTheme="majorHAnsi" w:hAnsiTheme="majorHAnsi" w:cstheme="majorHAnsi"/>
          </w:rPr>
          <w:t>mgrodr15@asu.edu</w:t>
        </w:r>
      </w:hyperlink>
      <w:r w:rsidRPr="00947BE7">
        <w:rPr>
          <w:rFonts w:asciiTheme="majorHAnsi" w:hAnsiTheme="majorHAnsi" w:cstheme="majorHAnsi"/>
        </w:rPr>
        <w:t xml:space="preserve"> </w:t>
      </w:r>
    </w:p>
    <w:p w14:paraId="4D24941C" w14:textId="77777777" w:rsidR="00FA51C6" w:rsidRPr="004E7954" w:rsidRDefault="00FA51C6" w:rsidP="00FA51C6">
      <w:pPr>
        <w:rPr>
          <w:rFonts w:ascii="Times New Roman" w:eastAsia="Times New Roman" w:hAnsi="Times New Roman" w:cs="Times New Roman"/>
          <w:b/>
        </w:rPr>
      </w:pPr>
    </w:p>
    <w:p w14:paraId="0F52C440" w14:textId="77777777" w:rsidR="00FA51C6" w:rsidRPr="004E7954" w:rsidRDefault="00FA51C6" w:rsidP="00FA51C6">
      <w:pPr>
        <w:rPr>
          <w:rFonts w:ascii="Times New Roman" w:eastAsia="Calibri" w:hAnsi="Times New Roman" w:cs="Times New Roman"/>
          <w:b/>
        </w:rPr>
      </w:pPr>
      <w:r w:rsidRPr="004E7954">
        <w:rPr>
          <w:rFonts w:ascii="Times New Roman" w:eastAsia="Calibri" w:hAnsi="Times New Roman" w:cs="Times New Roman"/>
          <w:b/>
        </w:rPr>
        <w:t xml:space="preserve">Irfan Batur </w:t>
      </w:r>
    </w:p>
    <w:p w14:paraId="5C22D6DB" w14:textId="77777777" w:rsidR="00FA2674" w:rsidRDefault="00FA2674" w:rsidP="00FA2674">
      <w:pPr>
        <w:rPr>
          <w:rFonts w:ascii="Times New Roman" w:eastAsia="Calibri" w:hAnsi="Times New Roman" w:cs="Times New Roman"/>
        </w:rPr>
      </w:pPr>
      <w:r w:rsidRPr="004E7954">
        <w:rPr>
          <w:rFonts w:ascii="Times New Roman" w:eastAsia="Calibri" w:hAnsi="Times New Roman" w:cs="Times New Roman"/>
        </w:rPr>
        <w:t>Arizona State University</w:t>
      </w:r>
    </w:p>
    <w:p w14:paraId="3F997802" w14:textId="77777777" w:rsidR="00FA2674" w:rsidRPr="004E7954" w:rsidRDefault="00FA2674" w:rsidP="00FA2674">
      <w:pPr>
        <w:rPr>
          <w:rFonts w:ascii="Times New Roman" w:eastAsia="Calibri" w:hAnsi="Times New Roman" w:cs="Times New Roman"/>
        </w:rPr>
      </w:pPr>
      <w:r w:rsidRPr="004E7954">
        <w:rPr>
          <w:rFonts w:ascii="Times New Roman" w:eastAsia="Calibri" w:hAnsi="Times New Roman" w:cs="Times New Roman"/>
        </w:rPr>
        <w:t>School of Sustainable Engineering and the Built Environment</w:t>
      </w:r>
    </w:p>
    <w:p w14:paraId="217A2566" w14:textId="33C9B49E" w:rsidR="00FA51C6" w:rsidRPr="004E7954" w:rsidRDefault="00FA51C6" w:rsidP="00FA51C6">
      <w:pPr>
        <w:rPr>
          <w:rFonts w:ascii="Times New Roman" w:eastAsia="Calibri" w:hAnsi="Times New Roman" w:cs="Times New Roman"/>
        </w:rPr>
      </w:pPr>
      <w:r w:rsidRPr="004E7954">
        <w:rPr>
          <w:rFonts w:ascii="Times New Roman" w:eastAsia="Calibri" w:hAnsi="Times New Roman" w:cs="Times New Roman"/>
        </w:rPr>
        <w:t xml:space="preserve">660 S. College Avenue, Tempe, AZ 85287-3005, </w:t>
      </w:r>
      <w:r w:rsidRPr="004E7954">
        <w:rPr>
          <w:rFonts w:ascii="Times" w:eastAsia="Times" w:hAnsi="Times" w:cs="Times New Roman"/>
          <w:szCs w:val="20"/>
        </w:rPr>
        <w:t>USA</w:t>
      </w:r>
    </w:p>
    <w:p w14:paraId="69136D9B" w14:textId="12A55AE4" w:rsidR="006221E8" w:rsidRDefault="00FA51C6" w:rsidP="00F349F2">
      <w:r w:rsidRPr="004E7954">
        <w:rPr>
          <w:rFonts w:ascii="Times New Roman" w:eastAsia="Calibri" w:hAnsi="Times New Roman" w:cs="Times New Roman"/>
        </w:rPr>
        <w:t xml:space="preserve">Email: </w:t>
      </w:r>
      <w:hyperlink r:id="rId11" w:history="1">
        <w:r w:rsidRPr="004E7954">
          <w:rPr>
            <w:rFonts w:ascii="Times New Roman" w:eastAsia="Calibri" w:hAnsi="Times New Roman" w:cs="Times New Roman"/>
            <w:color w:val="007FAA"/>
            <w:u w:val="single"/>
          </w:rPr>
          <w:t>ibatur@asu.edu</w:t>
        </w:r>
      </w:hyperlink>
    </w:p>
    <w:p w14:paraId="31B69DF5" w14:textId="77777777" w:rsidR="006221E8" w:rsidRDefault="006221E8" w:rsidP="00F349F2"/>
    <w:p w14:paraId="3AFDD306" w14:textId="502EE290" w:rsidR="00F349F2" w:rsidRPr="004E7954" w:rsidRDefault="00F349F2" w:rsidP="00F349F2">
      <w:pPr>
        <w:rPr>
          <w:rFonts w:ascii="Times New Roman" w:eastAsia="Times New Roman" w:hAnsi="Times New Roman" w:cs="Times New Roman"/>
          <w:b/>
        </w:rPr>
      </w:pPr>
      <w:r w:rsidRPr="004E7954">
        <w:rPr>
          <w:rFonts w:ascii="Times New Roman" w:eastAsia="Times New Roman" w:hAnsi="Times New Roman" w:cs="Times New Roman"/>
          <w:b/>
        </w:rPr>
        <w:t xml:space="preserve">Ram M. Pendyala </w:t>
      </w:r>
    </w:p>
    <w:p w14:paraId="2F4C4B07" w14:textId="77777777" w:rsidR="00FA2674" w:rsidRDefault="00FA2674" w:rsidP="00F349F2">
      <w:pPr>
        <w:rPr>
          <w:rFonts w:ascii="Times New Roman" w:eastAsia="Calibri" w:hAnsi="Times New Roman" w:cs="Times New Roman"/>
        </w:rPr>
      </w:pPr>
      <w:r w:rsidRPr="004E7954">
        <w:rPr>
          <w:rFonts w:ascii="Times New Roman" w:eastAsia="Calibri" w:hAnsi="Times New Roman" w:cs="Times New Roman"/>
        </w:rPr>
        <w:t>Arizona State University</w:t>
      </w:r>
    </w:p>
    <w:p w14:paraId="36956CCA" w14:textId="053A794E" w:rsidR="00F349F2" w:rsidRPr="004E7954" w:rsidRDefault="00F349F2" w:rsidP="00F349F2">
      <w:pPr>
        <w:rPr>
          <w:rFonts w:ascii="Times New Roman" w:eastAsia="Calibri" w:hAnsi="Times New Roman" w:cs="Times New Roman"/>
        </w:rPr>
      </w:pPr>
      <w:r w:rsidRPr="004E7954">
        <w:rPr>
          <w:rFonts w:ascii="Times New Roman" w:eastAsia="Calibri" w:hAnsi="Times New Roman" w:cs="Times New Roman"/>
        </w:rPr>
        <w:t>School of Sustainable Engineering and the Built Environment</w:t>
      </w:r>
    </w:p>
    <w:p w14:paraId="1D7B5288" w14:textId="3D56E17A" w:rsidR="00F349F2" w:rsidRPr="004E7954" w:rsidRDefault="00F349F2" w:rsidP="00F349F2">
      <w:pPr>
        <w:rPr>
          <w:rFonts w:ascii="Times New Roman" w:eastAsia="Calibri" w:hAnsi="Times New Roman" w:cs="Times New Roman"/>
        </w:rPr>
      </w:pPr>
      <w:r w:rsidRPr="004E7954">
        <w:rPr>
          <w:rFonts w:ascii="Times New Roman" w:eastAsia="Calibri" w:hAnsi="Times New Roman" w:cs="Times New Roman"/>
        </w:rPr>
        <w:t xml:space="preserve">660 S. College Avenue, Tempe, AZ 85287-3005, </w:t>
      </w:r>
      <w:r w:rsidRPr="004E7954">
        <w:rPr>
          <w:rFonts w:ascii="Times" w:eastAsia="Times" w:hAnsi="Times" w:cs="Times New Roman"/>
          <w:szCs w:val="20"/>
        </w:rPr>
        <w:t>USA</w:t>
      </w:r>
    </w:p>
    <w:p w14:paraId="1F19FA62" w14:textId="4F1EFD93" w:rsidR="00F349F2" w:rsidRPr="00D64E75" w:rsidRDefault="00F349F2" w:rsidP="00F349F2">
      <w:pPr>
        <w:rPr>
          <w:rFonts w:ascii="Times New Roman" w:eastAsia="Times New Roman" w:hAnsi="Times New Roman" w:cs="Times New Roman"/>
        </w:rPr>
      </w:pPr>
      <w:r w:rsidRPr="00D64E75">
        <w:rPr>
          <w:rFonts w:ascii="Times New Roman" w:eastAsia="Times New Roman" w:hAnsi="Times New Roman" w:cs="Times New Roman"/>
        </w:rPr>
        <w:t xml:space="preserve">Email: </w:t>
      </w:r>
      <w:hyperlink r:id="rId12" w:history="1">
        <w:r w:rsidRPr="00D64E75">
          <w:rPr>
            <w:rFonts w:ascii="Times New Roman" w:eastAsia="Times New Roman" w:hAnsi="Times New Roman" w:cs="Times New Roman"/>
            <w:color w:val="007FAA"/>
            <w:u w:val="single"/>
          </w:rPr>
          <w:t>ram.pendyala@asu.edu</w:t>
        </w:r>
      </w:hyperlink>
      <w:r w:rsidRPr="00D64E75">
        <w:rPr>
          <w:rFonts w:ascii="Times New Roman" w:eastAsia="Times New Roman" w:hAnsi="Times New Roman" w:cs="Times New Roman"/>
        </w:rPr>
        <w:t xml:space="preserve">  </w:t>
      </w:r>
    </w:p>
    <w:p w14:paraId="42A74650" w14:textId="77777777" w:rsidR="00F349F2" w:rsidRPr="00D64E75" w:rsidRDefault="00F349F2" w:rsidP="00F349F2">
      <w:pPr>
        <w:rPr>
          <w:rFonts w:ascii="Times New Roman" w:eastAsia="Times New Roman" w:hAnsi="Times New Roman" w:cs="Times New Roman"/>
        </w:rPr>
      </w:pPr>
    </w:p>
    <w:p w14:paraId="26413432" w14:textId="77777777" w:rsidR="00F349F2" w:rsidRPr="004E7954" w:rsidRDefault="00F349F2" w:rsidP="00F349F2">
      <w:pPr>
        <w:rPr>
          <w:rFonts w:ascii="Times New Roman" w:eastAsia="Times New Roman" w:hAnsi="Times New Roman" w:cs="Times New Roman"/>
          <w:b/>
        </w:rPr>
      </w:pPr>
      <w:r w:rsidRPr="004E7954">
        <w:rPr>
          <w:rFonts w:ascii="Times New Roman" w:eastAsia="Times New Roman" w:hAnsi="Times New Roman" w:cs="Times New Roman"/>
          <w:b/>
        </w:rPr>
        <w:t>Chandra R. Bhat (Corresponding Author)</w:t>
      </w:r>
    </w:p>
    <w:p w14:paraId="0511D112" w14:textId="77777777" w:rsidR="00FA2674" w:rsidRDefault="00FA2674" w:rsidP="00FA2674">
      <w:pPr>
        <w:rPr>
          <w:rFonts w:ascii="Times" w:eastAsia="Times" w:hAnsi="Times" w:cs="Times New Roman"/>
          <w:szCs w:val="20"/>
        </w:rPr>
      </w:pPr>
      <w:r w:rsidRPr="004E7954">
        <w:rPr>
          <w:rFonts w:ascii="Times" w:eastAsia="Times" w:hAnsi="Times" w:cs="Times New Roman"/>
          <w:szCs w:val="20"/>
        </w:rPr>
        <w:t>The University of Texas at Austin</w:t>
      </w:r>
    </w:p>
    <w:p w14:paraId="178E4B60" w14:textId="77777777" w:rsidR="00FA2674" w:rsidRPr="004E7954" w:rsidRDefault="00FA2674" w:rsidP="00FA2674">
      <w:pPr>
        <w:rPr>
          <w:rFonts w:ascii="Times" w:eastAsia="Times" w:hAnsi="Times" w:cs="Times New Roman"/>
          <w:szCs w:val="20"/>
        </w:rPr>
      </w:pPr>
      <w:r w:rsidRPr="004E7954">
        <w:rPr>
          <w:rFonts w:ascii="Times" w:eastAsia="Times" w:hAnsi="Times" w:cs="Times New Roman"/>
          <w:szCs w:val="20"/>
        </w:rPr>
        <w:t>Department of Civil, Architectural and Environmental Engineering</w:t>
      </w:r>
    </w:p>
    <w:p w14:paraId="6AF4F3A0" w14:textId="48EE5F51" w:rsidR="00F349F2" w:rsidRPr="004E7954" w:rsidRDefault="00FA2674" w:rsidP="00FA2674">
      <w:pPr>
        <w:rPr>
          <w:rFonts w:ascii="Times" w:eastAsia="Times" w:hAnsi="Times" w:cs="Times New Roman"/>
          <w:szCs w:val="20"/>
        </w:rPr>
      </w:pPr>
      <w:r w:rsidRPr="004E7954">
        <w:rPr>
          <w:rFonts w:ascii="Times" w:eastAsia="Times" w:hAnsi="Times" w:cs="Times New Roman"/>
          <w:szCs w:val="20"/>
        </w:rPr>
        <w:t>301 E. Dean Keeton St. Stop C1761, Austin, TX 78712, USA</w:t>
      </w:r>
    </w:p>
    <w:p w14:paraId="5FA93187" w14:textId="11AB7AF3" w:rsidR="00181DDC" w:rsidRPr="005E36CD" w:rsidRDefault="00F349F2" w:rsidP="00A808CF">
      <w:pPr>
        <w:rPr>
          <w:rFonts w:ascii="Times New Roman" w:eastAsia="Times New Roman" w:hAnsi="Times New Roman" w:cs="Times New Roman"/>
        </w:rPr>
        <w:sectPr w:rsidR="00181DDC" w:rsidRPr="005E36CD" w:rsidSect="005E36CD">
          <w:footerReference w:type="default" r:id="rId13"/>
          <w:footerReference w:type="first" r:id="rId14"/>
          <w:pgSz w:w="12240" w:h="15840"/>
          <w:pgMar w:top="1440" w:right="1440" w:bottom="1440" w:left="1440" w:header="720" w:footer="720" w:gutter="0"/>
          <w:cols w:space="720"/>
          <w:titlePg/>
          <w:docGrid w:linePitch="360"/>
        </w:sectPr>
      </w:pPr>
      <w:r w:rsidRPr="00D64E75">
        <w:rPr>
          <w:rFonts w:ascii="Times New Roman" w:eastAsia="Times New Roman" w:hAnsi="Times New Roman" w:cs="Times New Roman"/>
        </w:rPr>
        <w:t xml:space="preserve">Email: </w:t>
      </w:r>
      <w:hyperlink r:id="rId15" w:history="1">
        <w:r w:rsidRPr="00D64E75">
          <w:rPr>
            <w:rFonts w:ascii="Times New Roman" w:eastAsia="Times New Roman" w:hAnsi="Times New Roman" w:cs="Times New Roman"/>
            <w:color w:val="007FAA"/>
            <w:u w:val="single"/>
          </w:rPr>
          <w:t>bhat@mail.utexas.edu</w:t>
        </w:r>
      </w:hyperlink>
      <w:r w:rsidRPr="00D64E75">
        <w:rPr>
          <w:rFonts w:ascii="Times New Roman" w:eastAsia="Times New Roman" w:hAnsi="Times New Roman" w:cs="Times New Roman"/>
        </w:rPr>
        <w:t xml:space="preserve"> </w:t>
      </w:r>
    </w:p>
    <w:p w14:paraId="7EFDC4E5" w14:textId="664ABEF8" w:rsidR="00AD3393" w:rsidRPr="00AD3393" w:rsidRDefault="00AD3393" w:rsidP="00AD3393">
      <w:pPr>
        <w:jc w:val="left"/>
        <w:rPr>
          <w:rFonts w:ascii="Times New Roman" w:eastAsia="Times New Roman" w:hAnsi="Times New Roman" w:cs="Times New Roman"/>
          <w:b/>
          <w:bCs/>
        </w:rPr>
      </w:pPr>
      <w:r>
        <w:rPr>
          <w:rFonts w:ascii="Times New Roman" w:eastAsia="Times New Roman" w:hAnsi="Times New Roman" w:cs="Times New Roman"/>
          <w:b/>
          <w:bCs/>
        </w:rPr>
        <w:lastRenderedPageBreak/>
        <w:t>ABSTRACT</w:t>
      </w:r>
    </w:p>
    <w:p w14:paraId="78403654" w14:textId="189B60C7" w:rsidR="00A31BB2" w:rsidRDefault="00AD3393" w:rsidP="00AD3393">
      <w:pPr>
        <w:rPr>
          <w:rFonts w:ascii="Times New Roman" w:eastAsia="Times New Roman" w:hAnsi="Times New Roman" w:cs="Times New Roman"/>
        </w:rPr>
      </w:pPr>
      <w:r w:rsidRPr="00AD3393">
        <w:rPr>
          <w:rFonts w:ascii="Times New Roman" w:eastAsia="Times New Roman" w:hAnsi="Times New Roman" w:cs="Times New Roman"/>
        </w:rPr>
        <w:t xml:space="preserve">Telework has become a durable feature of the </w:t>
      </w:r>
      <w:r>
        <w:rPr>
          <w:rFonts w:ascii="Times New Roman" w:eastAsia="Times New Roman" w:hAnsi="Times New Roman" w:cs="Times New Roman"/>
        </w:rPr>
        <w:t xml:space="preserve">workplace in the </w:t>
      </w:r>
      <w:r w:rsidR="00CB4856">
        <w:rPr>
          <w:rFonts w:ascii="Times New Roman" w:eastAsia="Times New Roman" w:hAnsi="Times New Roman" w:cs="Times New Roman"/>
        </w:rPr>
        <w:t>after-COVID</w:t>
      </w:r>
      <w:r>
        <w:rPr>
          <w:rFonts w:ascii="Times New Roman" w:eastAsia="Times New Roman" w:hAnsi="Times New Roman" w:cs="Times New Roman"/>
        </w:rPr>
        <w:t xml:space="preserve"> era.</w:t>
      </w:r>
      <w:r w:rsidRPr="00AD3393">
        <w:rPr>
          <w:rFonts w:ascii="Times New Roman" w:eastAsia="Times New Roman" w:hAnsi="Times New Roman" w:cs="Times New Roman"/>
        </w:rPr>
        <w:t xml:space="preserve"> </w:t>
      </w:r>
      <w:r>
        <w:rPr>
          <w:rFonts w:ascii="Times New Roman" w:eastAsia="Times New Roman" w:hAnsi="Times New Roman" w:cs="Times New Roman"/>
        </w:rPr>
        <w:t>W</w:t>
      </w:r>
      <w:r w:rsidRPr="00AD3393">
        <w:rPr>
          <w:rFonts w:ascii="Times New Roman" w:eastAsia="Times New Roman" w:hAnsi="Times New Roman" w:cs="Times New Roman"/>
        </w:rPr>
        <w:t>ork arrangements extend beyond a simple distinction between commuting and working from home. They reflect a bundle of interrelated choices involving work modality, work location, commute frequency, and the motivations underlying remote work. This study seeks to better understand these choices and their implications for commute travel and vehicle miles traveled (VMT).</w:t>
      </w:r>
      <w:r w:rsidR="005E36CD">
        <w:rPr>
          <w:rFonts w:ascii="Times New Roman" w:eastAsia="Times New Roman" w:hAnsi="Times New Roman" w:cs="Times New Roman"/>
        </w:rPr>
        <w:t xml:space="preserve"> </w:t>
      </w:r>
      <w:r w:rsidRPr="00AD3393">
        <w:rPr>
          <w:rFonts w:ascii="Times New Roman" w:eastAsia="Times New Roman" w:hAnsi="Times New Roman" w:cs="Times New Roman"/>
        </w:rPr>
        <w:t>Revealed</w:t>
      </w:r>
      <w:r>
        <w:rPr>
          <w:rFonts w:ascii="Times New Roman" w:eastAsia="Times New Roman" w:hAnsi="Times New Roman" w:cs="Times New Roman"/>
        </w:rPr>
        <w:t xml:space="preserve"> </w:t>
      </w:r>
      <w:r w:rsidRPr="00AD3393">
        <w:rPr>
          <w:rFonts w:ascii="Times New Roman" w:eastAsia="Times New Roman" w:hAnsi="Times New Roman" w:cs="Times New Roman"/>
        </w:rPr>
        <w:t xml:space="preserve">preference data from the </w:t>
      </w:r>
      <w:r w:rsidR="00C32609">
        <w:rPr>
          <w:rFonts w:ascii="Times New Roman" w:eastAsia="Times New Roman" w:hAnsi="Times New Roman" w:cs="Times New Roman"/>
        </w:rPr>
        <w:t>second</w:t>
      </w:r>
      <w:r w:rsidR="00C32609" w:rsidRPr="00AD3393">
        <w:rPr>
          <w:rFonts w:ascii="Times New Roman" w:eastAsia="Times New Roman" w:hAnsi="Times New Roman" w:cs="Times New Roman"/>
        </w:rPr>
        <w:t xml:space="preserve"> </w:t>
      </w:r>
      <w:r w:rsidRPr="00AD3393">
        <w:rPr>
          <w:rFonts w:ascii="Times New Roman" w:eastAsia="Times New Roman" w:hAnsi="Times New Roman" w:cs="Times New Roman"/>
        </w:rPr>
        <w:t xml:space="preserve">wave of the Transportation Heartbeat of America Survey, collected between </w:t>
      </w:r>
      <w:r w:rsidR="00C32609">
        <w:rPr>
          <w:rFonts w:ascii="Times New Roman" w:eastAsia="Times New Roman" w:hAnsi="Times New Roman" w:cs="Times New Roman"/>
        </w:rPr>
        <w:t>February</w:t>
      </w:r>
      <w:r w:rsidRPr="00AD3393">
        <w:rPr>
          <w:rFonts w:ascii="Times New Roman" w:eastAsia="Times New Roman" w:hAnsi="Times New Roman" w:cs="Times New Roman"/>
        </w:rPr>
        <w:t xml:space="preserve"> and </w:t>
      </w:r>
      <w:r w:rsidR="00C32609">
        <w:rPr>
          <w:rFonts w:ascii="Times New Roman" w:eastAsia="Times New Roman" w:hAnsi="Times New Roman" w:cs="Times New Roman"/>
        </w:rPr>
        <w:t>March</w:t>
      </w:r>
      <w:r w:rsidR="00C32609" w:rsidRPr="00AD3393">
        <w:rPr>
          <w:rFonts w:ascii="Times New Roman" w:eastAsia="Times New Roman" w:hAnsi="Times New Roman" w:cs="Times New Roman"/>
        </w:rPr>
        <w:t xml:space="preserve"> </w:t>
      </w:r>
      <w:r w:rsidRPr="00AD3393">
        <w:rPr>
          <w:rFonts w:ascii="Times New Roman" w:eastAsia="Times New Roman" w:hAnsi="Times New Roman" w:cs="Times New Roman"/>
        </w:rPr>
        <w:t>202</w:t>
      </w:r>
      <w:r w:rsidR="00C32609">
        <w:rPr>
          <w:rFonts w:ascii="Times New Roman" w:eastAsia="Times New Roman" w:hAnsi="Times New Roman" w:cs="Times New Roman"/>
        </w:rPr>
        <w:t>6</w:t>
      </w:r>
      <w:r w:rsidRPr="00AD3393">
        <w:rPr>
          <w:rFonts w:ascii="Times New Roman" w:eastAsia="Times New Roman" w:hAnsi="Times New Roman" w:cs="Times New Roman"/>
        </w:rPr>
        <w:t xml:space="preserve">, are used to estimate a joint </w:t>
      </w:r>
      <w:r>
        <w:rPr>
          <w:rFonts w:ascii="Times New Roman" w:eastAsia="Times New Roman" w:hAnsi="Times New Roman" w:cs="Times New Roman"/>
        </w:rPr>
        <w:t xml:space="preserve">multivariate econometric </w:t>
      </w:r>
      <w:r w:rsidRPr="00AD3393">
        <w:rPr>
          <w:rFonts w:ascii="Times New Roman" w:eastAsia="Times New Roman" w:hAnsi="Times New Roman" w:cs="Times New Roman"/>
        </w:rPr>
        <w:t xml:space="preserve">model of work arrangement, commute frequency among hybrid workers, and four motivations for working from home. Work arrangements distinguish </w:t>
      </w:r>
      <w:r w:rsidR="00284BAF" w:rsidRPr="00AD3393">
        <w:rPr>
          <w:rFonts w:ascii="Times New Roman" w:eastAsia="Times New Roman" w:hAnsi="Times New Roman" w:cs="Times New Roman"/>
        </w:rPr>
        <w:t>between</w:t>
      </w:r>
      <w:r w:rsidRPr="00AD3393">
        <w:rPr>
          <w:rFonts w:ascii="Times New Roman" w:eastAsia="Times New Roman" w:hAnsi="Times New Roman" w:cs="Times New Roman"/>
        </w:rPr>
        <w:t xml:space="preserve"> fully in-person, hybrid, fully remote home-based, and fully remote third location-based patterns.</w:t>
      </w:r>
      <w:r w:rsidR="00A31BB2">
        <w:rPr>
          <w:rFonts w:ascii="Times New Roman" w:eastAsia="Times New Roman" w:hAnsi="Times New Roman" w:cs="Times New Roman"/>
        </w:rPr>
        <w:t xml:space="preserve"> </w:t>
      </w:r>
      <w:r w:rsidR="00A31BB2" w:rsidRPr="00AD3393">
        <w:rPr>
          <w:rFonts w:ascii="Times New Roman" w:eastAsia="Times New Roman" w:hAnsi="Times New Roman" w:cs="Times New Roman"/>
        </w:rPr>
        <w:t>Model estimates are translated into</w:t>
      </w:r>
      <w:r w:rsidR="00A31BB2">
        <w:rPr>
          <w:rFonts w:ascii="Times New Roman" w:eastAsia="Times New Roman" w:hAnsi="Times New Roman" w:cs="Times New Roman"/>
        </w:rPr>
        <w:t xml:space="preserve"> expected</w:t>
      </w:r>
      <w:r w:rsidR="00A31BB2" w:rsidRPr="00AD3393">
        <w:rPr>
          <w:rFonts w:ascii="Times New Roman" w:eastAsia="Times New Roman" w:hAnsi="Times New Roman" w:cs="Times New Roman"/>
        </w:rPr>
        <w:t xml:space="preserve"> changes in commute frequency and weekly commute VMT.</w:t>
      </w:r>
      <w:r w:rsidRPr="00AD3393">
        <w:rPr>
          <w:rFonts w:ascii="Times New Roman" w:eastAsia="Times New Roman" w:hAnsi="Times New Roman" w:cs="Times New Roman"/>
        </w:rPr>
        <w:t xml:space="preserve"> </w:t>
      </w:r>
      <w:r w:rsidR="00A31BB2" w:rsidRPr="00A31BB2">
        <w:rPr>
          <w:rFonts w:ascii="Times New Roman" w:eastAsia="Times New Roman" w:hAnsi="Times New Roman" w:cs="Times New Roman"/>
        </w:rPr>
        <w:t xml:space="preserve">Results indicate that employee control over work schedules and work locations </w:t>
      </w:r>
      <w:r w:rsidR="00A31BB2">
        <w:rPr>
          <w:rFonts w:ascii="Times New Roman" w:eastAsia="Times New Roman" w:hAnsi="Times New Roman" w:cs="Times New Roman"/>
        </w:rPr>
        <w:t>are</w:t>
      </w:r>
      <w:r w:rsidR="00A31BB2" w:rsidRPr="00A31BB2">
        <w:rPr>
          <w:rFonts w:ascii="Times New Roman" w:eastAsia="Times New Roman" w:hAnsi="Times New Roman" w:cs="Times New Roman"/>
        </w:rPr>
        <w:t xml:space="preserve"> among the strongest determinants of work arrangements and commute travel.</w:t>
      </w:r>
      <w:r w:rsidRPr="00AD3393">
        <w:rPr>
          <w:rFonts w:ascii="Times New Roman" w:eastAsia="Times New Roman" w:hAnsi="Times New Roman" w:cs="Times New Roman"/>
        </w:rPr>
        <w:t xml:space="preserve"> Telework produces the greatest transportation benefits among workers with longer commutes, mobility challenges, and limited vehicle availability. Hybrid work generally reduces commute frequency rather than eliminating workplace travel</w:t>
      </w:r>
      <w:r w:rsidR="00A31BB2">
        <w:rPr>
          <w:rFonts w:ascii="Times New Roman" w:eastAsia="Times New Roman" w:hAnsi="Times New Roman" w:cs="Times New Roman"/>
        </w:rPr>
        <w:t xml:space="preserve"> completely</w:t>
      </w:r>
      <w:r w:rsidRPr="00AD3393">
        <w:rPr>
          <w:rFonts w:ascii="Times New Roman" w:eastAsia="Times New Roman" w:hAnsi="Times New Roman" w:cs="Times New Roman"/>
        </w:rPr>
        <w:t xml:space="preserve">. Home-based and third location-based remote work also exhibit distinct behavioral patterns, underscoring the need to represent remote work location explicitly. Considerable heterogeneity is observed across socio-economic and demographic groups in work arrangements and </w:t>
      </w:r>
      <w:r w:rsidR="005F6420">
        <w:rPr>
          <w:rFonts w:eastAsia="Calibri"/>
        </w:rPr>
        <w:t>work-from-home</w:t>
      </w:r>
      <w:r w:rsidR="005F6420" w:rsidRPr="00A321F3">
        <w:rPr>
          <w:rFonts w:eastAsia="Calibri"/>
        </w:rPr>
        <w:t xml:space="preserve"> </w:t>
      </w:r>
      <w:r w:rsidRPr="00AD3393">
        <w:rPr>
          <w:rFonts w:ascii="Times New Roman" w:eastAsia="Times New Roman" w:hAnsi="Times New Roman" w:cs="Times New Roman"/>
        </w:rPr>
        <w:t xml:space="preserve">motivations. The results further highlight the role of telework as an accessibility </w:t>
      </w:r>
      <w:r>
        <w:rPr>
          <w:rFonts w:ascii="Times New Roman" w:eastAsia="Times New Roman" w:hAnsi="Times New Roman" w:cs="Times New Roman"/>
        </w:rPr>
        <w:t xml:space="preserve">and travel demand management </w:t>
      </w:r>
      <w:r w:rsidRPr="00AD3393">
        <w:rPr>
          <w:rFonts w:ascii="Times New Roman" w:eastAsia="Times New Roman" w:hAnsi="Times New Roman" w:cs="Times New Roman"/>
        </w:rPr>
        <w:t>strategy.</w:t>
      </w:r>
      <w:r w:rsidR="005E36CD">
        <w:rPr>
          <w:rFonts w:ascii="Times New Roman" w:eastAsia="Times New Roman" w:hAnsi="Times New Roman" w:cs="Times New Roman"/>
        </w:rPr>
        <w:t xml:space="preserve"> </w:t>
      </w:r>
      <w:r w:rsidR="00A31BB2">
        <w:rPr>
          <w:rFonts w:ascii="Times New Roman" w:eastAsia="Times New Roman" w:hAnsi="Times New Roman" w:cs="Times New Roman"/>
        </w:rPr>
        <w:t>By jointly modelling</w:t>
      </w:r>
      <w:r w:rsidRPr="00AD3393">
        <w:rPr>
          <w:rFonts w:ascii="Times New Roman" w:eastAsia="Times New Roman" w:hAnsi="Times New Roman" w:cs="Times New Roman"/>
        </w:rPr>
        <w:t xml:space="preserve"> work modality, work location, commute frequency, and </w:t>
      </w:r>
      <w:r w:rsidR="005F6420">
        <w:rPr>
          <w:rFonts w:eastAsia="Calibri"/>
        </w:rPr>
        <w:t>work-from-home</w:t>
      </w:r>
      <w:r w:rsidR="005F6420" w:rsidRPr="00A321F3">
        <w:rPr>
          <w:rFonts w:eastAsia="Calibri"/>
        </w:rPr>
        <w:t xml:space="preserve"> </w:t>
      </w:r>
      <w:r w:rsidRPr="00AD3393">
        <w:rPr>
          <w:rFonts w:ascii="Times New Roman" w:eastAsia="Times New Roman" w:hAnsi="Times New Roman" w:cs="Times New Roman"/>
        </w:rPr>
        <w:t>motivations while accounting for shared unobserved influences across outcomes</w:t>
      </w:r>
      <w:r w:rsidR="00A31BB2">
        <w:rPr>
          <w:rFonts w:ascii="Times New Roman" w:eastAsia="Times New Roman" w:hAnsi="Times New Roman" w:cs="Times New Roman"/>
        </w:rPr>
        <w:t>,</w:t>
      </w:r>
      <w:r w:rsidR="005E36CD">
        <w:rPr>
          <w:rFonts w:ascii="Times New Roman" w:eastAsia="Times New Roman" w:hAnsi="Times New Roman" w:cs="Times New Roman"/>
        </w:rPr>
        <w:t xml:space="preserve"> </w:t>
      </w:r>
      <w:r w:rsidR="00A31BB2" w:rsidRPr="00A31BB2">
        <w:rPr>
          <w:rFonts w:ascii="Times New Roman" w:eastAsia="Times New Roman" w:hAnsi="Times New Roman" w:cs="Times New Roman"/>
        </w:rPr>
        <w:t xml:space="preserve">this study provides new insights into the behavioral processes underlying telework decisions. The findings can inform travel demand </w:t>
      </w:r>
      <w:r w:rsidR="00A31BB2">
        <w:rPr>
          <w:rFonts w:ascii="Times New Roman" w:eastAsia="Times New Roman" w:hAnsi="Times New Roman" w:cs="Times New Roman"/>
        </w:rPr>
        <w:t>modeling</w:t>
      </w:r>
      <w:r w:rsidR="00A31BB2" w:rsidRPr="00A31BB2">
        <w:rPr>
          <w:rFonts w:ascii="Times New Roman" w:eastAsia="Times New Roman" w:hAnsi="Times New Roman" w:cs="Times New Roman"/>
        </w:rPr>
        <w:t>, employer telework policies, and targeted transportation demand management programs designed to reduce commute burdens and improve accessibility.</w:t>
      </w:r>
    </w:p>
    <w:p w14:paraId="4C7DF56A" w14:textId="173CD1BB" w:rsidR="005E36CD" w:rsidRDefault="005E36CD" w:rsidP="00AD3393">
      <w:pPr>
        <w:rPr>
          <w:rFonts w:ascii="Times New Roman" w:eastAsia="Times New Roman" w:hAnsi="Times New Roman" w:cs="Times New Roman"/>
        </w:rPr>
      </w:pPr>
    </w:p>
    <w:p w14:paraId="0F73DAF2" w14:textId="410A31DB" w:rsidR="005E36CD" w:rsidRPr="00485DC5" w:rsidRDefault="005E36CD" w:rsidP="00485DC5">
      <w:pPr>
        <w:rPr>
          <w:rFonts w:ascii="Times New Roman" w:eastAsia="Times New Roman" w:hAnsi="Times New Roman" w:cs="Times New Roman"/>
          <w:b/>
          <w:bCs/>
        </w:rPr>
        <w:sectPr w:rsidR="005E36CD" w:rsidRPr="00485DC5" w:rsidSect="005E36CD">
          <w:footerReference w:type="default" r:id="rId16"/>
          <w:headerReference w:type="first" r:id="rId17"/>
          <w:pgSz w:w="12240" w:h="15840"/>
          <w:pgMar w:top="1440" w:right="1440" w:bottom="1440" w:left="1440" w:header="720" w:footer="720" w:gutter="0"/>
          <w:pgNumType w:start="1"/>
          <w:cols w:space="720"/>
          <w:docGrid w:linePitch="360"/>
        </w:sectPr>
      </w:pPr>
      <w:r w:rsidRPr="005E36CD">
        <w:rPr>
          <w:rFonts w:ascii="Times New Roman" w:eastAsia="Times New Roman" w:hAnsi="Times New Roman" w:cs="Times New Roman"/>
          <w:b/>
          <w:bCs/>
        </w:rPr>
        <w:t>Keywords:</w:t>
      </w:r>
      <w:r w:rsidR="00485DC5">
        <w:rPr>
          <w:rFonts w:ascii="Times New Roman" w:eastAsia="Times New Roman" w:hAnsi="Times New Roman" w:cs="Times New Roman"/>
          <w:b/>
          <w:bCs/>
        </w:rPr>
        <w:t xml:space="preserve"> </w:t>
      </w:r>
      <w:r w:rsidR="00485DC5">
        <w:rPr>
          <w:rFonts w:ascii="Times New Roman" w:hAnsi="Times New Roman" w:cs="Times New Roman"/>
          <w:color w:val="000000" w:themeColor="text1"/>
        </w:rPr>
        <w:t>T</w:t>
      </w:r>
      <w:r w:rsidR="00485DC5" w:rsidRPr="00485DC5">
        <w:rPr>
          <w:rFonts w:ascii="Times New Roman" w:hAnsi="Times New Roman" w:cs="Times New Roman"/>
          <w:color w:val="000000" w:themeColor="text1"/>
        </w:rPr>
        <w:t xml:space="preserve">elework, </w:t>
      </w:r>
      <w:r w:rsidR="00485DC5">
        <w:rPr>
          <w:rFonts w:ascii="Times New Roman" w:hAnsi="Times New Roman" w:cs="Times New Roman"/>
          <w:color w:val="000000" w:themeColor="text1"/>
        </w:rPr>
        <w:t>R</w:t>
      </w:r>
      <w:r w:rsidR="00485DC5" w:rsidRPr="00485DC5">
        <w:rPr>
          <w:rFonts w:ascii="Times New Roman" w:hAnsi="Times New Roman" w:cs="Times New Roman"/>
          <w:color w:val="000000" w:themeColor="text1"/>
        </w:rPr>
        <w:t xml:space="preserve">emote </w:t>
      </w:r>
      <w:r w:rsidR="00485DC5">
        <w:rPr>
          <w:rFonts w:ascii="Times New Roman" w:hAnsi="Times New Roman" w:cs="Times New Roman"/>
          <w:color w:val="000000" w:themeColor="text1"/>
        </w:rPr>
        <w:t>W</w:t>
      </w:r>
      <w:r w:rsidR="00485DC5" w:rsidRPr="00485DC5">
        <w:rPr>
          <w:rFonts w:ascii="Times New Roman" w:hAnsi="Times New Roman" w:cs="Times New Roman"/>
          <w:color w:val="000000" w:themeColor="text1"/>
        </w:rPr>
        <w:t>ork,</w:t>
      </w:r>
      <w:r w:rsidR="00485DC5">
        <w:rPr>
          <w:rFonts w:ascii="Times New Roman" w:hAnsi="Times New Roman" w:cs="Times New Roman"/>
          <w:color w:val="000000" w:themeColor="text1"/>
        </w:rPr>
        <w:t xml:space="preserve"> Work Location,</w:t>
      </w:r>
      <w:r w:rsidR="00485DC5" w:rsidRPr="00485DC5">
        <w:rPr>
          <w:rFonts w:ascii="Times New Roman" w:hAnsi="Times New Roman" w:cs="Times New Roman"/>
          <w:color w:val="000000" w:themeColor="text1"/>
        </w:rPr>
        <w:t xml:space="preserve"> </w:t>
      </w:r>
      <w:r w:rsidR="00485DC5">
        <w:rPr>
          <w:rFonts w:ascii="Times New Roman" w:hAnsi="Times New Roman" w:cs="Times New Roman"/>
          <w:color w:val="000000" w:themeColor="text1"/>
        </w:rPr>
        <w:t>T</w:t>
      </w:r>
      <w:r w:rsidR="00485DC5" w:rsidRPr="00485DC5">
        <w:rPr>
          <w:rFonts w:ascii="Times New Roman" w:hAnsi="Times New Roman" w:cs="Times New Roman"/>
          <w:color w:val="000000" w:themeColor="text1"/>
        </w:rPr>
        <w:t xml:space="preserve">elework </w:t>
      </w:r>
      <w:r w:rsidR="00485DC5">
        <w:rPr>
          <w:rFonts w:ascii="Times New Roman" w:hAnsi="Times New Roman" w:cs="Times New Roman"/>
          <w:color w:val="000000" w:themeColor="text1"/>
        </w:rPr>
        <w:t>M</w:t>
      </w:r>
      <w:r w:rsidR="00485DC5" w:rsidRPr="00485DC5">
        <w:rPr>
          <w:rFonts w:ascii="Times New Roman" w:hAnsi="Times New Roman" w:cs="Times New Roman"/>
          <w:color w:val="000000" w:themeColor="text1"/>
        </w:rPr>
        <w:t xml:space="preserve">otivations, </w:t>
      </w:r>
      <w:r w:rsidR="00485DC5">
        <w:rPr>
          <w:rFonts w:ascii="Times New Roman" w:hAnsi="Times New Roman" w:cs="Times New Roman"/>
          <w:color w:val="000000" w:themeColor="text1"/>
        </w:rPr>
        <w:t>E</w:t>
      </w:r>
      <w:r w:rsidR="00485DC5" w:rsidRPr="00485DC5">
        <w:rPr>
          <w:rFonts w:ascii="Times New Roman" w:hAnsi="Times New Roman" w:cs="Times New Roman"/>
          <w:color w:val="000000" w:themeColor="text1"/>
        </w:rPr>
        <w:t xml:space="preserve">mployer </w:t>
      </w:r>
      <w:r w:rsidR="00A31BB2">
        <w:rPr>
          <w:rFonts w:ascii="Times New Roman" w:hAnsi="Times New Roman" w:cs="Times New Roman"/>
          <w:color w:val="000000" w:themeColor="text1"/>
        </w:rPr>
        <w:t>C</w:t>
      </w:r>
      <w:r w:rsidR="00A31BB2" w:rsidRPr="00485DC5">
        <w:rPr>
          <w:rFonts w:ascii="Times New Roman" w:hAnsi="Times New Roman" w:cs="Times New Roman"/>
          <w:color w:val="000000" w:themeColor="text1"/>
        </w:rPr>
        <w:t>onstraints</w:t>
      </w:r>
      <w:r w:rsidR="00A31BB2">
        <w:rPr>
          <w:rFonts w:ascii="Times New Roman" w:hAnsi="Times New Roman" w:cs="Times New Roman"/>
          <w:color w:val="000000" w:themeColor="text1"/>
        </w:rPr>
        <w:t>, Commute</w:t>
      </w:r>
      <w:r w:rsidR="00485DC5">
        <w:rPr>
          <w:rFonts w:ascii="Times New Roman" w:hAnsi="Times New Roman" w:cs="Times New Roman"/>
          <w:color w:val="000000" w:themeColor="text1"/>
        </w:rPr>
        <w:t xml:space="preserve"> VMT</w:t>
      </w:r>
    </w:p>
    <w:p w14:paraId="0BA6F443" w14:textId="3C727EB6" w:rsidR="008D37B0" w:rsidRPr="006221E8" w:rsidRDefault="008D37B0" w:rsidP="006221E8">
      <w:pPr>
        <w:jc w:val="left"/>
        <w:rPr>
          <w:rFonts w:ascii="Times New Roman" w:hAnsi="Times New Roman" w:cs="Times New Roman"/>
          <w:b/>
          <w:bCs/>
          <w:color w:val="000000" w:themeColor="text1"/>
        </w:rPr>
      </w:pPr>
      <w:r w:rsidRPr="008D37B0">
        <w:rPr>
          <w:rFonts w:ascii="Times New Roman" w:hAnsi="Times New Roman" w:cs="Times New Roman"/>
          <w:b/>
          <w:bCs/>
          <w:color w:val="000000" w:themeColor="text1"/>
        </w:rPr>
        <w:lastRenderedPageBreak/>
        <w:t>1. INTRODUCTION AND MOTIVATION</w:t>
      </w:r>
    </w:p>
    <w:p w14:paraId="465784DE" w14:textId="4636A10D" w:rsidR="008D37B0" w:rsidRPr="008D37B0" w:rsidRDefault="008D37B0" w:rsidP="00284BAF">
      <w:pPr>
        <w:rPr>
          <w:rFonts w:ascii="Times New Roman" w:hAnsi="Times New Roman" w:cs="Times New Roman"/>
          <w:bCs/>
          <w:color w:val="000000" w:themeColor="text1"/>
        </w:rPr>
      </w:pPr>
      <w:r w:rsidRPr="008D37B0">
        <w:rPr>
          <w:rFonts w:ascii="Times New Roman" w:hAnsi="Times New Roman" w:cs="Times New Roman"/>
          <w:bCs/>
          <w:color w:val="000000" w:themeColor="text1"/>
        </w:rPr>
        <w:t xml:space="preserve">The nature of work in the United States has undergone a </w:t>
      </w:r>
      <w:r w:rsidR="00A958D3">
        <w:rPr>
          <w:rFonts w:ascii="Times New Roman" w:hAnsi="Times New Roman" w:cs="Times New Roman"/>
          <w:bCs/>
          <w:color w:val="000000" w:themeColor="text1"/>
        </w:rPr>
        <w:t>major</w:t>
      </w:r>
      <w:r w:rsidRPr="008D37B0">
        <w:rPr>
          <w:rFonts w:ascii="Times New Roman" w:hAnsi="Times New Roman" w:cs="Times New Roman"/>
          <w:bCs/>
          <w:color w:val="000000" w:themeColor="text1"/>
        </w:rPr>
        <w:t xml:space="preserve"> transformation</w:t>
      </w:r>
      <w:r w:rsidR="00A958D3">
        <w:rPr>
          <w:rFonts w:ascii="Times New Roman" w:hAnsi="Times New Roman" w:cs="Times New Roman"/>
          <w:bCs/>
          <w:color w:val="000000" w:themeColor="text1"/>
        </w:rPr>
        <w:t xml:space="preserve"> over the past five years</w:t>
      </w:r>
      <w:r w:rsidRPr="008D37B0">
        <w:rPr>
          <w:rFonts w:ascii="Times New Roman" w:hAnsi="Times New Roman" w:cs="Times New Roman"/>
          <w:bCs/>
          <w:color w:val="000000" w:themeColor="text1"/>
        </w:rPr>
        <w:t xml:space="preserve">. </w:t>
      </w:r>
      <w:r w:rsidR="00A958D3">
        <w:rPr>
          <w:rFonts w:ascii="Times New Roman" w:hAnsi="Times New Roman" w:cs="Times New Roman"/>
          <w:bCs/>
          <w:color w:val="000000" w:themeColor="text1"/>
        </w:rPr>
        <w:t>Between July 2025 and June 2026</w:t>
      </w:r>
      <w:r w:rsidRPr="008D37B0">
        <w:rPr>
          <w:rFonts w:ascii="Times New Roman" w:hAnsi="Times New Roman" w:cs="Times New Roman"/>
          <w:bCs/>
          <w:color w:val="000000" w:themeColor="text1"/>
        </w:rPr>
        <w:t xml:space="preserve">, </w:t>
      </w:r>
      <w:r w:rsidR="00A958D3">
        <w:rPr>
          <w:rFonts w:ascii="Times New Roman" w:hAnsi="Times New Roman" w:cs="Times New Roman"/>
          <w:bCs/>
          <w:color w:val="000000" w:themeColor="text1"/>
        </w:rPr>
        <w:t xml:space="preserve">on average, </w:t>
      </w:r>
      <w:r w:rsidR="00A958D3" w:rsidRPr="008472E9">
        <w:rPr>
          <w:rFonts w:ascii="Times New Roman" w:hAnsi="Times New Roman" w:cs="Times New Roman"/>
          <w:bCs/>
          <w:color w:val="000000" w:themeColor="text1"/>
        </w:rPr>
        <w:t>nearly 12</w:t>
      </w:r>
      <w:r w:rsidRPr="008472E9">
        <w:rPr>
          <w:rFonts w:ascii="Times New Roman" w:hAnsi="Times New Roman" w:cs="Times New Roman"/>
          <w:bCs/>
          <w:color w:val="000000" w:themeColor="text1"/>
        </w:rPr>
        <w:t xml:space="preserve"> percent of full-time wage and salary employees worked entirely from home, while </w:t>
      </w:r>
      <w:r w:rsidR="00A958D3" w:rsidRPr="008472E9">
        <w:rPr>
          <w:rFonts w:ascii="Times New Roman" w:hAnsi="Times New Roman" w:cs="Times New Roman"/>
          <w:bCs/>
          <w:color w:val="000000" w:themeColor="text1"/>
        </w:rPr>
        <w:t>nearly 26</w:t>
      </w:r>
      <w:r w:rsidRPr="008472E9">
        <w:rPr>
          <w:rFonts w:ascii="Times New Roman" w:hAnsi="Times New Roman" w:cs="Times New Roman"/>
          <w:bCs/>
          <w:color w:val="000000" w:themeColor="text1"/>
        </w:rPr>
        <w:t xml:space="preserve"> percent divided their workweek between home and an employer workplace </w:t>
      </w:r>
      <w:r w:rsidR="008472E9" w:rsidRPr="008472E9">
        <w:rPr>
          <w:rFonts w:ascii="Times New Roman" w:hAnsi="Times New Roman" w:cs="Times New Roman"/>
          <w:bCs/>
          <w:color w:val="000000" w:themeColor="text1"/>
        </w:rPr>
        <w:fldChar w:fldCharType="begin"/>
      </w:r>
      <w:r w:rsidR="008472E9" w:rsidRPr="008472E9">
        <w:rPr>
          <w:rFonts w:ascii="Times New Roman" w:hAnsi="Times New Roman" w:cs="Times New Roman"/>
          <w:bCs/>
          <w:color w:val="000000" w:themeColor="text1"/>
        </w:rPr>
        <w:instrText xml:space="preserve"> ADDIN ZOTERO_ITEM CSL_CITATION {"citationID":"NcG8lHC3","properties":{"formattedCitation":"(WFH Res. 2026)","plainCitation":"(WFH Res. 2026)","noteIndex":0},"citationItems":[{"id":2355,"uris":["http://zotero.org/users/16508888/items/86Y7ZJD8"],"itemData":{"id":2355,"type":"webpage","container-title":"WFH Research","language":"en-US","title":"WFH Research | Survey of Working Arrangements and Attitudes","URL":"https://wfhresearch.com/#","accessed":{"date-parts":[["2026",7,31]]},"issued":{"date-parts":[["2026"]]}}}],"schema":"https://github.com/citation-style-language/schema/raw/master/csl-citation.json"} </w:instrText>
      </w:r>
      <w:r w:rsidR="008472E9" w:rsidRPr="008472E9">
        <w:rPr>
          <w:rFonts w:ascii="Times New Roman" w:hAnsi="Times New Roman" w:cs="Times New Roman"/>
          <w:bCs/>
          <w:color w:val="000000" w:themeColor="text1"/>
        </w:rPr>
        <w:fldChar w:fldCharType="separate"/>
      </w:r>
      <w:r w:rsidR="008472E9" w:rsidRPr="008472E9">
        <w:rPr>
          <w:rFonts w:ascii="Times New Roman" w:hAnsi="Times New Roman" w:cs="Times New Roman"/>
        </w:rPr>
        <w:t>(WFH Res</w:t>
      </w:r>
      <w:r w:rsidR="008472E9">
        <w:rPr>
          <w:rFonts w:ascii="Times New Roman" w:hAnsi="Times New Roman" w:cs="Times New Roman"/>
        </w:rPr>
        <w:t>earch,</w:t>
      </w:r>
      <w:r w:rsidR="008472E9" w:rsidRPr="008472E9">
        <w:rPr>
          <w:rFonts w:ascii="Times New Roman" w:hAnsi="Times New Roman" w:cs="Times New Roman"/>
        </w:rPr>
        <w:t xml:space="preserve"> 2026)</w:t>
      </w:r>
      <w:r w:rsidR="008472E9" w:rsidRPr="008472E9">
        <w:rPr>
          <w:rFonts w:ascii="Times New Roman" w:hAnsi="Times New Roman" w:cs="Times New Roman"/>
          <w:bCs/>
          <w:color w:val="000000" w:themeColor="text1"/>
        </w:rPr>
        <w:fldChar w:fldCharType="end"/>
      </w:r>
      <w:r w:rsidRPr="008472E9">
        <w:rPr>
          <w:rFonts w:ascii="Times New Roman" w:hAnsi="Times New Roman" w:cs="Times New Roman"/>
          <w:bCs/>
          <w:color w:val="000000" w:themeColor="text1"/>
        </w:rPr>
        <w:t xml:space="preserve">. Only </w:t>
      </w:r>
      <w:r w:rsidR="00A958D3" w:rsidRPr="008472E9">
        <w:rPr>
          <w:rFonts w:ascii="Times New Roman" w:hAnsi="Times New Roman" w:cs="Times New Roman"/>
          <w:bCs/>
          <w:color w:val="000000" w:themeColor="text1"/>
        </w:rPr>
        <w:t>about 63</w:t>
      </w:r>
      <w:r w:rsidRPr="008472E9">
        <w:rPr>
          <w:rFonts w:ascii="Times New Roman" w:hAnsi="Times New Roman" w:cs="Times New Roman"/>
          <w:bCs/>
          <w:color w:val="000000" w:themeColor="text1"/>
        </w:rPr>
        <w:t xml:space="preserve"> percent worked fully on site at </w:t>
      </w:r>
      <w:r w:rsidR="00284BAF">
        <w:rPr>
          <w:rFonts w:ascii="Times New Roman" w:hAnsi="Times New Roman" w:cs="Times New Roman"/>
          <w:bCs/>
          <w:color w:val="000000" w:themeColor="text1"/>
        </w:rPr>
        <w:t>a primary</w:t>
      </w:r>
      <w:r w:rsidRPr="008472E9">
        <w:rPr>
          <w:rFonts w:ascii="Times New Roman" w:hAnsi="Times New Roman" w:cs="Times New Roman"/>
          <w:bCs/>
          <w:color w:val="000000" w:themeColor="text1"/>
        </w:rPr>
        <w:t xml:space="preserve"> workplace. Viewed across workdays, approximately</w:t>
      </w:r>
      <w:r w:rsidRPr="008D37B0">
        <w:rPr>
          <w:rFonts w:ascii="Times New Roman" w:hAnsi="Times New Roman" w:cs="Times New Roman"/>
          <w:bCs/>
          <w:color w:val="000000" w:themeColor="text1"/>
        </w:rPr>
        <w:t xml:space="preserve"> 26 percent of all full paid workdays in June 2026 were performed from home</w:t>
      </w:r>
      <w:r>
        <w:rPr>
          <w:rFonts w:ascii="Times New Roman" w:hAnsi="Times New Roman" w:cs="Times New Roman"/>
          <w:bCs/>
          <w:color w:val="000000" w:themeColor="text1"/>
        </w:rPr>
        <w:t xml:space="preserve"> </w:t>
      </w:r>
      <w:r w:rsidR="008472E9">
        <w:rPr>
          <w:rFonts w:ascii="Times New Roman" w:hAnsi="Times New Roman" w:cs="Times New Roman"/>
          <w:bCs/>
          <w:color w:val="000000" w:themeColor="text1"/>
        </w:rPr>
        <w:fldChar w:fldCharType="begin"/>
      </w:r>
      <w:r w:rsidR="001B5A54">
        <w:rPr>
          <w:rFonts w:ascii="Times New Roman" w:hAnsi="Times New Roman" w:cs="Times New Roman"/>
          <w:bCs/>
          <w:color w:val="000000" w:themeColor="text1"/>
        </w:rPr>
        <w:instrText xml:space="preserve"> ADDIN ZOTERO_ITEM CSL_CITATION {"citationID":"qL3DGvLK","properties":{"formattedCitation":"(WFH Res. 2026; Buckman et al. 2025)","plainCitation":"(WFH Res. 2026; Buckman et al. 2025)","noteIndex":0},"citationItems":[{"id":2355,"uris":["http://zotero.org/users/16508888/items/86Y7ZJD8"],"itemData":{"id":2355,"type":"webpage","container-title":"WFH Research","language":"en-US","title":"WFH Research | Survey of Working Arrangements and Attitudes","URL":"https://wfhresearch.com/#","accessed":{"date-parts":[["2026",7,31]]},"issued":{"date-parts":[["2026"]]}}},{"id":2359,"uris":["http://zotero.org/users/16508888/items/VPWMNUT6"],"itemData":{"id":2359,"type":"article","abstract":"Headline estimates for the extent of work from home (WFH) differ widely across U.S. surveys. The differences shrink greatly when we harmonize with respect to the WFH concept, target population, and question design. As of 2025, our preferred estimates say that WFH accounts for a quarter of paid workdays among Americans aged 20-64. The WFH rate is seven percentage points higher for workers with children under eight in the household and about two percentage points higher for women than men. Desired WFH rates exceed actual rates in every major demographic group – more so for women, workers with young children, and less educated workers.","collection-title":"Working Paper Series","DOI":"10.3386/w33508","genre":"Working Paper","note":"DOI: 10.3386/w33508","number":"33508","publisher":"National Bureau of Economic Research","source":"National Bureau of Economic Research","title":"Measuring Work from Home","URL":"https://www.nber.org/papers/w33508","author":[{"family":"Buckman","given":"Shelby R."},{"family":"Barrero","given":"Jose Maria"},{"family":"Bloom","given":"Nicholas"},{"family":"Davis","given":"Steven J."}],"accessed":{"date-parts":[["2026",8,2]]},"issued":{"date-parts":[["2025",2]]}}}],"schema":"https://github.com/citation-style-language/schema/raw/master/csl-citation.json"} </w:instrText>
      </w:r>
      <w:r w:rsidR="008472E9">
        <w:rPr>
          <w:rFonts w:ascii="Times New Roman" w:hAnsi="Times New Roman" w:cs="Times New Roman"/>
          <w:bCs/>
          <w:color w:val="000000" w:themeColor="text1"/>
        </w:rPr>
        <w:fldChar w:fldCharType="separate"/>
      </w:r>
      <w:r w:rsidR="001B5A54" w:rsidRPr="001B5A54">
        <w:rPr>
          <w:rFonts w:ascii="Times New Roman" w:hAnsi="Times New Roman" w:cs="Times New Roman"/>
        </w:rPr>
        <w:t>(Buckman et al. 2025</w:t>
      </w:r>
      <w:r w:rsidR="001B5A54">
        <w:rPr>
          <w:rFonts w:ascii="Times New Roman" w:hAnsi="Times New Roman" w:cs="Times New Roman"/>
        </w:rPr>
        <w:t xml:space="preserve">; </w:t>
      </w:r>
      <w:r w:rsidR="001B5A54" w:rsidRPr="001B5A54">
        <w:rPr>
          <w:rFonts w:ascii="Times New Roman" w:hAnsi="Times New Roman" w:cs="Times New Roman"/>
        </w:rPr>
        <w:t>WFH Res</w:t>
      </w:r>
      <w:r w:rsidR="001B5A54">
        <w:rPr>
          <w:rFonts w:ascii="Times New Roman" w:hAnsi="Times New Roman" w:cs="Times New Roman"/>
        </w:rPr>
        <w:t>earch</w:t>
      </w:r>
      <w:r w:rsidR="001B5A54" w:rsidRPr="001B5A54">
        <w:rPr>
          <w:rFonts w:ascii="Times New Roman" w:hAnsi="Times New Roman" w:cs="Times New Roman"/>
        </w:rPr>
        <w:t xml:space="preserve"> 2026)</w:t>
      </w:r>
      <w:r w:rsidR="008472E9">
        <w:rPr>
          <w:rFonts w:ascii="Times New Roman" w:hAnsi="Times New Roman" w:cs="Times New Roman"/>
          <w:bCs/>
          <w:color w:val="000000" w:themeColor="text1"/>
        </w:rPr>
        <w:fldChar w:fldCharType="end"/>
      </w:r>
      <w:r w:rsidR="008472E9">
        <w:rPr>
          <w:rFonts w:ascii="Times New Roman" w:hAnsi="Times New Roman" w:cs="Times New Roman"/>
          <w:bCs/>
          <w:color w:val="000000" w:themeColor="text1"/>
        </w:rPr>
        <w:t xml:space="preserve">. </w:t>
      </w:r>
      <w:r w:rsidRPr="008D37B0">
        <w:rPr>
          <w:rFonts w:ascii="Times New Roman" w:hAnsi="Times New Roman" w:cs="Times New Roman"/>
          <w:bCs/>
          <w:color w:val="000000" w:themeColor="text1"/>
        </w:rPr>
        <w:t xml:space="preserve">Before the COVID-19 pandemic, the corresponding </w:t>
      </w:r>
      <w:r w:rsidRPr="007F3469">
        <w:rPr>
          <w:rFonts w:ascii="Times New Roman" w:hAnsi="Times New Roman" w:cs="Times New Roman"/>
          <w:bCs/>
          <w:color w:val="000000" w:themeColor="text1"/>
        </w:rPr>
        <w:t xml:space="preserve">share was about </w:t>
      </w:r>
      <w:r w:rsidR="00A958D3" w:rsidRPr="007F3469">
        <w:rPr>
          <w:rFonts w:ascii="Times New Roman" w:hAnsi="Times New Roman" w:cs="Times New Roman"/>
          <w:bCs/>
          <w:color w:val="000000" w:themeColor="text1"/>
        </w:rPr>
        <w:t>seven</w:t>
      </w:r>
      <w:r w:rsidRPr="007F3469">
        <w:rPr>
          <w:rFonts w:ascii="Times New Roman" w:hAnsi="Times New Roman" w:cs="Times New Roman"/>
          <w:bCs/>
          <w:color w:val="000000" w:themeColor="text1"/>
        </w:rPr>
        <w:t xml:space="preserve"> percent</w:t>
      </w:r>
      <w:r w:rsidR="00284BAF" w:rsidRPr="007F3469">
        <w:rPr>
          <w:rFonts w:ascii="Times New Roman" w:hAnsi="Times New Roman" w:cs="Times New Roman"/>
          <w:bCs/>
          <w:color w:val="000000" w:themeColor="text1"/>
        </w:rPr>
        <w:t xml:space="preserve"> </w:t>
      </w:r>
      <w:r w:rsidR="007F3469" w:rsidRPr="007F3469">
        <w:rPr>
          <w:rFonts w:ascii="Times New Roman" w:hAnsi="Times New Roman" w:cs="Times New Roman"/>
          <w:bCs/>
          <w:color w:val="000000" w:themeColor="text1"/>
        </w:rPr>
        <w:fldChar w:fldCharType="begin"/>
      </w:r>
      <w:r w:rsidR="007F3469" w:rsidRPr="007F3469">
        <w:rPr>
          <w:rFonts w:ascii="Times New Roman" w:hAnsi="Times New Roman" w:cs="Times New Roman"/>
          <w:bCs/>
          <w:color w:val="000000" w:themeColor="text1"/>
        </w:rPr>
        <w:instrText xml:space="preserve"> ADDIN ZOTERO_ITEM CSL_CITATION {"citationID":"9fBy4Jz7","properties":{"formattedCitation":"(Bick et al. 2023; Barrero et al. 2023)","plainCitation":"(Bick et al. 2023; Barrero et al. 2023)","noteIndex":0},"citationItems":[{"id":2361,"uris":["http://zotero.org/users/16508888/items/7LL9TYPI"],"itemData":{"id":2361,"type":"article-journal","abstract":"Work from Home before and after the COVID-19 Outbreak by Alexander Bick, Adam Blandin and Karel Mertens. Published in volume 15, issue 4, pages 1-39 of American Economic Journal: Macroeconomics, October 2023, Abstract: Based on novel survey data, we document a persistent rise in work from home (WFH)...","container-title":"American Economic Journal: Macroeconomics","DOI":"10.1257/mac.20210061","issue":"4","language":"en","page":"1-39","source":"www.aeaweb.org","title":"Work from Home before and after the COVID-19 Outbreak - American Economic Association","volume":"15","author":[{"family":"Bick","given":"Alexander"},{"family":"Blandin","given":"Adam"},{"family":"Mertens","given":"Karel"}],"issued":{"date-parts":[["2023"]]}}},{"id":1992,"uris":["http://zotero.org/users/16508888/items/XUTADCBS"],"itemData":{"id":1992,"type":"article-journal","abstract":"Full days worked at home account for 28 percent of paid workdays among Americans 20–64 years old, as of mid-2023. That's about four times the 2019 rate and ten times the rate in the mid-1990s. We first explain why the big shift to work from home has endured rather than reverting to prepandemic levels. We then consider how work-from-home rates vary by worker age, sex, education, parental status, industry and local population density, and why it is higher in the United States than other countries. We also discuss some implications for pay, productivity, and the pace of innovation. Over the next five years, US business executives anticipate modest increases in work-from-home rates at their own companies. Other factors that portend an enduring shift to work from home include the ongoing adaptation of managerial practices and further advances in technologies, products, and tools that support remote work.","container-title":"Journal of Economic Perspectives","DOI":"10.1257/jep.37.4.23","ISSN":"0895-3309","issue":"4","language":"en","page":"23-50","source":"www.aeaweb.org","title":"The Evolution of Work from Home","volume":"37","author":[{"family":"Barrero","given":"José María"},{"family":"Bloom","given":"Nicholas"},{"family":"Davis","given":"Steven J."}],"issued":{"date-parts":[["2023",11]]}}}],"schema":"https://github.com/citation-style-language/schema/raw/master/csl-citation.json"} </w:instrText>
      </w:r>
      <w:r w:rsidR="007F3469" w:rsidRPr="007F3469">
        <w:rPr>
          <w:rFonts w:ascii="Times New Roman" w:hAnsi="Times New Roman" w:cs="Times New Roman"/>
          <w:bCs/>
          <w:color w:val="000000" w:themeColor="text1"/>
        </w:rPr>
        <w:fldChar w:fldCharType="separate"/>
      </w:r>
      <w:r w:rsidR="007F3469" w:rsidRPr="007F3469">
        <w:rPr>
          <w:rFonts w:ascii="Times New Roman" w:hAnsi="Times New Roman" w:cs="Times New Roman"/>
        </w:rPr>
        <w:t>(Barrero et al. 2023; Bick et al. 2023)</w:t>
      </w:r>
      <w:r w:rsidR="007F3469" w:rsidRPr="007F3469">
        <w:rPr>
          <w:rFonts w:ascii="Times New Roman" w:hAnsi="Times New Roman" w:cs="Times New Roman"/>
          <w:bCs/>
          <w:color w:val="000000" w:themeColor="text1"/>
        </w:rPr>
        <w:fldChar w:fldCharType="end"/>
      </w:r>
      <w:r w:rsidR="007F3469" w:rsidRPr="007F3469">
        <w:rPr>
          <w:rFonts w:ascii="Times New Roman" w:hAnsi="Times New Roman" w:cs="Times New Roman"/>
          <w:bCs/>
          <w:color w:val="000000" w:themeColor="text1"/>
        </w:rPr>
        <w:t xml:space="preserve">. </w:t>
      </w:r>
      <w:r w:rsidRPr="007F3469">
        <w:rPr>
          <w:rFonts w:ascii="Times New Roman" w:hAnsi="Times New Roman" w:cs="Times New Roman"/>
          <w:bCs/>
          <w:color w:val="000000" w:themeColor="text1"/>
        </w:rPr>
        <w:t>Work from home has therefore stabilized at nearly four times its pre-pandemic prevalence, representing an increase equivalent to almost four decades of growth under the trajectory that prevailed before 2020 (Barrero et al. 202</w:t>
      </w:r>
      <w:r w:rsidR="007F3469" w:rsidRPr="007F3469">
        <w:rPr>
          <w:rFonts w:ascii="Times New Roman" w:hAnsi="Times New Roman" w:cs="Times New Roman"/>
          <w:bCs/>
          <w:color w:val="000000" w:themeColor="text1"/>
        </w:rPr>
        <w:t>3</w:t>
      </w:r>
      <w:r w:rsidRPr="007F3469">
        <w:rPr>
          <w:rFonts w:ascii="Times New Roman" w:hAnsi="Times New Roman" w:cs="Times New Roman"/>
          <w:bCs/>
          <w:color w:val="000000" w:themeColor="text1"/>
        </w:rPr>
        <w:t>). These statistics confirm that remote work is no longer a temporary response to an extraordinary public health emergency. It has become a durable feature of the labor market and a routine element of working life (</w:t>
      </w:r>
      <w:r w:rsidR="002E3D0E" w:rsidRPr="007F3469">
        <w:rPr>
          <w:rFonts w:ascii="Times New Roman" w:hAnsi="Times New Roman" w:cs="Times New Roman"/>
          <w:bCs/>
          <w:color w:val="000000" w:themeColor="text1"/>
        </w:rPr>
        <w:t>Asmussen et al. 2024</w:t>
      </w:r>
      <w:r w:rsidR="002E3D0E">
        <w:rPr>
          <w:rFonts w:ascii="Times New Roman" w:hAnsi="Times New Roman" w:cs="Times New Roman"/>
          <w:bCs/>
          <w:color w:val="000000" w:themeColor="text1"/>
        </w:rPr>
        <w:t xml:space="preserve">; </w:t>
      </w:r>
      <w:r w:rsidRPr="007F3469">
        <w:rPr>
          <w:rFonts w:ascii="Times New Roman" w:hAnsi="Times New Roman" w:cs="Times New Roman"/>
          <w:bCs/>
          <w:color w:val="000000" w:themeColor="text1"/>
        </w:rPr>
        <w:t>Barrero et al. 2023). At the same time, the workforce is not converging toward a single model of work. Workers are distributed across fully in-person, hybrid, and fully remote arrangements. Paid work is also increasingly undertaken at third locations such as libraries, cafés, and coworking facilities (Caros et al. 2023; Li et al. 2024)</w:t>
      </w:r>
      <w:r w:rsidR="00284BAF" w:rsidRPr="007F3469">
        <w:rPr>
          <w:rFonts w:ascii="Times New Roman" w:hAnsi="Times New Roman" w:cs="Times New Roman"/>
          <w:bCs/>
          <w:color w:val="000000" w:themeColor="text1"/>
        </w:rPr>
        <w:t>, expanding the range of possible of workplace locations beyond the traditional workplace and home-based telework.</w:t>
      </w:r>
    </w:p>
    <w:p w14:paraId="23D015FE" w14:textId="626CD781" w:rsidR="008D37B0" w:rsidRPr="008D37B0" w:rsidRDefault="008D37B0" w:rsidP="00284BAF">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This transformation carries important implications for transportation. The journey to work has traditionally served as an organizing force for daily mobility, shaping peak-period traffic, transit ridership, roadway congestion, energy consumption, and emissions. When more than one-quarter of paid workdays occur</w:t>
      </w:r>
      <w:r w:rsidR="003014B6">
        <w:rPr>
          <w:rFonts w:ascii="Times New Roman" w:hAnsi="Times New Roman" w:cs="Times New Roman"/>
          <w:bCs/>
          <w:color w:val="000000" w:themeColor="text1"/>
        </w:rPr>
        <w:t>s</w:t>
      </w:r>
      <w:r w:rsidRPr="008D37B0">
        <w:rPr>
          <w:rFonts w:ascii="Times New Roman" w:hAnsi="Times New Roman" w:cs="Times New Roman"/>
          <w:bCs/>
          <w:color w:val="000000" w:themeColor="text1"/>
        </w:rPr>
        <w:t xml:space="preserve"> at home, substantial amounts of commute travel may be eliminated, shortened, rescheduled, or redirected. Hybrid schedules may concentrate commuting on selected weekdays, while work undertaken at third locations may shift travel away from traditional employment centers without eliminating work-related trips. Evolving work arrangements may therefore alter both the magnitude and the spatial-temporal distribution of transportation demand.</w:t>
      </w:r>
      <w:r w:rsidR="00284BAF">
        <w:rPr>
          <w:rFonts w:ascii="Times New Roman" w:hAnsi="Times New Roman" w:cs="Times New Roman"/>
          <w:bCs/>
          <w:color w:val="000000" w:themeColor="text1"/>
        </w:rPr>
        <w:t xml:space="preserve"> </w:t>
      </w:r>
      <w:r w:rsidRPr="008D37B0">
        <w:rPr>
          <w:rFonts w:ascii="Times New Roman" w:hAnsi="Times New Roman" w:cs="Times New Roman"/>
          <w:bCs/>
          <w:color w:val="000000" w:themeColor="text1"/>
        </w:rPr>
        <w:t xml:space="preserve">These changes </w:t>
      </w:r>
      <w:r>
        <w:rPr>
          <w:rFonts w:ascii="Times New Roman" w:hAnsi="Times New Roman" w:cs="Times New Roman"/>
          <w:bCs/>
          <w:color w:val="000000" w:themeColor="text1"/>
        </w:rPr>
        <w:t>present</w:t>
      </w:r>
      <w:r w:rsidRPr="008D37B0">
        <w:rPr>
          <w:rFonts w:ascii="Times New Roman" w:hAnsi="Times New Roman" w:cs="Times New Roman"/>
          <w:bCs/>
          <w:color w:val="000000" w:themeColor="text1"/>
        </w:rPr>
        <w:t xml:space="preserve"> a fundamental challenge for travel demand modeling and forecasting. Models cannot reasonably reproduce current travel patterns or forecast future conditions without adequately representing</w:t>
      </w:r>
      <w:r w:rsidR="00284BAF">
        <w:rPr>
          <w:rFonts w:ascii="Times New Roman" w:hAnsi="Times New Roman" w:cs="Times New Roman"/>
          <w:bCs/>
          <w:color w:val="000000" w:themeColor="text1"/>
        </w:rPr>
        <w:t xml:space="preserve"> which workers are most likely to telework, </w:t>
      </w:r>
      <w:r w:rsidR="00284BAF" w:rsidRPr="008D37B0">
        <w:rPr>
          <w:rFonts w:ascii="Times New Roman" w:hAnsi="Times New Roman" w:cs="Times New Roman"/>
          <w:bCs/>
          <w:color w:val="000000" w:themeColor="text1"/>
        </w:rPr>
        <w:t>where they perform paid work</w:t>
      </w:r>
      <w:r w:rsidR="00284BAF">
        <w:rPr>
          <w:rFonts w:ascii="Times New Roman" w:hAnsi="Times New Roman" w:cs="Times New Roman"/>
          <w:bCs/>
          <w:color w:val="000000" w:themeColor="text1"/>
        </w:rPr>
        <w:t>, and</w:t>
      </w:r>
      <w:r w:rsidRPr="008D37B0">
        <w:rPr>
          <w:rFonts w:ascii="Times New Roman" w:hAnsi="Times New Roman" w:cs="Times New Roman"/>
          <w:bCs/>
          <w:color w:val="000000" w:themeColor="text1"/>
        </w:rPr>
        <w:t xml:space="preserve"> how often </w:t>
      </w:r>
      <w:r w:rsidR="00284BAF">
        <w:rPr>
          <w:rFonts w:ascii="Times New Roman" w:hAnsi="Times New Roman" w:cs="Times New Roman"/>
          <w:bCs/>
          <w:color w:val="000000" w:themeColor="text1"/>
        </w:rPr>
        <w:t>they</w:t>
      </w:r>
      <w:r w:rsidRPr="008D37B0">
        <w:rPr>
          <w:rFonts w:ascii="Times New Roman" w:hAnsi="Times New Roman" w:cs="Times New Roman"/>
          <w:bCs/>
          <w:color w:val="000000" w:themeColor="text1"/>
        </w:rPr>
        <w:t xml:space="preserve"> commute. Forecasts of peak-period traffic, transit ridership, vehicle miles traveled</w:t>
      </w:r>
      <w:r w:rsidR="0052248D">
        <w:rPr>
          <w:rFonts w:ascii="Times New Roman" w:hAnsi="Times New Roman" w:cs="Times New Roman"/>
          <w:bCs/>
          <w:color w:val="000000" w:themeColor="text1"/>
        </w:rPr>
        <w:t xml:space="preserve"> (VMT)</w:t>
      </w:r>
      <w:r w:rsidRPr="008D37B0">
        <w:rPr>
          <w:rFonts w:ascii="Times New Roman" w:hAnsi="Times New Roman" w:cs="Times New Roman"/>
          <w:bCs/>
          <w:color w:val="000000" w:themeColor="text1"/>
        </w:rPr>
        <w:t xml:space="preserve">, and transportation emissions are all sensitive to these behavioral processes. </w:t>
      </w:r>
      <w:r w:rsidR="00CD4F3D">
        <w:rPr>
          <w:rFonts w:ascii="Times New Roman" w:hAnsi="Times New Roman" w:cs="Times New Roman"/>
          <w:bCs/>
          <w:color w:val="000000" w:themeColor="text1"/>
        </w:rPr>
        <w:t xml:space="preserve">The multidimensional nature of the telework phenomenon renders it incredibly challenging to adequately capture the effects of </w:t>
      </w:r>
      <w:r w:rsidRPr="008D37B0">
        <w:rPr>
          <w:rFonts w:ascii="Times New Roman" w:hAnsi="Times New Roman" w:cs="Times New Roman"/>
          <w:bCs/>
          <w:color w:val="000000" w:themeColor="text1"/>
        </w:rPr>
        <w:t xml:space="preserve">telework through </w:t>
      </w:r>
      <w:r w:rsidR="00CD4F3D">
        <w:rPr>
          <w:rFonts w:ascii="Times New Roman" w:hAnsi="Times New Roman" w:cs="Times New Roman"/>
          <w:bCs/>
          <w:color w:val="000000" w:themeColor="text1"/>
        </w:rPr>
        <w:t>simple</w:t>
      </w:r>
      <w:r w:rsidRPr="008D37B0">
        <w:rPr>
          <w:rFonts w:ascii="Times New Roman" w:hAnsi="Times New Roman" w:cs="Times New Roman"/>
          <w:bCs/>
          <w:color w:val="000000" w:themeColor="text1"/>
        </w:rPr>
        <w:t xml:space="preserve"> adjustment factor</w:t>
      </w:r>
      <w:r w:rsidR="00CD4F3D">
        <w:rPr>
          <w:rFonts w:ascii="Times New Roman" w:hAnsi="Times New Roman" w:cs="Times New Roman"/>
          <w:bCs/>
          <w:color w:val="000000" w:themeColor="text1"/>
        </w:rPr>
        <w:t>s, n</w:t>
      </w:r>
      <w:r w:rsidRPr="008D37B0">
        <w:rPr>
          <w:rFonts w:ascii="Times New Roman" w:hAnsi="Times New Roman" w:cs="Times New Roman"/>
          <w:bCs/>
          <w:color w:val="000000" w:themeColor="text1"/>
        </w:rPr>
        <w:t xml:space="preserve">or can its dimensions be treated as separate and independent decisions. Work modality, work location, commute frequency, and the motivations underlying remote work constitute an interrelated behavioral choice bundle. Unless travel models recognize this </w:t>
      </w:r>
      <w:r w:rsidR="00284BAF">
        <w:rPr>
          <w:rFonts w:ascii="Times New Roman" w:hAnsi="Times New Roman" w:cs="Times New Roman"/>
          <w:bCs/>
          <w:color w:val="000000" w:themeColor="text1"/>
        </w:rPr>
        <w:t>joint</w:t>
      </w:r>
      <w:r w:rsidRPr="008D37B0">
        <w:rPr>
          <w:rFonts w:ascii="Times New Roman" w:hAnsi="Times New Roman" w:cs="Times New Roman"/>
          <w:bCs/>
          <w:color w:val="000000" w:themeColor="text1"/>
        </w:rPr>
        <w:t xml:space="preserve"> structure, forecasts may misrepresent both the amount and spatial distribution of work-related travel.</w:t>
      </w:r>
    </w:p>
    <w:p w14:paraId="00E87E27" w14:textId="77D0983F" w:rsidR="008D37B0" w:rsidRPr="008D37B0" w:rsidRDefault="008D37B0" w:rsidP="008D37B0">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A work arrangement is therefore more than a simple distinction between commuting and teleworking</w:t>
      </w:r>
      <w:r w:rsidR="00284BAF">
        <w:rPr>
          <w:rFonts w:ascii="Times New Roman" w:hAnsi="Times New Roman" w:cs="Times New Roman"/>
          <w:bCs/>
          <w:color w:val="000000" w:themeColor="text1"/>
        </w:rPr>
        <w:t xml:space="preserve">, it </w:t>
      </w:r>
      <w:r w:rsidR="008C35AF">
        <w:rPr>
          <w:rFonts w:ascii="Times New Roman" w:hAnsi="Times New Roman" w:cs="Times New Roman"/>
          <w:bCs/>
          <w:color w:val="000000" w:themeColor="text1"/>
        </w:rPr>
        <w:t>represents</w:t>
      </w:r>
      <w:r w:rsidR="00284BAF">
        <w:rPr>
          <w:rFonts w:ascii="Times New Roman" w:hAnsi="Times New Roman" w:cs="Times New Roman"/>
          <w:bCs/>
          <w:color w:val="000000" w:themeColor="text1"/>
        </w:rPr>
        <w:t xml:space="preserve"> a multidimensional choice</w:t>
      </w:r>
      <w:r w:rsidRPr="008D37B0">
        <w:rPr>
          <w:rFonts w:ascii="Times New Roman" w:hAnsi="Times New Roman" w:cs="Times New Roman"/>
          <w:bCs/>
          <w:color w:val="000000" w:themeColor="text1"/>
        </w:rPr>
        <w:t xml:space="preserve">. One dimension concerns work modality: whether an individual works fully in person, combines in-person and remote work, or works fully remotely. A second concerns work location: whether paid work occurs at a conventional workplace, at home, or at a third location. For hybrid workers, commute frequency constitutes another dimension because hybrid work may involve anywhere from one to four workplace commute days during a five-day workweek. Finally, remote work reflects underlying motivations. Workers may telework to avoid a lengthy commute, reduce transportation costs, balance professional and personal responsibilities, or obtain a more suitable work environment (Thompson </w:t>
      </w:r>
      <w:r w:rsidRPr="008D37B0">
        <w:rPr>
          <w:rFonts w:ascii="Times New Roman" w:hAnsi="Times New Roman" w:cs="Times New Roman"/>
          <w:bCs/>
          <w:color w:val="000000" w:themeColor="text1"/>
        </w:rPr>
        <w:lastRenderedPageBreak/>
        <w:t>et al. 2022; Wang et al. 2023; Wang and Mokhtarian 2024)</w:t>
      </w:r>
      <w:r w:rsidR="00284BAF">
        <w:rPr>
          <w:rFonts w:ascii="Times New Roman" w:hAnsi="Times New Roman" w:cs="Times New Roman"/>
          <w:bCs/>
          <w:color w:val="000000" w:themeColor="text1"/>
        </w:rPr>
        <w:t>.</w:t>
      </w:r>
      <w:r w:rsidR="009F7612">
        <w:rPr>
          <w:rFonts w:ascii="Times New Roman" w:hAnsi="Times New Roman" w:cs="Times New Roman"/>
          <w:bCs/>
          <w:color w:val="000000" w:themeColor="text1"/>
        </w:rPr>
        <w:t xml:space="preserve"> </w:t>
      </w:r>
      <w:r w:rsidR="00284BAF">
        <w:rPr>
          <w:rFonts w:ascii="Times New Roman" w:hAnsi="Times New Roman" w:cs="Times New Roman"/>
          <w:bCs/>
          <w:color w:val="000000" w:themeColor="text1"/>
        </w:rPr>
        <w:t>In turn, t</w:t>
      </w:r>
      <w:r w:rsidR="009F7612">
        <w:rPr>
          <w:rFonts w:ascii="Times New Roman" w:hAnsi="Times New Roman" w:cs="Times New Roman"/>
          <w:bCs/>
          <w:color w:val="000000" w:themeColor="text1"/>
        </w:rPr>
        <w:t>hese motivations may</w:t>
      </w:r>
      <w:r w:rsidR="00284BAF">
        <w:rPr>
          <w:rFonts w:ascii="Times New Roman" w:hAnsi="Times New Roman" w:cs="Times New Roman"/>
          <w:bCs/>
          <w:color w:val="000000" w:themeColor="text1"/>
        </w:rPr>
        <w:t xml:space="preserve"> </w:t>
      </w:r>
      <w:r w:rsidR="009F7612">
        <w:rPr>
          <w:rFonts w:ascii="Times New Roman" w:hAnsi="Times New Roman" w:cs="Times New Roman"/>
          <w:bCs/>
          <w:color w:val="000000" w:themeColor="text1"/>
        </w:rPr>
        <w:t xml:space="preserve">be strongly linked to socio-economic and demographic characteristics of individuals and households. </w:t>
      </w:r>
    </w:p>
    <w:p w14:paraId="723C5F94" w14:textId="4523FDB8" w:rsidR="008D37B0" w:rsidRPr="008D37B0" w:rsidRDefault="008D37B0" w:rsidP="008D37B0">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 xml:space="preserve">These </w:t>
      </w:r>
      <w:r w:rsidR="009F7612">
        <w:rPr>
          <w:rFonts w:ascii="Times New Roman" w:hAnsi="Times New Roman" w:cs="Times New Roman"/>
          <w:bCs/>
          <w:color w:val="000000" w:themeColor="text1"/>
        </w:rPr>
        <w:t xml:space="preserve">choice </w:t>
      </w:r>
      <w:r w:rsidRPr="008D37B0">
        <w:rPr>
          <w:rFonts w:ascii="Times New Roman" w:hAnsi="Times New Roman" w:cs="Times New Roman"/>
          <w:bCs/>
          <w:color w:val="000000" w:themeColor="text1"/>
        </w:rPr>
        <w:t>dimensions are inherently connected. Two workers may both be classified as hybrid, yet one may commute four days per week while the other commutes only once. One may work from home to manage caregiving responsibilities, while the other may seek relief from a long and costly commute. Likewise, two fully remote workers may generate different travel patterns if one remains home and the other regularly travels to a third workplace. Broad classifications of teleworkers can therefore obscure meaningful differences in constraints, motivations, accessibility needs, and transportation outcomes.</w:t>
      </w:r>
    </w:p>
    <w:p w14:paraId="112BA090" w14:textId="58B6895F" w:rsidR="008D37B0" w:rsidRPr="008D37B0" w:rsidRDefault="008D37B0" w:rsidP="008D37B0">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Work arrangements are also shaped by institutional constraints. The nature of an occupation determines whether remote work is feasible, while employer policies influence the control that workers exercise over schedules and locations (</w:t>
      </w:r>
      <w:proofErr w:type="spellStart"/>
      <w:r w:rsidRPr="008D37B0">
        <w:rPr>
          <w:rFonts w:ascii="Times New Roman" w:hAnsi="Times New Roman" w:cs="Times New Roman"/>
          <w:bCs/>
          <w:color w:val="000000" w:themeColor="text1"/>
        </w:rPr>
        <w:t>Delbosc</w:t>
      </w:r>
      <w:proofErr w:type="spellEnd"/>
      <w:r w:rsidRPr="008D37B0">
        <w:rPr>
          <w:rFonts w:ascii="Times New Roman" w:hAnsi="Times New Roman" w:cs="Times New Roman"/>
          <w:bCs/>
          <w:color w:val="000000" w:themeColor="text1"/>
        </w:rPr>
        <w:t xml:space="preserve"> and Kent 2024; </w:t>
      </w:r>
      <w:r w:rsidR="002E3D0E">
        <w:rPr>
          <w:rFonts w:ascii="Times New Roman" w:hAnsi="Times New Roman" w:cs="Times New Roman"/>
          <w:bCs/>
          <w:color w:val="000000" w:themeColor="text1"/>
        </w:rPr>
        <w:fldChar w:fldCharType="begin"/>
      </w:r>
      <w:r w:rsidR="002E3D0E">
        <w:rPr>
          <w:rFonts w:ascii="Times New Roman" w:hAnsi="Times New Roman" w:cs="Times New Roman"/>
          <w:bCs/>
          <w:color w:val="000000" w:themeColor="text1"/>
        </w:rPr>
        <w:instrText xml:space="preserve"> ADDIN ZOTERO_ITEM CSL_CITATION {"citationID":"IoYuw4UJ","properties":{"formattedCitation":"(Singh et al. 2012)","plainCitation":"(Singh et al. 2012)","noteIndex":0},"citationItems":[{"id":2357,"uris":["http://zotero.org/users/16508888/items/WJLVCIJ8"],"itemData":{"id":2357,"type":"article-journal","abstract":"The current study contributes to the already substantial scholarly literature on telecommuting by estimating a joint model of three dimensions—option, choice and frequency of telecommuting. In doing so, we focus on workers who are not self-employed workers and who have a primary work place that is outside their homes. The unique methodological features of this study include the use of a general and flexible generalized hurdle count model to analyze the precise count of telecommuting days per month, and the formulation and estimation of a model system that embeds the count model within a larger multivariate choice framework. The unique substantive aspects of this study include the consideration of the “option to telecommute” dimension and the consideration of a host of residential neighborhood built environment variables. The 2009 NHTS data is used for the analysis, and allows us to develop a current perspective of the process driving telecommuting decisions. This data set is supplemented with a built environment data base to capture the effects of demographic, work-related, and built environment measures on the telecommuting-related dimensions. In addition to providing important insights for policy analysis, the results in this paper indicate that ignoring the “option” dimension of telecommuting can, and generally will, lead to incorrect conclusions regarding the behavioral processes governing telecommuting decisions. The empirical results have implications for transportation planning analysis as well as for the worker recruitment/retention and productivity literature.","container-title":"Transportation","DOI":"10.1007/s11116-012-9429-2","ISSN":"1572-9435","issue":"2","language":"En","license":"2012 Springer Science+Business Media, LLC.","page":"373-396","publisher":"Springer","source":"link.springer.com","title":"On modeling telecommuting behavior: option, choice, and frequency","title-short":"On modeling telecommuting behavior","volume":"40","author":[{"family":"Singh","given":"Palvinder"},{"family":"Paleti","given":"Rajesh"},{"family":"Jenkins","given":"Syndney"},{"family":"Bhat","given":"Chandra R."}],"issued":{"date-parts":[["2012",7,1]]}}}],"schema":"https://github.com/citation-style-language/schema/raw/master/csl-citation.json"} </w:instrText>
      </w:r>
      <w:r w:rsidR="002E3D0E">
        <w:rPr>
          <w:rFonts w:ascii="Times New Roman" w:hAnsi="Times New Roman" w:cs="Times New Roman"/>
          <w:bCs/>
          <w:color w:val="000000" w:themeColor="text1"/>
        </w:rPr>
        <w:fldChar w:fldCharType="separate"/>
      </w:r>
      <w:r w:rsidR="002E3D0E" w:rsidRPr="00792F28">
        <w:rPr>
          <w:rFonts w:ascii="Times New Roman" w:hAnsi="Times New Roman" w:cs="Times New Roman"/>
        </w:rPr>
        <w:t>Singh et al. 2012</w:t>
      </w:r>
      <w:r w:rsidR="002E3D0E">
        <w:rPr>
          <w:rFonts w:ascii="Times New Roman" w:hAnsi="Times New Roman" w:cs="Times New Roman"/>
          <w:bCs/>
          <w:color w:val="000000" w:themeColor="text1"/>
        </w:rPr>
        <w:fldChar w:fldCharType="end"/>
      </w:r>
      <w:r w:rsidR="002E3D0E">
        <w:rPr>
          <w:rFonts w:ascii="Times New Roman" w:hAnsi="Times New Roman" w:cs="Times New Roman"/>
          <w:bCs/>
          <w:color w:val="000000" w:themeColor="text1"/>
        </w:rPr>
        <w:t xml:space="preserve">; </w:t>
      </w:r>
      <w:r w:rsidRPr="008D37B0">
        <w:rPr>
          <w:rFonts w:ascii="Times New Roman" w:hAnsi="Times New Roman" w:cs="Times New Roman"/>
          <w:bCs/>
          <w:color w:val="000000" w:themeColor="text1"/>
        </w:rPr>
        <w:t xml:space="preserve">Wang et al. 2023). Some workers must be present at </w:t>
      </w:r>
      <w:r w:rsidR="008C35AF">
        <w:rPr>
          <w:rFonts w:ascii="Times New Roman" w:hAnsi="Times New Roman" w:cs="Times New Roman"/>
          <w:bCs/>
          <w:color w:val="000000" w:themeColor="text1"/>
        </w:rPr>
        <w:t xml:space="preserve">their </w:t>
      </w:r>
      <w:r w:rsidRPr="008D37B0">
        <w:rPr>
          <w:rFonts w:ascii="Times New Roman" w:hAnsi="Times New Roman" w:cs="Times New Roman"/>
          <w:bCs/>
          <w:color w:val="000000" w:themeColor="text1"/>
        </w:rPr>
        <w:t xml:space="preserve">workplace every day. Others may telework only on designated days or from approved locations. Still others may exercise broad discretion. Within this feasible set, workers select arrangements that reflect </w:t>
      </w:r>
      <w:r w:rsidR="009F7612">
        <w:rPr>
          <w:rFonts w:ascii="Times New Roman" w:hAnsi="Times New Roman" w:cs="Times New Roman"/>
          <w:bCs/>
          <w:color w:val="000000" w:themeColor="text1"/>
        </w:rPr>
        <w:t xml:space="preserve">individual preferences, </w:t>
      </w:r>
      <w:r w:rsidRPr="008D37B0">
        <w:rPr>
          <w:rFonts w:ascii="Times New Roman" w:hAnsi="Times New Roman" w:cs="Times New Roman"/>
          <w:bCs/>
          <w:color w:val="000000" w:themeColor="text1"/>
        </w:rPr>
        <w:t>household circumstances, commute burden, residential environment, mobility resources, and competing demands on their time.</w:t>
      </w:r>
    </w:p>
    <w:p w14:paraId="51BB73A0" w14:textId="7C885CA5" w:rsidR="008D37B0" w:rsidRPr="008D37B0" w:rsidRDefault="008D37B0" w:rsidP="008D37B0">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 xml:space="preserve">Understanding this heterogeneity is essential for assessing the transportation implications of telework. Remote work may eliminate commute trips and reduce </w:t>
      </w:r>
      <w:r w:rsidR="0052248D">
        <w:rPr>
          <w:rFonts w:ascii="Times New Roman" w:hAnsi="Times New Roman" w:cs="Times New Roman"/>
          <w:bCs/>
          <w:color w:val="000000" w:themeColor="text1"/>
        </w:rPr>
        <w:t>VMT</w:t>
      </w:r>
      <w:r w:rsidRPr="008D37B0">
        <w:rPr>
          <w:rFonts w:ascii="Times New Roman" w:hAnsi="Times New Roman" w:cs="Times New Roman"/>
          <w:bCs/>
          <w:color w:val="000000" w:themeColor="text1"/>
        </w:rPr>
        <w:t>, particularly when it replaces long automobile commutes. However, the relationship is not necessarily straightforward. Hybrid work may reduce commute frequency without changing the distance traveled on in-person workdays. Telework may also enable workers to reside farther from employment centers or reallocate time savings to non-work travel, thereby offsetting a portion of the commute-related reduction in travel (Asmussen et al. 2023</w:t>
      </w:r>
      <w:r w:rsidR="001E7B15">
        <w:rPr>
          <w:rFonts w:ascii="Times New Roman" w:hAnsi="Times New Roman" w:cs="Times New Roman"/>
          <w:bCs/>
          <w:color w:val="000000" w:themeColor="text1"/>
        </w:rPr>
        <w:t>, 2026</w:t>
      </w:r>
      <w:r w:rsidRPr="008D37B0">
        <w:rPr>
          <w:rFonts w:ascii="Times New Roman" w:hAnsi="Times New Roman" w:cs="Times New Roman"/>
          <w:bCs/>
          <w:color w:val="000000" w:themeColor="text1"/>
        </w:rPr>
        <w:t xml:space="preserve">; Wang and Mokhtarian 2024). Work </w:t>
      </w:r>
      <w:r w:rsidR="008C35AF">
        <w:rPr>
          <w:rFonts w:ascii="Times New Roman" w:hAnsi="Times New Roman" w:cs="Times New Roman"/>
          <w:bCs/>
          <w:color w:val="000000" w:themeColor="text1"/>
        </w:rPr>
        <w:t>from</w:t>
      </w:r>
      <w:r w:rsidRPr="008D37B0">
        <w:rPr>
          <w:rFonts w:ascii="Times New Roman" w:hAnsi="Times New Roman" w:cs="Times New Roman"/>
          <w:bCs/>
          <w:color w:val="000000" w:themeColor="text1"/>
        </w:rPr>
        <w:t xml:space="preserve"> third locations presents another distinct pattern because it may replace a long commute with a shorter local trip rather than eliminate work travel entirely </w:t>
      </w:r>
      <w:r w:rsidR="007F3469">
        <w:rPr>
          <w:rFonts w:ascii="Times New Roman" w:hAnsi="Times New Roman" w:cs="Times New Roman"/>
          <w:bCs/>
          <w:color w:val="000000" w:themeColor="text1"/>
        </w:rPr>
        <w:fldChar w:fldCharType="begin"/>
      </w:r>
      <w:r w:rsidR="007F3469">
        <w:rPr>
          <w:rFonts w:ascii="Times New Roman" w:hAnsi="Times New Roman" w:cs="Times New Roman"/>
          <w:bCs/>
          <w:color w:val="000000" w:themeColor="text1"/>
        </w:rPr>
        <w:instrText xml:space="preserve"> ADDIN ZOTERO_ITEM CSL_CITATION {"citationID":"wS8SbrZq","properties":{"formattedCitation":"(Asmussen et al. 2024; Xia et al. 2026; Caros et al. 2023)","plainCitation":"(Asmussen et al. 2024; Xia et al. 2026; Caros et al. 2023)","dontUpdate":true,"noteIndex":0},"citationItems":[{"id":1997,"uris":["http://zotero.org/users/16508888/items/XRGR697Z"],"itemData":{"id":1997,"type":"article-journal","abstract":"In this study, we model the telework-commute distance decision process as a package choice, and use a latent segmentation approach to recognize that some individuals may choose their telework arrangement first and then choose their commute distance (their residential location), while others may adopt a reverse causal behavioral process. The latent segment modeling methodology combines a multiple discrete–continuous probit model for telework adoption/intensity as the proportion of monthly workdays worked from home, from the office, and from a variable third workplace, with a log-linear regression model for commute distance (the home-to-office distance). The data for our analysis is drawn from a 2022 survey of Texas residents. Results suggest that about 20% of the population are likely “movers”, whose telework choices led to a residential move that changed commute distance, while the other 80% are “stayers”, whose commute distance at their predetermined (to telework) residential location changed telework habits. We further quantify the impact of teleworking on commute distances by computing the expected commute distance for several telework distribution preferences. A shift from 100% in-person work to 100% home-based remote work increases average commute distance by 64.8%, while working from a third workplace for any portion of a month reduces commute lengths relative to only home-based telework. In terms of monthly commute vehicle miles traveled (VMT), working from home for less than 18.6% of the month (about once a week) per worker actually increases overall monthly commute VMT. Monthly commute VMT reductions become tangible only at about 30–40% telework for each worker (about two days of telework per week for full-time workers with 22 workdays per month). In general, between 0 and 40% home-based telework per worker (with the remaining percentage at the office), there is a 10% commute VMT reduction for each 10% increase in home-based telework. In the range of 40% to 80% home-based telework, there is about a 13% commute VMT reduction for every 10% increase in home-based telework. And in the range of 80%-100% home-based telework reduction, there is about a 15% commute VMT reduction for every 10% increase in home-based telework.","container-title":"Transportation Research Part C: Emerging Technologies","DOI":"10.1016/j.trc.2024.104690","ISSN":"0968-090X","journalAbbreviation":"Transportation Research Part C: Emerging Technologies","page":"104690","source":"ScienceDirect","title":"The interplay between teleworking choice and commute distance","volume":"165","author":[{"family":"Asmussen","given":"Katherine E."},{"family":"Mondal","given":"Aupal"},{"family":"Bhat","given":"Chandra R."}],"issued":{"date-parts":[["2024",8,1]]}}},{"id":2039,"uris":["http://zotero.org/users/16508888/items/EEH9U3CM"],"itemData":{"id":2039,"type":"article-journal","abstract":"Knowledge workers tend to choose third places as alternatives for remote work. Since previous studies lack high-precision spatial-temporal data collection approaches and analysis for third-place remote workers, this study aims to investigate the spatial-temporal characteristics of knowledge workers engaging in remote work at third places using refined data collection methods. We recruited 20 knowledge workers in Beijing, China, collected their spatial-temporal data using activity diaries and wearable devices, including Global Positioning System (GPS) trackers and wearable cameras, for seven days, and visualized their spatial-temporal characteristics, encompassing work time allocation, commute duration, and spatial distribution of various workplaces. The results show that: (1) Temporally, in addition to heterogeneity in work rhythms such as fragmented versus continuous sessions and weekday-weekend contrasts, these workers work an average of 6.3 hours daily for 6.6 days a week, with 46.7% of their work time spent in third places and a 34-minute commute. (2) Spatially, most third places are located close to home with some suburban–center movements, and workers typically use 4.5 different third places for remote work and prefer third places within 5 kilometers or beyond 15 kilometers from home.","container-title":"Transactions in Urban Data, Science, and Technology","DOI":"10.1177/27541231261444208","ISSN":"2754-1231","language":"EN","page":"27541231261444208","publisher":"SAGE Publications","source":"SAGE Journals","title":"Unmasking the spatial-temporal characteristics of knowledge workers’ third-place remote work","author":[{"family":"Xia","given":"Junhao"},{"family":"Li","given":"Wenzhu"},{"family":"Li","given":"Chunjiang"},{"family":"Long","given":"Ying"}],"issued":{"date-parts":[["2026",4,28]]}}},{"id":2083,"uris":["http://zotero.org/users/16508888/items/MSQMZTA4"],"itemData":{"id":2083,"type":"article","abstract":"Many studies of the effect of remote work on travel demand assume that remote work takes place entirely at home. Recent evidence, however, shows that in the United States, remote workers are choosing to spend approximately one third of their remote work hours outside of the home at cafes, co-working spaces or the homes of friends and family. Commutes to these \"third places\" could offset much of the reduction in congestion and carbon emissions from commuting that could be expected from greater shares of remote work. To estimate the impact of third places on congestion and carbon emission from commuting, this study uses a national survey of thousands of remote workers and large-scale mobile trace data to predict current and future commuting patterns for the Chicago metropolitan area. The study reveals that ignoring third places leads to an underestimation of carbon emissions from commute-based travel demand by 470 gigatons per year, or 24% of the total true emissions. Moreover, if workers' latent desire for greater levels of remote work are realized in the future, the emissions benefits will be reduced further. The spatial analyses imply that there is a decrease in visits to the city center and outskirts, but an increase in visits to near suburban areas. Implications of these results for urban transportation and land use policy are discussed.","DOI":"10.48550/arXiv.2201.01281","note":"arXiv:2201.01281 [stat.AP]","number":"arXiv:2201.01281","publisher":"arXiv","source":"arXiv.org","title":"The emerging spectrum of flexible work locations: implications for travel demand and carbon emissions","title-short":"The emerging spectrum of flexible work locations","URL":"http://arxiv.org/abs/2201.01281","author":[{"family":"Caros","given":"Nicholas S."},{"family":"Guo","given":"Xiaotong"},{"family":"Zhao","given":"Jinhua"}],"accessed":{"date-parts":[["2026",6,6]]},"issued":{"date-parts":[["2023",3,10]]}}}],"schema":"https://github.com/citation-style-language/schema/raw/master/csl-citation.json"} </w:instrText>
      </w:r>
      <w:r w:rsidR="007F3469">
        <w:rPr>
          <w:rFonts w:ascii="Times New Roman" w:hAnsi="Times New Roman" w:cs="Times New Roman"/>
          <w:bCs/>
          <w:color w:val="000000" w:themeColor="text1"/>
        </w:rPr>
        <w:fldChar w:fldCharType="separate"/>
      </w:r>
      <w:r w:rsidR="007F3469" w:rsidRPr="007F3469">
        <w:rPr>
          <w:rFonts w:ascii="Times New Roman" w:hAnsi="Times New Roman" w:cs="Times New Roman"/>
        </w:rPr>
        <w:t>(Asmussen et al. 2024; Caros et al. 2023</w:t>
      </w:r>
      <w:r w:rsidR="002E3D0E">
        <w:rPr>
          <w:rFonts w:ascii="Times New Roman" w:hAnsi="Times New Roman" w:cs="Times New Roman"/>
        </w:rPr>
        <w:t>;</w:t>
      </w:r>
      <w:r w:rsidR="002E3D0E" w:rsidRPr="002E3D0E">
        <w:rPr>
          <w:rFonts w:ascii="Times New Roman" w:hAnsi="Times New Roman" w:cs="Times New Roman"/>
        </w:rPr>
        <w:t xml:space="preserve"> </w:t>
      </w:r>
      <w:r w:rsidR="002E3D0E" w:rsidRPr="007F3469">
        <w:rPr>
          <w:rFonts w:ascii="Times New Roman" w:hAnsi="Times New Roman" w:cs="Times New Roman"/>
        </w:rPr>
        <w:t>Xia et al. 2026</w:t>
      </w:r>
      <w:r w:rsidR="007F3469" w:rsidRPr="007F3469">
        <w:rPr>
          <w:rFonts w:ascii="Times New Roman" w:hAnsi="Times New Roman" w:cs="Times New Roman"/>
        </w:rPr>
        <w:t>)</w:t>
      </w:r>
      <w:r w:rsidR="007F3469">
        <w:rPr>
          <w:rFonts w:ascii="Times New Roman" w:hAnsi="Times New Roman" w:cs="Times New Roman"/>
          <w:bCs/>
          <w:color w:val="000000" w:themeColor="text1"/>
        </w:rPr>
        <w:fldChar w:fldCharType="end"/>
      </w:r>
      <w:r w:rsidR="007F3469">
        <w:rPr>
          <w:rFonts w:ascii="Times New Roman" w:hAnsi="Times New Roman" w:cs="Times New Roman"/>
          <w:bCs/>
          <w:color w:val="000000" w:themeColor="text1"/>
        </w:rPr>
        <w:t>.</w:t>
      </w:r>
    </w:p>
    <w:p w14:paraId="1F4FADA0" w14:textId="2D8A7FF7" w:rsidR="008D37B0" w:rsidRPr="008D37B0" w:rsidRDefault="008D37B0" w:rsidP="008D37B0">
      <w:pPr>
        <w:ind w:firstLine="720"/>
        <w:rPr>
          <w:rFonts w:ascii="Times New Roman" w:hAnsi="Times New Roman" w:cs="Times New Roman"/>
          <w:bCs/>
          <w:color w:val="000000" w:themeColor="text1"/>
        </w:rPr>
      </w:pPr>
      <w:r w:rsidRPr="008D37B0">
        <w:rPr>
          <w:rFonts w:ascii="Times New Roman" w:hAnsi="Times New Roman" w:cs="Times New Roman"/>
          <w:bCs/>
          <w:color w:val="000000" w:themeColor="text1"/>
        </w:rPr>
        <w:t xml:space="preserve">Although prior research has examined telework adoption, frequency, employer policies, work locations, motivations, and travel impacts, these dimensions are often studied separately. This fragmentation limits the ability to understand work arrangements as integrated behavioral </w:t>
      </w:r>
      <w:r w:rsidR="008C35AF" w:rsidRPr="008D37B0">
        <w:rPr>
          <w:rFonts w:ascii="Times New Roman" w:hAnsi="Times New Roman" w:cs="Times New Roman"/>
          <w:bCs/>
          <w:color w:val="000000" w:themeColor="text1"/>
        </w:rPr>
        <w:t>outcomes</w:t>
      </w:r>
      <w:r w:rsidR="008C35AF">
        <w:rPr>
          <w:rFonts w:ascii="Times New Roman" w:hAnsi="Times New Roman" w:cs="Times New Roman"/>
          <w:bCs/>
          <w:color w:val="000000" w:themeColor="text1"/>
        </w:rPr>
        <w:t xml:space="preserve"> and</w:t>
      </w:r>
      <w:r w:rsidRPr="008D37B0">
        <w:rPr>
          <w:rFonts w:ascii="Times New Roman" w:hAnsi="Times New Roman" w:cs="Times New Roman"/>
          <w:bCs/>
          <w:color w:val="000000" w:themeColor="text1"/>
        </w:rPr>
        <w:t xml:space="preserve"> constrains their representation in travel forecasting models. This study addresses that limitation by jointly modeling work arrangement, commute frequency, and </w:t>
      </w:r>
      <w:r w:rsidR="005F6420">
        <w:rPr>
          <w:rFonts w:eastAsia="Calibri"/>
        </w:rPr>
        <w:t>work-from-home</w:t>
      </w:r>
      <w:r w:rsidR="005F6420" w:rsidRPr="00A321F3">
        <w:rPr>
          <w:rFonts w:eastAsia="Calibri"/>
        </w:rPr>
        <w:t xml:space="preserve"> </w:t>
      </w:r>
      <w:r w:rsidRPr="008D37B0">
        <w:rPr>
          <w:rFonts w:ascii="Times New Roman" w:hAnsi="Times New Roman" w:cs="Times New Roman"/>
          <w:bCs/>
          <w:color w:val="000000" w:themeColor="text1"/>
        </w:rPr>
        <w:t xml:space="preserve">motivations within a unified framework. Workers are classified as </w:t>
      </w:r>
      <w:r w:rsidR="001E7B15">
        <w:rPr>
          <w:rFonts w:ascii="Times New Roman" w:hAnsi="Times New Roman" w:cs="Times New Roman"/>
          <w:bCs/>
          <w:color w:val="000000" w:themeColor="text1"/>
        </w:rPr>
        <w:t xml:space="preserve">engaging in one of the following four work arrangements: (1) </w:t>
      </w:r>
      <w:r w:rsidRPr="008D37B0">
        <w:rPr>
          <w:rFonts w:ascii="Times New Roman" w:hAnsi="Times New Roman" w:cs="Times New Roman"/>
          <w:bCs/>
          <w:color w:val="000000" w:themeColor="text1"/>
        </w:rPr>
        <w:t>fully in person,</w:t>
      </w:r>
      <w:r w:rsidR="001E7B15">
        <w:rPr>
          <w:rFonts w:ascii="Times New Roman" w:hAnsi="Times New Roman" w:cs="Times New Roman"/>
          <w:bCs/>
          <w:color w:val="000000" w:themeColor="text1"/>
        </w:rPr>
        <w:t xml:space="preserve"> (2)</w:t>
      </w:r>
      <w:r w:rsidRPr="008D37B0">
        <w:rPr>
          <w:rFonts w:ascii="Times New Roman" w:hAnsi="Times New Roman" w:cs="Times New Roman"/>
          <w:bCs/>
          <w:color w:val="000000" w:themeColor="text1"/>
        </w:rPr>
        <w:t xml:space="preserve"> hybrid</w:t>
      </w:r>
      <w:r w:rsidR="001E7B15">
        <w:rPr>
          <w:rStyle w:val="FootnoteReference"/>
          <w:rFonts w:ascii="Times New Roman" w:hAnsi="Times New Roman" w:cs="Times New Roman"/>
          <w:bCs/>
          <w:color w:val="000000" w:themeColor="text1"/>
        </w:rPr>
        <w:footnoteReference w:id="1"/>
      </w:r>
      <w:r w:rsidR="001E7B15">
        <w:rPr>
          <w:rFonts w:ascii="Times New Roman" w:hAnsi="Times New Roman" w:cs="Times New Roman"/>
          <w:bCs/>
          <w:color w:val="000000" w:themeColor="text1"/>
        </w:rPr>
        <w:t xml:space="preserve"> (remote and in person)</w:t>
      </w:r>
      <w:r w:rsidRPr="008D37B0">
        <w:rPr>
          <w:rFonts w:ascii="Times New Roman" w:hAnsi="Times New Roman" w:cs="Times New Roman"/>
          <w:bCs/>
          <w:color w:val="000000" w:themeColor="text1"/>
        </w:rPr>
        <w:t>,</w:t>
      </w:r>
      <w:r w:rsidR="001E7B15">
        <w:rPr>
          <w:rFonts w:ascii="Times New Roman" w:hAnsi="Times New Roman" w:cs="Times New Roman"/>
          <w:bCs/>
          <w:color w:val="000000" w:themeColor="text1"/>
        </w:rPr>
        <w:t xml:space="preserve"> (3)</w:t>
      </w:r>
      <w:r w:rsidRPr="008D37B0">
        <w:rPr>
          <w:rFonts w:ascii="Times New Roman" w:hAnsi="Times New Roman" w:cs="Times New Roman"/>
          <w:bCs/>
          <w:color w:val="000000" w:themeColor="text1"/>
        </w:rPr>
        <w:t xml:space="preserve"> fully remote home-based</w:t>
      </w:r>
      <w:r w:rsidR="001E7B15">
        <w:rPr>
          <w:rFonts w:ascii="Times New Roman" w:hAnsi="Times New Roman" w:cs="Times New Roman"/>
          <w:bCs/>
          <w:color w:val="000000" w:themeColor="text1"/>
        </w:rPr>
        <w:t xml:space="preserve"> (HB)</w:t>
      </w:r>
      <w:r w:rsidRPr="008D37B0">
        <w:rPr>
          <w:rFonts w:ascii="Times New Roman" w:hAnsi="Times New Roman" w:cs="Times New Roman"/>
          <w:bCs/>
          <w:color w:val="000000" w:themeColor="text1"/>
        </w:rPr>
        <w:t xml:space="preserve">, </w:t>
      </w:r>
      <w:r w:rsidR="001E7B15">
        <w:rPr>
          <w:rFonts w:ascii="Times New Roman" w:hAnsi="Times New Roman" w:cs="Times New Roman"/>
          <w:bCs/>
          <w:color w:val="000000" w:themeColor="text1"/>
        </w:rPr>
        <w:t>and (4)</w:t>
      </w:r>
      <w:r w:rsidRPr="008D37B0">
        <w:rPr>
          <w:rFonts w:ascii="Times New Roman" w:hAnsi="Times New Roman" w:cs="Times New Roman"/>
          <w:bCs/>
          <w:color w:val="000000" w:themeColor="text1"/>
        </w:rPr>
        <w:t xml:space="preserve"> fully remote third location-based</w:t>
      </w:r>
      <w:r w:rsidR="001E7B15">
        <w:rPr>
          <w:rFonts w:ascii="Times New Roman" w:hAnsi="Times New Roman" w:cs="Times New Roman"/>
          <w:bCs/>
          <w:color w:val="000000" w:themeColor="text1"/>
        </w:rPr>
        <w:t xml:space="preserve"> (TLB)</w:t>
      </w:r>
      <w:r w:rsidRPr="008D37B0">
        <w:rPr>
          <w:rFonts w:ascii="Times New Roman" w:hAnsi="Times New Roman" w:cs="Times New Roman"/>
          <w:bCs/>
          <w:color w:val="000000" w:themeColor="text1"/>
        </w:rPr>
        <w:t xml:space="preserve">. The model also accounts for worker control over </w:t>
      </w:r>
      <w:r w:rsidR="008C35AF">
        <w:rPr>
          <w:rFonts w:ascii="Times New Roman" w:hAnsi="Times New Roman" w:cs="Times New Roman"/>
          <w:bCs/>
          <w:color w:val="000000" w:themeColor="text1"/>
        </w:rPr>
        <w:t xml:space="preserve">their work </w:t>
      </w:r>
      <w:r w:rsidRPr="008D37B0">
        <w:rPr>
          <w:rFonts w:ascii="Times New Roman" w:hAnsi="Times New Roman" w:cs="Times New Roman"/>
          <w:bCs/>
          <w:color w:val="000000" w:themeColor="text1"/>
        </w:rPr>
        <w:t>schedule and location</w:t>
      </w:r>
      <w:r w:rsidR="008C35AF">
        <w:rPr>
          <w:rFonts w:ascii="Times New Roman" w:hAnsi="Times New Roman" w:cs="Times New Roman"/>
          <w:bCs/>
          <w:color w:val="000000" w:themeColor="text1"/>
        </w:rPr>
        <w:t>,</w:t>
      </w:r>
      <w:r w:rsidRPr="008D37B0">
        <w:rPr>
          <w:rFonts w:ascii="Times New Roman" w:hAnsi="Times New Roman" w:cs="Times New Roman"/>
          <w:bCs/>
          <w:color w:val="000000" w:themeColor="text1"/>
        </w:rPr>
        <w:t xml:space="preserve"> and accommodates unobserved factors that may influence multiple outcomes.</w:t>
      </w:r>
    </w:p>
    <w:p w14:paraId="73132A59" w14:textId="494B0AE4" w:rsidR="00C77E14" w:rsidRPr="008D37B0" w:rsidRDefault="00A76582" w:rsidP="008D37B0">
      <w:pPr>
        <w:ind w:firstLine="720"/>
        <w:rPr>
          <w:rFonts w:ascii="Times New Roman" w:hAnsi="Times New Roman" w:cs="Times New Roman"/>
          <w:bCs/>
          <w:color w:val="000000" w:themeColor="text1"/>
        </w:rPr>
      </w:pPr>
      <w:r>
        <w:rPr>
          <w:rFonts w:ascii="Times New Roman" w:hAnsi="Times New Roman" w:cs="Times New Roman"/>
          <w:bCs/>
          <w:color w:val="000000" w:themeColor="text1"/>
        </w:rPr>
        <w:t>The remainder of this paper is organized as follows.</w:t>
      </w:r>
      <w:r w:rsidR="004B1736">
        <w:rPr>
          <w:rFonts w:ascii="Times New Roman" w:hAnsi="Times New Roman" w:cs="Times New Roman"/>
          <w:bCs/>
          <w:color w:val="000000" w:themeColor="text1"/>
        </w:rPr>
        <w:t xml:space="preserve"> </w:t>
      </w:r>
      <w:r>
        <w:rPr>
          <w:rFonts w:ascii="Times New Roman" w:hAnsi="Times New Roman" w:cs="Times New Roman"/>
          <w:bCs/>
          <w:color w:val="000000" w:themeColor="text1"/>
        </w:rPr>
        <w:t>The next section presents a brief literature review. The third section offers a description of the data</w:t>
      </w:r>
      <w:r w:rsidR="00673FEA">
        <w:rPr>
          <w:rFonts w:ascii="Times New Roman" w:hAnsi="Times New Roman" w:cs="Times New Roman"/>
          <w:bCs/>
          <w:color w:val="000000" w:themeColor="text1"/>
        </w:rPr>
        <w:t>,</w:t>
      </w:r>
      <w:r>
        <w:rPr>
          <w:rFonts w:ascii="Times New Roman" w:hAnsi="Times New Roman" w:cs="Times New Roman"/>
          <w:bCs/>
          <w:color w:val="000000" w:themeColor="text1"/>
        </w:rPr>
        <w:t xml:space="preserve"> while the fourth section presents the modeling framework and methodological formulation. The fifth section provides a description </w:t>
      </w:r>
      <w:r>
        <w:rPr>
          <w:rFonts w:ascii="Times New Roman" w:hAnsi="Times New Roman" w:cs="Times New Roman"/>
          <w:bCs/>
          <w:color w:val="000000" w:themeColor="text1"/>
        </w:rPr>
        <w:lastRenderedPageBreak/>
        <w:t xml:space="preserve">of model estimation results, the sixth section presents average treatment effects, and conclusions are summarized in the seventh and final section. </w:t>
      </w:r>
    </w:p>
    <w:p w14:paraId="12F9863F" w14:textId="77777777" w:rsidR="00531386" w:rsidRDefault="00531386" w:rsidP="00A808CF">
      <w:pPr>
        <w:rPr>
          <w:rFonts w:ascii="Times New Roman" w:hAnsi="Times New Roman" w:cs="Times New Roman"/>
          <w:bCs/>
          <w:color w:val="000000" w:themeColor="text1"/>
        </w:rPr>
      </w:pPr>
    </w:p>
    <w:p w14:paraId="3D26E157" w14:textId="77777777" w:rsidR="00A372C3" w:rsidRPr="00A372C3" w:rsidRDefault="00A372C3" w:rsidP="00A372C3">
      <w:pPr>
        <w:rPr>
          <w:rFonts w:ascii="Times New Roman" w:hAnsi="Times New Roman" w:cs="Times New Roman"/>
          <w:b/>
          <w:bCs/>
          <w:color w:val="000000" w:themeColor="text1"/>
        </w:rPr>
      </w:pPr>
      <w:r w:rsidRPr="00A372C3">
        <w:rPr>
          <w:rFonts w:ascii="Times New Roman" w:hAnsi="Times New Roman" w:cs="Times New Roman"/>
          <w:b/>
          <w:bCs/>
          <w:color w:val="000000" w:themeColor="text1"/>
        </w:rPr>
        <w:t>2. LITERATURE REVIEW</w:t>
      </w:r>
    </w:p>
    <w:p w14:paraId="179FAD09" w14:textId="7A348D75" w:rsidR="00A372C3" w:rsidRPr="00A372C3" w:rsidRDefault="00A372C3" w:rsidP="00A372C3">
      <w:pPr>
        <w:rPr>
          <w:rFonts w:ascii="Times New Roman" w:hAnsi="Times New Roman" w:cs="Times New Roman"/>
          <w:bCs/>
          <w:color w:val="000000" w:themeColor="text1"/>
        </w:rPr>
      </w:pPr>
      <w:r w:rsidRPr="00A372C3">
        <w:rPr>
          <w:rFonts w:ascii="Times New Roman" w:hAnsi="Times New Roman" w:cs="Times New Roman"/>
          <w:bCs/>
          <w:color w:val="000000" w:themeColor="text1"/>
        </w:rPr>
        <w:t xml:space="preserve">The literature on teleworking is vast and spans transportation, urban planning, labor economics, organizational behavior, and public policy. A comprehensive review of this extensive body of work is beyond the scope of this paper. Instead, the discussion here is purposefully selective. It focuses on evidence related to the principal dimensions considered in this study: work modality, work location, </w:t>
      </w:r>
      <w:r w:rsidR="005F6420">
        <w:rPr>
          <w:rFonts w:eastAsia="Calibri"/>
        </w:rPr>
        <w:t>work-from-home</w:t>
      </w:r>
      <w:r w:rsidR="005F6420" w:rsidRPr="00A321F3">
        <w:rPr>
          <w:rFonts w:eastAsia="Calibri"/>
        </w:rPr>
        <w:t xml:space="preserve"> </w:t>
      </w:r>
      <w:r w:rsidRPr="00A372C3">
        <w:rPr>
          <w:rFonts w:ascii="Times New Roman" w:hAnsi="Times New Roman" w:cs="Times New Roman"/>
          <w:bCs/>
          <w:color w:val="000000" w:themeColor="text1"/>
        </w:rPr>
        <w:t>motivations, and associated travel impacts. The review is intended to illustrate the evidence to date, establish the importance of these dimensions, and identify research gaps that warrant further attention.</w:t>
      </w:r>
    </w:p>
    <w:p w14:paraId="08E12E04" w14:textId="54F6D7F0" w:rsidR="00A372C3" w:rsidRPr="00A372C3" w:rsidRDefault="00A372C3" w:rsidP="0052248D">
      <w:pPr>
        <w:ind w:firstLine="720"/>
        <w:rPr>
          <w:rFonts w:ascii="Times New Roman" w:hAnsi="Times New Roman" w:cs="Times New Roman"/>
          <w:bCs/>
          <w:color w:val="000000" w:themeColor="text1"/>
        </w:rPr>
      </w:pPr>
      <w:r w:rsidRPr="00A372C3">
        <w:rPr>
          <w:rFonts w:ascii="Times New Roman" w:hAnsi="Times New Roman" w:cs="Times New Roman"/>
          <w:bCs/>
          <w:color w:val="000000" w:themeColor="text1"/>
        </w:rPr>
        <w:t xml:space="preserve">A substantial body of research has examined work modality, generally distinguishing </w:t>
      </w:r>
      <w:r w:rsidR="004B3F8F">
        <w:rPr>
          <w:rFonts w:ascii="Times New Roman" w:hAnsi="Times New Roman" w:cs="Times New Roman"/>
          <w:bCs/>
          <w:color w:val="000000" w:themeColor="text1"/>
        </w:rPr>
        <w:t>between</w:t>
      </w:r>
      <w:r w:rsidRPr="00A372C3">
        <w:rPr>
          <w:rFonts w:ascii="Times New Roman" w:hAnsi="Times New Roman" w:cs="Times New Roman"/>
          <w:bCs/>
          <w:color w:val="000000" w:themeColor="text1"/>
        </w:rPr>
        <w:t xml:space="preserve"> fully in-person, hybrid, and fully remote arrangements. Fully in-person work remains dominant, particularly in industries that require physical presence, including retail, transportation, construction, and manufacturing (Anik and Habib 2025; Barrero et al. 2023). Hybrid arrangements are more prevalent among highly educated, higher-income, and full-time workers, while parents often exhibit a greater propensity to combine in</w:t>
      </w:r>
      <w:r w:rsidR="00CB4856">
        <w:rPr>
          <w:rFonts w:ascii="Times New Roman" w:hAnsi="Times New Roman" w:cs="Times New Roman"/>
          <w:bCs/>
          <w:color w:val="000000" w:themeColor="text1"/>
        </w:rPr>
        <w:t>-</w:t>
      </w:r>
      <w:r w:rsidRPr="00A372C3">
        <w:rPr>
          <w:rFonts w:ascii="Times New Roman" w:hAnsi="Times New Roman" w:cs="Times New Roman"/>
          <w:bCs/>
          <w:color w:val="000000" w:themeColor="text1"/>
        </w:rPr>
        <w:t>person and remote work (Anik and Habib 2025; Asmussen et al. 2023).</w:t>
      </w:r>
      <w:r w:rsidR="004B1736">
        <w:rPr>
          <w:rFonts w:ascii="Times New Roman" w:hAnsi="Times New Roman" w:cs="Times New Roman"/>
          <w:bCs/>
          <w:color w:val="000000" w:themeColor="text1"/>
        </w:rPr>
        <w:t xml:space="preserve"> </w:t>
      </w:r>
      <w:r w:rsidR="004B3F8F" w:rsidRPr="004B3F8F">
        <w:rPr>
          <w:rFonts w:ascii="Times New Roman" w:hAnsi="Times New Roman" w:cs="Times New Roman"/>
          <w:bCs/>
          <w:color w:val="000000" w:themeColor="text1"/>
        </w:rPr>
        <w:t xml:space="preserve">Fully remote arrangements are more common among women, particularly among single mothers with young children </w:t>
      </w:r>
      <w:r w:rsidR="004B1736" w:rsidRPr="00A372C3">
        <w:rPr>
          <w:rFonts w:ascii="Times New Roman" w:hAnsi="Times New Roman" w:cs="Times New Roman"/>
          <w:bCs/>
          <w:color w:val="000000" w:themeColor="text1"/>
        </w:rPr>
        <w:t>(Asmussen et al. 2023; Ozbilen et al. 2024).</w:t>
      </w:r>
      <w:r w:rsidRPr="00A372C3">
        <w:rPr>
          <w:rFonts w:ascii="Times New Roman" w:hAnsi="Times New Roman" w:cs="Times New Roman"/>
          <w:bCs/>
          <w:color w:val="000000" w:themeColor="text1"/>
        </w:rPr>
        <w:t xml:space="preserve"> Preferences and practices continue to evolve in the after-COVID era, suggesting that work arrangements remain fluid rather than fully settled (Sweet and Scott 2026).</w:t>
      </w:r>
      <w:r w:rsidR="0052248D">
        <w:rPr>
          <w:rFonts w:ascii="Times New Roman" w:hAnsi="Times New Roman" w:cs="Times New Roman"/>
          <w:bCs/>
          <w:color w:val="000000" w:themeColor="text1"/>
        </w:rPr>
        <w:t xml:space="preserve"> </w:t>
      </w:r>
      <w:r w:rsidRPr="00A372C3">
        <w:rPr>
          <w:rFonts w:ascii="Times New Roman" w:hAnsi="Times New Roman" w:cs="Times New Roman"/>
          <w:bCs/>
          <w:color w:val="000000" w:themeColor="text1"/>
        </w:rPr>
        <w:t>Telework frequency within hybrid arrangements also varies considerably. Longer commute distances, higher educational attainment, and greater household income are generally associated with more frequent telework (</w:t>
      </w:r>
      <w:proofErr w:type="spellStart"/>
      <w:r w:rsidRPr="00A372C3">
        <w:rPr>
          <w:rFonts w:ascii="Times New Roman" w:hAnsi="Times New Roman" w:cs="Times New Roman"/>
          <w:bCs/>
          <w:color w:val="000000" w:themeColor="text1"/>
        </w:rPr>
        <w:t>Versigghel</w:t>
      </w:r>
      <w:proofErr w:type="spellEnd"/>
      <w:r w:rsidRPr="00A372C3">
        <w:rPr>
          <w:rFonts w:ascii="Times New Roman" w:hAnsi="Times New Roman" w:cs="Times New Roman"/>
          <w:bCs/>
          <w:color w:val="000000" w:themeColor="text1"/>
        </w:rPr>
        <w:t xml:space="preserve"> et al. 2025; Wang and Mokhtarian 2024). These findings reinforce the notion that hybrid work is not a uniform category, but rather a continuum of weekly work patterns.</w:t>
      </w:r>
      <w:r w:rsidR="0052248D">
        <w:rPr>
          <w:rFonts w:ascii="Times New Roman" w:hAnsi="Times New Roman" w:cs="Times New Roman"/>
          <w:bCs/>
          <w:color w:val="000000" w:themeColor="text1"/>
        </w:rPr>
        <w:t xml:space="preserve"> Work arrangements</w:t>
      </w:r>
      <w:r w:rsidRPr="00A372C3">
        <w:rPr>
          <w:rFonts w:ascii="Times New Roman" w:hAnsi="Times New Roman" w:cs="Times New Roman"/>
          <w:bCs/>
          <w:color w:val="000000" w:themeColor="text1"/>
        </w:rPr>
        <w:t xml:space="preserve"> </w:t>
      </w:r>
      <w:r w:rsidR="0052248D">
        <w:rPr>
          <w:rFonts w:ascii="Times New Roman" w:hAnsi="Times New Roman" w:cs="Times New Roman"/>
          <w:bCs/>
          <w:color w:val="000000" w:themeColor="text1"/>
        </w:rPr>
        <w:t>are further</w:t>
      </w:r>
      <w:r w:rsidRPr="00A372C3">
        <w:rPr>
          <w:rFonts w:ascii="Times New Roman" w:hAnsi="Times New Roman" w:cs="Times New Roman"/>
          <w:bCs/>
          <w:color w:val="000000" w:themeColor="text1"/>
        </w:rPr>
        <w:t xml:space="preserve"> shaped by occupational requirements and employer policies. The share of job tasks that can be completed remotely influences telework adoption, while employer requirements may restrict remote work to selected days or approved locations (Barrero et al. 2023; Jones et al. 2023; Wang and Mokhtarian 2024). Team-based coordination and designated in-person workdays can further constrain worker choices (Tan et al. 2023). Schedule flexibility also matters because rigid work hours may limit telework feasibility even when job duties can be performed remotely (</w:t>
      </w:r>
      <w:proofErr w:type="spellStart"/>
      <w:r w:rsidR="002E3D0E" w:rsidRPr="00A372C3">
        <w:rPr>
          <w:rFonts w:ascii="Times New Roman" w:hAnsi="Times New Roman" w:cs="Times New Roman"/>
          <w:bCs/>
          <w:color w:val="000000" w:themeColor="text1"/>
        </w:rPr>
        <w:t>Delbosc</w:t>
      </w:r>
      <w:proofErr w:type="spellEnd"/>
      <w:r w:rsidR="002E3D0E" w:rsidRPr="00A372C3">
        <w:rPr>
          <w:rFonts w:ascii="Times New Roman" w:hAnsi="Times New Roman" w:cs="Times New Roman"/>
          <w:bCs/>
          <w:color w:val="000000" w:themeColor="text1"/>
        </w:rPr>
        <w:t xml:space="preserve"> and Kent 2024</w:t>
      </w:r>
      <w:r w:rsidR="002E3D0E">
        <w:rPr>
          <w:rFonts w:ascii="Times New Roman" w:hAnsi="Times New Roman" w:cs="Times New Roman"/>
          <w:bCs/>
          <w:color w:val="000000" w:themeColor="text1"/>
        </w:rPr>
        <w:t xml:space="preserve">; </w:t>
      </w:r>
      <w:r w:rsidRPr="00A372C3">
        <w:rPr>
          <w:rFonts w:ascii="Times New Roman" w:hAnsi="Times New Roman" w:cs="Times New Roman"/>
          <w:bCs/>
          <w:color w:val="000000" w:themeColor="text1"/>
        </w:rPr>
        <w:t>Thompson et al. 2022).</w:t>
      </w:r>
    </w:p>
    <w:p w14:paraId="74017FC2" w14:textId="405C74E5" w:rsidR="00A372C3" w:rsidRPr="00A372C3" w:rsidRDefault="00A372C3" w:rsidP="004B1736">
      <w:pPr>
        <w:ind w:firstLine="720"/>
        <w:rPr>
          <w:rFonts w:ascii="Times New Roman" w:hAnsi="Times New Roman" w:cs="Times New Roman"/>
          <w:bCs/>
          <w:color w:val="000000" w:themeColor="text1"/>
        </w:rPr>
      </w:pPr>
      <w:r w:rsidRPr="00A372C3">
        <w:rPr>
          <w:rFonts w:ascii="Times New Roman" w:hAnsi="Times New Roman" w:cs="Times New Roman"/>
          <w:bCs/>
          <w:color w:val="000000" w:themeColor="text1"/>
        </w:rPr>
        <w:t xml:space="preserve">A second stream of research has examined work location. Most studies distinguish between the conventional workplace and home, but a growing literature recognizes the role of third locations such as cafés, libraries, coworking facilities, and other shared environments (Caros et al. 2023; Li et al. 2024; Xia et al. 2026). </w:t>
      </w:r>
      <w:r w:rsidR="0052248D">
        <w:rPr>
          <w:rFonts w:ascii="Times New Roman" w:hAnsi="Times New Roman" w:cs="Times New Roman"/>
          <w:bCs/>
          <w:color w:val="000000" w:themeColor="text1"/>
        </w:rPr>
        <w:t>R</w:t>
      </w:r>
      <w:r w:rsidRPr="00A372C3">
        <w:rPr>
          <w:rFonts w:ascii="Times New Roman" w:hAnsi="Times New Roman" w:cs="Times New Roman"/>
          <w:bCs/>
          <w:color w:val="000000" w:themeColor="text1"/>
        </w:rPr>
        <w:t>emote work</w:t>
      </w:r>
      <w:r w:rsidR="0052248D">
        <w:rPr>
          <w:rFonts w:ascii="Times New Roman" w:hAnsi="Times New Roman" w:cs="Times New Roman"/>
          <w:bCs/>
          <w:color w:val="000000" w:themeColor="text1"/>
        </w:rPr>
        <w:t xml:space="preserve"> from home</w:t>
      </w:r>
      <w:r w:rsidRPr="00A372C3">
        <w:rPr>
          <w:rFonts w:ascii="Times New Roman" w:hAnsi="Times New Roman" w:cs="Times New Roman"/>
          <w:bCs/>
          <w:color w:val="000000" w:themeColor="text1"/>
        </w:rPr>
        <w:t xml:space="preserve"> is more prevalent among younger, highly educated, and higher-income workers, particularly when a suitable workspace is available in the residence (Anik and Habib 2025; Asmussen</w:t>
      </w:r>
      <w:r w:rsidR="00EC480F">
        <w:rPr>
          <w:rFonts w:ascii="Times New Roman" w:hAnsi="Times New Roman" w:cs="Times New Roman"/>
          <w:bCs/>
          <w:color w:val="000000" w:themeColor="text1"/>
        </w:rPr>
        <w:t xml:space="preserve">, Mondal, and Bhat </w:t>
      </w:r>
      <w:r w:rsidRPr="00A372C3">
        <w:rPr>
          <w:rFonts w:ascii="Times New Roman" w:hAnsi="Times New Roman" w:cs="Times New Roman"/>
          <w:bCs/>
          <w:color w:val="000000" w:themeColor="text1"/>
        </w:rPr>
        <w:t xml:space="preserve">2024). </w:t>
      </w:r>
      <w:r w:rsidR="004B1736">
        <w:rPr>
          <w:rFonts w:ascii="Times New Roman" w:hAnsi="Times New Roman" w:cs="Times New Roman"/>
          <w:bCs/>
          <w:color w:val="000000" w:themeColor="text1"/>
        </w:rPr>
        <w:t>In contrast, t</w:t>
      </w:r>
      <w:r w:rsidRPr="00A372C3">
        <w:rPr>
          <w:rFonts w:ascii="Times New Roman" w:hAnsi="Times New Roman" w:cs="Times New Roman"/>
          <w:bCs/>
          <w:color w:val="000000" w:themeColor="text1"/>
        </w:rPr>
        <w:t xml:space="preserve">hird-location work appears to </w:t>
      </w:r>
      <w:r w:rsidR="004B1736">
        <w:rPr>
          <w:rFonts w:ascii="Times New Roman" w:hAnsi="Times New Roman" w:cs="Times New Roman"/>
          <w:bCs/>
          <w:color w:val="000000" w:themeColor="text1"/>
        </w:rPr>
        <w:t>be more prevalent among</w:t>
      </w:r>
      <w:r w:rsidRPr="00A372C3">
        <w:rPr>
          <w:rFonts w:ascii="Times New Roman" w:hAnsi="Times New Roman" w:cs="Times New Roman"/>
          <w:bCs/>
          <w:color w:val="000000" w:themeColor="text1"/>
        </w:rPr>
        <w:t xml:space="preserve"> part-time workers, urban residents, overtime workers, and individuals whose home environments are less conducive to sustained paid work (Asmussen et al. 2023; Caros et al. 2023). Despite these distinctions, many studies continue to combine </w:t>
      </w:r>
      <w:r w:rsidR="00320D34">
        <w:rPr>
          <w:rFonts w:ascii="Times New Roman" w:hAnsi="Times New Roman" w:cs="Times New Roman"/>
          <w:bCs/>
          <w:color w:val="000000" w:themeColor="text1"/>
        </w:rPr>
        <w:t>remote</w:t>
      </w:r>
      <w:r w:rsidR="0052248D">
        <w:rPr>
          <w:rFonts w:ascii="Times New Roman" w:hAnsi="Times New Roman" w:cs="Times New Roman"/>
          <w:bCs/>
          <w:color w:val="000000" w:themeColor="text1"/>
        </w:rPr>
        <w:t xml:space="preserve"> work</w:t>
      </w:r>
      <w:r w:rsidR="00320D34">
        <w:rPr>
          <w:rFonts w:ascii="Times New Roman" w:hAnsi="Times New Roman" w:cs="Times New Roman"/>
          <w:bCs/>
          <w:color w:val="000000" w:themeColor="text1"/>
        </w:rPr>
        <w:t xml:space="preserve"> from </w:t>
      </w:r>
      <w:r w:rsidRPr="00A372C3">
        <w:rPr>
          <w:rFonts w:ascii="Times New Roman" w:hAnsi="Times New Roman" w:cs="Times New Roman"/>
          <w:bCs/>
          <w:color w:val="000000" w:themeColor="text1"/>
        </w:rPr>
        <w:t>home and</w:t>
      </w:r>
      <w:r w:rsidR="0052248D">
        <w:rPr>
          <w:rFonts w:ascii="Times New Roman" w:hAnsi="Times New Roman" w:cs="Times New Roman"/>
          <w:bCs/>
          <w:color w:val="000000" w:themeColor="text1"/>
        </w:rPr>
        <w:t xml:space="preserve"> remote work</w:t>
      </w:r>
      <w:r w:rsidRPr="00A372C3">
        <w:rPr>
          <w:rFonts w:ascii="Times New Roman" w:hAnsi="Times New Roman" w:cs="Times New Roman"/>
          <w:bCs/>
          <w:color w:val="000000" w:themeColor="text1"/>
        </w:rPr>
        <w:t xml:space="preserve"> </w:t>
      </w:r>
      <w:r w:rsidR="00320D34">
        <w:rPr>
          <w:rFonts w:ascii="Times New Roman" w:hAnsi="Times New Roman" w:cs="Times New Roman"/>
          <w:bCs/>
          <w:color w:val="000000" w:themeColor="text1"/>
        </w:rPr>
        <w:t xml:space="preserve">from a </w:t>
      </w:r>
      <w:r w:rsidRPr="00A372C3">
        <w:rPr>
          <w:rFonts w:ascii="Times New Roman" w:hAnsi="Times New Roman" w:cs="Times New Roman"/>
          <w:bCs/>
          <w:color w:val="000000" w:themeColor="text1"/>
        </w:rPr>
        <w:t>third-location work into a single telework category</w:t>
      </w:r>
      <w:r w:rsidR="0052248D">
        <w:rPr>
          <w:rFonts w:ascii="Times New Roman" w:hAnsi="Times New Roman" w:cs="Times New Roman"/>
          <w:bCs/>
          <w:color w:val="000000" w:themeColor="text1"/>
        </w:rPr>
        <w:t xml:space="preserve">, </w:t>
      </w:r>
      <w:r w:rsidRPr="00A372C3">
        <w:rPr>
          <w:rFonts w:ascii="Times New Roman" w:hAnsi="Times New Roman" w:cs="Times New Roman"/>
          <w:bCs/>
          <w:color w:val="000000" w:themeColor="text1"/>
        </w:rPr>
        <w:t>or omit remote work outside the home altogether (Anik and Habib 2025; Barrero et al. 2023</w:t>
      </w:r>
      <w:r w:rsidR="002E3D0E">
        <w:rPr>
          <w:rFonts w:ascii="Times New Roman" w:hAnsi="Times New Roman" w:cs="Times New Roman"/>
          <w:bCs/>
          <w:color w:val="000000" w:themeColor="text1"/>
        </w:rPr>
        <w:t xml:space="preserve">; </w:t>
      </w:r>
      <w:r w:rsidR="002E3D0E" w:rsidRPr="00A372C3">
        <w:rPr>
          <w:rFonts w:ascii="Times New Roman" w:hAnsi="Times New Roman" w:cs="Times New Roman"/>
          <w:bCs/>
          <w:color w:val="000000" w:themeColor="text1"/>
        </w:rPr>
        <w:t>Motte-</w:t>
      </w:r>
      <w:proofErr w:type="spellStart"/>
      <w:r w:rsidR="002E3D0E" w:rsidRPr="00A372C3">
        <w:rPr>
          <w:rFonts w:ascii="Times New Roman" w:hAnsi="Times New Roman" w:cs="Times New Roman"/>
          <w:bCs/>
          <w:color w:val="000000" w:themeColor="text1"/>
        </w:rPr>
        <w:t>Baumvol</w:t>
      </w:r>
      <w:proofErr w:type="spellEnd"/>
      <w:r w:rsidR="002E3D0E" w:rsidRPr="00A372C3">
        <w:rPr>
          <w:rFonts w:ascii="Times New Roman" w:hAnsi="Times New Roman" w:cs="Times New Roman"/>
          <w:bCs/>
          <w:color w:val="000000" w:themeColor="text1"/>
        </w:rPr>
        <w:t xml:space="preserve"> and </w:t>
      </w:r>
      <w:proofErr w:type="spellStart"/>
      <w:r w:rsidR="002E3D0E" w:rsidRPr="00A372C3">
        <w:rPr>
          <w:rFonts w:ascii="Times New Roman" w:hAnsi="Times New Roman" w:cs="Times New Roman"/>
          <w:bCs/>
          <w:color w:val="000000" w:themeColor="text1"/>
        </w:rPr>
        <w:t>Schwanen</w:t>
      </w:r>
      <w:proofErr w:type="spellEnd"/>
      <w:r w:rsidR="002E3D0E" w:rsidRPr="00A372C3">
        <w:rPr>
          <w:rFonts w:ascii="Times New Roman" w:hAnsi="Times New Roman" w:cs="Times New Roman"/>
          <w:bCs/>
          <w:color w:val="000000" w:themeColor="text1"/>
        </w:rPr>
        <w:t xml:space="preserve"> 2026</w:t>
      </w:r>
      <w:r w:rsidRPr="00A372C3">
        <w:rPr>
          <w:rFonts w:ascii="Times New Roman" w:hAnsi="Times New Roman" w:cs="Times New Roman"/>
          <w:bCs/>
          <w:color w:val="000000" w:themeColor="text1"/>
        </w:rPr>
        <w:t xml:space="preserve">). </w:t>
      </w:r>
      <w:r w:rsidR="004B3F8F" w:rsidRPr="004B3F8F">
        <w:rPr>
          <w:rFonts w:ascii="Times New Roman" w:hAnsi="Times New Roman" w:cs="Times New Roman"/>
          <w:bCs/>
          <w:color w:val="000000" w:themeColor="text1"/>
        </w:rPr>
        <w:t xml:space="preserve">Consequently, the </w:t>
      </w:r>
      <w:r w:rsidR="004B3F8F">
        <w:rPr>
          <w:rFonts w:ascii="Times New Roman" w:hAnsi="Times New Roman" w:cs="Times New Roman"/>
          <w:bCs/>
          <w:color w:val="000000" w:themeColor="text1"/>
        </w:rPr>
        <w:t>role</w:t>
      </w:r>
      <w:r w:rsidR="004B3F8F" w:rsidRPr="004B3F8F">
        <w:rPr>
          <w:rFonts w:ascii="Times New Roman" w:hAnsi="Times New Roman" w:cs="Times New Roman"/>
          <w:bCs/>
          <w:color w:val="000000" w:themeColor="text1"/>
        </w:rPr>
        <w:t xml:space="preserve"> of </w:t>
      </w:r>
      <w:r w:rsidR="004B3F8F">
        <w:rPr>
          <w:rFonts w:ascii="Times New Roman" w:hAnsi="Times New Roman" w:cs="Times New Roman"/>
          <w:bCs/>
          <w:color w:val="000000" w:themeColor="text1"/>
        </w:rPr>
        <w:t>telework</w:t>
      </w:r>
      <w:r w:rsidR="004B3F8F" w:rsidRPr="004B3F8F">
        <w:rPr>
          <w:rFonts w:ascii="Times New Roman" w:hAnsi="Times New Roman" w:cs="Times New Roman"/>
          <w:bCs/>
          <w:color w:val="000000" w:themeColor="text1"/>
        </w:rPr>
        <w:t xml:space="preserve"> location remains </w:t>
      </w:r>
      <w:r w:rsidR="004B3F8F">
        <w:rPr>
          <w:rFonts w:ascii="Times New Roman" w:hAnsi="Times New Roman" w:cs="Times New Roman"/>
          <w:bCs/>
          <w:color w:val="000000" w:themeColor="text1"/>
        </w:rPr>
        <w:t>understudied</w:t>
      </w:r>
      <w:r w:rsidR="004B3F8F" w:rsidRPr="004B3F8F">
        <w:rPr>
          <w:rFonts w:ascii="Times New Roman" w:hAnsi="Times New Roman" w:cs="Times New Roman"/>
          <w:bCs/>
          <w:color w:val="000000" w:themeColor="text1"/>
        </w:rPr>
        <w:t xml:space="preserve">, </w:t>
      </w:r>
      <w:r w:rsidR="004B3F8F">
        <w:rPr>
          <w:rFonts w:ascii="Times New Roman" w:hAnsi="Times New Roman" w:cs="Times New Roman"/>
          <w:bCs/>
          <w:color w:val="000000" w:themeColor="text1"/>
        </w:rPr>
        <w:t>and</w:t>
      </w:r>
      <w:r w:rsidR="004B3F8F" w:rsidRPr="004B3F8F">
        <w:rPr>
          <w:rFonts w:ascii="Times New Roman" w:hAnsi="Times New Roman" w:cs="Times New Roman"/>
          <w:bCs/>
          <w:color w:val="000000" w:themeColor="text1"/>
        </w:rPr>
        <w:t xml:space="preserve"> its implications for travel behavior</w:t>
      </w:r>
      <w:r w:rsidR="004B3F8F">
        <w:rPr>
          <w:rFonts w:ascii="Times New Roman" w:hAnsi="Times New Roman" w:cs="Times New Roman"/>
          <w:bCs/>
          <w:color w:val="000000" w:themeColor="text1"/>
        </w:rPr>
        <w:t xml:space="preserve"> are not fully understood.</w:t>
      </w:r>
    </w:p>
    <w:p w14:paraId="788F1ED3" w14:textId="5B647FFE" w:rsidR="00A372C3" w:rsidRPr="00A372C3" w:rsidRDefault="00A372C3" w:rsidP="00A372C3">
      <w:pPr>
        <w:ind w:firstLine="720"/>
        <w:rPr>
          <w:rFonts w:ascii="Times New Roman" w:hAnsi="Times New Roman" w:cs="Times New Roman"/>
          <w:bCs/>
          <w:color w:val="000000" w:themeColor="text1"/>
        </w:rPr>
      </w:pPr>
      <w:r w:rsidRPr="00A372C3">
        <w:rPr>
          <w:rFonts w:ascii="Times New Roman" w:hAnsi="Times New Roman" w:cs="Times New Roman"/>
          <w:bCs/>
          <w:color w:val="000000" w:themeColor="text1"/>
        </w:rPr>
        <w:lastRenderedPageBreak/>
        <w:t xml:space="preserve">A third body of literature has focused on </w:t>
      </w:r>
      <w:proofErr w:type="gramStart"/>
      <w:r w:rsidRPr="00A372C3">
        <w:rPr>
          <w:rFonts w:ascii="Times New Roman" w:hAnsi="Times New Roman" w:cs="Times New Roman"/>
          <w:bCs/>
          <w:color w:val="000000" w:themeColor="text1"/>
        </w:rPr>
        <w:t>telework</w:t>
      </w:r>
      <w:proofErr w:type="gramEnd"/>
      <w:r w:rsidRPr="00A372C3">
        <w:rPr>
          <w:rFonts w:ascii="Times New Roman" w:hAnsi="Times New Roman" w:cs="Times New Roman"/>
          <w:bCs/>
          <w:color w:val="000000" w:themeColor="text1"/>
        </w:rPr>
        <w:t xml:space="preserve"> motivations. Common motivations include reducing commute time and cost, balancing work and household responsibilities, improving the work environment, addressing health concerns, and reducing environmental impacts (Kappler and de Abreu e Silva 2025; Thompson et al. 2022; Thulin et al. 2023; Wang et al. 202</w:t>
      </w:r>
      <w:r w:rsidR="000878AF">
        <w:rPr>
          <w:rFonts w:ascii="Times New Roman" w:hAnsi="Times New Roman" w:cs="Times New Roman"/>
          <w:bCs/>
          <w:color w:val="000000" w:themeColor="text1"/>
        </w:rPr>
        <w:t>4</w:t>
      </w:r>
      <w:r w:rsidRPr="00A372C3">
        <w:rPr>
          <w:rFonts w:ascii="Times New Roman" w:hAnsi="Times New Roman" w:cs="Times New Roman"/>
          <w:bCs/>
          <w:color w:val="000000" w:themeColor="text1"/>
        </w:rPr>
        <w:t xml:space="preserve">). These motivations often operate jointly. A worker may value both the time saved by avoiding a lengthy commute and the flexibility gained for household responsibilities. Motivations also vary across population groups. Commute-related considerations are more salient among individuals with longer travel distances, while work-life balance considerations are particularly important for women and households with children (Thompson et al. 2022; Wang et al. 2024; Wang and Mokhtarian 2024). At the same time, remote work may introduce social isolation, inadequate workspace, and blurred boundaries between work and personal life (Kappler and de Abreu e Silva 2025; </w:t>
      </w:r>
      <w:proofErr w:type="spellStart"/>
      <w:r w:rsidRPr="00A372C3">
        <w:rPr>
          <w:rFonts w:ascii="Times New Roman" w:hAnsi="Times New Roman" w:cs="Times New Roman"/>
          <w:bCs/>
          <w:color w:val="000000" w:themeColor="text1"/>
        </w:rPr>
        <w:t>Kotýnková</w:t>
      </w:r>
      <w:proofErr w:type="spellEnd"/>
      <w:r w:rsidRPr="00A372C3">
        <w:rPr>
          <w:rFonts w:ascii="Times New Roman" w:hAnsi="Times New Roman" w:cs="Times New Roman"/>
          <w:bCs/>
          <w:color w:val="000000" w:themeColor="text1"/>
        </w:rPr>
        <w:t xml:space="preserve"> </w:t>
      </w:r>
      <w:proofErr w:type="spellStart"/>
      <w:r w:rsidRPr="00A372C3">
        <w:rPr>
          <w:rFonts w:ascii="Times New Roman" w:hAnsi="Times New Roman" w:cs="Times New Roman"/>
          <w:bCs/>
          <w:color w:val="000000" w:themeColor="text1"/>
        </w:rPr>
        <w:t>Krotká</w:t>
      </w:r>
      <w:proofErr w:type="spellEnd"/>
      <w:r w:rsidRPr="00A372C3">
        <w:rPr>
          <w:rFonts w:ascii="Times New Roman" w:hAnsi="Times New Roman" w:cs="Times New Roman"/>
          <w:bCs/>
          <w:color w:val="000000" w:themeColor="text1"/>
        </w:rPr>
        <w:t xml:space="preserve"> 2025; Thulin et al. 2023).</w:t>
      </w:r>
    </w:p>
    <w:p w14:paraId="259E6D7B" w14:textId="5D84FDFF" w:rsidR="00A372C3" w:rsidRPr="00FB5B3D" w:rsidRDefault="00A372C3" w:rsidP="00A372C3">
      <w:pPr>
        <w:ind w:firstLine="720"/>
        <w:rPr>
          <w:rFonts w:ascii="Times New Roman" w:hAnsi="Times New Roman" w:cs="Times New Roman"/>
          <w:bCs/>
          <w:color w:val="000000" w:themeColor="text1"/>
        </w:rPr>
      </w:pPr>
      <w:r w:rsidRPr="00A372C3">
        <w:rPr>
          <w:rFonts w:ascii="Times New Roman" w:hAnsi="Times New Roman" w:cs="Times New Roman"/>
          <w:bCs/>
          <w:color w:val="000000" w:themeColor="text1"/>
        </w:rPr>
        <w:t>These dimensions have direct implications for travel. Telework is frequently promoted as a transportation demand management and emissions-reduction strategy because it can eliminate commute trips and reduce VMT (</w:t>
      </w:r>
      <w:proofErr w:type="spellStart"/>
      <w:r w:rsidRPr="00A372C3">
        <w:rPr>
          <w:rFonts w:ascii="Times New Roman" w:hAnsi="Times New Roman" w:cs="Times New Roman"/>
          <w:bCs/>
          <w:color w:val="000000" w:themeColor="text1"/>
        </w:rPr>
        <w:t>Stefaniec</w:t>
      </w:r>
      <w:proofErr w:type="spellEnd"/>
      <w:r w:rsidRPr="00A372C3">
        <w:rPr>
          <w:rFonts w:ascii="Times New Roman" w:hAnsi="Times New Roman" w:cs="Times New Roman"/>
          <w:bCs/>
          <w:color w:val="000000" w:themeColor="text1"/>
        </w:rPr>
        <w:t xml:space="preserve"> et al. 2024). This potential is especially relevant because commute travel remains heavily oriented toward private automobiles and single-occupancy vehicles (Bricka et al. 2024). However, the net effect is not always straightforward. Hybrid work may reduce commute frequency while preserving long commute distances on in-person days. Telework may also enable workers to reside farther from employment centers, thereby increasing commute length when</w:t>
      </w:r>
      <w:r w:rsidR="0052248D">
        <w:rPr>
          <w:rFonts w:ascii="Times New Roman" w:hAnsi="Times New Roman" w:cs="Times New Roman"/>
          <w:bCs/>
          <w:color w:val="000000" w:themeColor="text1"/>
        </w:rPr>
        <w:t xml:space="preserve"> work-related</w:t>
      </w:r>
      <w:r w:rsidRPr="00A372C3">
        <w:rPr>
          <w:rFonts w:ascii="Times New Roman" w:hAnsi="Times New Roman" w:cs="Times New Roman"/>
          <w:bCs/>
          <w:color w:val="000000" w:themeColor="text1"/>
        </w:rPr>
        <w:t xml:space="preserve"> travel occurs (Asmussen et al. 2023). Time savings may</w:t>
      </w:r>
      <w:r w:rsidR="0052248D">
        <w:rPr>
          <w:rFonts w:ascii="Times New Roman" w:hAnsi="Times New Roman" w:cs="Times New Roman"/>
          <w:bCs/>
          <w:color w:val="000000" w:themeColor="text1"/>
        </w:rPr>
        <w:t xml:space="preserve"> also</w:t>
      </w:r>
      <w:r w:rsidRPr="00A372C3">
        <w:rPr>
          <w:rFonts w:ascii="Times New Roman" w:hAnsi="Times New Roman" w:cs="Times New Roman"/>
          <w:bCs/>
          <w:color w:val="000000" w:themeColor="text1"/>
        </w:rPr>
        <w:t xml:space="preserve"> be reallocated to non-work travel, producing rebound effects that offset part of the commute-related reduction in VMT (Beltran and Erhardt 2026; Obeid et al. 2024; Wang and Mokhtarian 2024). Third-location work may replace a long commute with a shorter local trip rather than eliminate work travel entirely, thereby shifting weekday activity away from traditional employment centers </w:t>
      </w:r>
      <w:r w:rsidR="007F3469">
        <w:rPr>
          <w:rFonts w:ascii="Times New Roman" w:hAnsi="Times New Roman" w:cs="Times New Roman"/>
          <w:bCs/>
          <w:color w:val="000000" w:themeColor="text1"/>
        </w:rPr>
        <w:fldChar w:fldCharType="begin"/>
      </w:r>
      <w:r w:rsidR="000878AF">
        <w:rPr>
          <w:rFonts w:ascii="Times New Roman" w:hAnsi="Times New Roman" w:cs="Times New Roman"/>
          <w:bCs/>
          <w:color w:val="000000" w:themeColor="text1"/>
        </w:rPr>
        <w:instrText xml:space="preserve"> ADDIN ZOTERO_ITEM CSL_CITATION {"citationID":"8iJDnA90","properties":{"formattedCitation":"(Asmussen et al. 2024; Xia et al. 2026; Caros et al. 2023)","plainCitation":"(Asmussen et al. 2024; Xia et al. 2026; Caros et al. 2023)","noteIndex":0},"citationItems":[{"id":1997,"uris":["http://zotero.org/users/16508888/items/XRGR697Z"],"itemData":{"id":1997,"type":"article-journal","abstract":"In this study, we model the telework-commute distance decision process as a package choice, and use a latent segmentation approach to recognize that some individuals may choose their telework arrangement first and then choose their commute distance (their residential location), while others may adopt a reverse causal behavioral process. The latent segment modeling methodology combines a multiple discrete–continuous probit model for telework adoption/intensity as the proportion of monthly workdays worked from home, from the office, and from a variable third workplace, with a log-linear regression model for commute distance (the home-to-office distance). The data for our analysis is drawn from a 2022 survey of Texas residents. Results suggest that about 20% of the population are likely “movers”, whose telework choices led to a residential move that changed commute distance, while the other 80% are “stayers”, whose commute distance at their predetermined (to telework) residential location changed telework habits. We further quantify the impact of teleworking on commute distances by computing the expected commute distance for several telework distribution preferences. A shift from 100% in-person work to 100% home-based remote work increases average commute distance by 64.8%, while working from a third workplace for any portion of a month reduces commute lengths relative to only home-based telework. In terms of monthly commute vehicle miles traveled (VMT), working from home for less than 18.6% of the month (about once a week) per worker actually increases overall monthly commute VMT. Monthly commute VMT reductions become tangible only at about 30–40% telework for each worker (about two days of telework per week for full-time workers with 22 workdays per month). In general, between 0 and 40% home-based telework per worker (with the remaining percentage at the office), there is a 10% commute VMT reduction for each 10% increase in home-based telework. In the range of 40% to 80% home-based telework, there is about a 13% commute VMT reduction for every 10% increase in home-based telework. And in the range of 80%-100% home-based telework reduction, there is about a 15% commute VMT reduction for every 10% increase in home-based telework.","container-title":"Transportation Research Part C: Emerging Technologies","DOI":"10.1016/j.trc.2024.104690","ISSN":"0968-090X","journalAbbreviation":"Transportation Research Part C: Emerging Technologies","page":"104690","source":"ScienceDirect","title":"The interplay between teleworking choice and commute distance","volume":"165","author":[{"family":"Asmussen","given":"Katherine E."},{"family":"Mondal","given":"Aupal"},{"family":"Bhat","given":"Chandra R."}],"issued":{"date-parts":[["2024",8,1]]}}},{"id":2039,"uris":["http://zotero.org/users/16508888/items/EEH9U3CM"],"itemData":{"id":2039,"type":"article-journal","abstract":"Knowledge workers tend to choose third places as alternatives for remote work. Since previous studies lack high-precision spatial-temporal data collection approaches and analysis for third-place remote workers, this study aims to investigate the spatial-temporal characteristics of knowledge workers engaging in remote work at third places using refined data collection methods. We recruited 20 knowledge workers in Beijing, China, collected their spatial-temporal data using activity diaries and wearable devices, including Global Positioning System (GPS) trackers and wearable cameras, for seven days, and visualized their spatial-temporal characteristics, encompassing work time allocation, commute duration, and spatial distribution of various workplaces. The results show that: (1) Temporally, in addition to heterogeneity in work rhythms such as fragmented versus continuous sessions and weekday-weekend contrasts, these workers work an average of 6.3 hours daily for 6.6 days a week, with 46.7% of their work time spent in third places and a 34-minute commute. (2) Spatially, most third places are located close to home with some suburban–center movements, and workers typically use 4.5 different third places for remote work and prefer third places within 5 kilometers or beyond 15 kilometers from home.","container-title":"Transactions in Urban Data, Science, and Technology","DOI":"10.1177/27541231261444208","ISSN":"2754-1231","language":"EN","page":"27541231261444208","publisher":"SAGE Publications","source":"SAGE Journals","title":"Unmasking the spatial-temporal characteristics of knowledge workers’ third-place remote work","author":[{"family":"Xia","given":"Junhao"},{"family":"Li","given":"Wenzhu"},{"family":"Li","given":"Chunjiang"},{"family":"Long","given":"Ying"}],"issued":{"date-parts":[["2026",4,28]]}}},{"id":2083,"uris":["http://zotero.org/users/16508888/items/MSQMZTA4"],"itemData":{"id":2083,"type":"article","abstract":"Many studies of the effect of remote work on travel demand assume that remote work takes place entirely at home. Recent evidence, however, shows that in the United States, remote workers are choosing to spend approximately one third of their remote work hours outside of the home at cafes, co-working spaces or the homes of friends and family. Commutes to these \"third places\" could offset much of the reduction in congestion and carbon emissions from commuting that could be expected from greater shares of remote work. To estimate the impact of third places on congestion and carbon emission from commuting, this study uses a national survey of thousands of remote workers and large-scale mobile trace data to predict current and future commuting patterns for the Chicago metropolitan area. The study reveals that ignoring third places leads to an underestimation of carbon emissions from commute-based travel demand by 470 gigatons per year, or 24% of the total true emissions. Moreover, if workers' latent desire for greater levels of remote work are realized in the future, the emissions benefits will be reduced further. The spatial analyses imply that there is a decrease in visits to the city center and outskirts, but an increase in visits to near suburban areas. Implications of these results for urban transportation and land use policy are discussed.","DOI":"10.48550/arXiv.2201.01281","note":"arXiv:2201.01281 [stat.AP]","number":"arXiv:2201.01281","publisher":"arXiv","source":"arXiv.org","title":"The emerging spectrum of flexible work locations: implications for travel demand and carbon emissions","title-short":"The emerging spectrum of flexible work locations","URL":"http://arxiv.org/abs/2201.01281","author":[{"family":"Caros","given":"Nicholas S."},{"family":"Guo","given":"Xiaotong"},{"family":"Zhao","given":"Jinhua"}],"accessed":{"date-parts":[["2026",6,6]]},"issued":{"date-parts":[["2023",3,10]]}}}],"schema":"https://github.com/citation-style-language/schema/raw/master/csl-citation.json"} </w:instrText>
      </w:r>
      <w:r w:rsidR="007F3469">
        <w:rPr>
          <w:rFonts w:ascii="Times New Roman" w:hAnsi="Times New Roman" w:cs="Times New Roman"/>
          <w:bCs/>
          <w:color w:val="000000" w:themeColor="text1"/>
        </w:rPr>
        <w:fldChar w:fldCharType="separate"/>
      </w:r>
      <w:r w:rsidR="000878AF" w:rsidRPr="00FB5B3D">
        <w:rPr>
          <w:rFonts w:ascii="Times New Roman" w:hAnsi="Times New Roman" w:cs="Times New Roman"/>
        </w:rPr>
        <w:t>(Asmussen et al. 2024; Caros et al. 2023</w:t>
      </w:r>
      <w:r w:rsidR="002E3D0E" w:rsidRPr="00FB5B3D">
        <w:rPr>
          <w:rFonts w:ascii="Times New Roman" w:hAnsi="Times New Roman" w:cs="Times New Roman"/>
        </w:rPr>
        <w:t>; Xia et al. 2026</w:t>
      </w:r>
      <w:r w:rsidR="000878AF" w:rsidRPr="00FB5B3D">
        <w:rPr>
          <w:rFonts w:ascii="Times New Roman" w:hAnsi="Times New Roman" w:cs="Times New Roman"/>
        </w:rPr>
        <w:t>)</w:t>
      </w:r>
      <w:r w:rsidR="007F3469">
        <w:rPr>
          <w:rFonts w:ascii="Times New Roman" w:hAnsi="Times New Roman" w:cs="Times New Roman"/>
          <w:bCs/>
          <w:color w:val="000000" w:themeColor="text1"/>
        </w:rPr>
        <w:fldChar w:fldCharType="end"/>
      </w:r>
      <w:r w:rsidR="007F3469" w:rsidRPr="00FB5B3D">
        <w:rPr>
          <w:rFonts w:ascii="Times New Roman" w:hAnsi="Times New Roman" w:cs="Times New Roman"/>
          <w:bCs/>
          <w:color w:val="000000" w:themeColor="text1"/>
        </w:rPr>
        <w:t>.</w:t>
      </w:r>
    </w:p>
    <w:p w14:paraId="49DABFA8" w14:textId="41AE50B0" w:rsidR="00A372C3" w:rsidRPr="00A372C3" w:rsidRDefault="00A372C3" w:rsidP="00A372C3">
      <w:pPr>
        <w:ind w:firstLine="720"/>
        <w:rPr>
          <w:rFonts w:ascii="Times New Roman" w:hAnsi="Times New Roman" w:cs="Times New Roman"/>
          <w:bCs/>
          <w:color w:val="000000" w:themeColor="text1"/>
        </w:rPr>
      </w:pPr>
      <w:r w:rsidRPr="00A372C3">
        <w:rPr>
          <w:rFonts w:ascii="Times New Roman" w:hAnsi="Times New Roman" w:cs="Times New Roman"/>
          <w:bCs/>
          <w:color w:val="000000" w:themeColor="text1"/>
        </w:rPr>
        <w:t>Overall, the literature provides valuable evidence on modality, location, motivations, and travel impacts</w:t>
      </w:r>
      <w:r w:rsidR="00A76582">
        <w:rPr>
          <w:rFonts w:ascii="Times New Roman" w:hAnsi="Times New Roman" w:cs="Times New Roman"/>
          <w:bCs/>
          <w:color w:val="000000" w:themeColor="text1"/>
        </w:rPr>
        <w:t xml:space="preserve"> of alternative work modalities</w:t>
      </w:r>
      <w:r w:rsidRPr="00A372C3">
        <w:rPr>
          <w:rFonts w:ascii="Times New Roman" w:hAnsi="Times New Roman" w:cs="Times New Roman"/>
          <w:bCs/>
          <w:color w:val="000000" w:themeColor="text1"/>
        </w:rPr>
        <w:t xml:space="preserve">. However, these dimensions </w:t>
      </w:r>
      <w:r w:rsidR="00A76582">
        <w:rPr>
          <w:rFonts w:ascii="Times New Roman" w:hAnsi="Times New Roman" w:cs="Times New Roman"/>
          <w:bCs/>
          <w:color w:val="000000" w:themeColor="text1"/>
        </w:rPr>
        <w:t>have</w:t>
      </w:r>
      <w:r w:rsidR="000A3CAE">
        <w:rPr>
          <w:rFonts w:ascii="Times New Roman" w:hAnsi="Times New Roman" w:cs="Times New Roman"/>
          <w:bCs/>
          <w:color w:val="000000" w:themeColor="text1"/>
        </w:rPr>
        <w:t xml:space="preserve"> generally</w:t>
      </w:r>
      <w:r w:rsidR="00A76582">
        <w:rPr>
          <w:rFonts w:ascii="Times New Roman" w:hAnsi="Times New Roman" w:cs="Times New Roman"/>
          <w:bCs/>
          <w:color w:val="000000" w:themeColor="text1"/>
        </w:rPr>
        <w:t xml:space="preserve"> been</w:t>
      </w:r>
      <w:r w:rsidRPr="00A372C3">
        <w:rPr>
          <w:rFonts w:ascii="Times New Roman" w:hAnsi="Times New Roman" w:cs="Times New Roman"/>
          <w:bCs/>
          <w:color w:val="000000" w:themeColor="text1"/>
        </w:rPr>
        <w:t xml:space="preserve"> examined separately. Limited attention has been devoted to their joint determination</w:t>
      </w:r>
      <w:r w:rsidR="00A76582">
        <w:rPr>
          <w:rFonts w:ascii="Times New Roman" w:hAnsi="Times New Roman" w:cs="Times New Roman"/>
          <w:bCs/>
          <w:color w:val="000000" w:themeColor="text1"/>
        </w:rPr>
        <w:t xml:space="preserve"> (as a choice bundle)</w:t>
      </w:r>
      <w:r w:rsidRPr="00A372C3">
        <w:rPr>
          <w:rFonts w:ascii="Times New Roman" w:hAnsi="Times New Roman" w:cs="Times New Roman"/>
          <w:bCs/>
          <w:color w:val="000000" w:themeColor="text1"/>
        </w:rPr>
        <w:t xml:space="preserve"> or to correlations arising from shared unobserved factors</w:t>
      </w:r>
      <w:r w:rsidR="00A76582">
        <w:rPr>
          <w:rFonts w:ascii="Times New Roman" w:hAnsi="Times New Roman" w:cs="Times New Roman"/>
          <w:bCs/>
          <w:color w:val="000000" w:themeColor="text1"/>
        </w:rPr>
        <w:t xml:space="preserve"> that simultaneously influence these interrelated work</w:t>
      </w:r>
      <w:r w:rsidR="000A3CAE">
        <w:rPr>
          <w:rFonts w:ascii="Times New Roman" w:hAnsi="Times New Roman" w:cs="Times New Roman"/>
          <w:bCs/>
          <w:color w:val="000000" w:themeColor="text1"/>
        </w:rPr>
        <w:t xml:space="preserve"> arrangement</w:t>
      </w:r>
      <w:r w:rsidR="00A76582">
        <w:rPr>
          <w:rFonts w:ascii="Times New Roman" w:hAnsi="Times New Roman" w:cs="Times New Roman"/>
          <w:bCs/>
          <w:color w:val="000000" w:themeColor="text1"/>
        </w:rPr>
        <w:t xml:space="preserve"> choice dimensions</w:t>
      </w:r>
      <w:r w:rsidRPr="00A372C3">
        <w:rPr>
          <w:rFonts w:ascii="Times New Roman" w:hAnsi="Times New Roman" w:cs="Times New Roman"/>
          <w:bCs/>
          <w:color w:val="000000" w:themeColor="text1"/>
        </w:rPr>
        <w:t xml:space="preserve">. The present study contributes toward addressing this gap by treating work arrangements as an integrated behavioral choice bundle and jointly modeling work arrangement, commute frequency, and </w:t>
      </w:r>
      <w:r w:rsidR="005F6420">
        <w:rPr>
          <w:rFonts w:eastAsia="Calibri"/>
        </w:rPr>
        <w:t>work-from-home</w:t>
      </w:r>
      <w:r w:rsidR="005F6420" w:rsidRPr="00A321F3">
        <w:rPr>
          <w:rFonts w:eastAsia="Calibri"/>
        </w:rPr>
        <w:t xml:space="preserve"> </w:t>
      </w:r>
      <w:r w:rsidRPr="00A372C3">
        <w:rPr>
          <w:rFonts w:ascii="Times New Roman" w:hAnsi="Times New Roman" w:cs="Times New Roman"/>
          <w:bCs/>
          <w:color w:val="000000" w:themeColor="text1"/>
        </w:rPr>
        <w:t xml:space="preserve">motivations while </w:t>
      </w:r>
      <w:r w:rsidR="00A76582">
        <w:rPr>
          <w:rFonts w:ascii="Times New Roman" w:hAnsi="Times New Roman" w:cs="Times New Roman"/>
          <w:bCs/>
          <w:color w:val="000000" w:themeColor="text1"/>
        </w:rPr>
        <w:t xml:space="preserve">explicitly </w:t>
      </w:r>
      <w:r w:rsidRPr="00A372C3">
        <w:rPr>
          <w:rFonts w:ascii="Times New Roman" w:hAnsi="Times New Roman" w:cs="Times New Roman"/>
          <w:bCs/>
          <w:color w:val="000000" w:themeColor="text1"/>
        </w:rPr>
        <w:t xml:space="preserve">distinguishing between </w:t>
      </w:r>
      <w:r w:rsidR="00320D34">
        <w:rPr>
          <w:rFonts w:ascii="Times New Roman" w:hAnsi="Times New Roman" w:cs="Times New Roman"/>
          <w:bCs/>
          <w:color w:val="000000" w:themeColor="text1"/>
        </w:rPr>
        <w:t>HB</w:t>
      </w:r>
      <w:r w:rsidRPr="00A372C3">
        <w:rPr>
          <w:rFonts w:ascii="Times New Roman" w:hAnsi="Times New Roman" w:cs="Times New Roman"/>
          <w:bCs/>
          <w:color w:val="000000" w:themeColor="text1"/>
        </w:rPr>
        <w:t xml:space="preserve"> and </w:t>
      </w:r>
      <w:r w:rsidR="00320D34">
        <w:rPr>
          <w:rFonts w:ascii="Times New Roman" w:hAnsi="Times New Roman" w:cs="Times New Roman"/>
          <w:bCs/>
          <w:color w:val="000000" w:themeColor="text1"/>
        </w:rPr>
        <w:t>TLB</w:t>
      </w:r>
      <w:r w:rsidR="009F7612">
        <w:rPr>
          <w:rFonts w:ascii="Times New Roman" w:hAnsi="Times New Roman" w:cs="Times New Roman"/>
          <w:bCs/>
          <w:color w:val="000000" w:themeColor="text1"/>
        </w:rPr>
        <w:t xml:space="preserve"> </w:t>
      </w:r>
      <w:r w:rsidRPr="00A372C3">
        <w:rPr>
          <w:rFonts w:ascii="Times New Roman" w:hAnsi="Times New Roman" w:cs="Times New Roman"/>
          <w:bCs/>
          <w:color w:val="000000" w:themeColor="text1"/>
        </w:rPr>
        <w:t>remote work.</w:t>
      </w:r>
    </w:p>
    <w:p w14:paraId="44128818" w14:textId="77777777" w:rsidR="008D37B0" w:rsidRDefault="008D37B0" w:rsidP="00A808CF">
      <w:pPr>
        <w:rPr>
          <w:rFonts w:ascii="Times New Roman" w:hAnsi="Times New Roman" w:cs="Times New Roman"/>
          <w:bCs/>
          <w:color w:val="000000" w:themeColor="text1"/>
        </w:rPr>
      </w:pPr>
    </w:p>
    <w:p w14:paraId="3DB3E8D5" w14:textId="1FC2A4E4" w:rsidR="00F538DD" w:rsidRDefault="004944BD" w:rsidP="00F538DD">
      <w:pPr>
        <w:pStyle w:val="Heading1"/>
      </w:pPr>
      <w:r>
        <w:t>3</w:t>
      </w:r>
      <w:r w:rsidR="00F538DD" w:rsidRPr="00F538DD">
        <w:t>. DATA DESCRIPTION</w:t>
      </w:r>
    </w:p>
    <w:p w14:paraId="38D48D3D" w14:textId="08D41556" w:rsidR="004944BD" w:rsidRDefault="004944BD" w:rsidP="004944BD">
      <w:r>
        <w:t>This section presents a detailed overview of the survey data used in the study together with descriptive statistics o</w:t>
      </w:r>
      <w:r w:rsidR="000A3CAE">
        <w:t xml:space="preserve">f the </w:t>
      </w:r>
      <w:r>
        <w:t xml:space="preserve">exogenous and endogenous variables </w:t>
      </w:r>
      <w:r w:rsidR="000A3CAE">
        <w:t>included in</w:t>
      </w:r>
      <w:r>
        <w:t xml:space="preserve"> the sample.  </w:t>
      </w:r>
    </w:p>
    <w:p w14:paraId="6B92FF99" w14:textId="77777777" w:rsidR="004944BD" w:rsidRPr="004944BD" w:rsidRDefault="004944BD" w:rsidP="004944BD"/>
    <w:p w14:paraId="2A8189B4" w14:textId="436E31A9" w:rsidR="004944BD" w:rsidRPr="004944BD" w:rsidRDefault="004944BD" w:rsidP="004944BD">
      <w:pPr>
        <w:pStyle w:val="Heading3"/>
        <w:rPr>
          <w:i w:val="0"/>
          <w:iCs/>
        </w:rPr>
      </w:pPr>
      <w:r>
        <w:rPr>
          <w:i w:val="0"/>
          <w:iCs/>
        </w:rPr>
        <w:t>3</w:t>
      </w:r>
      <w:r w:rsidRPr="004944BD">
        <w:rPr>
          <w:i w:val="0"/>
          <w:iCs/>
        </w:rPr>
        <w:t>.1. Survey Overview and Sample Characteristics</w:t>
      </w:r>
    </w:p>
    <w:p w14:paraId="17B75EAB" w14:textId="4E07E0AA" w:rsidR="00B56FD6" w:rsidRDefault="004944BD" w:rsidP="00B56FD6">
      <w:pPr>
        <w:pStyle w:val="NormalWeb"/>
        <w:spacing w:before="0" w:beforeAutospacing="0" w:after="0" w:afterAutospacing="0"/>
      </w:pPr>
      <w:r>
        <w:t xml:space="preserve">The data used in this study are drawn from the </w:t>
      </w:r>
      <w:r w:rsidR="00C32609">
        <w:t xml:space="preserve">second </w:t>
      </w:r>
      <w:r>
        <w:t xml:space="preserve">wave of the Transportation Heartbeat of America (THA) Survey, administered </w:t>
      </w:r>
      <w:r w:rsidR="00B56FD6">
        <w:t>to a national sample in the United States</w:t>
      </w:r>
      <w:r>
        <w:t xml:space="preserve"> between </w:t>
      </w:r>
      <w:r w:rsidR="00C32609">
        <w:t xml:space="preserve">February </w:t>
      </w:r>
      <w:r>
        <w:t xml:space="preserve">and </w:t>
      </w:r>
      <w:r w:rsidR="00C32609">
        <w:t xml:space="preserve">March </w:t>
      </w:r>
      <w:r w:rsidR="00673FEA">
        <w:t>2026</w:t>
      </w:r>
      <w:r>
        <w:t>. The survey was fielded through an online panel assembled by a commercial survey firm. Quotas were established across a broad set of socio-economic and demographic characteristics to ensure adequate representation and variation within key population groups. These quotas covered race, age, gender, educational attainment, household income, area type of residence, and census division.</w:t>
      </w:r>
    </w:p>
    <w:p w14:paraId="4A8CFC37" w14:textId="7D0080E9" w:rsidR="00B56FD6" w:rsidRDefault="004944BD" w:rsidP="00B56FD6">
      <w:pPr>
        <w:pStyle w:val="NormalWeb"/>
        <w:spacing w:before="0" w:beforeAutospacing="0" w:after="0" w:afterAutospacing="0"/>
        <w:ind w:firstLine="720"/>
      </w:pPr>
      <w:r>
        <w:lastRenderedPageBreak/>
        <w:t xml:space="preserve">Eligible respondents were adults aged 18 years or older residing in the United States. The survey instrument incorporated multiple attention checks and quality-control questions to </w:t>
      </w:r>
      <w:r w:rsidR="00B56FD6">
        <w:t>ensure</w:t>
      </w:r>
      <w:r>
        <w:t xml:space="preserve"> response reliability. </w:t>
      </w:r>
      <w:r w:rsidR="00B56FD6">
        <w:t>D</w:t>
      </w:r>
      <w:r>
        <w:t xml:space="preserve">etailed information </w:t>
      </w:r>
      <w:r w:rsidR="00B56FD6">
        <w:t xml:space="preserve">was collected </w:t>
      </w:r>
      <w:r>
        <w:t>on transportation attitudes and preferences, safety, autonomous vehicles, transportation infrastructure investment priorities, current travel behavior, micromobility use, work arrangements, and delivery activity.</w:t>
      </w:r>
    </w:p>
    <w:p w14:paraId="51B05DD1" w14:textId="62B5AA55" w:rsidR="009B2A81" w:rsidRDefault="004944BD" w:rsidP="00C32609">
      <w:pPr>
        <w:pStyle w:val="NormalWeb"/>
        <w:spacing w:before="0" w:beforeAutospacing="0" w:after="0" w:afterAutospacing="0"/>
        <w:ind w:firstLine="720"/>
      </w:pPr>
      <w:r>
        <w:t>The original THA</w:t>
      </w:r>
      <w:r w:rsidR="00B56FD6">
        <w:t xml:space="preserve"> survey</w:t>
      </w:r>
      <w:r>
        <w:t xml:space="preserve"> dataset </w:t>
      </w:r>
      <w:r w:rsidRPr="00830665">
        <w:t>included 8,567 respondents. For purposes of this study, the sample was restricted to individuals who reported working on all</w:t>
      </w:r>
      <w:r>
        <w:t xml:space="preserve"> five weekdays during the preceding week and provided the distance to a primary out-of-home workplace. Following data cleaning, the final analysis sample consisted of 2,655 workers.</w:t>
      </w:r>
    </w:p>
    <w:p w14:paraId="1F58135D" w14:textId="77777777" w:rsidR="00C32609" w:rsidRDefault="00C32609" w:rsidP="00FA51C6">
      <w:pPr>
        <w:pStyle w:val="NormalWeb"/>
        <w:spacing w:before="0" w:beforeAutospacing="0" w:after="0" w:afterAutospacing="0"/>
        <w:ind w:firstLine="720"/>
      </w:pPr>
    </w:p>
    <w:p w14:paraId="443BAD0A" w14:textId="1F966D54" w:rsidR="00AD3CFC" w:rsidRDefault="004B1736" w:rsidP="00D068C0">
      <w:pPr>
        <w:pStyle w:val="Heading2"/>
      </w:pPr>
      <w:r>
        <w:t>3</w:t>
      </w:r>
      <w:r w:rsidR="00AD3CFC">
        <w:t>.2. Exogenous</w:t>
      </w:r>
      <w:r w:rsidR="00AD3CFC" w:rsidRPr="003A657E">
        <w:t xml:space="preserve"> </w:t>
      </w:r>
      <w:r w:rsidR="00AD3CFC">
        <w:t>Variables</w:t>
      </w:r>
    </w:p>
    <w:p w14:paraId="43838969" w14:textId="3D24B0EA" w:rsidR="00457BB1" w:rsidRPr="00457BB1" w:rsidRDefault="00457BB1" w:rsidP="00457BB1">
      <w:r w:rsidRPr="00457BB1">
        <w:t>The exogenous variables considered in the analysis capture individual, household, residential, commute, and employment-related characteristics. Individual attributes include gender, age, educational attainment, race and ethnicity, and the presence of mobility challenges</w:t>
      </w:r>
      <w:r w:rsidR="000A3CAE">
        <w:t xml:space="preserve"> </w:t>
      </w:r>
      <w:r w:rsidRPr="00457BB1">
        <w:t>that make transportation difficult.</w:t>
      </w:r>
      <w:r w:rsidR="000A3CAE">
        <w:t xml:space="preserve"> </w:t>
      </w:r>
      <w:r w:rsidRPr="00457BB1">
        <w:t xml:space="preserve">Household characteristics include income, household size and composition, the presence of children, housing type, homeownership, and vehicle ownership. A vehicle sufficiency measure was also derived by comparing the number of household vehicles with the number of licensed drivers. </w:t>
      </w:r>
      <w:r w:rsidR="006C1FBC">
        <w:t>Several important r</w:t>
      </w:r>
      <w:r w:rsidRPr="00457BB1">
        <w:t>esidential built-environment attributes were appended using respondent ZIP codes and information from the EPA Smart Location Database</w:t>
      </w:r>
      <w:r w:rsidR="004B1736">
        <w:t xml:space="preserve"> (Chapman et al. 2021)</w:t>
      </w:r>
      <w:r w:rsidRPr="00457BB1">
        <w:t>. These measures include</w:t>
      </w:r>
      <w:r w:rsidR="00393A90">
        <w:t xml:space="preserve"> the</w:t>
      </w:r>
      <w:r w:rsidRPr="00457BB1">
        <w:t xml:space="preserve"> population density</w:t>
      </w:r>
      <w:r w:rsidR="006C1FBC">
        <w:t xml:space="preserve"> (people/acre)</w:t>
      </w:r>
      <w:r w:rsidRPr="00457BB1">
        <w:t>, employment density</w:t>
      </w:r>
      <w:r w:rsidR="006C1FBC">
        <w:t xml:space="preserve"> (jobs/acre)</w:t>
      </w:r>
      <w:r w:rsidRPr="00457BB1">
        <w:t>, walkability</w:t>
      </w:r>
      <w:r w:rsidR="006C1FBC">
        <w:t xml:space="preserve"> (measured by the National Walkability Index)</w:t>
      </w:r>
      <w:r w:rsidRPr="00457BB1">
        <w:t>, and transit accessibility to employment</w:t>
      </w:r>
      <w:r w:rsidR="006C1FBC">
        <w:t xml:space="preserve"> (as a percentage of block group employment within 0.5 miles of a transit stop)</w:t>
      </w:r>
      <w:r w:rsidR="00393A90">
        <w:t xml:space="preserve"> in the census block group of each respondent’s residence.</w:t>
      </w:r>
    </w:p>
    <w:p w14:paraId="08074842" w14:textId="0EBF4E4F" w:rsidR="00457BB1" w:rsidRPr="00457BB1" w:rsidRDefault="00457BB1" w:rsidP="00EE547B">
      <w:pPr>
        <w:ind w:firstLine="720"/>
      </w:pPr>
      <w:r w:rsidRPr="00457BB1">
        <w:t xml:space="preserve">Table 1 shows that the analysis sample </w:t>
      </w:r>
      <w:r>
        <w:t>displays</w:t>
      </w:r>
      <w:r w:rsidRPr="00457BB1">
        <w:t xml:space="preserve"> substantial variation across the characteristics of interest. Men constitute nearly two-thirds of the sample</w:t>
      </w:r>
      <w:r>
        <w:t>, suggesting that there remains a gender difference in the composition of the fulltime workforce.</w:t>
      </w:r>
      <w:r w:rsidRPr="00457BB1">
        <w:t xml:space="preserve"> The age distribution is concentrated among workers in the prime working-age categories, with respondents between 35 and 54 years accounting for nearly 60 percent of the sample. Educational attainment is relatively high, as more than one-</w:t>
      </w:r>
      <w:r w:rsidRPr="00EE547B">
        <w:t>half hold at least a bachelor’s degree. The sample is also overwhelmingly composed of full-time workers, consistent with the study requirement that respondents report work activity on all five weekdays.</w:t>
      </w:r>
      <w:r w:rsidR="00393A90" w:rsidRPr="00EE547B">
        <w:t xml:space="preserve"> </w:t>
      </w:r>
      <w:r w:rsidR="00EE547B" w:rsidRPr="00EE547B">
        <w:t>Commute distances vary considerably; slightly more than one-fifth of the sample report a commute shorter than five miles, while 35</w:t>
      </w:r>
      <w:r w:rsidR="00EE547B">
        <w:t>.0</w:t>
      </w:r>
      <w:r w:rsidR="00EE547B" w:rsidRPr="00EE547B">
        <w:t xml:space="preserve"> percent travel at least 15 miles to their primary workplace. </w:t>
      </w:r>
      <w:r w:rsidR="00393A90" w:rsidRPr="00EE547B">
        <w:t>With respect to household characteristics,</w:t>
      </w:r>
      <w:r w:rsidRPr="00EE547B">
        <w:t xml:space="preserve"> </w:t>
      </w:r>
      <w:r w:rsidR="00AC699A">
        <w:t>44.9</w:t>
      </w:r>
      <w:r w:rsidR="00EE547B" w:rsidRPr="00EE547B">
        <w:t xml:space="preserve"> percent of respondents live in households containing four or more people, and </w:t>
      </w:r>
      <w:r w:rsidR="00393A90" w:rsidRPr="00EE547B">
        <w:t>n</w:t>
      </w:r>
      <w:r w:rsidRPr="00EE547B">
        <w:t xml:space="preserve">early 60 percent of reside in households with children. </w:t>
      </w:r>
      <w:r w:rsidR="00EE547B" w:rsidRPr="00EE547B">
        <w:t xml:space="preserve">Just over three-quarters of the respondents reside in stand-alone homes. </w:t>
      </w:r>
      <w:r w:rsidRPr="00EE547B">
        <w:t>Homeownership is common</w:t>
      </w:r>
      <w:r>
        <w:t xml:space="preserve"> among this fulltime worker sample with 70</w:t>
      </w:r>
      <w:r w:rsidR="00EE547B">
        <w:t>.6</w:t>
      </w:r>
      <w:r>
        <w:t xml:space="preserve"> percent indicating that they own the home in which they reside. </w:t>
      </w:r>
      <w:r w:rsidRPr="00457BB1">
        <w:t xml:space="preserve">Vehicle access is also widespread, although a small but important share of the sample resides in </w:t>
      </w:r>
      <w:r w:rsidR="00EE547B">
        <w:t>vehicle deficient</w:t>
      </w:r>
      <w:r w:rsidRPr="00457BB1">
        <w:t xml:space="preserve"> households</w:t>
      </w:r>
      <w:r w:rsidR="00EE547B">
        <w:t>,</w:t>
      </w:r>
      <w:r w:rsidRPr="00457BB1">
        <w:t xml:space="preserve"> or households with fewer vehicles than drivers</w:t>
      </w:r>
      <w:r w:rsidR="00EE547B">
        <w:t>, constituting 31.0 percent of the sample</w:t>
      </w:r>
      <w:r w:rsidRPr="00457BB1">
        <w:t xml:space="preserve">. </w:t>
      </w:r>
      <w:r w:rsidR="00EE547B" w:rsidRPr="00457BB1">
        <w:t xml:space="preserve">The sample is geographically diverse in terms of </w:t>
      </w:r>
      <w:r w:rsidR="00EE547B">
        <w:t>household location</w:t>
      </w:r>
      <w:r w:rsidR="00EE547B" w:rsidRPr="00457BB1">
        <w:t xml:space="preserve">, with just over one-half residing in urban </w:t>
      </w:r>
      <w:r w:rsidR="00EE547B">
        <w:t>areas</w:t>
      </w:r>
      <w:r w:rsidR="00EE547B" w:rsidRPr="00457BB1">
        <w:t xml:space="preserve"> and more than one-third in suburban areas.</w:t>
      </w:r>
    </w:p>
    <w:p w14:paraId="31BC60E7" w14:textId="536820D9" w:rsidR="00457BB1" w:rsidRPr="00457BB1" w:rsidRDefault="00457BB1" w:rsidP="00EE547B">
      <w:pPr>
        <w:ind w:firstLine="720"/>
      </w:pPr>
      <w:r w:rsidRPr="00457BB1">
        <w:t>The survey also measured the degree of control that workers exercise over their schedules and work locations. Respondents indicated whether these dimensions were determined entirely by the employer, subject to some employee control, or fully controlled by the employee. Figure 1 reveals a strong association between these flexibility measures and observed work arrangements. Fully in-person workers report the lowest levels of flexibility</w:t>
      </w:r>
      <w:r>
        <w:t>;</w:t>
      </w:r>
      <w:r w:rsidRPr="00457BB1">
        <w:t xml:space="preserve"> 78.3 percent have no schedule </w:t>
      </w:r>
      <w:r w:rsidRPr="00457BB1">
        <w:lastRenderedPageBreak/>
        <w:t xml:space="preserve">control, and 89.5 percent have no location control. Hybrid workers exhibit greater flexibility, particularly at intermediate levels of control. Fully remote </w:t>
      </w:r>
      <w:r w:rsidR="00320D34">
        <w:t>HB</w:t>
      </w:r>
      <w:r w:rsidR="00320D34" w:rsidRPr="00457BB1">
        <w:t xml:space="preserve"> </w:t>
      </w:r>
      <w:r w:rsidRPr="00457BB1">
        <w:t>workers report the greatest autonomy overall, with 26.9 percent exercising full schedule control and 20.2 percent exercising full location control.</w:t>
      </w:r>
      <w:r w:rsidR="00EE547B">
        <w:t xml:space="preserve"> </w:t>
      </w:r>
      <w:r w:rsidRPr="00457BB1">
        <w:t xml:space="preserve">The pattern for fully remote </w:t>
      </w:r>
      <w:r w:rsidR="00320D34">
        <w:t>TLB</w:t>
      </w:r>
      <w:r w:rsidRPr="00457BB1">
        <w:t xml:space="preserve"> workers is more nuanced. Although they work entirely away from a conventional employer workplace, nearly 80 percent report no control over work location. This finding suggests that </w:t>
      </w:r>
      <w:r w:rsidR="00320D34">
        <w:t>TLB</w:t>
      </w:r>
      <w:r w:rsidRPr="00457BB1">
        <w:t xml:space="preserve"> work may often reflect employer requirements, job-related circumstances, or constrained alternatives rather than unrestricted worker choice. More broadly, the variation observed within each work arrangement indicates that schedule and location flexibility </w:t>
      </w:r>
      <w:r>
        <w:t>are likely to be strong determinants of</w:t>
      </w:r>
      <w:r w:rsidRPr="00457BB1">
        <w:t xml:space="preserve"> </w:t>
      </w:r>
      <w:r w:rsidR="009271A4">
        <w:t>work arrangements</w:t>
      </w:r>
      <w:r w:rsidRPr="00457BB1">
        <w:t>.</w:t>
      </w:r>
    </w:p>
    <w:p w14:paraId="185BF908" w14:textId="7C2D9DFB" w:rsidR="00621C6D" w:rsidRPr="00166E15" w:rsidRDefault="00457BB1" w:rsidP="00166E15">
      <w:pPr>
        <w:ind w:firstLine="720"/>
      </w:pPr>
      <w:r w:rsidRPr="00457BB1">
        <w:t xml:space="preserve">These flexibility measures are treated as exogenous in the modeling framework. Their inclusion allows the analysis to distinguish the effects of worker and household characteristics from the institutional constraints that shape the set of feasible work arrangements. The model can therefore assess differences in work modality, work location, commute frequency, and </w:t>
      </w:r>
      <w:r w:rsidR="005F6420">
        <w:rPr>
          <w:rFonts w:eastAsia="Calibri"/>
        </w:rPr>
        <w:t>work-from-home</w:t>
      </w:r>
      <w:r w:rsidR="005F6420" w:rsidRPr="00A321F3">
        <w:rPr>
          <w:rFonts w:eastAsia="Calibri"/>
        </w:rPr>
        <w:t xml:space="preserve"> </w:t>
      </w:r>
      <w:r w:rsidRPr="00457BB1">
        <w:t>motivations while accounting for the degree of control workers possess over when and where paid work is performed.</w:t>
      </w:r>
      <w:r w:rsidR="00621C6D">
        <w:rPr>
          <w:color w:val="000000" w:themeColor="text1"/>
          <w:szCs w:val="22"/>
        </w:rPr>
        <w:br w:type="page"/>
      </w:r>
    </w:p>
    <w:p w14:paraId="7B6D22FC" w14:textId="0EF2EC32" w:rsidR="000A4B11" w:rsidRPr="0018675A" w:rsidRDefault="000A4B11" w:rsidP="000A4B11">
      <w:pPr>
        <w:pStyle w:val="Caption"/>
        <w:rPr>
          <w:b w:val="0"/>
          <w:i/>
          <w:color w:val="000000" w:themeColor="text1"/>
          <w:szCs w:val="22"/>
        </w:rPr>
      </w:pPr>
      <w:r w:rsidRPr="0018675A">
        <w:rPr>
          <w:color w:val="000000" w:themeColor="text1"/>
          <w:szCs w:val="22"/>
        </w:rPr>
        <w:lastRenderedPageBreak/>
        <w:t xml:space="preserve">TABLE </w:t>
      </w:r>
      <w:r w:rsidRPr="0018675A">
        <w:rPr>
          <w:b w:val="0"/>
          <w:i/>
          <w:color w:val="000000" w:themeColor="text1"/>
          <w:szCs w:val="22"/>
        </w:rPr>
        <w:fldChar w:fldCharType="begin"/>
      </w:r>
      <w:r w:rsidRPr="0018675A">
        <w:rPr>
          <w:color w:val="000000" w:themeColor="text1"/>
          <w:szCs w:val="22"/>
        </w:rPr>
        <w:instrText xml:space="preserve"> SEQ Table \* ARABIC </w:instrText>
      </w:r>
      <w:r w:rsidRPr="0018675A">
        <w:rPr>
          <w:b w:val="0"/>
          <w:i/>
          <w:color w:val="000000" w:themeColor="text1"/>
          <w:szCs w:val="22"/>
        </w:rPr>
        <w:fldChar w:fldCharType="separate"/>
      </w:r>
      <w:r w:rsidR="00474CC9">
        <w:rPr>
          <w:noProof/>
          <w:color w:val="000000" w:themeColor="text1"/>
          <w:szCs w:val="22"/>
        </w:rPr>
        <w:t>1</w:t>
      </w:r>
      <w:r w:rsidRPr="0018675A">
        <w:rPr>
          <w:b w:val="0"/>
          <w:i/>
          <w:color w:val="000000" w:themeColor="text1"/>
          <w:szCs w:val="22"/>
        </w:rPr>
        <w:fldChar w:fldCharType="end"/>
      </w:r>
      <w:r w:rsidRPr="0018675A">
        <w:rPr>
          <w:color w:val="000000" w:themeColor="text1"/>
          <w:szCs w:val="22"/>
        </w:rPr>
        <w:t xml:space="preserve"> Socio-Economic and Demographic Characteristics of the Sample</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70"/>
        <w:gridCol w:w="987"/>
        <w:gridCol w:w="3692"/>
        <w:gridCol w:w="965"/>
      </w:tblGrid>
      <w:tr w:rsidR="0063612E" w:rsidRPr="000A4B11" w14:paraId="55BABAB8" w14:textId="77777777" w:rsidTr="0063612E">
        <w:trPr>
          <w:trHeight w:val="20"/>
        </w:trPr>
        <w:tc>
          <w:tcPr>
            <w:tcW w:w="1970" w:type="pct"/>
            <w:tcBorders>
              <w:top w:val="single" w:sz="18" w:space="0" w:color="auto"/>
              <w:left w:val="single" w:sz="18" w:space="0" w:color="auto"/>
              <w:bottom w:val="single" w:sz="18" w:space="0" w:color="auto"/>
            </w:tcBorders>
            <w:noWrap/>
            <w:vAlign w:val="center"/>
          </w:tcPr>
          <w:p w14:paraId="2887268D" w14:textId="4365CC2F" w:rsidR="0063612E" w:rsidRPr="000A4B11" w:rsidRDefault="0063612E" w:rsidP="0063612E">
            <w:pPr>
              <w:rPr>
                <w:rFonts w:cstheme="minorHAnsi"/>
                <w:b/>
                <w:bCs/>
                <w:sz w:val="20"/>
                <w:szCs w:val="20"/>
              </w:rPr>
            </w:pPr>
            <w:r w:rsidRPr="000A4B11">
              <w:rPr>
                <w:rFonts w:cstheme="minorHAnsi"/>
                <w:b/>
                <w:bCs/>
                <w:sz w:val="20"/>
                <w:szCs w:val="20"/>
              </w:rPr>
              <w:t>Variable</w:t>
            </w:r>
          </w:p>
        </w:tc>
        <w:tc>
          <w:tcPr>
            <w:tcW w:w="530" w:type="pct"/>
            <w:tcBorders>
              <w:top w:val="single" w:sz="18" w:space="0" w:color="auto"/>
              <w:bottom w:val="single" w:sz="18" w:space="0" w:color="auto"/>
              <w:right w:val="single" w:sz="18" w:space="0" w:color="auto"/>
            </w:tcBorders>
            <w:noWrap/>
            <w:vAlign w:val="center"/>
          </w:tcPr>
          <w:p w14:paraId="63DEAC23" w14:textId="3356F886" w:rsidR="0063612E" w:rsidRPr="000A4B11" w:rsidRDefault="0063612E" w:rsidP="0063612E">
            <w:pPr>
              <w:jc w:val="center"/>
              <w:rPr>
                <w:rFonts w:cstheme="minorHAnsi"/>
                <w:sz w:val="20"/>
                <w:szCs w:val="20"/>
              </w:rPr>
            </w:pPr>
            <w:r w:rsidRPr="000A4B11">
              <w:rPr>
                <w:rFonts w:cstheme="minorHAnsi"/>
                <w:sz w:val="20"/>
                <w:szCs w:val="20"/>
              </w:rPr>
              <w:t>%</w:t>
            </w:r>
          </w:p>
        </w:tc>
        <w:tc>
          <w:tcPr>
            <w:tcW w:w="1982" w:type="pct"/>
            <w:tcBorders>
              <w:top w:val="single" w:sz="18" w:space="0" w:color="auto"/>
              <w:left w:val="single" w:sz="18" w:space="0" w:color="auto"/>
              <w:bottom w:val="single" w:sz="18" w:space="0" w:color="auto"/>
            </w:tcBorders>
            <w:noWrap/>
            <w:vAlign w:val="center"/>
          </w:tcPr>
          <w:p w14:paraId="707EAE67" w14:textId="2A88F12A" w:rsidR="0063612E" w:rsidRPr="000A4B11" w:rsidRDefault="0063612E" w:rsidP="0063612E">
            <w:pPr>
              <w:rPr>
                <w:rFonts w:cstheme="minorHAnsi"/>
                <w:b/>
                <w:bCs/>
                <w:sz w:val="20"/>
                <w:szCs w:val="20"/>
              </w:rPr>
            </w:pPr>
            <w:r w:rsidRPr="000A4B11">
              <w:rPr>
                <w:rFonts w:cstheme="minorHAnsi"/>
                <w:b/>
                <w:bCs/>
                <w:sz w:val="20"/>
                <w:szCs w:val="20"/>
              </w:rPr>
              <w:t>Variable</w:t>
            </w:r>
          </w:p>
        </w:tc>
        <w:tc>
          <w:tcPr>
            <w:tcW w:w="518" w:type="pct"/>
            <w:tcBorders>
              <w:top w:val="single" w:sz="18" w:space="0" w:color="auto"/>
              <w:bottom w:val="single" w:sz="18" w:space="0" w:color="auto"/>
              <w:right w:val="single" w:sz="18" w:space="0" w:color="auto"/>
            </w:tcBorders>
            <w:noWrap/>
            <w:vAlign w:val="center"/>
          </w:tcPr>
          <w:p w14:paraId="46F590A4" w14:textId="6298B2D8" w:rsidR="0063612E" w:rsidRPr="000A4B11" w:rsidRDefault="0063612E" w:rsidP="0063612E">
            <w:pPr>
              <w:jc w:val="center"/>
              <w:rPr>
                <w:rFonts w:cstheme="minorHAnsi"/>
                <w:sz w:val="20"/>
                <w:szCs w:val="20"/>
              </w:rPr>
            </w:pPr>
            <w:r w:rsidRPr="000A4B11">
              <w:rPr>
                <w:rFonts w:cstheme="minorHAnsi"/>
                <w:sz w:val="20"/>
                <w:szCs w:val="20"/>
              </w:rPr>
              <w:t>%</w:t>
            </w:r>
          </w:p>
        </w:tc>
      </w:tr>
      <w:tr w:rsidR="0063612E" w:rsidRPr="000A4B11" w14:paraId="2FF32643" w14:textId="77777777" w:rsidTr="00E860B3">
        <w:trPr>
          <w:trHeight w:val="20"/>
        </w:trPr>
        <w:tc>
          <w:tcPr>
            <w:tcW w:w="2500" w:type="pct"/>
            <w:gridSpan w:val="2"/>
            <w:tcBorders>
              <w:top w:val="single" w:sz="4" w:space="0" w:color="auto"/>
              <w:left w:val="single" w:sz="18" w:space="0" w:color="auto"/>
              <w:bottom w:val="single" w:sz="18" w:space="0" w:color="auto"/>
              <w:right w:val="single" w:sz="18" w:space="0" w:color="auto"/>
            </w:tcBorders>
            <w:noWrap/>
            <w:vAlign w:val="center"/>
          </w:tcPr>
          <w:p w14:paraId="0692AD7F" w14:textId="4EC966DD" w:rsidR="0063612E" w:rsidRPr="000A4B11" w:rsidRDefault="0063612E" w:rsidP="0063612E">
            <w:pPr>
              <w:jc w:val="left"/>
              <w:rPr>
                <w:rFonts w:cstheme="minorHAnsi"/>
                <w:sz w:val="20"/>
                <w:szCs w:val="20"/>
              </w:rPr>
            </w:pPr>
            <w:r w:rsidRPr="000A4B11">
              <w:rPr>
                <w:rFonts w:cstheme="minorHAnsi"/>
                <w:b/>
                <w:bCs/>
                <w:i/>
                <w:iCs/>
                <w:sz w:val="20"/>
                <w:szCs w:val="20"/>
              </w:rPr>
              <w:t>Individual Demographics (N=2,655)</w:t>
            </w:r>
          </w:p>
        </w:tc>
        <w:tc>
          <w:tcPr>
            <w:tcW w:w="2500" w:type="pct"/>
            <w:gridSpan w:val="2"/>
            <w:tcBorders>
              <w:top w:val="single" w:sz="4" w:space="0" w:color="auto"/>
              <w:left w:val="single" w:sz="18" w:space="0" w:color="auto"/>
              <w:bottom w:val="single" w:sz="18" w:space="0" w:color="auto"/>
              <w:right w:val="single" w:sz="18" w:space="0" w:color="auto"/>
            </w:tcBorders>
            <w:noWrap/>
            <w:vAlign w:val="center"/>
          </w:tcPr>
          <w:p w14:paraId="33752402" w14:textId="1970D07C" w:rsidR="0063612E" w:rsidRPr="000A4B11" w:rsidRDefault="0063612E" w:rsidP="0063612E">
            <w:pPr>
              <w:jc w:val="left"/>
              <w:rPr>
                <w:rFonts w:cstheme="minorHAnsi"/>
                <w:sz w:val="20"/>
                <w:szCs w:val="20"/>
              </w:rPr>
            </w:pPr>
            <w:r w:rsidRPr="000A4B11">
              <w:rPr>
                <w:rFonts w:cstheme="minorHAnsi"/>
                <w:b/>
                <w:bCs/>
                <w:i/>
                <w:iCs/>
                <w:sz w:val="20"/>
                <w:szCs w:val="20"/>
              </w:rPr>
              <w:t>Household Characteristics (N=2,655)</w:t>
            </w:r>
          </w:p>
        </w:tc>
      </w:tr>
      <w:tr w:rsidR="0063612E" w:rsidRPr="000A4B11" w14:paraId="4946889D" w14:textId="77777777" w:rsidTr="00E860B3">
        <w:trPr>
          <w:trHeight w:val="20"/>
        </w:trPr>
        <w:tc>
          <w:tcPr>
            <w:tcW w:w="2500" w:type="pct"/>
            <w:gridSpan w:val="2"/>
            <w:tcBorders>
              <w:top w:val="single" w:sz="18" w:space="0" w:color="auto"/>
              <w:left w:val="single" w:sz="18" w:space="0" w:color="auto"/>
              <w:right w:val="single" w:sz="18" w:space="0" w:color="auto"/>
            </w:tcBorders>
            <w:noWrap/>
            <w:vAlign w:val="center"/>
            <w:hideMark/>
          </w:tcPr>
          <w:p w14:paraId="743243CD" w14:textId="77777777" w:rsidR="0063612E" w:rsidRPr="000A4B11" w:rsidRDefault="0063612E" w:rsidP="0063612E">
            <w:pPr>
              <w:rPr>
                <w:rFonts w:cstheme="minorHAnsi"/>
                <w:sz w:val="20"/>
                <w:szCs w:val="20"/>
              </w:rPr>
            </w:pPr>
            <w:r w:rsidRPr="000A4B11">
              <w:rPr>
                <w:rFonts w:cstheme="minorHAnsi"/>
                <w:b/>
                <w:bCs/>
                <w:sz w:val="20"/>
                <w:szCs w:val="20"/>
              </w:rPr>
              <w:t>Gender</w:t>
            </w:r>
          </w:p>
        </w:tc>
        <w:tc>
          <w:tcPr>
            <w:tcW w:w="2500" w:type="pct"/>
            <w:gridSpan w:val="2"/>
            <w:tcBorders>
              <w:top w:val="single" w:sz="18" w:space="0" w:color="auto"/>
              <w:left w:val="single" w:sz="18" w:space="0" w:color="auto"/>
              <w:right w:val="single" w:sz="18" w:space="0" w:color="auto"/>
            </w:tcBorders>
            <w:noWrap/>
            <w:vAlign w:val="center"/>
            <w:hideMark/>
          </w:tcPr>
          <w:p w14:paraId="47600256" w14:textId="77777777" w:rsidR="0063612E" w:rsidRPr="000A4B11" w:rsidRDefault="0063612E" w:rsidP="0063612E">
            <w:pPr>
              <w:rPr>
                <w:rFonts w:cstheme="minorHAnsi"/>
                <w:sz w:val="20"/>
                <w:szCs w:val="20"/>
              </w:rPr>
            </w:pPr>
            <w:r w:rsidRPr="000A4B11">
              <w:rPr>
                <w:rFonts w:cstheme="minorHAnsi"/>
                <w:b/>
                <w:bCs/>
                <w:sz w:val="20"/>
                <w:szCs w:val="20"/>
              </w:rPr>
              <w:t>Household annual income</w:t>
            </w:r>
          </w:p>
        </w:tc>
      </w:tr>
      <w:tr w:rsidR="0063612E" w:rsidRPr="000A4B11" w14:paraId="65D0875E" w14:textId="77777777" w:rsidTr="0075594E">
        <w:trPr>
          <w:trHeight w:val="20"/>
        </w:trPr>
        <w:tc>
          <w:tcPr>
            <w:tcW w:w="1970" w:type="pct"/>
            <w:tcBorders>
              <w:left w:val="single" w:sz="18" w:space="0" w:color="auto"/>
            </w:tcBorders>
            <w:noWrap/>
            <w:vAlign w:val="center"/>
            <w:hideMark/>
          </w:tcPr>
          <w:p w14:paraId="31F3D40A" w14:textId="77777777" w:rsidR="0063612E" w:rsidRPr="000A4B11" w:rsidRDefault="0063612E" w:rsidP="0063612E">
            <w:pPr>
              <w:ind w:left="144"/>
              <w:rPr>
                <w:rFonts w:cstheme="minorHAnsi"/>
                <w:sz w:val="20"/>
                <w:szCs w:val="20"/>
                <w:lang w:eastAsia="ko-KR"/>
              </w:rPr>
            </w:pPr>
            <w:r w:rsidRPr="000A4B11">
              <w:rPr>
                <w:rFonts w:cstheme="minorHAnsi"/>
                <w:sz w:val="20"/>
                <w:szCs w:val="20"/>
                <w:lang w:eastAsia="ko-KR"/>
              </w:rPr>
              <w:t>Woman</w:t>
            </w:r>
          </w:p>
        </w:tc>
        <w:tc>
          <w:tcPr>
            <w:tcW w:w="530" w:type="pct"/>
            <w:tcBorders>
              <w:right w:val="single" w:sz="18" w:space="0" w:color="auto"/>
            </w:tcBorders>
            <w:noWrap/>
            <w:vAlign w:val="center"/>
            <w:hideMark/>
          </w:tcPr>
          <w:p w14:paraId="721A57C6" w14:textId="77777777"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36.8</w:t>
            </w:r>
          </w:p>
        </w:tc>
        <w:tc>
          <w:tcPr>
            <w:tcW w:w="1982" w:type="pct"/>
            <w:tcBorders>
              <w:left w:val="single" w:sz="18" w:space="0" w:color="auto"/>
            </w:tcBorders>
            <w:noWrap/>
            <w:vAlign w:val="center"/>
            <w:hideMark/>
          </w:tcPr>
          <w:p w14:paraId="77A64674" w14:textId="77777777" w:rsidR="0063612E" w:rsidRPr="000A4B11" w:rsidRDefault="0063612E" w:rsidP="0063612E">
            <w:pPr>
              <w:ind w:left="144"/>
              <w:rPr>
                <w:rFonts w:cstheme="minorHAnsi"/>
                <w:sz w:val="20"/>
                <w:szCs w:val="20"/>
              </w:rPr>
            </w:pPr>
            <w:r w:rsidRPr="000A4B11">
              <w:rPr>
                <w:rFonts w:cstheme="minorHAnsi"/>
                <w:sz w:val="20"/>
                <w:szCs w:val="20"/>
              </w:rPr>
              <w:t>Less than $25,000</w:t>
            </w:r>
          </w:p>
        </w:tc>
        <w:tc>
          <w:tcPr>
            <w:tcW w:w="518" w:type="pct"/>
            <w:tcBorders>
              <w:right w:val="single" w:sz="18" w:space="0" w:color="auto"/>
            </w:tcBorders>
            <w:noWrap/>
            <w:vAlign w:val="center"/>
            <w:hideMark/>
          </w:tcPr>
          <w:p w14:paraId="40E9D656" w14:textId="77777777" w:rsidR="0063612E" w:rsidRPr="000A4B11" w:rsidRDefault="0063612E" w:rsidP="0063612E">
            <w:pPr>
              <w:tabs>
                <w:tab w:val="decimal" w:pos="249"/>
              </w:tabs>
              <w:jc w:val="center"/>
              <w:rPr>
                <w:rFonts w:cstheme="minorHAnsi"/>
                <w:sz w:val="20"/>
                <w:szCs w:val="20"/>
                <w:lang w:eastAsia="ko-KR"/>
              </w:rPr>
            </w:pPr>
            <w:r w:rsidRPr="000A4B11">
              <w:rPr>
                <w:rFonts w:cstheme="minorHAnsi"/>
                <w:color w:val="000000"/>
                <w:sz w:val="20"/>
                <w:szCs w:val="20"/>
              </w:rPr>
              <w:t>4.4</w:t>
            </w:r>
          </w:p>
        </w:tc>
      </w:tr>
      <w:tr w:rsidR="0063612E" w:rsidRPr="000A4B11" w14:paraId="188A301B" w14:textId="77777777" w:rsidTr="0075594E">
        <w:trPr>
          <w:trHeight w:val="20"/>
        </w:trPr>
        <w:tc>
          <w:tcPr>
            <w:tcW w:w="1970" w:type="pct"/>
            <w:tcBorders>
              <w:left w:val="single" w:sz="18" w:space="0" w:color="auto"/>
            </w:tcBorders>
            <w:noWrap/>
            <w:vAlign w:val="center"/>
            <w:hideMark/>
          </w:tcPr>
          <w:p w14:paraId="0BE61118" w14:textId="77777777" w:rsidR="0063612E" w:rsidRPr="000A4B11" w:rsidRDefault="0063612E" w:rsidP="0063612E">
            <w:pPr>
              <w:ind w:left="144"/>
              <w:rPr>
                <w:rFonts w:cstheme="minorHAnsi"/>
                <w:sz w:val="20"/>
                <w:szCs w:val="20"/>
              </w:rPr>
            </w:pPr>
            <w:r w:rsidRPr="000A4B11">
              <w:rPr>
                <w:rFonts w:cstheme="minorHAnsi"/>
                <w:sz w:val="20"/>
                <w:szCs w:val="20"/>
              </w:rPr>
              <w:t>M</w:t>
            </w:r>
            <w:r w:rsidRPr="000A4B11">
              <w:rPr>
                <w:rFonts w:cstheme="minorHAnsi"/>
                <w:sz w:val="20"/>
                <w:szCs w:val="20"/>
                <w:lang w:eastAsia="ko-KR"/>
              </w:rPr>
              <w:t>an</w:t>
            </w:r>
          </w:p>
        </w:tc>
        <w:tc>
          <w:tcPr>
            <w:tcW w:w="530" w:type="pct"/>
            <w:tcBorders>
              <w:right w:val="single" w:sz="18" w:space="0" w:color="auto"/>
            </w:tcBorders>
            <w:noWrap/>
            <w:vAlign w:val="center"/>
            <w:hideMark/>
          </w:tcPr>
          <w:p w14:paraId="142A876F" w14:textId="77777777"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63.2</w:t>
            </w:r>
          </w:p>
        </w:tc>
        <w:tc>
          <w:tcPr>
            <w:tcW w:w="1982" w:type="pct"/>
            <w:tcBorders>
              <w:left w:val="single" w:sz="18" w:space="0" w:color="auto"/>
            </w:tcBorders>
            <w:noWrap/>
            <w:vAlign w:val="center"/>
            <w:hideMark/>
          </w:tcPr>
          <w:p w14:paraId="3E9A6C44" w14:textId="77777777" w:rsidR="0063612E" w:rsidRPr="000A4B11" w:rsidRDefault="0063612E" w:rsidP="0063612E">
            <w:pPr>
              <w:ind w:left="144"/>
              <w:rPr>
                <w:rFonts w:cstheme="minorHAnsi"/>
                <w:sz w:val="20"/>
                <w:szCs w:val="20"/>
              </w:rPr>
            </w:pPr>
            <w:r w:rsidRPr="000A4B11">
              <w:rPr>
                <w:rFonts w:cstheme="minorHAnsi"/>
                <w:sz w:val="20"/>
                <w:szCs w:val="20"/>
              </w:rPr>
              <w:t>$25,000 to $49,999</w:t>
            </w:r>
          </w:p>
        </w:tc>
        <w:tc>
          <w:tcPr>
            <w:tcW w:w="518" w:type="pct"/>
            <w:tcBorders>
              <w:right w:val="single" w:sz="18" w:space="0" w:color="auto"/>
            </w:tcBorders>
            <w:noWrap/>
            <w:vAlign w:val="center"/>
            <w:hideMark/>
          </w:tcPr>
          <w:p w14:paraId="4538365C" w14:textId="77777777" w:rsidR="0063612E" w:rsidRPr="000A4B11" w:rsidRDefault="0063612E" w:rsidP="0063612E">
            <w:pPr>
              <w:tabs>
                <w:tab w:val="decimal" w:pos="249"/>
              </w:tabs>
              <w:jc w:val="center"/>
              <w:rPr>
                <w:rFonts w:cstheme="minorHAnsi"/>
                <w:sz w:val="20"/>
                <w:szCs w:val="20"/>
                <w:lang w:eastAsia="ko-KR"/>
              </w:rPr>
            </w:pPr>
            <w:r w:rsidRPr="000A4B11">
              <w:rPr>
                <w:rFonts w:cstheme="minorHAnsi"/>
                <w:color w:val="000000"/>
                <w:sz w:val="20"/>
                <w:szCs w:val="20"/>
              </w:rPr>
              <w:t>13.8</w:t>
            </w:r>
          </w:p>
        </w:tc>
      </w:tr>
      <w:tr w:rsidR="0063612E" w:rsidRPr="000A4B11" w14:paraId="3857BA75" w14:textId="77777777" w:rsidTr="0075594E">
        <w:trPr>
          <w:trHeight w:val="20"/>
        </w:trPr>
        <w:tc>
          <w:tcPr>
            <w:tcW w:w="1970" w:type="pct"/>
            <w:tcBorders>
              <w:left w:val="single" w:sz="18" w:space="0" w:color="auto"/>
              <w:right w:val="dotted" w:sz="4" w:space="0" w:color="auto"/>
            </w:tcBorders>
            <w:noWrap/>
            <w:vAlign w:val="center"/>
            <w:hideMark/>
          </w:tcPr>
          <w:p w14:paraId="086436A2" w14:textId="77777777" w:rsidR="0063612E" w:rsidRPr="000A4B11" w:rsidRDefault="0063612E" w:rsidP="0063612E">
            <w:pPr>
              <w:rPr>
                <w:rFonts w:cstheme="minorHAnsi"/>
                <w:sz w:val="20"/>
                <w:szCs w:val="20"/>
              </w:rPr>
            </w:pPr>
            <w:r w:rsidRPr="000A4B11">
              <w:rPr>
                <w:rFonts w:cstheme="minorHAnsi"/>
                <w:b/>
                <w:bCs/>
                <w:sz w:val="20"/>
                <w:szCs w:val="20"/>
              </w:rPr>
              <w:t>Age category</w:t>
            </w:r>
          </w:p>
        </w:tc>
        <w:tc>
          <w:tcPr>
            <w:tcW w:w="530" w:type="pct"/>
            <w:tcBorders>
              <w:left w:val="dotted" w:sz="4" w:space="0" w:color="auto"/>
              <w:right w:val="single" w:sz="18" w:space="0" w:color="auto"/>
            </w:tcBorders>
            <w:vAlign w:val="center"/>
          </w:tcPr>
          <w:p w14:paraId="07908885" w14:textId="77777777" w:rsidR="0063612E" w:rsidRPr="000A4B11" w:rsidRDefault="0063612E" w:rsidP="0063612E">
            <w:pPr>
              <w:tabs>
                <w:tab w:val="decimal" w:pos="251"/>
              </w:tabs>
              <w:jc w:val="center"/>
              <w:rPr>
                <w:rFonts w:cstheme="minorHAnsi"/>
                <w:sz w:val="20"/>
                <w:szCs w:val="20"/>
              </w:rPr>
            </w:pPr>
          </w:p>
        </w:tc>
        <w:tc>
          <w:tcPr>
            <w:tcW w:w="1982" w:type="pct"/>
            <w:tcBorders>
              <w:left w:val="single" w:sz="18" w:space="0" w:color="auto"/>
            </w:tcBorders>
            <w:noWrap/>
            <w:vAlign w:val="center"/>
            <w:hideMark/>
          </w:tcPr>
          <w:p w14:paraId="4ED21B7A" w14:textId="77777777" w:rsidR="0063612E" w:rsidRPr="000A4B11" w:rsidRDefault="0063612E" w:rsidP="0063612E">
            <w:pPr>
              <w:ind w:left="144"/>
              <w:rPr>
                <w:rFonts w:cstheme="minorHAnsi"/>
                <w:sz w:val="20"/>
                <w:szCs w:val="20"/>
              </w:rPr>
            </w:pPr>
            <w:r w:rsidRPr="000A4B11">
              <w:rPr>
                <w:rFonts w:cstheme="minorHAnsi"/>
                <w:sz w:val="20"/>
                <w:szCs w:val="20"/>
              </w:rPr>
              <w:t>$50,000 to $99,999</w:t>
            </w:r>
          </w:p>
        </w:tc>
        <w:tc>
          <w:tcPr>
            <w:tcW w:w="518" w:type="pct"/>
            <w:tcBorders>
              <w:right w:val="single" w:sz="18" w:space="0" w:color="auto"/>
            </w:tcBorders>
            <w:noWrap/>
            <w:vAlign w:val="center"/>
            <w:hideMark/>
          </w:tcPr>
          <w:p w14:paraId="6D74E3E5" w14:textId="44B3D83A" w:rsidR="0063612E" w:rsidRPr="000A4B11" w:rsidRDefault="0063612E" w:rsidP="0063612E">
            <w:pPr>
              <w:tabs>
                <w:tab w:val="decimal" w:pos="249"/>
              </w:tabs>
              <w:jc w:val="center"/>
              <w:rPr>
                <w:rFonts w:cstheme="minorHAnsi"/>
                <w:sz w:val="20"/>
                <w:szCs w:val="20"/>
                <w:lang w:eastAsia="ko-KR"/>
              </w:rPr>
            </w:pPr>
            <w:r w:rsidRPr="000A4B11">
              <w:rPr>
                <w:rFonts w:cstheme="minorHAnsi"/>
                <w:color w:val="000000"/>
                <w:sz w:val="20"/>
                <w:szCs w:val="20"/>
              </w:rPr>
              <w:t>28.</w:t>
            </w:r>
            <w:r>
              <w:rPr>
                <w:rFonts w:cstheme="minorHAnsi"/>
                <w:color w:val="000000"/>
                <w:sz w:val="20"/>
                <w:szCs w:val="20"/>
              </w:rPr>
              <w:t>8</w:t>
            </w:r>
          </w:p>
        </w:tc>
      </w:tr>
      <w:tr w:rsidR="0063612E" w:rsidRPr="000A4B11" w14:paraId="43C4E16E" w14:textId="77777777" w:rsidTr="0075594E">
        <w:trPr>
          <w:trHeight w:val="20"/>
        </w:trPr>
        <w:tc>
          <w:tcPr>
            <w:tcW w:w="1970" w:type="pct"/>
            <w:tcBorders>
              <w:left w:val="single" w:sz="18" w:space="0" w:color="auto"/>
            </w:tcBorders>
            <w:noWrap/>
            <w:vAlign w:val="center"/>
            <w:hideMark/>
          </w:tcPr>
          <w:p w14:paraId="1898F47F" w14:textId="620949B8" w:rsidR="0063612E" w:rsidRPr="000A4B11" w:rsidRDefault="0063612E" w:rsidP="0063612E">
            <w:pPr>
              <w:ind w:left="144"/>
              <w:rPr>
                <w:rFonts w:cstheme="minorHAnsi"/>
                <w:sz w:val="20"/>
                <w:szCs w:val="20"/>
              </w:rPr>
            </w:pPr>
            <w:r>
              <w:rPr>
                <w:rFonts w:cstheme="minorHAnsi"/>
                <w:sz w:val="20"/>
                <w:szCs w:val="20"/>
              </w:rPr>
              <w:t>18-24</w:t>
            </w:r>
          </w:p>
        </w:tc>
        <w:tc>
          <w:tcPr>
            <w:tcW w:w="530" w:type="pct"/>
            <w:tcBorders>
              <w:right w:val="single" w:sz="18" w:space="0" w:color="auto"/>
            </w:tcBorders>
            <w:noWrap/>
            <w:vAlign w:val="center"/>
          </w:tcPr>
          <w:p w14:paraId="3EE86562" w14:textId="77777777"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8.3</w:t>
            </w:r>
          </w:p>
        </w:tc>
        <w:tc>
          <w:tcPr>
            <w:tcW w:w="1982" w:type="pct"/>
            <w:tcBorders>
              <w:left w:val="single" w:sz="18" w:space="0" w:color="auto"/>
            </w:tcBorders>
            <w:noWrap/>
            <w:vAlign w:val="center"/>
            <w:hideMark/>
          </w:tcPr>
          <w:p w14:paraId="748631BF" w14:textId="77777777" w:rsidR="0063612E" w:rsidRPr="000A4B11" w:rsidRDefault="0063612E" w:rsidP="0063612E">
            <w:pPr>
              <w:ind w:left="144"/>
              <w:rPr>
                <w:rFonts w:cstheme="minorHAnsi"/>
                <w:sz w:val="20"/>
                <w:szCs w:val="20"/>
              </w:rPr>
            </w:pPr>
            <w:r w:rsidRPr="000A4B11">
              <w:rPr>
                <w:rFonts w:cstheme="minorHAnsi"/>
                <w:sz w:val="20"/>
                <w:szCs w:val="20"/>
              </w:rPr>
              <w:t>$100,000 to $149,999</w:t>
            </w:r>
          </w:p>
        </w:tc>
        <w:tc>
          <w:tcPr>
            <w:tcW w:w="518" w:type="pct"/>
            <w:tcBorders>
              <w:right w:val="single" w:sz="18" w:space="0" w:color="auto"/>
            </w:tcBorders>
            <w:noWrap/>
            <w:vAlign w:val="center"/>
            <w:hideMark/>
          </w:tcPr>
          <w:p w14:paraId="5B2F61B9"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29.1</w:t>
            </w:r>
          </w:p>
        </w:tc>
      </w:tr>
      <w:tr w:rsidR="0063612E" w:rsidRPr="000A4B11" w14:paraId="22746C4D" w14:textId="77777777" w:rsidTr="0075594E">
        <w:trPr>
          <w:trHeight w:val="20"/>
        </w:trPr>
        <w:tc>
          <w:tcPr>
            <w:tcW w:w="1970" w:type="pct"/>
            <w:tcBorders>
              <w:left w:val="single" w:sz="18" w:space="0" w:color="auto"/>
            </w:tcBorders>
            <w:noWrap/>
            <w:vAlign w:val="center"/>
            <w:hideMark/>
          </w:tcPr>
          <w:p w14:paraId="73091006" w14:textId="22C3E583" w:rsidR="0063612E" w:rsidRPr="000A4B11" w:rsidRDefault="0063612E" w:rsidP="0063612E">
            <w:pPr>
              <w:ind w:left="144"/>
              <w:rPr>
                <w:rFonts w:cstheme="minorHAnsi"/>
                <w:sz w:val="20"/>
                <w:szCs w:val="20"/>
              </w:rPr>
            </w:pPr>
            <w:r w:rsidRPr="000A4B11">
              <w:rPr>
                <w:rFonts w:cstheme="minorHAnsi"/>
                <w:sz w:val="20"/>
                <w:szCs w:val="20"/>
              </w:rPr>
              <w:t>25</w:t>
            </w:r>
            <w:r>
              <w:rPr>
                <w:rFonts w:cstheme="minorHAnsi"/>
                <w:sz w:val="20"/>
                <w:szCs w:val="20"/>
              </w:rPr>
              <w:t>-</w:t>
            </w:r>
            <w:r w:rsidRPr="000A4B11">
              <w:rPr>
                <w:rFonts w:cstheme="minorHAnsi"/>
                <w:sz w:val="20"/>
                <w:szCs w:val="20"/>
              </w:rPr>
              <w:t>34</w:t>
            </w:r>
          </w:p>
        </w:tc>
        <w:tc>
          <w:tcPr>
            <w:tcW w:w="530" w:type="pct"/>
            <w:tcBorders>
              <w:right w:val="single" w:sz="18" w:space="0" w:color="auto"/>
            </w:tcBorders>
            <w:noWrap/>
            <w:vAlign w:val="center"/>
          </w:tcPr>
          <w:p w14:paraId="3DB8B8EE" w14:textId="77777777" w:rsidR="0063612E" w:rsidRPr="000A4B11" w:rsidRDefault="0063612E" w:rsidP="0063612E">
            <w:pPr>
              <w:tabs>
                <w:tab w:val="decimal" w:pos="251"/>
              </w:tabs>
              <w:jc w:val="center"/>
              <w:rPr>
                <w:rFonts w:cstheme="minorHAnsi"/>
                <w:sz w:val="20"/>
                <w:szCs w:val="20"/>
              </w:rPr>
            </w:pPr>
            <w:r w:rsidRPr="000A4B11">
              <w:rPr>
                <w:rFonts w:cstheme="minorHAnsi"/>
                <w:color w:val="000000"/>
                <w:sz w:val="20"/>
                <w:szCs w:val="20"/>
              </w:rPr>
              <w:t>16.5</w:t>
            </w:r>
          </w:p>
        </w:tc>
        <w:tc>
          <w:tcPr>
            <w:tcW w:w="1982" w:type="pct"/>
            <w:tcBorders>
              <w:left w:val="single" w:sz="18" w:space="0" w:color="auto"/>
            </w:tcBorders>
            <w:noWrap/>
            <w:vAlign w:val="center"/>
            <w:hideMark/>
          </w:tcPr>
          <w:p w14:paraId="729B5AF3" w14:textId="77777777" w:rsidR="0063612E" w:rsidRPr="000A4B11" w:rsidRDefault="0063612E" w:rsidP="0063612E">
            <w:pPr>
              <w:ind w:left="144"/>
              <w:rPr>
                <w:rFonts w:cstheme="minorHAnsi"/>
                <w:sz w:val="20"/>
                <w:szCs w:val="20"/>
              </w:rPr>
            </w:pPr>
            <w:r w:rsidRPr="000A4B11">
              <w:rPr>
                <w:rFonts w:cstheme="minorHAnsi"/>
                <w:sz w:val="20"/>
                <w:szCs w:val="20"/>
              </w:rPr>
              <w:t>$150,000 to $199,999</w:t>
            </w:r>
          </w:p>
        </w:tc>
        <w:tc>
          <w:tcPr>
            <w:tcW w:w="518" w:type="pct"/>
            <w:tcBorders>
              <w:right w:val="single" w:sz="18" w:space="0" w:color="auto"/>
            </w:tcBorders>
            <w:noWrap/>
            <w:vAlign w:val="center"/>
            <w:hideMark/>
          </w:tcPr>
          <w:p w14:paraId="4CFD09F9"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16.7</w:t>
            </w:r>
          </w:p>
        </w:tc>
      </w:tr>
      <w:tr w:rsidR="0063612E" w:rsidRPr="000A4B11" w14:paraId="66905A1B" w14:textId="77777777" w:rsidTr="0075594E">
        <w:trPr>
          <w:trHeight w:val="20"/>
        </w:trPr>
        <w:tc>
          <w:tcPr>
            <w:tcW w:w="1970" w:type="pct"/>
            <w:tcBorders>
              <w:left w:val="single" w:sz="18" w:space="0" w:color="auto"/>
            </w:tcBorders>
            <w:noWrap/>
            <w:vAlign w:val="center"/>
            <w:hideMark/>
          </w:tcPr>
          <w:p w14:paraId="676B8D74" w14:textId="01BDF0DB" w:rsidR="0063612E" w:rsidRPr="000A4B11" w:rsidRDefault="0063612E" w:rsidP="0063612E">
            <w:pPr>
              <w:ind w:left="144"/>
              <w:rPr>
                <w:rFonts w:cstheme="minorHAnsi"/>
                <w:sz w:val="20"/>
                <w:szCs w:val="20"/>
              </w:rPr>
            </w:pPr>
            <w:r w:rsidRPr="000A4B11">
              <w:rPr>
                <w:rFonts w:cstheme="minorHAnsi"/>
                <w:sz w:val="20"/>
                <w:szCs w:val="20"/>
              </w:rPr>
              <w:t>35</w:t>
            </w:r>
            <w:r>
              <w:rPr>
                <w:rFonts w:cstheme="minorHAnsi"/>
                <w:sz w:val="20"/>
                <w:szCs w:val="20"/>
              </w:rPr>
              <w:t>-</w:t>
            </w:r>
            <w:r w:rsidRPr="000A4B11">
              <w:rPr>
                <w:rFonts w:cstheme="minorHAnsi"/>
                <w:sz w:val="20"/>
                <w:szCs w:val="20"/>
              </w:rPr>
              <w:t>44</w:t>
            </w:r>
          </w:p>
        </w:tc>
        <w:tc>
          <w:tcPr>
            <w:tcW w:w="530" w:type="pct"/>
            <w:tcBorders>
              <w:right w:val="single" w:sz="18" w:space="0" w:color="auto"/>
            </w:tcBorders>
            <w:noWrap/>
            <w:vAlign w:val="center"/>
          </w:tcPr>
          <w:p w14:paraId="241E7FEC" w14:textId="77777777"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37.8</w:t>
            </w:r>
          </w:p>
        </w:tc>
        <w:tc>
          <w:tcPr>
            <w:tcW w:w="1982" w:type="pct"/>
            <w:tcBorders>
              <w:left w:val="single" w:sz="18" w:space="0" w:color="auto"/>
            </w:tcBorders>
            <w:noWrap/>
            <w:vAlign w:val="center"/>
            <w:hideMark/>
          </w:tcPr>
          <w:p w14:paraId="411E3FF9" w14:textId="77777777" w:rsidR="0063612E" w:rsidRPr="000A4B11" w:rsidRDefault="0063612E" w:rsidP="0063612E">
            <w:pPr>
              <w:ind w:left="144"/>
              <w:rPr>
                <w:rFonts w:cstheme="minorHAnsi"/>
                <w:sz w:val="20"/>
                <w:szCs w:val="20"/>
              </w:rPr>
            </w:pPr>
            <w:r w:rsidRPr="000A4B11">
              <w:rPr>
                <w:rFonts w:cstheme="minorHAnsi"/>
                <w:sz w:val="20"/>
                <w:szCs w:val="20"/>
              </w:rPr>
              <w:t>$200,000 or more</w:t>
            </w:r>
          </w:p>
        </w:tc>
        <w:tc>
          <w:tcPr>
            <w:tcW w:w="518" w:type="pct"/>
            <w:tcBorders>
              <w:right w:val="single" w:sz="18" w:space="0" w:color="auto"/>
            </w:tcBorders>
            <w:noWrap/>
            <w:vAlign w:val="center"/>
            <w:hideMark/>
          </w:tcPr>
          <w:p w14:paraId="408918FC"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7.2</w:t>
            </w:r>
          </w:p>
        </w:tc>
      </w:tr>
      <w:tr w:rsidR="0063612E" w:rsidRPr="000A4B11" w14:paraId="3D0FD196" w14:textId="77777777" w:rsidTr="0075594E">
        <w:trPr>
          <w:trHeight w:val="20"/>
        </w:trPr>
        <w:tc>
          <w:tcPr>
            <w:tcW w:w="1970" w:type="pct"/>
            <w:tcBorders>
              <w:left w:val="single" w:sz="18" w:space="0" w:color="auto"/>
            </w:tcBorders>
            <w:noWrap/>
            <w:vAlign w:val="center"/>
          </w:tcPr>
          <w:p w14:paraId="7B5CC68C" w14:textId="7E81CCC8" w:rsidR="0063612E" w:rsidRPr="000A4B11" w:rsidRDefault="0063612E" w:rsidP="0063612E">
            <w:pPr>
              <w:ind w:left="144"/>
              <w:rPr>
                <w:rFonts w:cstheme="minorHAnsi"/>
                <w:sz w:val="20"/>
                <w:szCs w:val="20"/>
              </w:rPr>
            </w:pPr>
            <w:r w:rsidRPr="000A4B11">
              <w:rPr>
                <w:rFonts w:cstheme="minorHAnsi"/>
                <w:sz w:val="20"/>
                <w:szCs w:val="20"/>
              </w:rPr>
              <w:t>45</w:t>
            </w:r>
            <w:r>
              <w:rPr>
                <w:rFonts w:cstheme="minorHAnsi"/>
                <w:sz w:val="20"/>
                <w:szCs w:val="20"/>
              </w:rPr>
              <w:t>-</w:t>
            </w:r>
            <w:r w:rsidRPr="000A4B11">
              <w:rPr>
                <w:rFonts w:cstheme="minorHAnsi"/>
                <w:sz w:val="20"/>
                <w:szCs w:val="20"/>
              </w:rPr>
              <w:t>54</w:t>
            </w:r>
          </w:p>
        </w:tc>
        <w:tc>
          <w:tcPr>
            <w:tcW w:w="530" w:type="pct"/>
            <w:tcBorders>
              <w:right w:val="single" w:sz="18" w:space="0" w:color="auto"/>
            </w:tcBorders>
            <w:noWrap/>
            <w:vAlign w:val="center"/>
          </w:tcPr>
          <w:p w14:paraId="3139E89D" w14:textId="549A13E2" w:rsidR="0063612E" w:rsidRPr="000A4B11" w:rsidRDefault="0063612E" w:rsidP="0063612E">
            <w:pPr>
              <w:tabs>
                <w:tab w:val="decimal" w:pos="251"/>
              </w:tabs>
              <w:jc w:val="center"/>
              <w:rPr>
                <w:rFonts w:cstheme="minorHAnsi"/>
                <w:color w:val="000000"/>
                <w:sz w:val="20"/>
                <w:szCs w:val="20"/>
              </w:rPr>
            </w:pPr>
            <w:r w:rsidRPr="000A4B11">
              <w:rPr>
                <w:rFonts w:cstheme="minorHAnsi"/>
                <w:color w:val="000000"/>
                <w:sz w:val="20"/>
                <w:szCs w:val="20"/>
              </w:rPr>
              <w:t>20.6</w:t>
            </w:r>
          </w:p>
        </w:tc>
        <w:tc>
          <w:tcPr>
            <w:tcW w:w="1982" w:type="pct"/>
            <w:tcBorders>
              <w:left w:val="single" w:sz="18" w:space="0" w:color="auto"/>
              <w:right w:val="dotted" w:sz="4" w:space="0" w:color="auto"/>
            </w:tcBorders>
            <w:noWrap/>
            <w:vAlign w:val="center"/>
          </w:tcPr>
          <w:p w14:paraId="159D9D57" w14:textId="6287FD54" w:rsidR="0063612E" w:rsidRPr="000A4B11" w:rsidRDefault="0063612E" w:rsidP="0063612E">
            <w:pPr>
              <w:rPr>
                <w:rFonts w:cstheme="minorHAnsi"/>
                <w:b/>
                <w:bCs/>
                <w:sz w:val="20"/>
                <w:szCs w:val="20"/>
              </w:rPr>
            </w:pPr>
            <w:r>
              <w:rPr>
                <w:rFonts w:cstheme="minorHAnsi"/>
                <w:b/>
                <w:bCs/>
                <w:sz w:val="20"/>
                <w:szCs w:val="20"/>
              </w:rPr>
              <w:t>Household composition</w:t>
            </w:r>
          </w:p>
        </w:tc>
        <w:tc>
          <w:tcPr>
            <w:tcW w:w="518" w:type="pct"/>
            <w:tcBorders>
              <w:left w:val="dotted" w:sz="4" w:space="0" w:color="auto"/>
              <w:right w:val="single" w:sz="18" w:space="0" w:color="auto"/>
            </w:tcBorders>
            <w:vAlign w:val="center"/>
          </w:tcPr>
          <w:p w14:paraId="5AA9BEF6" w14:textId="77777777" w:rsidR="0063612E" w:rsidRPr="000A4B11" w:rsidRDefault="0063612E" w:rsidP="0063612E">
            <w:pPr>
              <w:tabs>
                <w:tab w:val="decimal" w:pos="249"/>
              </w:tabs>
              <w:jc w:val="center"/>
              <w:rPr>
                <w:rFonts w:cstheme="minorHAnsi"/>
                <w:sz w:val="20"/>
                <w:szCs w:val="20"/>
              </w:rPr>
            </w:pPr>
          </w:p>
        </w:tc>
      </w:tr>
      <w:tr w:rsidR="0063612E" w:rsidRPr="000A4B11" w14:paraId="6F8E219F" w14:textId="77777777" w:rsidTr="0075594E">
        <w:trPr>
          <w:trHeight w:val="20"/>
        </w:trPr>
        <w:tc>
          <w:tcPr>
            <w:tcW w:w="1970" w:type="pct"/>
            <w:tcBorders>
              <w:left w:val="single" w:sz="18" w:space="0" w:color="auto"/>
            </w:tcBorders>
            <w:noWrap/>
            <w:vAlign w:val="center"/>
          </w:tcPr>
          <w:p w14:paraId="22E848C0" w14:textId="35F9AF6D" w:rsidR="0063612E" w:rsidRPr="000A4B11" w:rsidRDefault="0063612E" w:rsidP="0063612E">
            <w:pPr>
              <w:ind w:left="144"/>
              <w:rPr>
                <w:rFonts w:cstheme="minorHAnsi"/>
                <w:sz w:val="20"/>
                <w:szCs w:val="20"/>
              </w:rPr>
            </w:pPr>
            <w:r w:rsidRPr="000A4B11">
              <w:rPr>
                <w:rFonts w:cstheme="minorHAnsi"/>
                <w:sz w:val="20"/>
                <w:szCs w:val="20"/>
              </w:rPr>
              <w:t>55</w:t>
            </w:r>
            <w:r>
              <w:rPr>
                <w:rFonts w:cstheme="minorHAnsi"/>
                <w:sz w:val="20"/>
                <w:szCs w:val="20"/>
              </w:rPr>
              <w:t>-</w:t>
            </w:r>
            <w:r w:rsidRPr="000A4B11">
              <w:rPr>
                <w:rFonts w:cstheme="minorHAnsi"/>
                <w:sz w:val="20"/>
                <w:szCs w:val="20"/>
              </w:rPr>
              <w:t>64</w:t>
            </w:r>
          </w:p>
        </w:tc>
        <w:tc>
          <w:tcPr>
            <w:tcW w:w="530" w:type="pct"/>
            <w:tcBorders>
              <w:right w:val="single" w:sz="18" w:space="0" w:color="auto"/>
            </w:tcBorders>
            <w:noWrap/>
            <w:vAlign w:val="center"/>
          </w:tcPr>
          <w:p w14:paraId="443BBEBF" w14:textId="46CBB8C5" w:rsidR="0063612E" w:rsidRPr="000A4B11" w:rsidRDefault="0063612E" w:rsidP="0063612E">
            <w:pPr>
              <w:tabs>
                <w:tab w:val="decimal" w:pos="251"/>
              </w:tabs>
              <w:jc w:val="center"/>
              <w:rPr>
                <w:rFonts w:cstheme="minorHAnsi"/>
                <w:color w:val="000000"/>
                <w:sz w:val="20"/>
                <w:szCs w:val="20"/>
              </w:rPr>
            </w:pPr>
            <w:r w:rsidRPr="000A4B11">
              <w:rPr>
                <w:rFonts w:cstheme="minorHAnsi"/>
                <w:color w:val="000000"/>
                <w:sz w:val="20"/>
                <w:szCs w:val="20"/>
              </w:rPr>
              <w:t>11.</w:t>
            </w:r>
            <w:r>
              <w:rPr>
                <w:rFonts w:cstheme="minorHAnsi"/>
                <w:color w:val="000000"/>
                <w:sz w:val="20"/>
                <w:szCs w:val="20"/>
              </w:rPr>
              <w:t>7</w:t>
            </w:r>
          </w:p>
        </w:tc>
        <w:tc>
          <w:tcPr>
            <w:tcW w:w="1982" w:type="pct"/>
            <w:tcBorders>
              <w:left w:val="single" w:sz="18" w:space="0" w:color="auto"/>
              <w:right w:val="dotted" w:sz="4" w:space="0" w:color="auto"/>
            </w:tcBorders>
            <w:noWrap/>
            <w:vAlign w:val="center"/>
          </w:tcPr>
          <w:p w14:paraId="43118CCA" w14:textId="5D2C6878" w:rsidR="0063612E" w:rsidRPr="00B53C37" w:rsidRDefault="0063612E" w:rsidP="0063612E">
            <w:pPr>
              <w:rPr>
                <w:rFonts w:cstheme="minorHAnsi"/>
                <w:sz w:val="20"/>
                <w:szCs w:val="20"/>
              </w:rPr>
            </w:pPr>
            <w:r>
              <w:rPr>
                <w:rFonts w:cstheme="minorHAnsi"/>
                <w:sz w:val="20"/>
                <w:szCs w:val="20"/>
              </w:rPr>
              <w:t xml:space="preserve">   </w:t>
            </w:r>
            <w:r w:rsidRPr="00B53C37">
              <w:rPr>
                <w:rFonts w:cstheme="minorHAnsi"/>
                <w:sz w:val="20"/>
                <w:szCs w:val="20"/>
              </w:rPr>
              <w:t>Nuclear Family (2 adults and child(ren)</w:t>
            </w:r>
          </w:p>
        </w:tc>
        <w:tc>
          <w:tcPr>
            <w:tcW w:w="518" w:type="pct"/>
            <w:tcBorders>
              <w:left w:val="dotted" w:sz="4" w:space="0" w:color="auto"/>
              <w:right w:val="single" w:sz="18" w:space="0" w:color="auto"/>
            </w:tcBorders>
            <w:vAlign w:val="center"/>
          </w:tcPr>
          <w:p w14:paraId="1352EE56" w14:textId="76B4D0CF" w:rsidR="0063612E" w:rsidRPr="000A4B11" w:rsidRDefault="00E860B3" w:rsidP="0063612E">
            <w:pPr>
              <w:tabs>
                <w:tab w:val="decimal" w:pos="249"/>
              </w:tabs>
              <w:jc w:val="center"/>
              <w:rPr>
                <w:rFonts w:cstheme="minorHAnsi"/>
                <w:sz w:val="20"/>
                <w:szCs w:val="20"/>
              </w:rPr>
            </w:pPr>
            <w:r>
              <w:rPr>
                <w:rFonts w:cstheme="minorHAnsi"/>
                <w:sz w:val="20"/>
                <w:szCs w:val="20"/>
              </w:rPr>
              <w:t>47.1</w:t>
            </w:r>
          </w:p>
        </w:tc>
      </w:tr>
      <w:tr w:rsidR="0063612E" w:rsidRPr="000A4B11" w14:paraId="3D041673" w14:textId="77777777" w:rsidTr="0075594E">
        <w:trPr>
          <w:trHeight w:val="20"/>
        </w:trPr>
        <w:tc>
          <w:tcPr>
            <w:tcW w:w="1970" w:type="pct"/>
            <w:tcBorders>
              <w:left w:val="single" w:sz="18" w:space="0" w:color="auto"/>
            </w:tcBorders>
            <w:noWrap/>
            <w:vAlign w:val="center"/>
          </w:tcPr>
          <w:p w14:paraId="3AACBC6F" w14:textId="107C450C" w:rsidR="0063612E" w:rsidRPr="000A4B11" w:rsidRDefault="0063612E" w:rsidP="0063612E">
            <w:pPr>
              <w:ind w:left="144"/>
              <w:rPr>
                <w:rFonts w:cstheme="minorHAnsi"/>
                <w:sz w:val="20"/>
                <w:szCs w:val="20"/>
              </w:rPr>
            </w:pPr>
            <w:r w:rsidRPr="000A4B11">
              <w:rPr>
                <w:rFonts w:cstheme="minorHAnsi"/>
                <w:sz w:val="20"/>
                <w:szCs w:val="20"/>
              </w:rPr>
              <w:t>65</w:t>
            </w:r>
            <w:r>
              <w:rPr>
                <w:rFonts w:cstheme="minorHAnsi"/>
                <w:sz w:val="20"/>
                <w:szCs w:val="20"/>
              </w:rPr>
              <w:t>+</w:t>
            </w:r>
          </w:p>
        </w:tc>
        <w:tc>
          <w:tcPr>
            <w:tcW w:w="530" w:type="pct"/>
            <w:tcBorders>
              <w:right w:val="single" w:sz="18" w:space="0" w:color="auto"/>
            </w:tcBorders>
            <w:noWrap/>
            <w:vAlign w:val="center"/>
          </w:tcPr>
          <w:p w14:paraId="0FC5C8EA" w14:textId="0A718AEB" w:rsidR="0063612E" w:rsidRPr="000A4B11" w:rsidRDefault="0063612E" w:rsidP="0063612E">
            <w:pPr>
              <w:tabs>
                <w:tab w:val="decimal" w:pos="251"/>
              </w:tabs>
              <w:jc w:val="center"/>
              <w:rPr>
                <w:rFonts w:cstheme="minorHAnsi"/>
                <w:color w:val="000000"/>
                <w:sz w:val="20"/>
                <w:szCs w:val="20"/>
              </w:rPr>
            </w:pPr>
            <w:r w:rsidRPr="000A4B11">
              <w:rPr>
                <w:rFonts w:cstheme="minorHAnsi"/>
                <w:color w:val="000000"/>
                <w:sz w:val="20"/>
                <w:szCs w:val="20"/>
              </w:rPr>
              <w:t>5.1</w:t>
            </w:r>
          </w:p>
        </w:tc>
        <w:tc>
          <w:tcPr>
            <w:tcW w:w="1982" w:type="pct"/>
            <w:tcBorders>
              <w:left w:val="single" w:sz="18" w:space="0" w:color="auto"/>
              <w:right w:val="dotted" w:sz="4" w:space="0" w:color="auto"/>
            </w:tcBorders>
            <w:noWrap/>
            <w:vAlign w:val="center"/>
          </w:tcPr>
          <w:p w14:paraId="31B983A3" w14:textId="591405E3" w:rsidR="0063612E" w:rsidRPr="00B53C37" w:rsidRDefault="0063612E" w:rsidP="0063612E">
            <w:pPr>
              <w:rPr>
                <w:rFonts w:cstheme="minorHAnsi"/>
                <w:sz w:val="20"/>
                <w:szCs w:val="20"/>
              </w:rPr>
            </w:pPr>
            <w:r>
              <w:rPr>
                <w:rFonts w:cstheme="minorHAnsi"/>
                <w:sz w:val="20"/>
                <w:szCs w:val="20"/>
              </w:rPr>
              <w:t xml:space="preserve">   </w:t>
            </w:r>
            <w:r w:rsidRPr="00B53C37">
              <w:rPr>
                <w:rFonts w:cstheme="minorHAnsi"/>
                <w:sz w:val="20"/>
                <w:szCs w:val="20"/>
              </w:rPr>
              <w:t>Other</w:t>
            </w:r>
          </w:p>
        </w:tc>
        <w:tc>
          <w:tcPr>
            <w:tcW w:w="518" w:type="pct"/>
            <w:tcBorders>
              <w:left w:val="dotted" w:sz="4" w:space="0" w:color="auto"/>
              <w:right w:val="single" w:sz="18" w:space="0" w:color="auto"/>
            </w:tcBorders>
            <w:vAlign w:val="center"/>
          </w:tcPr>
          <w:p w14:paraId="34FBDAC2" w14:textId="0B86CE5B" w:rsidR="0063612E" w:rsidRPr="000A4B11" w:rsidRDefault="00E860B3" w:rsidP="0063612E">
            <w:pPr>
              <w:tabs>
                <w:tab w:val="decimal" w:pos="249"/>
              </w:tabs>
              <w:jc w:val="center"/>
              <w:rPr>
                <w:rFonts w:cstheme="minorHAnsi"/>
                <w:sz w:val="20"/>
                <w:szCs w:val="20"/>
              </w:rPr>
            </w:pPr>
            <w:r>
              <w:rPr>
                <w:rFonts w:cstheme="minorHAnsi"/>
                <w:sz w:val="20"/>
                <w:szCs w:val="20"/>
              </w:rPr>
              <w:t>52.9</w:t>
            </w:r>
          </w:p>
        </w:tc>
      </w:tr>
      <w:tr w:rsidR="0063612E" w:rsidRPr="000A4B11" w14:paraId="4D242CEA" w14:textId="77777777" w:rsidTr="00621C6D">
        <w:trPr>
          <w:trHeight w:val="20"/>
        </w:trPr>
        <w:tc>
          <w:tcPr>
            <w:tcW w:w="1970" w:type="pct"/>
            <w:tcBorders>
              <w:left w:val="single" w:sz="18" w:space="0" w:color="auto"/>
            </w:tcBorders>
            <w:noWrap/>
            <w:vAlign w:val="center"/>
          </w:tcPr>
          <w:p w14:paraId="4ADDA07D" w14:textId="40EB1DA2" w:rsidR="0063612E" w:rsidRPr="000A4B11" w:rsidRDefault="0063612E" w:rsidP="0063612E">
            <w:pPr>
              <w:rPr>
                <w:rFonts w:cstheme="minorHAnsi"/>
                <w:sz w:val="20"/>
                <w:szCs w:val="20"/>
              </w:rPr>
            </w:pPr>
            <w:r w:rsidRPr="000A4B11">
              <w:rPr>
                <w:rFonts w:cstheme="minorHAnsi"/>
                <w:b/>
                <w:bCs/>
                <w:sz w:val="20"/>
                <w:szCs w:val="20"/>
              </w:rPr>
              <w:t>Employment status</w:t>
            </w:r>
          </w:p>
        </w:tc>
        <w:tc>
          <w:tcPr>
            <w:tcW w:w="530" w:type="pct"/>
            <w:tcBorders>
              <w:right w:val="single" w:sz="18" w:space="0" w:color="auto"/>
            </w:tcBorders>
            <w:noWrap/>
            <w:vAlign w:val="center"/>
          </w:tcPr>
          <w:p w14:paraId="3362BDB8" w14:textId="15C752E9" w:rsidR="0063612E" w:rsidRPr="000A4B11" w:rsidRDefault="0063612E" w:rsidP="0063612E">
            <w:pPr>
              <w:tabs>
                <w:tab w:val="decimal" w:pos="251"/>
              </w:tabs>
              <w:jc w:val="center"/>
              <w:rPr>
                <w:rFonts w:cstheme="minorHAnsi"/>
                <w:sz w:val="20"/>
                <w:szCs w:val="20"/>
              </w:rPr>
            </w:pPr>
          </w:p>
        </w:tc>
        <w:tc>
          <w:tcPr>
            <w:tcW w:w="1982" w:type="pct"/>
            <w:tcBorders>
              <w:left w:val="single" w:sz="18" w:space="0" w:color="auto"/>
              <w:right w:val="dotted" w:sz="4" w:space="0" w:color="auto"/>
            </w:tcBorders>
            <w:noWrap/>
            <w:vAlign w:val="center"/>
            <w:hideMark/>
          </w:tcPr>
          <w:p w14:paraId="6E14FB4E" w14:textId="77777777" w:rsidR="0063612E" w:rsidRPr="000A4B11" w:rsidRDefault="0063612E" w:rsidP="0063612E">
            <w:pPr>
              <w:rPr>
                <w:rFonts w:cstheme="minorHAnsi"/>
                <w:sz w:val="20"/>
                <w:szCs w:val="20"/>
              </w:rPr>
            </w:pPr>
            <w:r w:rsidRPr="000A4B11">
              <w:rPr>
                <w:rFonts w:cstheme="minorHAnsi"/>
                <w:b/>
                <w:bCs/>
                <w:sz w:val="20"/>
                <w:szCs w:val="20"/>
              </w:rPr>
              <w:t>Household size</w:t>
            </w:r>
          </w:p>
        </w:tc>
        <w:tc>
          <w:tcPr>
            <w:tcW w:w="518" w:type="pct"/>
            <w:tcBorders>
              <w:left w:val="dotted" w:sz="4" w:space="0" w:color="auto"/>
              <w:right w:val="single" w:sz="18" w:space="0" w:color="auto"/>
            </w:tcBorders>
            <w:vAlign w:val="center"/>
          </w:tcPr>
          <w:p w14:paraId="35F9D9C5" w14:textId="77777777" w:rsidR="0063612E" w:rsidRPr="000A4B11" w:rsidRDefault="0063612E" w:rsidP="0063612E">
            <w:pPr>
              <w:tabs>
                <w:tab w:val="decimal" w:pos="249"/>
              </w:tabs>
              <w:jc w:val="center"/>
              <w:rPr>
                <w:rFonts w:cstheme="minorHAnsi"/>
                <w:sz w:val="20"/>
                <w:szCs w:val="20"/>
              </w:rPr>
            </w:pPr>
          </w:p>
        </w:tc>
      </w:tr>
      <w:tr w:rsidR="0063612E" w:rsidRPr="000A4B11" w14:paraId="0B612089" w14:textId="77777777" w:rsidTr="00621C6D">
        <w:trPr>
          <w:trHeight w:val="20"/>
        </w:trPr>
        <w:tc>
          <w:tcPr>
            <w:tcW w:w="1970" w:type="pct"/>
            <w:tcBorders>
              <w:left w:val="single" w:sz="18" w:space="0" w:color="auto"/>
            </w:tcBorders>
            <w:noWrap/>
            <w:vAlign w:val="center"/>
          </w:tcPr>
          <w:p w14:paraId="7FDBD862" w14:textId="2A05857D" w:rsidR="0063612E" w:rsidRPr="000A4B11" w:rsidRDefault="0063612E" w:rsidP="0063612E">
            <w:pPr>
              <w:ind w:left="144"/>
              <w:rPr>
                <w:rFonts w:cstheme="minorHAnsi"/>
                <w:sz w:val="20"/>
                <w:szCs w:val="20"/>
              </w:rPr>
            </w:pPr>
            <w:r w:rsidRPr="000A4B11">
              <w:rPr>
                <w:rFonts w:cstheme="minorHAnsi"/>
                <w:sz w:val="20"/>
                <w:szCs w:val="20"/>
              </w:rPr>
              <w:t>Full-time worker</w:t>
            </w:r>
          </w:p>
        </w:tc>
        <w:tc>
          <w:tcPr>
            <w:tcW w:w="530" w:type="pct"/>
            <w:tcBorders>
              <w:right w:val="single" w:sz="18" w:space="0" w:color="auto"/>
            </w:tcBorders>
            <w:noWrap/>
            <w:vAlign w:val="center"/>
          </w:tcPr>
          <w:p w14:paraId="30091D77" w14:textId="27617FC3"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90.6</w:t>
            </w:r>
          </w:p>
        </w:tc>
        <w:tc>
          <w:tcPr>
            <w:tcW w:w="1982" w:type="pct"/>
            <w:tcBorders>
              <w:left w:val="single" w:sz="18" w:space="0" w:color="auto"/>
            </w:tcBorders>
            <w:noWrap/>
            <w:vAlign w:val="center"/>
            <w:hideMark/>
          </w:tcPr>
          <w:p w14:paraId="68BC2D6D" w14:textId="44F4AA9A" w:rsidR="0063612E" w:rsidRPr="000A4B11" w:rsidRDefault="0063612E" w:rsidP="0063612E">
            <w:pPr>
              <w:ind w:left="144"/>
              <w:rPr>
                <w:rFonts w:cstheme="minorHAnsi"/>
                <w:sz w:val="20"/>
                <w:szCs w:val="20"/>
              </w:rPr>
            </w:pPr>
            <w:r w:rsidRPr="000A4B11">
              <w:rPr>
                <w:rFonts w:cstheme="minorHAnsi"/>
                <w:sz w:val="20"/>
                <w:szCs w:val="20"/>
              </w:rPr>
              <w:t>One</w:t>
            </w:r>
            <w:r>
              <w:rPr>
                <w:rFonts w:cstheme="minorHAnsi"/>
                <w:sz w:val="20"/>
                <w:szCs w:val="20"/>
              </w:rPr>
              <w:t xml:space="preserve"> person</w:t>
            </w:r>
          </w:p>
        </w:tc>
        <w:tc>
          <w:tcPr>
            <w:tcW w:w="518" w:type="pct"/>
            <w:tcBorders>
              <w:right w:val="single" w:sz="18" w:space="0" w:color="auto"/>
            </w:tcBorders>
            <w:noWrap/>
            <w:vAlign w:val="center"/>
            <w:hideMark/>
          </w:tcPr>
          <w:p w14:paraId="1627AE94"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14.2</w:t>
            </w:r>
          </w:p>
        </w:tc>
      </w:tr>
      <w:tr w:rsidR="0063612E" w:rsidRPr="000A4B11" w14:paraId="4EFC69CD" w14:textId="77777777" w:rsidTr="00621C6D">
        <w:trPr>
          <w:trHeight w:val="20"/>
        </w:trPr>
        <w:tc>
          <w:tcPr>
            <w:tcW w:w="1970" w:type="pct"/>
            <w:tcBorders>
              <w:left w:val="single" w:sz="18" w:space="0" w:color="auto"/>
            </w:tcBorders>
            <w:noWrap/>
            <w:vAlign w:val="center"/>
          </w:tcPr>
          <w:p w14:paraId="2829E729" w14:textId="626F3142" w:rsidR="0063612E" w:rsidRPr="000A4B11" w:rsidRDefault="0063612E" w:rsidP="0063612E">
            <w:pPr>
              <w:ind w:left="144"/>
              <w:rPr>
                <w:rFonts w:cstheme="minorHAnsi"/>
                <w:sz w:val="20"/>
                <w:szCs w:val="20"/>
              </w:rPr>
            </w:pPr>
            <w:r w:rsidRPr="000A4B11">
              <w:rPr>
                <w:rFonts w:cstheme="minorHAnsi"/>
                <w:sz w:val="20"/>
                <w:szCs w:val="20"/>
              </w:rPr>
              <w:t>Part-time worker</w:t>
            </w:r>
          </w:p>
        </w:tc>
        <w:tc>
          <w:tcPr>
            <w:tcW w:w="530" w:type="pct"/>
            <w:tcBorders>
              <w:right w:val="single" w:sz="18" w:space="0" w:color="auto"/>
            </w:tcBorders>
            <w:noWrap/>
            <w:vAlign w:val="center"/>
          </w:tcPr>
          <w:p w14:paraId="6A95DCFE" w14:textId="5EC18D83" w:rsidR="0063612E" w:rsidRPr="000A4B11" w:rsidRDefault="0063612E" w:rsidP="0063612E">
            <w:pPr>
              <w:tabs>
                <w:tab w:val="decimal" w:pos="251"/>
              </w:tabs>
              <w:jc w:val="center"/>
              <w:rPr>
                <w:rFonts w:cstheme="minorHAnsi"/>
                <w:sz w:val="20"/>
                <w:szCs w:val="20"/>
                <w:lang w:eastAsia="ko-KR"/>
              </w:rPr>
            </w:pPr>
            <w:r w:rsidRPr="003014B6">
              <w:rPr>
                <w:rFonts w:cstheme="minorHAnsi"/>
                <w:color w:val="FFFFFF" w:themeColor="background1"/>
                <w:sz w:val="20"/>
                <w:szCs w:val="20"/>
              </w:rPr>
              <w:t>0</w:t>
            </w:r>
            <w:r w:rsidRPr="000A4B11">
              <w:rPr>
                <w:rFonts w:cstheme="minorHAnsi"/>
                <w:color w:val="000000"/>
                <w:sz w:val="20"/>
                <w:szCs w:val="20"/>
              </w:rPr>
              <w:t>9.4</w:t>
            </w:r>
          </w:p>
        </w:tc>
        <w:tc>
          <w:tcPr>
            <w:tcW w:w="1982" w:type="pct"/>
            <w:tcBorders>
              <w:left w:val="single" w:sz="18" w:space="0" w:color="auto"/>
            </w:tcBorders>
            <w:noWrap/>
            <w:vAlign w:val="center"/>
            <w:hideMark/>
          </w:tcPr>
          <w:p w14:paraId="124BF8F5" w14:textId="1EDF30A4" w:rsidR="0063612E" w:rsidRPr="000A4B11" w:rsidRDefault="0063612E" w:rsidP="0063612E">
            <w:pPr>
              <w:ind w:left="144"/>
              <w:rPr>
                <w:rFonts w:cstheme="minorHAnsi"/>
                <w:sz w:val="20"/>
                <w:szCs w:val="20"/>
              </w:rPr>
            </w:pPr>
            <w:r w:rsidRPr="000A4B11">
              <w:rPr>
                <w:rFonts w:cstheme="minorHAnsi"/>
                <w:sz w:val="20"/>
                <w:szCs w:val="20"/>
              </w:rPr>
              <w:t>Two</w:t>
            </w:r>
            <w:r>
              <w:rPr>
                <w:rFonts w:cstheme="minorHAnsi"/>
                <w:sz w:val="20"/>
                <w:szCs w:val="20"/>
              </w:rPr>
              <w:t xml:space="preserve"> people</w:t>
            </w:r>
          </w:p>
        </w:tc>
        <w:tc>
          <w:tcPr>
            <w:tcW w:w="518" w:type="pct"/>
            <w:tcBorders>
              <w:right w:val="single" w:sz="18" w:space="0" w:color="auto"/>
            </w:tcBorders>
            <w:noWrap/>
            <w:vAlign w:val="center"/>
            <w:hideMark/>
          </w:tcPr>
          <w:p w14:paraId="079A8C13"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19.9</w:t>
            </w:r>
          </w:p>
        </w:tc>
      </w:tr>
      <w:tr w:rsidR="0063612E" w:rsidRPr="000A4B11" w14:paraId="4C34CA07" w14:textId="77777777" w:rsidTr="00621C6D">
        <w:trPr>
          <w:trHeight w:val="20"/>
        </w:trPr>
        <w:tc>
          <w:tcPr>
            <w:tcW w:w="1970" w:type="pct"/>
            <w:tcBorders>
              <w:left w:val="single" w:sz="18" w:space="0" w:color="auto"/>
              <w:right w:val="dotted" w:sz="4" w:space="0" w:color="auto"/>
            </w:tcBorders>
            <w:noWrap/>
            <w:vAlign w:val="center"/>
          </w:tcPr>
          <w:p w14:paraId="4473C074" w14:textId="425EC0F1" w:rsidR="0063612E" w:rsidRPr="000A4B11" w:rsidRDefault="0063612E" w:rsidP="0063612E">
            <w:pPr>
              <w:rPr>
                <w:rFonts w:cstheme="minorHAnsi"/>
                <w:sz w:val="20"/>
                <w:szCs w:val="20"/>
              </w:rPr>
            </w:pPr>
            <w:r>
              <w:rPr>
                <w:rFonts w:cstheme="minorHAnsi"/>
                <w:b/>
                <w:bCs/>
                <w:sz w:val="20"/>
                <w:szCs w:val="20"/>
              </w:rPr>
              <w:t>Formal education</w:t>
            </w:r>
          </w:p>
        </w:tc>
        <w:tc>
          <w:tcPr>
            <w:tcW w:w="530" w:type="pct"/>
            <w:tcBorders>
              <w:left w:val="dotted" w:sz="4" w:space="0" w:color="auto"/>
              <w:right w:val="single" w:sz="18" w:space="0" w:color="auto"/>
            </w:tcBorders>
            <w:vAlign w:val="center"/>
          </w:tcPr>
          <w:p w14:paraId="27AAF9F5" w14:textId="77777777" w:rsidR="0063612E" w:rsidRPr="000A4B11" w:rsidRDefault="0063612E" w:rsidP="0063612E">
            <w:pPr>
              <w:tabs>
                <w:tab w:val="decimal" w:pos="251"/>
              </w:tabs>
              <w:jc w:val="center"/>
              <w:rPr>
                <w:rFonts w:cstheme="minorHAnsi"/>
                <w:sz w:val="20"/>
                <w:szCs w:val="20"/>
              </w:rPr>
            </w:pPr>
          </w:p>
        </w:tc>
        <w:tc>
          <w:tcPr>
            <w:tcW w:w="1982" w:type="pct"/>
            <w:tcBorders>
              <w:left w:val="single" w:sz="18" w:space="0" w:color="auto"/>
            </w:tcBorders>
            <w:noWrap/>
            <w:vAlign w:val="center"/>
            <w:hideMark/>
          </w:tcPr>
          <w:p w14:paraId="65440158" w14:textId="063C9CFF" w:rsidR="0063612E" w:rsidRPr="000A4B11" w:rsidRDefault="0063612E" w:rsidP="0063612E">
            <w:pPr>
              <w:ind w:left="144"/>
              <w:rPr>
                <w:rFonts w:cstheme="minorHAnsi"/>
                <w:sz w:val="20"/>
                <w:szCs w:val="20"/>
              </w:rPr>
            </w:pPr>
            <w:r w:rsidRPr="000A4B11">
              <w:rPr>
                <w:rFonts w:cstheme="minorHAnsi"/>
                <w:sz w:val="20"/>
                <w:szCs w:val="20"/>
              </w:rPr>
              <w:t>Three</w:t>
            </w:r>
            <w:r>
              <w:rPr>
                <w:rFonts w:cstheme="minorHAnsi"/>
                <w:sz w:val="20"/>
                <w:szCs w:val="20"/>
              </w:rPr>
              <w:t xml:space="preserve"> people</w:t>
            </w:r>
          </w:p>
        </w:tc>
        <w:tc>
          <w:tcPr>
            <w:tcW w:w="518" w:type="pct"/>
            <w:tcBorders>
              <w:right w:val="single" w:sz="18" w:space="0" w:color="auto"/>
            </w:tcBorders>
            <w:noWrap/>
            <w:vAlign w:val="center"/>
            <w:hideMark/>
          </w:tcPr>
          <w:p w14:paraId="7CF488E6" w14:textId="30472F8D" w:rsidR="0063612E" w:rsidRPr="000A4B11" w:rsidRDefault="0063612E" w:rsidP="0063612E">
            <w:pPr>
              <w:tabs>
                <w:tab w:val="decimal" w:pos="249"/>
              </w:tabs>
              <w:jc w:val="center"/>
              <w:rPr>
                <w:rFonts w:cstheme="minorHAnsi"/>
                <w:sz w:val="20"/>
                <w:szCs w:val="20"/>
                <w:lang w:eastAsia="ko-KR"/>
              </w:rPr>
            </w:pPr>
            <w:r>
              <w:rPr>
                <w:rFonts w:cstheme="minorHAnsi"/>
                <w:sz w:val="20"/>
                <w:szCs w:val="20"/>
                <w:lang w:eastAsia="ko-KR"/>
              </w:rPr>
              <w:t>21.0</w:t>
            </w:r>
          </w:p>
        </w:tc>
      </w:tr>
      <w:tr w:rsidR="0063612E" w:rsidRPr="000A4B11" w14:paraId="4E262626" w14:textId="77777777" w:rsidTr="0075594E">
        <w:trPr>
          <w:trHeight w:val="20"/>
        </w:trPr>
        <w:tc>
          <w:tcPr>
            <w:tcW w:w="1970" w:type="pct"/>
            <w:tcBorders>
              <w:left w:val="single" w:sz="18" w:space="0" w:color="auto"/>
              <w:right w:val="dotted" w:sz="4" w:space="0" w:color="auto"/>
            </w:tcBorders>
            <w:noWrap/>
            <w:vAlign w:val="center"/>
          </w:tcPr>
          <w:p w14:paraId="53A15020" w14:textId="481CBC09" w:rsidR="0063612E" w:rsidRPr="000A4B11" w:rsidRDefault="0063612E" w:rsidP="0063612E">
            <w:pPr>
              <w:rPr>
                <w:rFonts w:cstheme="minorHAnsi"/>
                <w:b/>
                <w:bCs/>
                <w:sz w:val="20"/>
                <w:szCs w:val="20"/>
              </w:rPr>
            </w:pPr>
            <w:r>
              <w:rPr>
                <w:rFonts w:cstheme="minorHAnsi"/>
                <w:sz w:val="20"/>
                <w:szCs w:val="20"/>
              </w:rPr>
              <w:t xml:space="preserve">   </w:t>
            </w:r>
            <w:r w:rsidRPr="000A4B11">
              <w:rPr>
                <w:rFonts w:cstheme="minorHAnsi"/>
                <w:sz w:val="20"/>
                <w:szCs w:val="20"/>
              </w:rPr>
              <w:t>High school or less</w:t>
            </w:r>
          </w:p>
        </w:tc>
        <w:tc>
          <w:tcPr>
            <w:tcW w:w="530" w:type="pct"/>
            <w:tcBorders>
              <w:left w:val="dotted" w:sz="4" w:space="0" w:color="auto"/>
              <w:right w:val="single" w:sz="18" w:space="0" w:color="auto"/>
            </w:tcBorders>
            <w:vAlign w:val="center"/>
          </w:tcPr>
          <w:p w14:paraId="6E8BC9EB" w14:textId="116680FC" w:rsidR="0063612E" w:rsidRPr="000A4B11" w:rsidRDefault="0063612E" w:rsidP="0063612E">
            <w:pPr>
              <w:tabs>
                <w:tab w:val="decimal" w:pos="0"/>
                <w:tab w:val="decimal" w:pos="251"/>
                <w:tab w:val="decimal" w:pos="611"/>
              </w:tabs>
              <w:jc w:val="center"/>
              <w:rPr>
                <w:rFonts w:cstheme="minorHAnsi"/>
                <w:sz w:val="20"/>
                <w:szCs w:val="20"/>
              </w:rPr>
            </w:pPr>
            <w:r w:rsidRPr="000A4B11">
              <w:rPr>
                <w:rFonts w:cstheme="minorHAnsi"/>
                <w:color w:val="000000"/>
                <w:sz w:val="20"/>
                <w:szCs w:val="20"/>
              </w:rPr>
              <w:t>21.1</w:t>
            </w:r>
          </w:p>
        </w:tc>
        <w:tc>
          <w:tcPr>
            <w:tcW w:w="1982" w:type="pct"/>
            <w:tcBorders>
              <w:left w:val="single" w:sz="18" w:space="0" w:color="auto"/>
            </w:tcBorders>
            <w:noWrap/>
            <w:vAlign w:val="center"/>
          </w:tcPr>
          <w:p w14:paraId="03CE249A" w14:textId="2C473361" w:rsidR="0063612E" w:rsidRPr="000A4B11" w:rsidRDefault="0063612E" w:rsidP="0063612E">
            <w:pPr>
              <w:ind w:left="144"/>
              <w:rPr>
                <w:rFonts w:cstheme="minorHAnsi"/>
                <w:sz w:val="20"/>
                <w:szCs w:val="20"/>
              </w:rPr>
            </w:pPr>
            <w:r>
              <w:rPr>
                <w:rFonts w:cstheme="minorHAnsi"/>
                <w:sz w:val="20"/>
                <w:szCs w:val="20"/>
              </w:rPr>
              <w:t xml:space="preserve">Four or more people </w:t>
            </w:r>
          </w:p>
        </w:tc>
        <w:tc>
          <w:tcPr>
            <w:tcW w:w="518" w:type="pct"/>
            <w:tcBorders>
              <w:right w:val="single" w:sz="18" w:space="0" w:color="auto"/>
            </w:tcBorders>
            <w:noWrap/>
            <w:vAlign w:val="center"/>
          </w:tcPr>
          <w:p w14:paraId="165ECE89" w14:textId="7F2B0FF5" w:rsidR="0063612E" w:rsidRPr="000A4B11" w:rsidRDefault="0063612E" w:rsidP="0063612E">
            <w:pPr>
              <w:tabs>
                <w:tab w:val="decimal" w:pos="249"/>
              </w:tabs>
              <w:jc w:val="center"/>
              <w:rPr>
                <w:rFonts w:cstheme="minorHAnsi"/>
                <w:color w:val="000000"/>
                <w:sz w:val="20"/>
                <w:szCs w:val="20"/>
              </w:rPr>
            </w:pPr>
            <w:r>
              <w:rPr>
                <w:rFonts w:cstheme="minorHAnsi"/>
                <w:color w:val="000000"/>
                <w:sz w:val="20"/>
                <w:szCs w:val="20"/>
              </w:rPr>
              <w:t>44.9</w:t>
            </w:r>
          </w:p>
        </w:tc>
      </w:tr>
      <w:tr w:rsidR="0063612E" w:rsidRPr="000A4B11" w14:paraId="1946A01C" w14:textId="77777777" w:rsidTr="004C0B0B">
        <w:trPr>
          <w:trHeight w:val="20"/>
        </w:trPr>
        <w:tc>
          <w:tcPr>
            <w:tcW w:w="1970" w:type="pct"/>
            <w:tcBorders>
              <w:left w:val="single" w:sz="18" w:space="0" w:color="auto"/>
            </w:tcBorders>
            <w:noWrap/>
            <w:vAlign w:val="center"/>
          </w:tcPr>
          <w:p w14:paraId="20374CBB" w14:textId="38232F3B"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Some college or technical school</w:t>
            </w:r>
          </w:p>
        </w:tc>
        <w:tc>
          <w:tcPr>
            <w:tcW w:w="530" w:type="pct"/>
            <w:tcBorders>
              <w:right w:val="single" w:sz="18" w:space="0" w:color="auto"/>
            </w:tcBorders>
            <w:noWrap/>
            <w:vAlign w:val="center"/>
          </w:tcPr>
          <w:p w14:paraId="048761C7" w14:textId="6AF2F78C" w:rsidR="0063612E" w:rsidRPr="000A4B11" w:rsidRDefault="0063612E" w:rsidP="0063612E">
            <w:pPr>
              <w:tabs>
                <w:tab w:val="decimal" w:pos="0"/>
                <w:tab w:val="decimal" w:pos="251"/>
                <w:tab w:val="decimal" w:pos="611"/>
              </w:tabs>
              <w:jc w:val="center"/>
              <w:rPr>
                <w:rFonts w:cstheme="minorHAnsi"/>
                <w:sz w:val="20"/>
                <w:szCs w:val="20"/>
                <w:lang w:eastAsia="ko-KR"/>
              </w:rPr>
            </w:pPr>
            <w:r w:rsidRPr="000A4B11">
              <w:rPr>
                <w:rFonts w:cstheme="minorHAnsi"/>
                <w:color w:val="000000"/>
                <w:sz w:val="20"/>
                <w:szCs w:val="20"/>
              </w:rPr>
              <w:t>24.4</w:t>
            </w:r>
          </w:p>
        </w:tc>
        <w:tc>
          <w:tcPr>
            <w:tcW w:w="1982" w:type="pct"/>
            <w:tcBorders>
              <w:left w:val="single" w:sz="18" w:space="0" w:color="auto"/>
              <w:right w:val="dotted" w:sz="4" w:space="0" w:color="auto"/>
            </w:tcBorders>
            <w:noWrap/>
            <w:vAlign w:val="center"/>
          </w:tcPr>
          <w:p w14:paraId="58BEB97A" w14:textId="77777777" w:rsidR="0063612E" w:rsidRPr="000A4B11" w:rsidRDefault="0063612E" w:rsidP="0063612E">
            <w:pPr>
              <w:rPr>
                <w:rFonts w:cstheme="minorHAnsi"/>
                <w:sz w:val="20"/>
                <w:szCs w:val="20"/>
              </w:rPr>
            </w:pPr>
            <w:r w:rsidRPr="000A4B11">
              <w:rPr>
                <w:rFonts w:cstheme="minorHAnsi"/>
                <w:b/>
                <w:bCs/>
                <w:sz w:val="20"/>
                <w:szCs w:val="20"/>
              </w:rPr>
              <w:t xml:space="preserve">Presence of children </w:t>
            </w:r>
          </w:p>
        </w:tc>
        <w:tc>
          <w:tcPr>
            <w:tcW w:w="518" w:type="pct"/>
            <w:tcBorders>
              <w:left w:val="dotted" w:sz="4" w:space="0" w:color="auto"/>
              <w:right w:val="single" w:sz="18" w:space="0" w:color="auto"/>
            </w:tcBorders>
            <w:vAlign w:val="center"/>
          </w:tcPr>
          <w:p w14:paraId="27DE6147" w14:textId="77777777" w:rsidR="0063612E" w:rsidRPr="000A4B11" w:rsidRDefault="0063612E" w:rsidP="0063612E">
            <w:pPr>
              <w:tabs>
                <w:tab w:val="decimal" w:pos="249"/>
              </w:tabs>
              <w:jc w:val="center"/>
              <w:rPr>
                <w:rFonts w:cstheme="minorHAnsi"/>
                <w:sz w:val="20"/>
                <w:szCs w:val="20"/>
              </w:rPr>
            </w:pPr>
          </w:p>
        </w:tc>
      </w:tr>
      <w:tr w:rsidR="0063612E" w:rsidRPr="000A4B11" w14:paraId="1399302E" w14:textId="77777777" w:rsidTr="004C0B0B">
        <w:trPr>
          <w:trHeight w:val="20"/>
        </w:trPr>
        <w:tc>
          <w:tcPr>
            <w:tcW w:w="1970" w:type="pct"/>
            <w:tcBorders>
              <w:left w:val="single" w:sz="18" w:space="0" w:color="auto"/>
            </w:tcBorders>
            <w:noWrap/>
            <w:vAlign w:val="center"/>
          </w:tcPr>
          <w:p w14:paraId="4579184E" w14:textId="71D9D7D5"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Bachelor’s degree(s)</w:t>
            </w:r>
          </w:p>
        </w:tc>
        <w:tc>
          <w:tcPr>
            <w:tcW w:w="530" w:type="pct"/>
            <w:tcBorders>
              <w:right w:val="single" w:sz="18" w:space="0" w:color="auto"/>
            </w:tcBorders>
            <w:noWrap/>
            <w:vAlign w:val="center"/>
          </w:tcPr>
          <w:p w14:paraId="51A642C6" w14:textId="1F366A1F" w:rsidR="0063612E" w:rsidRPr="000A4B11" w:rsidRDefault="0063612E" w:rsidP="0063612E">
            <w:pPr>
              <w:tabs>
                <w:tab w:val="decimal" w:pos="0"/>
                <w:tab w:val="decimal" w:pos="251"/>
              </w:tabs>
              <w:jc w:val="center"/>
              <w:rPr>
                <w:rFonts w:cstheme="minorHAnsi"/>
                <w:sz w:val="20"/>
                <w:szCs w:val="20"/>
                <w:lang w:eastAsia="ko-KR"/>
              </w:rPr>
            </w:pPr>
            <w:r w:rsidRPr="000A4B11">
              <w:rPr>
                <w:rFonts w:cstheme="minorHAnsi"/>
                <w:color w:val="000000"/>
                <w:sz w:val="20"/>
                <w:szCs w:val="20"/>
              </w:rPr>
              <w:t>21.4</w:t>
            </w:r>
          </w:p>
        </w:tc>
        <w:tc>
          <w:tcPr>
            <w:tcW w:w="1982" w:type="pct"/>
            <w:tcBorders>
              <w:left w:val="single" w:sz="18" w:space="0" w:color="auto"/>
            </w:tcBorders>
            <w:noWrap/>
            <w:vAlign w:val="center"/>
          </w:tcPr>
          <w:p w14:paraId="725C88FB" w14:textId="77777777" w:rsidR="0063612E" w:rsidRPr="000A4B11" w:rsidRDefault="0063612E" w:rsidP="0063612E">
            <w:pPr>
              <w:ind w:left="144"/>
              <w:rPr>
                <w:rFonts w:cstheme="minorHAnsi"/>
                <w:sz w:val="20"/>
                <w:szCs w:val="20"/>
              </w:rPr>
            </w:pPr>
            <w:r w:rsidRPr="000A4B11">
              <w:rPr>
                <w:rFonts w:cstheme="minorHAnsi"/>
                <w:sz w:val="20"/>
                <w:szCs w:val="20"/>
              </w:rPr>
              <w:t>At least one (&lt; 18 years)</w:t>
            </w:r>
          </w:p>
        </w:tc>
        <w:tc>
          <w:tcPr>
            <w:tcW w:w="518" w:type="pct"/>
            <w:tcBorders>
              <w:right w:val="single" w:sz="18" w:space="0" w:color="auto"/>
            </w:tcBorders>
            <w:noWrap/>
            <w:vAlign w:val="center"/>
          </w:tcPr>
          <w:p w14:paraId="63000A54" w14:textId="77777777" w:rsidR="0063612E" w:rsidRPr="000A4B11" w:rsidRDefault="0063612E" w:rsidP="0063612E">
            <w:pPr>
              <w:tabs>
                <w:tab w:val="decimal" w:pos="249"/>
              </w:tabs>
              <w:jc w:val="center"/>
              <w:rPr>
                <w:rFonts w:cstheme="minorHAnsi"/>
                <w:sz w:val="20"/>
                <w:szCs w:val="20"/>
              </w:rPr>
            </w:pPr>
            <w:r w:rsidRPr="000A4B11">
              <w:rPr>
                <w:rFonts w:cstheme="minorHAnsi"/>
                <w:sz w:val="20"/>
                <w:szCs w:val="20"/>
              </w:rPr>
              <w:t>59.3</w:t>
            </w:r>
          </w:p>
        </w:tc>
      </w:tr>
      <w:tr w:rsidR="0063612E" w:rsidRPr="000A4B11" w14:paraId="7DA935E7" w14:textId="77777777" w:rsidTr="0075594E">
        <w:trPr>
          <w:trHeight w:val="20"/>
        </w:trPr>
        <w:tc>
          <w:tcPr>
            <w:tcW w:w="1970" w:type="pct"/>
            <w:tcBorders>
              <w:left w:val="single" w:sz="18" w:space="0" w:color="auto"/>
            </w:tcBorders>
            <w:noWrap/>
            <w:vAlign w:val="center"/>
          </w:tcPr>
          <w:p w14:paraId="76DA0B41" w14:textId="2F5C1014"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 xml:space="preserve">Graduate degree(s) </w:t>
            </w:r>
          </w:p>
        </w:tc>
        <w:tc>
          <w:tcPr>
            <w:tcW w:w="530" w:type="pct"/>
            <w:tcBorders>
              <w:right w:val="single" w:sz="18" w:space="0" w:color="auto"/>
            </w:tcBorders>
            <w:noWrap/>
            <w:vAlign w:val="center"/>
          </w:tcPr>
          <w:p w14:paraId="25EEC5CF" w14:textId="4B94C763" w:rsidR="0063612E" w:rsidRPr="000A4B11" w:rsidRDefault="0063612E" w:rsidP="0063612E">
            <w:pPr>
              <w:tabs>
                <w:tab w:val="decimal" w:pos="251"/>
              </w:tabs>
              <w:jc w:val="center"/>
              <w:rPr>
                <w:rFonts w:cstheme="minorHAnsi"/>
                <w:sz w:val="20"/>
                <w:szCs w:val="20"/>
                <w:lang w:eastAsia="ko-KR"/>
              </w:rPr>
            </w:pPr>
            <w:r w:rsidRPr="000A4B11">
              <w:rPr>
                <w:rFonts w:cstheme="minorHAnsi"/>
                <w:color w:val="000000"/>
                <w:sz w:val="20"/>
                <w:szCs w:val="20"/>
              </w:rPr>
              <w:t>33.1</w:t>
            </w:r>
          </w:p>
        </w:tc>
        <w:tc>
          <w:tcPr>
            <w:tcW w:w="1982" w:type="pct"/>
            <w:tcBorders>
              <w:left w:val="single" w:sz="18" w:space="0" w:color="auto"/>
            </w:tcBorders>
            <w:noWrap/>
            <w:vAlign w:val="center"/>
          </w:tcPr>
          <w:p w14:paraId="54276027" w14:textId="77777777" w:rsidR="0063612E" w:rsidRPr="000A4B11" w:rsidRDefault="0063612E" w:rsidP="0063612E">
            <w:pPr>
              <w:ind w:left="144"/>
              <w:rPr>
                <w:rFonts w:cstheme="minorHAnsi"/>
                <w:sz w:val="20"/>
                <w:szCs w:val="20"/>
              </w:rPr>
            </w:pPr>
            <w:r w:rsidRPr="000A4B11">
              <w:rPr>
                <w:rFonts w:cstheme="minorHAnsi"/>
                <w:sz w:val="20"/>
                <w:szCs w:val="20"/>
              </w:rPr>
              <w:t>None</w:t>
            </w:r>
          </w:p>
        </w:tc>
        <w:tc>
          <w:tcPr>
            <w:tcW w:w="518" w:type="pct"/>
            <w:tcBorders>
              <w:right w:val="single" w:sz="18" w:space="0" w:color="auto"/>
            </w:tcBorders>
            <w:noWrap/>
            <w:vAlign w:val="center"/>
          </w:tcPr>
          <w:p w14:paraId="05A09CBA" w14:textId="77777777" w:rsidR="0063612E" w:rsidRPr="000A4B11" w:rsidRDefault="0063612E" w:rsidP="0063612E">
            <w:pPr>
              <w:tabs>
                <w:tab w:val="decimal" w:pos="249"/>
              </w:tabs>
              <w:jc w:val="center"/>
              <w:rPr>
                <w:rFonts w:cstheme="minorHAnsi"/>
                <w:sz w:val="20"/>
                <w:szCs w:val="20"/>
                <w:lang w:eastAsia="ko-KR"/>
              </w:rPr>
            </w:pPr>
            <w:r w:rsidRPr="000A4B11">
              <w:rPr>
                <w:rFonts w:cstheme="minorHAnsi"/>
                <w:sz w:val="20"/>
                <w:szCs w:val="20"/>
              </w:rPr>
              <w:t>40.7</w:t>
            </w:r>
          </w:p>
        </w:tc>
      </w:tr>
      <w:tr w:rsidR="0063612E" w:rsidRPr="000A4B11" w14:paraId="6DA19555" w14:textId="77777777" w:rsidTr="0075594E">
        <w:trPr>
          <w:trHeight w:val="20"/>
        </w:trPr>
        <w:tc>
          <w:tcPr>
            <w:tcW w:w="1970" w:type="pct"/>
            <w:tcBorders>
              <w:left w:val="single" w:sz="18" w:space="0" w:color="auto"/>
              <w:right w:val="dotted" w:sz="4" w:space="0" w:color="auto"/>
            </w:tcBorders>
            <w:noWrap/>
            <w:vAlign w:val="center"/>
          </w:tcPr>
          <w:p w14:paraId="3E898C97" w14:textId="25B1FA95" w:rsidR="0063612E" w:rsidRDefault="0063612E" w:rsidP="0063612E">
            <w:pPr>
              <w:rPr>
                <w:rFonts w:cstheme="minorHAnsi"/>
                <w:sz w:val="20"/>
                <w:szCs w:val="20"/>
              </w:rPr>
            </w:pPr>
            <w:r w:rsidRPr="000A4B11">
              <w:rPr>
                <w:rFonts w:cstheme="minorHAnsi"/>
                <w:b/>
                <w:bCs/>
                <w:sz w:val="20"/>
                <w:szCs w:val="20"/>
              </w:rPr>
              <w:t>Race</w:t>
            </w:r>
          </w:p>
        </w:tc>
        <w:tc>
          <w:tcPr>
            <w:tcW w:w="530" w:type="pct"/>
            <w:tcBorders>
              <w:left w:val="dotted" w:sz="4" w:space="0" w:color="auto"/>
              <w:right w:val="single" w:sz="18" w:space="0" w:color="auto"/>
            </w:tcBorders>
            <w:vAlign w:val="center"/>
          </w:tcPr>
          <w:p w14:paraId="3DE34802" w14:textId="1CC75375" w:rsidR="0063612E" w:rsidRPr="000A4B11" w:rsidRDefault="0063612E" w:rsidP="0063612E">
            <w:pPr>
              <w:tabs>
                <w:tab w:val="decimal" w:pos="251"/>
              </w:tabs>
              <w:jc w:val="center"/>
              <w:rPr>
                <w:rFonts w:cstheme="minorHAnsi"/>
                <w:color w:val="000000"/>
                <w:sz w:val="20"/>
                <w:szCs w:val="20"/>
              </w:rPr>
            </w:pPr>
          </w:p>
        </w:tc>
        <w:tc>
          <w:tcPr>
            <w:tcW w:w="1982" w:type="pct"/>
            <w:tcBorders>
              <w:left w:val="single" w:sz="18" w:space="0" w:color="auto"/>
            </w:tcBorders>
            <w:noWrap/>
            <w:vAlign w:val="center"/>
          </w:tcPr>
          <w:p w14:paraId="534E55AF" w14:textId="6BB35925" w:rsidR="0063612E" w:rsidRPr="000A4B11" w:rsidRDefault="0063612E" w:rsidP="0063612E">
            <w:pPr>
              <w:rPr>
                <w:rFonts w:cstheme="minorHAnsi"/>
                <w:b/>
                <w:bCs/>
                <w:sz w:val="20"/>
                <w:szCs w:val="20"/>
              </w:rPr>
            </w:pPr>
            <w:r>
              <w:rPr>
                <w:rFonts w:cstheme="minorHAnsi"/>
                <w:b/>
                <w:bCs/>
                <w:sz w:val="20"/>
                <w:szCs w:val="20"/>
              </w:rPr>
              <w:t>Number of workers</w:t>
            </w:r>
          </w:p>
        </w:tc>
        <w:tc>
          <w:tcPr>
            <w:tcW w:w="518" w:type="pct"/>
            <w:tcBorders>
              <w:right w:val="single" w:sz="18" w:space="0" w:color="auto"/>
            </w:tcBorders>
            <w:noWrap/>
            <w:vAlign w:val="center"/>
          </w:tcPr>
          <w:p w14:paraId="7F39F60F" w14:textId="77777777" w:rsidR="0063612E" w:rsidRPr="000A4B11" w:rsidRDefault="0063612E" w:rsidP="0063612E">
            <w:pPr>
              <w:tabs>
                <w:tab w:val="decimal" w:pos="249"/>
              </w:tabs>
              <w:jc w:val="center"/>
              <w:rPr>
                <w:rFonts w:cstheme="minorHAnsi"/>
                <w:sz w:val="20"/>
                <w:szCs w:val="20"/>
                <w:lang w:eastAsia="ko-KR"/>
              </w:rPr>
            </w:pPr>
          </w:p>
        </w:tc>
      </w:tr>
      <w:tr w:rsidR="0063612E" w:rsidRPr="000A4B11" w14:paraId="277F4417" w14:textId="77777777" w:rsidTr="0075594E">
        <w:trPr>
          <w:trHeight w:val="20"/>
        </w:trPr>
        <w:tc>
          <w:tcPr>
            <w:tcW w:w="1970" w:type="pct"/>
            <w:tcBorders>
              <w:left w:val="single" w:sz="18" w:space="0" w:color="auto"/>
              <w:right w:val="dotted" w:sz="4" w:space="0" w:color="auto"/>
            </w:tcBorders>
            <w:noWrap/>
            <w:vAlign w:val="center"/>
          </w:tcPr>
          <w:p w14:paraId="6AEACFB1" w14:textId="37E6E2E6" w:rsidR="0063612E"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Asian or Pacific Islander</w:t>
            </w:r>
          </w:p>
        </w:tc>
        <w:tc>
          <w:tcPr>
            <w:tcW w:w="530" w:type="pct"/>
            <w:tcBorders>
              <w:left w:val="dotted" w:sz="4" w:space="0" w:color="auto"/>
              <w:right w:val="single" w:sz="18" w:space="0" w:color="auto"/>
            </w:tcBorders>
            <w:vAlign w:val="center"/>
          </w:tcPr>
          <w:p w14:paraId="4D2EB635" w14:textId="2F9B50F2" w:rsidR="0063612E" w:rsidRPr="000A4B11" w:rsidRDefault="0063612E" w:rsidP="0063612E">
            <w:pPr>
              <w:tabs>
                <w:tab w:val="decimal" w:pos="251"/>
              </w:tabs>
              <w:jc w:val="center"/>
              <w:rPr>
                <w:rFonts w:cstheme="minorHAnsi"/>
                <w:color w:val="000000"/>
                <w:sz w:val="20"/>
                <w:szCs w:val="20"/>
              </w:rPr>
            </w:pPr>
            <w:r w:rsidRPr="000A4B11">
              <w:rPr>
                <w:rFonts w:cstheme="minorHAnsi"/>
                <w:color w:val="000000"/>
                <w:sz w:val="20"/>
                <w:szCs w:val="20"/>
              </w:rPr>
              <w:t>5.9</w:t>
            </w:r>
          </w:p>
        </w:tc>
        <w:tc>
          <w:tcPr>
            <w:tcW w:w="1982" w:type="pct"/>
            <w:tcBorders>
              <w:left w:val="single" w:sz="18" w:space="0" w:color="auto"/>
            </w:tcBorders>
            <w:noWrap/>
            <w:vAlign w:val="center"/>
          </w:tcPr>
          <w:p w14:paraId="1410E14E" w14:textId="16E49070" w:rsidR="0063612E" w:rsidRPr="00B53C37" w:rsidRDefault="0063612E" w:rsidP="0063612E">
            <w:pPr>
              <w:rPr>
                <w:rFonts w:cstheme="minorHAnsi"/>
                <w:sz w:val="20"/>
                <w:szCs w:val="20"/>
              </w:rPr>
            </w:pPr>
            <w:r>
              <w:rPr>
                <w:rFonts w:cstheme="minorHAnsi"/>
                <w:sz w:val="20"/>
                <w:szCs w:val="20"/>
              </w:rPr>
              <w:t xml:space="preserve">   Single-worker household</w:t>
            </w:r>
          </w:p>
        </w:tc>
        <w:tc>
          <w:tcPr>
            <w:tcW w:w="518" w:type="pct"/>
            <w:tcBorders>
              <w:right w:val="single" w:sz="18" w:space="0" w:color="auto"/>
            </w:tcBorders>
            <w:noWrap/>
            <w:vAlign w:val="center"/>
          </w:tcPr>
          <w:p w14:paraId="66A01CD7" w14:textId="2054B4D2" w:rsidR="0063612E" w:rsidRPr="000A4B11" w:rsidRDefault="00E860B3" w:rsidP="0063612E">
            <w:pPr>
              <w:tabs>
                <w:tab w:val="decimal" w:pos="249"/>
              </w:tabs>
              <w:jc w:val="center"/>
              <w:rPr>
                <w:rFonts w:cstheme="minorHAnsi"/>
                <w:sz w:val="20"/>
                <w:szCs w:val="20"/>
                <w:lang w:eastAsia="ko-KR"/>
              </w:rPr>
            </w:pPr>
            <w:r>
              <w:rPr>
                <w:rFonts w:cstheme="minorHAnsi"/>
                <w:sz w:val="20"/>
                <w:szCs w:val="20"/>
                <w:lang w:eastAsia="ko-KR"/>
              </w:rPr>
              <w:t>42.3</w:t>
            </w:r>
          </w:p>
        </w:tc>
      </w:tr>
      <w:tr w:rsidR="0063612E" w:rsidRPr="000A4B11" w14:paraId="1CE37473" w14:textId="77777777" w:rsidTr="0075594E">
        <w:trPr>
          <w:trHeight w:val="20"/>
        </w:trPr>
        <w:tc>
          <w:tcPr>
            <w:tcW w:w="1970" w:type="pct"/>
            <w:tcBorders>
              <w:left w:val="single" w:sz="18" w:space="0" w:color="auto"/>
              <w:right w:val="dotted" w:sz="4" w:space="0" w:color="auto"/>
            </w:tcBorders>
            <w:noWrap/>
            <w:vAlign w:val="center"/>
          </w:tcPr>
          <w:p w14:paraId="5863F3FB" w14:textId="747D2103" w:rsidR="0063612E"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Black</w:t>
            </w:r>
          </w:p>
        </w:tc>
        <w:tc>
          <w:tcPr>
            <w:tcW w:w="530" w:type="pct"/>
            <w:tcBorders>
              <w:left w:val="dotted" w:sz="4" w:space="0" w:color="auto"/>
              <w:right w:val="single" w:sz="18" w:space="0" w:color="auto"/>
            </w:tcBorders>
            <w:vAlign w:val="center"/>
          </w:tcPr>
          <w:p w14:paraId="0D93C4EB" w14:textId="7F686CC4" w:rsidR="0063612E" w:rsidRPr="000A4B11" w:rsidRDefault="0063612E" w:rsidP="0063612E">
            <w:pPr>
              <w:tabs>
                <w:tab w:val="decimal" w:pos="251"/>
              </w:tabs>
              <w:jc w:val="center"/>
              <w:rPr>
                <w:rFonts w:cstheme="minorHAnsi"/>
                <w:color w:val="000000"/>
                <w:sz w:val="20"/>
                <w:szCs w:val="20"/>
              </w:rPr>
            </w:pPr>
            <w:r w:rsidRPr="000A4B11">
              <w:rPr>
                <w:rFonts w:cstheme="minorHAnsi"/>
                <w:color w:val="000000"/>
                <w:sz w:val="20"/>
                <w:szCs w:val="20"/>
              </w:rPr>
              <w:t>17.9</w:t>
            </w:r>
          </w:p>
        </w:tc>
        <w:tc>
          <w:tcPr>
            <w:tcW w:w="1982" w:type="pct"/>
            <w:tcBorders>
              <w:left w:val="single" w:sz="18" w:space="0" w:color="auto"/>
            </w:tcBorders>
            <w:noWrap/>
            <w:vAlign w:val="center"/>
          </w:tcPr>
          <w:p w14:paraId="78F631F3" w14:textId="4477B16D" w:rsidR="0063612E" w:rsidRPr="00B53C37" w:rsidRDefault="0063612E" w:rsidP="0063612E">
            <w:pPr>
              <w:rPr>
                <w:rFonts w:cstheme="minorHAnsi"/>
                <w:sz w:val="20"/>
                <w:szCs w:val="20"/>
              </w:rPr>
            </w:pPr>
            <w:r>
              <w:rPr>
                <w:rFonts w:cstheme="minorHAnsi"/>
                <w:sz w:val="20"/>
                <w:szCs w:val="20"/>
              </w:rPr>
              <w:t xml:space="preserve">   Multiple-worker household</w:t>
            </w:r>
          </w:p>
        </w:tc>
        <w:tc>
          <w:tcPr>
            <w:tcW w:w="518" w:type="pct"/>
            <w:tcBorders>
              <w:right w:val="single" w:sz="18" w:space="0" w:color="auto"/>
            </w:tcBorders>
            <w:noWrap/>
            <w:vAlign w:val="center"/>
          </w:tcPr>
          <w:p w14:paraId="17E73B87" w14:textId="64C395F7" w:rsidR="0063612E" w:rsidRPr="000A4B11" w:rsidRDefault="00E860B3" w:rsidP="0063612E">
            <w:pPr>
              <w:tabs>
                <w:tab w:val="decimal" w:pos="249"/>
              </w:tabs>
              <w:jc w:val="center"/>
              <w:rPr>
                <w:rFonts w:cstheme="minorHAnsi"/>
                <w:sz w:val="20"/>
                <w:szCs w:val="20"/>
                <w:lang w:eastAsia="ko-KR"/>
              </w:rPr>
            </w:pPr>
            <w:r>
              <w:rPr>
                <w:rFonts w:cstheme="minorHAnsi"/>
                <w:sz w:val="20"/>
                <w:szCs w:val="20"/>
                <w:lang w:eastAsia="ko-KR"/>
              </w:rPr>
              <w:t>57.7</w:t>
            </w:r>
          </w:p>
        </w:tc>
      </w:tr>
      <w:tr w:rsidR="0063612E" w:rsidRPr="000A4B11" w14:paraId="62C4409A" w14:textId="77777777" w:rsidTr="0075594E">
        <w:trPr>
          <w:trHeight w:val="20"/>
        </w:trPr>
        <w:tc>
          <w:tcPr>
            <w:tcW w:w="1970" w:type="pct"/>
            <w:tcBorders>
              <w:left w:val="single" w:sz="18" w:space="0" w:color="auto"/>
              <w:right w:val="dotted" w:sz="4" w:space="0" w:color="auto"/>
            </w:tcBorders>
            <w:noWrap/>
            <w:vAlign w:val="center"/>
          </w:tcPr>
          <w:p w14:paraId="5F85D0CF" w14:textId="3EF55857"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 xml:space="preserve">White </w:t>
            </w:r>
          </w:p>
        </w:tc>
        <w:tc>
          <w:tcPr>
            <w:tcW w:w="530" w:type="pct"/>
            <w:tcBorders>
              <w:left w:val="dotted" w:sz="4" w:space="0" w:color="auto"/>
              <w:right w:val="single" w:sz="18" w:space="0" w:color="auto"/>
            </w:tcBorders>
            <w:vAlign w:val="center"/>
          </w:tcPr>
          <w:p w14:paraId="2BA872A3" w14:textId="79C3A5F9" w:rsidR="0063612E" w:rsidRPr="000A4B11" w:rsidRDefault="0063612E" w:rsidP="0063612E">
            <w:pPr>
              <w:tabs>
                <w:tab w:val="decimal" w:pos="251"/>
              </w:tabs>
              <w:jc w:val="center"/>
              <w:rPr>
                <w:rFonts w:cstheme="minorHAnsi"/>
                <w:sz w:val="20"/>
                <w:szCs w:val="20"/>
              </w:rPr>
            </w:pPr>
            <w:r w:rsidRPr="000A4B11">
              <w:rPr>
                <w:rFonts w:cstheme="minorHAnsi"/>
                <w:color w:val="000000"/>
                <w:sz w:val="20"/>
                <w:szCs w:val="20"/>
              </w:rPr>
              <w:t>66.0</w:t>
            </w:r>
          </w:p>
        </w:tc>
        <w:tc>
          <w:tcPr>
            <w:tcW w:w="1982" w:type="pct"/>
            <w:tcBorders>
              <w:left w:val="single" w:sz="18" w:space="0" w:color="auto"/>
            </w:tcBorders>
            <w:noWrap/>
            <w:vAlign w:val="center"/>
          </w:tcPr>
          <w:p w14:paraId="78429E18" w14:textId="77777777" w:rsidR="0063612E" w:rsidRPr="000A4B11" w:rsidRDefault="0063612E" w:rsidP="0063612E">
            <w:pPr>
              <w:rPr>
                <w:rFonts w:cstheme="minorHAnsi"/>
                <w:sz w:val="20"/>
                <w:szCs w:val="20"/>
              </w:rPr>
            </w:pPr>
            <w:r w:rsidRPr="000A4B11">
              <w:rPr>
                <w:rFonts w:cstheme="minorHAnsi"/>
                <w:b/>
                <w:bCs/>
                <w:sz w:val="20"/>
                <w:szCs w:val="20"/>
              </w:rPr>
              <w:t>Housing unit type</w:t>
            </w:r>
          </w:p>
        </w:tc>
        <w:tc>
          <w:tcPr>
            <w:tcW w:w="518" w:type="pct"/>
            <w:tcBorders>
              <w:right w:val="single" w:sz="18" w:space="0" w:color="auto"/>
            </w:tcBorders>
            <w:noWrap/>
            <w:vAlign w:val="center"/>
          </w:tcPr>
          <w:p w14:paraId="2EB7F87B" w14:textId="77777777" w:rsidR="0063612E" w:rsidRPr="000A4B11" w:rsidRDefault="0063612E" w:rsidP="0063612E">
            <w:pPr>
              <w:tabs>
                <w:tab w:val="decimal" w:pos="249"/>
              </w:tabs>
              <w:jc w:val="center"/>
              <w:rPr>
                <w:rFonts w:cstheme="minorHAnsi"/>
                <w:sz w:val="20"/>
                <w:szCs w:val="20"/>
                <w:lang w:eastAsia="ko-KR"/>
              </w:rPr>
            </w:pPr>
          </w:p>
        </w:tc>
      </w:tr>
      <w:tr w:rsidR="0063612E" w:rsidRPr="000A4B11" w14:paraId="2AFA22A9" w14:textId="77777777" w:rsidTr="0075594E">
        <w:trPr>
          <w:trHeight w:val="20"/>
        </w:trPr>
        <w:tc>
          <w:tcPr>
            <w:tcW w:w="1970" w:type="pct"/>
            <w:tcBorders>
              <w:left w:val="single" w:sz="18" w:space="0" w:color="auto"/>
            </w:tcBorders>
            <w:noWrap/>
            <w:vAlign w:val="center"/>
          </w:tcPr>
          <w:p w14:paraId="1DEF3D72" w14:textId="61C32B67" w:rsidR="0063612E" w:rsidRPr="000A4B11" w:rsidRDefault="0063612E" w:rsidP="0063612E">
            <w:pPr>
              <w:ind w:left="144"/>
              <w:rPr>
                <w:rFonts w:cstheme="minorHAnsi"/>
                <w:sz w:val="20"/>
                <w:szCs w:val="20"/>
              </w:rPr>
            </w:pPr>
            <w:r w:rsidRPr="000A4B11">
              <w:rPr>
                <w:rFonts w:cstheme="minorHAnsi"/>
                <w:sz w:val="20"/>
                <w:szCs w:val="20"/>
              </w:rPr>
              <w:t>Other</w:t>
            </w:r>
          </w:p>
        </w:tc>
        <w:tc>
          <w:tcPr>
            <w:tcW w:w="530" w:type="pct"/>
            <w:tcBorders>
              <w:right w:val="single" w:sz="18" w:space="0" w:color="auto"/>
            </w:tcBorders>
            <w:noWrap/>
            <w:vAlign w:val="center"/>
          </w:tcPr>
          <w:p w14:paraId="7E150EA9" w14:textId="176508A1" w:rsidR="0063612E" w:rsidRPr="000A4B11" w:rsidRDefault="0063612E" w:rsidP="0063612E">
            <w:pPr>
              <w:tabs>
                <w:tab w:val="decimal" w:pos="251"/>
              </w:tabs>
              <w:jc w:val="center"/>
              <w:rPr>
                <w:rFonts w:cstheme="minorHAnsi"/>
                <w:sz w:val="20"/>
                <w:szCs w:val="20"/>
              </w:rPr>
            </w:pPr>
            <w:r w:rsidRPr="000A4B11">
              <w:rPr>
                <w:rFonts w:cstheme="minorHAnsi"/>
                <w:color w:val="000000"/>
                <w:sz w:val="20"/>
                <w:szCs w:val="20"/>
              </w:rPr>
              <w:t>10.2</w:t>
            </w:r>
          </w:p>
        </w:tc>
        <w:tc>
          <w:tcPr>
            <w:tcW w:w="1982" w:type="pct"/>
            <w:tcBorders>
              <w:left w:val="single" w:sz="18" w:space="0" w:color="auto"/>
              <w:right w:val="dotted" w:sz="4" w:space="0" w:color="auto"/>
            </w:tcBorders>
            <w:noWrap/>
            <w:vAlign w:val="center"/>
          </w:tcPr>
          <w:p w14:paraId="08E057D8" w14:textId="77777777" w:rsidR="0063612E" w:rsidRPr="000A4B11" w:rsidRDefault="0063612E" w:rsidP="0063612E">
            <w:pPr>
              <w:ind w:left="144"/>
              <w:rPr>
                <w:rFonts w:cstheme="minorHAnsi"/>
                <w:sz w:val="20"/>
                <w:szCs w:val="20"/>
              </w:rPr>
            </w:pPr>
            <w:r w:rsidRPr="000A4B11">
              <w:rPr>
                <w:rFonts w:cstheme="minorHAnsi"/>
                <w:sz w:val="20"/>
                <w:szCs w:val="20"/>
              </w:rPr>
              <w:t>Stand-alone home</w:t>
            </w:r>
          </w:p>
        </w:tc>
        <w:tc>
          <w:tcPr>
            <w:tcW w:w="518" w:type="pct"/>
            <w:tcBorders>
              <w:left w:val="dotted" w:sz="4" w:space="0" w:color="auto"/>
              <w:right w:val="single" w:sz="18" w:space="0" w:color="auto"/>
            </w:tcBorders>
            <w:vAlign w:val="center"/>
          </w:tcPr>
          <w:p w14:paraId="2196A30E" w14:textId="77777777" w:rsidR="0063612E" w:rsidRPr="000A4B11" w:rsidRDefault="0063612E" w:rsidP="0063612E">
            <w:pPr>
              <w:tabs>
                <w:tab w:val="decimal" w:pos="249"/>
              </w:tabs>
              <w:jc w:val="center"/>
              <w:rPr>
                <w:rFonts w:cstheme="minorHAnsi"/>
                <w:sz w:val="20"/>
                <w:szCs w:val="20"/>
              </w:rPr>
            </w:pPr>
            <w:r w:rsidRPr="000A4B11">
              <w:rPr>
                <w:rFonts w:cstheme="minorHAnsi"/>
                <w:color w:val="000000"/>
                <w:sz w:val="20"/>
                <w:szCs w:val="20"/>
              </w:rPr>
              <w:t>76.1</w:t>
            </w:r>
          </w:p>
        </w:tc>
      </w:tr>
      <w:tr w:rsidR="0063612E" w:rsidRPr="000A4B11" w14:paraId="1B15777E" w14:textId="77777777" w:rsidTr="0075594E">
        <w:trPr>
          <w:trHeight w:val="20"/>
        </w:trPr>
        <w:tc>
          <w:tcPr>
            <w:tcW w:w="1970" w:type="pct"/>
            <w:tcBorders>
              <w:left w:val="single" w:sz="18" w:space="0" w:color="auto"/>
            </w:tcBorders>
            <w:noWrap/>
            <w:vAlign w:val="center"/>
          </w:tcPr>
          <w:p w14:paraId="59106750" w14:textId="1A08C5C8" w:rsidR="0063612E" w:rsidRPr="000A4B11" w:rsidRDefault="0063612E" w:rsidP="0063612E">
            <w:pPr>
              <w:rPr>
                <w:rFonts w:cstheme="minorHAnsi"/>
                <w:sz w:val="20"/>
                <w:szCs w:val="20"/>
              </w:rPr>
            </w:pPr>
            <w:r w:rsidRPr="000A4B11">
              <w:rPr>
                <w:rFonts w:cstheme="minorHAnsi"/>
                <w:b/>
                <w:bCs/>
                <w:sz w:val="20"/>
                <w:szCs w:val="20"/>
              </w:rPr>
              <w:t>Ethnicity</w:t>
            </w:r>
          </w:p>
        </w:tc>
        <w:tc>
          <w:tcPr>
            <w:tcW w:w="530" w:type="pct"/>
            <w:tcBorders>
              <w:right w:val="single" w:sz="18" w:space="0" w:color="auto"/>
            </w:tcBorders>
            <w:noWrap/>
            <w:vAlign w:val="center"/>
          </w:tcPr>
          <w:p w14:paraId="6558518F" w14:textId="1352E89A" w:rsidR="0063612E" w:rsidRPr="000A4B11" w:rsidRDefault="0063612E" w:rsidP="0063612E">
            <w:pPr>
              <w:tabs>
                <w:tab w:val="decimal" w:pos="251"/>
              </w:tabs>
              <w:jc w:val="center"/>
              <w:rPr>
                <w:rFonts w:cstheme="minorHAnsi"/>
                <w:sz w:val="20"/>
                <w:szCs w:val="20"/>
              </w:rPr>
            </w:pPr>
          </w:p>
        </w:tc>
        <w:tc>
          <w:tcPr>
            <w:tcW w:w="1982" w:type="pct"/>
            <w:tcBorders>
              <w:left w:val="single" w:sz="18" w:space="0" w:color="auto"/>
              <w:right w:val="dotted" w:sz="4" w:space="0" w:color="auto"/>
            </w:tcBorders>
            <w:noWrap/>
            <w:vAlign w:val="center"/>
          </w:tcPr>
          <w:p w14:paraId="083DD190" w14:textId="77777777" w:rsidR="0063612E" w:rsidRPr="000A4B11" w:rsidRDefault="0063612E" w:rsidP="0063612E">
            <w:pPr>
              <w:ind w:left="144"/>
              <w:rPr>
                <w:rFonts w:cstheme="minorHAnsi"/>
                <w:sz w:val="20"/>
                <w:szCs w:val="20"/>
              </w:rPr>
            </w:pPr>
            <w:r w:rsidRPr="000A4B11">
              <w:rPr>
                <w:rFonts w:cstheme="minorHAnsi"/>
                <w:sz w:val="20"/>
                <w:szCs w:val="20"/>
              </w:rPr>
              <w:t>Attached home/apartment</w:t>
            </w:r>
          </w:p>
        </w:tc>
        <w:tc>
          <w:tcPr>
            <w:tcW w:w="518" w:type="pct"/>
            <w:tcBorders>
              <w:left w:val="dotted" w:sz="4" w:space="0" w:color="auto"/>
              <w:right w:val="single" w:sz="18" w:space="0" w:color="auto"/>
            </w:tcBorders>
            <w:vAlign w:val="center"/>
          </w:tcPr>
          <w:p w14:paraId="469D4965" w14:textId="77777777" w:rsidR="0063612E" w:rsidRPr="000A4B11" w:rsidRDefault="0063612E" w:rsidP="0063612E">
            <w:pPr>
              <w:tabs>
                <w:tab w:val="decimal" w:pos="249"/>
              </w:tabs>
              <w:jc w:val="center"/>
              <w:rPr>
                <w:rFonts w:cstheme="minorHAnsi"/>
                <w:sz w:val="20"/>
                <w:szCs w:val="20"/>
                <w:lang w:eastAsia="ko-KR"/>
              </w:rPr>
            </w:pPr>
            <w:r w:rsidRPr="000A4B11">
              <w:rPr>
                <w:rFonts w:cstheme="minorHAnsi"/>
                <w:color w:val="000000"/>
                <w:sz w:val="20"/>
                <w:szCs w:val="20"/>
              </w:rPr>
              <w:t>22.3</w:t>
            </w:r>
          </w:p>
        </w:tc>
      </w:tr>
      <w:tr w:rsidR="0063612E" w:rsidRPr="000A4B11" w14:paraId="684DBA72" w14:textId="77777777" w:rsidTr="0075594E">
        <w:trPr>
          <w:trHeight w:val="20"/>
        </w:trPr>
        <w:tc>
          <w:tcPr>
            <w:tcW w:w="1970" w:type="pct"/>
            <w:tcBorders>
              <w:left w:val="single" w:sz="18" w:space="0" w:color="auto"/>
            </w:tcBorders>
            <w:noWrap/>
            <w:vAlign w:val="center"/>
          </w:tcPr>
          <w:p w14:paraId="2195E169" w14:textId="5D985376"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Hispanic</w:t>
            </w:r>
          </w:p>
        </w:tc>
        <w:tc>
          <w:tcPr>
            <w:tcW w:w="530" w:type="pct"/>
            <w:tcBorders>
              <w:right w:val="single" w:sz="18" w:space="0" w:color="auto"/>
            </w:tcBorders>
            <w:noWrap/>
            <w:vAlign w:val="center"/>
          </w:tcPr>
          <w:p w14:paraId="0DF53B4F" w14:textId="37C6AC7C" w:rsidR="0063612E" w:rsidRPr="000A4B11" w:rsidRDefault="0063612E" w:rsidP="0063612E">
            <w:pPr>
              <w:tabs>
                <w:tab w:val="decimal" w:pos="251"/>
              </w:tabs>
              <w:jc w:val="center"/>
              <w:rPr>
                <w:rFonts w:cstheme="minorHAnsi"/>
                <w:sz w:val="20"/>
                <w:szCs w:val="20"/>
              </w:rPr>
            </w:pPr>
            <w:r w:rsidRPr="000A4B11">
              <w:rPr>
                <w:rFonts w:cstheme="minorHAnsi"/>
                <w:color w:val="000000"/>
                <w:sz w:val="20"/>
                <w:szCs w:val="20"/>
              </w:rPr>
              <w:t>26.0</w:t>
            </w:r>
          </w:p>
        </w:tc>
        <w:tc>
          <w:tcPr>
            <w:tcW w:w="1982" w:type="pct"/>
            <w:tcBorders>
              <w:left w:val="single" w:sz="18" w:space="0" w:color="auto"/>
            </w:tcBorders>
            <w:noWrap/>
            <w:vAlign w:val="center"/>
          </w:tcPr>
          <w:p w14:paraId="13F10817" w14:textId="77777777" w:rsidR="0063612E" w:rsidRPr="000A4B11" w:rsidRDefault="0063612E" w:rsidP="0063612E">
            <w:pPr>
              <w:ind w:left="144"/>
              <w:rPr>
                <w:rFonts w:cstheme="minorHAnsi"/>
                <w:sz w:val="20"/>
                <w:szCs w:val="20"/>
              </w:rPr>
            </w:pPr>
            <w:r w:rsidRPr="000A4B11">
              <w:rPr>
                <w:rFonts w:cstheme="minorHAnsi"/>
                <w:sz w:val="20"/>
                <w:szCs w:val="20"/>
              </w:rPr>
              <w:t>Other</w:t>
            </w:r>
          </w:p>
        </w:tc>
        <w:tc>
          <w:tcPr>
            <w:tcW w:w="518" w:type="pct"/>
            <w:tcBorders>
              <w:right w:val="single" w:sz="18" w:space="0" w:color="auto"/>
            </w:tcBorders>
            <w:noWrap/>
            <w:vAlign w:val="center"/>
          </w:tcPr>
          <w:p w14:paraId="20D00B49" w14:textId="77777777" w:rsidR="0063612E" w:rsidRPr="000A4B11" w:rsidRDefault="0063612E" w:rsidP="0063612E">
            <w:pPr>
              <w:tabs>
                <w:tab w:val="decimal" w:pos="249"/>
              </w:tabs>
              <w:jc w:val="center"/>
              <w:rPr>
                <w:rFonts w:cstheme="minorHAnsi"/>
                <w:sz w:val="20"/>
                <w:szCs w:val="20"/>
                <w:lang w:eastAsia="ko-KR"/>
              </w:rPr>
            </w:pPr>
            <w:r w:rsidRPr="000A4B11">
              <w:rPr>
                <w:rFonts w:cstheme="minorHAnsi"/>
                <w:color w:val="000000"/>
                <w:sz w:val="20"/>
                <w:szCs w:val="20"/>
              </w:rPr>
              <w:t>1.6</w:t>
            </w:r>
          </w:p>
        </w:tc>
      </w:tr>
      <w:tr w:rsidR="0063612E" w:rsidRPr="000A4B11" w14:paraId="7E4BCCA9" w14:textId="77777777" w:rsidTr="00E860B3">
        <w:trPr>
          <w:trHeight w:val="20"/>
        </w:trPr>
        <w:tc>
          <w:tcPr>
            <w:tcW w:w="1970" w:type="pct"/>
            <w:tcBorders>
              <w:left w:val="single" w:sz="18" w:space="0" w:color="auto"/>
              <w:bottom w:val="dotted" w:sz="4" w:space="0" w:color="auto"/>
            </w:tcBorders>
            <w:noWrap/>
            <w:vAlign w:val="center"/>
          </w:tcPr>
          <w:p w14:paraId="08F699D5" w14:textId="5BD3E9FC" w:rsidR="0063612E" w:rsidRPr="000A4B11" w:rsidRDefault="0063612E" w:rsidP="0063612E">
            <w:pPr>
              <w:rPr>
                <w:rFonts w:cstheme="minorHAnsi"/>
                <w:sz w:val="20"/>
                <w:szCs w:val="20"/>
              </w:rPr>
            </w:pPr>
            <w:r>
              <w:rPr>
                <w:rFonts w:cstheme="minorHAnsi"/>
                <w:sz w:val="20"/>
                <w:szCs w:val="20"/>
              </w:rPr>
              <w:t xml:space="preserve">   </w:t>
            </w:r>
            <w:r w:rsidRPr="000A4B11">
              <w:rPr>
                <w:rFonts w:cstheme="minorHAnsi"/>
                <w:sz w:val="20"/>
                <w:szCs w:val="20"/>
              </w:rPr>
              <w:t>Non-Hispanic</w:t>
            </w:r>
          </w:p>
        </w:tc>
        <w:tc>
          <w:tcPr>
            <w:tcW w:w="530" w:type="pct"/>
            <w:tcBorders>
              <w:bottom w:val="dotted" w:sz="4" w:space="0" w:color="auto"/>
              <w:right w:val="single" w:sz="18" w:space="0" w:color="auto"/>
            </w:tcBorders>
            <w:noWrap/>
            <w:vAlign w:val="center"/>
          </w:tcPr>
          <w:p w14:paraId="777841DD" w14:textId="6BC459B0" w:rsidR="0063612E" w:rsidRPr="000A4B11" w:rsidRDefault="0063612E" w:rsidP="0063612E">
            <w:pPr>
              <w:tabs>
                <w:tab w:val="decimal" w:pos="251"/>
              </w:tabs>
              <w:jc w:val="center"/>
              <w:rPr>
                <w:rFonts w:cstheme="minorHAnsi"/>
                <w:sz w:val="20"/>
                <w:szCs w:val="20"/>
              </w:rPr>
            </w:pPr>
            <w:r w:rsidRPr="000A4B11">
              <w:rPr>
                <w:rFonts w:cstheme="minorHAnsi"/>
                <w:color w:val="000000"/>
                <w:sz w:val="20"/>
                <w:szCs w:val="20"/>
              </w:rPr>
              <w:t>74.0</w:t>
            </w:r>
          </w:p>
        </w:tc>
        <w:tc>
          <w:tcPr>
            <w:tcW w:w="1982" w:type="pct"/>
            <w:tcBorders>
              <w:left w:val="single" w:sz="18" w:space="0" w:color="auto"/>
            </w:tcBorders>
            <w:noWrap/>
            <w:vAlign w:val="center"/>
          </w:tcPr>
          <w:p w14:paraId="5B83B20C" w14:textId="77777777" w:rsidR="0063612E" w:rsidRPr="000A4B11" w:rsidRDefault="0063612E" w:rsidP="0063612E">
            <w:pPr>
              <w:rPr>
                <w:rFonts w:cstheme="minorHAnsi"/>
                <w:sz w:val="20"/>
                <w:szCs w:val="20"/>
              </w:rPr>
            </w:pPr>
            <w:r w:rsidRPr="000A4B11">
              <w:rPr>
                <w:rFonts w:cstheme="minorHAnsi"/>
                <w:b/>
                <w:bCs/>
                <w:sz w:val="20"/>
                <w:szCs w:val="20"/>
              </w:rPr>
              <w:t>Home ownership</w:t>
            </w:r>
          </w:p>
        </w:tc>
        <w:tc>
          <w:tcPr>
            <w:tcW w:w="518" w:type="pct"/>
            <w:tcBorders>
              <w:right w:val="single" w:sz="18" w:space="0" w:color="auto"/>
            </w:tcBorders>
            <w:noWrap/>
            <w:vAlign w:val="center"/>
          </w:tcPr>
          <w:p w14:paraId="66524C73" w14:textId="77777777" w:rsidR="0063612E" w:rsidRPr="000A4B11" w:rsidRDefault="0063612E" w:rsidP="0063612E">
            <w:pPr>
              <w:tabs>
                <w:tab w:val="decimal" w:pos="249"/>
              </w:tabs>
              <w:jc w:val="center"/>
              <w:rPr>
                <w:rFonts w:cstheme="minorHAnsi"/>
                <w:sz w:val="20"/>
                <w:szCs w:val="20"/>
                <w:lang w:eastAsia="ko-KR"/>
              </w:rPr>
            </w:pPr>
          </w:p>
        </w:tc>
      </w:tr>
      <w:tr w:rsidR="00E860B3" w:rsidRPr="000A4B11" w14:paraId="0712FEA7" w14:textId="77777777" w:rsidTr="00E860B3">
        <w:trPr>
          <w:trHeight w:val="20"/>
        </w:trPr>
        <w:tc>
          <w:tcPr>
            <w:tcW w:w="1970" w:type="pct"/>
            <w:tcBorders>
              <w:top w:val="dotted" w:sz="4" w:space="0" w:color="auto"/>
              <w:left w:val="single" w:sz="18" w:space="0" w:color="auto"/>
              <w:bottom w:val="dotted" w:sz="4" w:space="0" w:color="auto"/>
              <w:right w:val="dotted" w:sz="4" w:space="0" w:color="auto"/>
            </w:tcBorders>
            <w:noWrap/>
            <w:vAlign w:val="center"/>
          </w:tcPr>
          <w:p w14:paraId="159B5B26" w14:textId="47476E50" w:rsidR="00E860B3" w:rsidRPr="0063612E" w:rsidRDefault="00E860B3" w:rsidP="00E860B3">
            <w:pPr>
              <w:rPr>
                <w:rFonts w:cstheme="minorHAnsi"/>
                <w:b/>
                <w:bCs/>
                <w:sz w:val="20"/>
                <w:szCs w:val="20"/>
              </w:rPr>
            </w:pPr>
            <w:r w:rsidRPr="0063612E">
              <w:rPr>
                <w:rFonts w:cstheme="minorHAnsi"/>
                <w:b/>
                <w:bCs/>
                <w:sz w:val="20"/>
                <w:szCs w:val="20"/>
              </w:rPr>
              <w:t>Mobility challenges</w:t>
            </w:r>
          </w:p>
        </w:tc>
        <w:tc>
          <w:tcPr>
            <w:tcW w:w="530" w:type="pct"/>
            <w:tcBorders>
              <w:top w:val="dotted" w:sz="4" w:space="0" w:color="auto"/>
              <w:left w:val="dotted" w:sz="4" w:space="0" w:color="auto"/>
              <w:bottom w:val="dotted" w:sz="4" w:space="0" w:color="auto"/>
              <w:right w:val="single" w:sz="18" w:space="0" w:color="auto"/>
            </w:tcBorders>
            <w:noWrap/>
            <w:vAlign w:val="center"/>
          </w:tcPr>
          <w:p w14:paraId="04048B10" w14:textId="77777777" w:rsidR="00E860B3" w:rsidRPr="000A4B11" w:rsidRDefault="00E860B3" w:rsidP="00E860B3">
            <w:pPr>
              <w:tabs>
                <w:tab w:val="decimal" w:pos="251"/>
              </w:tabs>
              <w:jc w:val="center"/>
              <w:rPr>
                <w:rFonts w:cstheme="minorHAnsi"/>
                <w:color w:val="000000"/>
                <w:sz w:val="20"/>
                <w:szCs w:val="20"/>
              </w:rPr>
            </w:pPr>
          </w:p>
        </w:tc>
        <w:tc>
          <w:tcPr>
            <w:tcW w:w="1982" w:type="pct"/>
            <w:tcBorders>
              <w:left w:val="single" w:sz="18" w:space="0" w:color="auto"/>
            </w:tcBorders>
            <w:noWrap/>
            <w:vAlign w:val="center"/>
          </w:tcPr>
          <w:p w14:paraId="3D579883" w14:textId="34D5D541" w:rsidR="00E860B3" w:rsidRPr="000A4B11" w:rsidRDefault="00E860B3" w:rsidP="00E860B3">
            <w:pPr>
              <w:rPr>
                <w:rFonts w:cstheme="minorHAnsi"/>
                <w:b/>
                <w:bCs/>
                <w:sz w:val="20"/>
                <w:szCs w:val="20"/>
              </w:rPr>
            </w:pPr>
            <w:r w:rsidRPr="000A4B11">
              <w:rPr>
                <w:rFonts w:cstheme="minorHAnsi"/>
                <w:sz w:val="20"/>
                <w:szCs w:val="20"/>
              </w:rPr>
              <w:t>Own</w:t>
            </w:r>
          </w:p>
        </w:tc>
        <w:tc>
          <w:tcPr>
            <w:tcW w:w="518" w:type="pct"/>
            <w:tcBorders>
              <w:right w:val="single" w:sz="18" w:space="0" w:color="auto"/>
            </w:tcBorders>
            <w:noWrap/>
            <w:vAlign w:val="center"/>
          </w:tcPr>
          <w:p w14:paraId="6482C02A" w14:textId="0A62F516" w:rsidR="00E860B3" w:rsidRPr="000A4B11" w:rsidRDefault="00E860B3" w:rsidP="00E860B3">
            <w:pPr>
              <w:tabs>
                <w:tab w:val="decimal" w:pos="249"/>
              </w:tabs>
              <w:jc w:val="center"/>
              <w:rPr>
                <w:rFonts w:cstheme="minorHAnsi"/>
                <w:sz w:val="20"/>
                <w:szCs w:val="20"/>
                <w:lang w:eastAsia="ko-KR"/>
              </w:rPr>
            </w:pPr>
            <w:r w:rsidRPr="000A4B11">
              <w:rPr>
                <w:rFonts w:cstheme="minorHAnsi"/>
                <w:color w:val="000000"/>
                <w:sz w:val="20"/>
                <w:szCs w:val="20"/>
              </w:rPr>
              <w:t>70.6</w:t>
            </w:r>
          </w:p>
        </w:tc>
      </w:tr>
      <w:tr w:rsidR="00E860B3" w:rsidRPr="000A4B11" w14:paraId="5022E84E" w14:textId="77777777" w:rsidTr="0063612E">
        <w:trPr>
          <w:trHeight w:val="20"/>
        </w:trPr>
        <w:tc>
          <w:tcPr>
            <w:tcW w:w="1970" w:type="pct"/>
            <w:tcBorders>
              <w:top w:val="dotted" w:sz="4" w:space="0" w:color="auto"/>
              <w:left w:val="single" w:sz="18" w:space="0" w:color="auto"/>
              <w:bottom w:val="dotted" w:sz="4" w:space="0" w:color="auto"/>
              <w:right w:val="dotted" w:sz="4" w:space="0" w:color="auto"/>
            </w:tcBorders>
            <w:noWrap/>
            <w:vAlign w:val="center"/>
          </w:tcPr>
          <w:p w14:paraId="26DA5C07" w14:textId="36428101" w:rsidR="00E860B3" w:rsidRDefault="00E860B3" w:rsidP="00E860B3">
            <w:pPr>
              <w:rPr>
                <w:rFonts w:cstheme="minorHAnsi"/>
                <w:sz w:val="20"/>
                <w:szCs w:val="20"/>
              </w:rPr>
            </w:pPr>
            <w:r>
              <w:rPr>
                <w:rFonts w:cstheme="minorHAnsi"/>
                <w:sz w:val="20"/>
                <w:szCs w:val="20"/>
              </w:rPr>
              <w:t xml:space="preserve">   Yes</w:t>
            </w:r>
          </w:p>
        </w:tc>
        <w:tc>
          <w:tcPr>
            <w:tcW w:w="530" w:type="pct"/>
            <w:tcBorders>
              <w:top w:val="dotted" w:sz="4" w:space="0" w:color="auto"/>
              <w:left w:val="dotted" w:sz="4" w:space="0" w:color="auto"/>
              <w:bottom w:val="dotted" w:sz="4" w:space="0" w:color="auto"/>
              <w:right w:val="single" w:sz="18" w:space="0" w:color="auto"/>
            </w:tcBorders>
            <w:noWrap/>
            <w:vAlign w:val="center"/>
          </w:tcPr>
          <w:p w14:paraId="22094CC4" w14:textId="397B8F38" w:rsidR="00E860B3" w:rsidRPr="000A4B11" w:rsidRDefault="00E860B3" w:rsidP="00E860B3">
            <w:pPr>
              <w:tabs>
                <w:tab w:val="decimal" w:pos="251"/>
              </w:tabs>
              <w:jc w:val="center"/>
              <w:rPr>
                <w:rFonts w:cstheme="minorHAnsi"/>
                <w:color w:val="000000"/>
                <w:sz w:val="20"/>
                <w:szCs w:val="20"/>
              </w:rPr>
            </w:pPr>
            <w:r w:rsidRPr="00DA53E4">
              <w:rPr>
                <w:rFonts w:cstheme="minorHAnsi"/>
                <w:sz w:val="20"/>
                <w:szCs w:val="20"/>
              </w:rPr>
              <w:t>30.5</w:t>
            </w:r>
          </w:p>
        </w:tc>
        <w:tc>
          <w:tcPr>
            <w:tcW w:w="1982" w:type="pct"/>
            <w:tcBorders>
              <w:left w:val="single" w:sz="18" w:space="0" w:color="auto"/>
            </w:tcBorders>
            <w:noWrap/>
            <w:vAlign w:val="center"/>
          </w:tcPr>
          <w:p w14:paraId="59D2B4F9" w14:textId="1160F1A3" w:rsidR="00E860B3" w:rsidRPr="000A4B11" w:rsidRDefault="00E860B3" w:rsidP="00E860B3">
            <w:pPr>
              <w:rPr>
                <w:rFonts w:cstheme="minorHAnsi"/>
                <w:b/>
                <w:bCs/>
                <w:sz w:val="20"/>
                <w:szCs w:val="20"/>
              </w:rPr>
            </w:pPr>
            <w:r w:rsidRPr="000A4B11">
              <w:rPr>
                <w:rFonts w:cstheme="minorHAnsi"/>
                <w:sz w:val="20"/>
                <w:szCs w:val="20"/>
              </w:rPr>
              <w:t>Rent</w:t>
            </w:r>
          </w:p>
        </w:tc>
        <w:tc>
          <w:tcPr>
            <w:tcW w:w="518" w:type="pct"/>
            <w:tcBorders>
              <w:right w:val="single" w:sz="18" w:space="0" w:color="auto"/>
            </w:tcBorders>
            <w:noWrap/>
            <w:vAlign w:val="center"/>
          </w:tcPr>
          <w:p w14:paraId="03759006" w14:textId="4F22A6DF" w:rsidR="00E860B3" w:rsidRPr="000A4B11" w:rsidRDefault="00E860B3" w:rsidP="00E860B3">
            <w:pPr>
              <w:tabs>
                <w:tab w:val="decimal" w:pos="249"/>
              </w:tabs>
              <w:jc w:val="center"/>
              <w:rPr>
                <w:rFonts w:cstheme="minorHAnsi"/>
                <w:sz w:val="20"/>
                <w:szCs w:val="20"/>
                <w:lang w:eastAsia="ko-KR"/>
              </w:rPr>
            </w:pPr>
            <w:r w:rsidRPr="000A4B11">
              <w:rPr>
                <w:rFonts w:cstheme="minorHAnsi"/>
                <w:color w:val="000000"/>
                <w:sz w:val="20"/>
                <w:szCs w:val="20"/>
              </w:rPr>
              <w:t>27.9</w:t>
            </w:r>
          </w:p>
        </w:tc>
      </w:tr>
      <w:tr w:rsidR="00E860B3" w:rsidRPr="000A4B11" w14:paraId="34AF8AE4" w14:textId="77777777" w:rsidTr="0063612E">
        <w:trPr>
          <w:trHeight w:val="20"/>
        </w:trPr>
        <w:tc>
          <w:tcPr>
            <w:tcW w:w="1970" w:type="pct"/>
            <w:tcBorders>
              <w:top w:val="dotted" w:sz="4" w:space="0" w:color="auto"/>
              <w:left w:val="single" w:sz="18" w:space="0" w:color="auto"/>
              <w:bottom w:val="single" w:sz="18" w:space="0" w:color="auto"/>
              <w:right w:val="dotted" w:sz="4" w:space="0" w:color="auto"/>
            </w:tcBorders>
            <w:noWrap/>
            <w:vAlign w:val="center"/>
          </w:tcPr>
          <w:p w14:paraId="1244F139" w14:textId="6AF80E64" w:rsidR="00E860B3" w:rsidRDefault="00E860B3" w:rsidP="00E860B3">
            <w:pPr>
              <w:rPr>
                <w:rFonts w:cstheme="minorHAnsi"/>
                <w:sz w:val="20"/>
                <w:szCs w:val="20"/>
              </w:rPr>
            </w:pPr>
            <w:r>
              <w:rPr>
                <w:rFonts w:cstheme="minorHAnsi"/>
                <w:sz w:val="20"/>
                <w:szCs w:val="20"/>
              </w:rPr>
              <w:t xml:space="preserve">   No</w:t>
            </w:r>
          </w:p>
        </w:tc>
        <w:tc>
          <w:tcPr>
            <w:tcW w:w="530" w:type="pct"/>
            <w:tcBorders>
              <w:top w:val="dotted" w:sz="4" w:space="0" w:color="auto"/>
              <w:left w:val="dotted" w:sz="4" w:space="0" w:color="auto"/>
              <w:bottom w:val="single" w:sz="18" w:space="0" w:color="auto"/>
              <w:right w:val="single" w:sz="18" w:space="0" w:color="auto"/>
            </w:tcBorders>
            <w:noWrap/>
            <w:vAlign w:val="center"/>
          </w:tcPr>
          <w:p w14:paraId="79E6D6DE" w14:textId="54321F93" w:rsidR="00E860B3" w:rsidRPr="000A4B11" w:rsidRDefault="00E860B3" w:rsidP="00E860B3">
            <w:pPr>
              <w:tabs>
                <w:tab w:val="decimal" w:pos="251"/>
              </w:tabs>
              <w:jc w:val="center"/>
              <w:rPr>
                <w:rFonts w:cstheme="minorHAnsi"/>
                <w:color w:val="000000"/>
                <w:sz w:val="20"/>
                <w:szCs w:val="20"/>
              </w:rPr>
            </w:pPr>
            <w:r w:rsidRPr="00DA53E4">
              <w:rPr>
                <w:rFonts w:cstheme="minorHAnsi"/>
                <w:sz w:val="20"/>
                <w:szCs w:val="20"/>
              </w:rPr>
              <w:t>69.5</w:t>
            </w:r>
          </w:p>
        </w:tc>
        <w:tc>
          <w:tcPr>
            <w:tcW w:w="1982" w:type="pct"/>
            <w:tcBorders>
              <w:left w:val="single" w:sz="18" w:space="0" w:color="auto"/>
            </w:tcBorders>
            <w:noWrap/>
            <w:vAlign w:val="center"/>
          </w:tcPr>
          <w:p w14:paraId="27CE0793" w14:textId="7F689CBD" w:rsidR="00E860B3" w:rsidRPr="000A4B11" w:rsidRDefault="00E860B3" w:rsidP="00E860B3">
            <w:pPr>
              <w:rPr>
                <w:rFonts w:cstheme="minorHAnsi"/>
                <w:b/>
                <w:bCs/>
                <w:sz w:val="20"/>
                <w:szCs w:val="20"/>
              </w:rPr>
            </w:pPr>
            <w:r w:rsidRPr="000A4B11">
              <w:rPr>
                <w:rFonts w:cstheme="minorHAnsi"/>
                <w:sz w:val="20"/>
                <w:szCs w:val="20"/>
              </w:rPr>
              <w:t>Other</w:t>
            </w:r>
          </w:p>
        </w:tc>
        <w:tc>
          <w:tcPr>
            <w:tcW w:w="518" w:type="pct"/>
            <w:tcBorders>
              <w:right w:val="single" w:sz="18" w:space="0" w:color="auto"/>
            </w:tcBorders>
            <w:noWrap/>
            <w:vAlign w:val="center"/>
          </w:tcPr>
          <w:p w14:paraId="26054EDF" w14:textId="6B51F5CB" w:rsidR="00E860B3" w:rsidRPr="000A4B11" w:rsidRDefault="00E860B3" w:rsidP="00E860B3">
            <w:pPr>
              <w:tabs>
                <w:tab w:val="decimal" w:pos="249"/>
              </w:tabs>
              <w:jc w:val="center"/>
              <w:rPr>
                <w:rFonts w:cstheme="minorHAnsi"/>
                <w:sz w:val="20"/>
                <w:szCs w:val="20"/>
                <w:lang w:eastAsia="ko-KR"/>
              </w:rPr>
            </w:pPr>
            <w:r w:rsidRPr="000A4B11">
              <w:rPr>
                <w:rFonts w:cstheme="minorHAnsi"/>
                <w:color w:val="000000"/>
                <w:sz w:val="20"/>
                <w:szCs w:val="20"/>
              </w:rPr>
              <w:t>1.5</w:t>
            </w:r>
          </w:p>
        </w:tc>
      </w:tr>
      <w:tr w:rsidR="00E860B3" w:rsidRPr="000A4B11" w14:paraId="03D12223" w14:textId="77777777" w:rsidTr="00E860B3">
        <w:trPr>
          <w:trHeight w:val="20"/>
        </w:trPr>
        <w:tc>
          <w:tcPr>
            <w:tcW w:w="2500" w:type="pct"/>
            <w:gridSpan w:val="2"/>
            <w:tcBorders>
              <w:top w:val="single" w:sz="18" w:space="0" w:color="auto"/>
              <w:left w:val="single" w:sz="18" w:space="0" w:color="auto"/>
              <w:bottom w:val="single" w:sz="18" w:space="0" w:color="auto"/>
              <w:right w:val="single" w:sz="18" w:space="0" w:color="auto"/>
            </w:tcBorders>
            <w:noWrap/>
            <w:vAlign w:val="center"/>
          </w:tcPr>
          <w:p w14:paraId="10C17EEA" w14:textId="7592C078" w:rsidR="00E860B3" w:rsidRPr="000A4B11" w:rsidRDefault="00E860B3" w:rsidP="00E860B3">
            <w:pPr>
              <w:tabs>
                <w:tab w:val="decimal" w:pos="251"/>
              </w:tabs>
              <w:jc w:val="left"/>
              <w:rPr>
                <w:rFonts w:cstheme="minorHAnsi"/>
                <w:sz w:val="20"/>
                <w:szCs w:val="20"/>
              </w:rPr>
            </w:pPr>
            <w:r>
              <w:rPr>
                <w:rFonts w:cstheme="minorHAnsi"/>
                <w:b/>
                <w:bCs/>
                <w:i/>
                <w:iCs/>
                <w:sz w:val="20"/>
                <w:szCs w:val="20"/>
              </w:rPr>
              <w:t>Work-Related Variables</w:t>
            </w:r>
            <w:r w:rsidRPr="000A4B11">
              <w:rPr>
                <w:rFonts w:cstheme="minorHAnsi"/>
                <w:b/>
                <w:bCs/>
                <w:i/>
                <w:iCs/>
                <w:sz w:val="20"/>
                <w:szCs w:val="20"/>
              </w:rPr>
              <w:t xml:space="preserve"> (N=2,655)</w:t>
            </w:r>
          </w:p>
        </w:tc>
        <w:tc>
          <w:tcPr>
            <w:tcW w:w="1982" w:type="pct"/>
            <w:tcBorders>
              <w:left w:val="single" w:sz="18" w:space="0" w:color="auto"/>
              <w:right w:val="dotted" w:sz="4" w:space="0" w:color="auto"/>
            </w:tcBorders>
            <w:noWrap/>
            <w:vAlign w:val="center"/>
          </w:tcPr>
          <w:p w14:paraId="6A2E9DBD" w14:textId="15DF1CF4" w:rsidR="00E860B3" w:rsidRPr="000A4B11" w:rsidRDefault="00E860B3" w:rsidP="00E860B3">
            <w:pPr>
              <w:rPr>
                <w:rFonts w:cstheme="minorHAnsi"/>
                <w:sz w:val="20"/>
                <w:szCs w:val="20"/>
              </w:rPr>
            </w:pPr>
            <w:r>
              <w:rPr>
                <w:rFonts w:cstheme="minorHAnsi"/>
                <w:b/>
                <w:bCs/>
                <w:sz w:val="20"/>
                <w:szCs w:val="20"/>
              </w:rPr>
              <w:t>V</w:t>
            </w:r>
            <w:r w:rsidRPr="000A4B11">
              <w:rPr>
                <w:rFonts w:cstheme="minorHAnsi"/>
                <w:b/>
                <w:bCs/>
                <w:sz w:val="20"/>
                <w:szCs w:val="20"/>
              </w:rPr>
              <w:t xml:space="preserve">ehicle </w:t>
            </w:r>
            <w:r>
              <w:rPr>
                <w:rFonts w:cstheme="minorHAnsi"/>
                <w:b/>
                <w:bCs/>
                <w:sz w:val="20"/>
                <w:szCs w:val="20"/>
              </w:rPr>
              <w:t>sufficiency</w:t>
            </w:r>
          </w:p>
        </w:tc>
        <w:tc>
          <w:tcPr>
            <w:tcW w:w="518" w:type="pct"/>
            <w:tcBorders>
              <w:left w:val="dotted" w:sz="4" w:space="0" w:color="auto"/>
              <w:right w:val="single" w:sz="18" w:space="0" w:color="auto"/>
            </w:tcBorders>
            <w:vAlign w:val="center"/>
          </w:tcPr>
          <w:p w14:paraId="1966477C" w14:textId="481647FE" w:rsidR="00E860B3" w:rsidRPr="000A4B11" w:rsidRDefault="00E860B3" w:rsidP="00E860B3">
            <w:pPr>
              <w:tabs>
                <w:tab w:val="decimal" w:pos="249"/>
              </w:tabs>
              <w:jc w:val="center"/>
              <w:rPr>
                <w:rFonts w:cstheme="minorHAnsi"/>
                <w:color w:val="000000"/>
                <w:sz w:val="20"/>
                <w:szCs w:val="20"/>
              </w:rPr>
            </w:pPr>
          </w:p>
        </w:tc>
      </w:tr>
      <w:tr w:rsidR="00E860B3" w:rsidRPr="000A4B11" w14:paraId="52C9D572" w14:textId="77777777" w:rsidTr="00621C6D">
        <w:trPr>
          <w:trHeight w:val="20"/>
        </w:trPr>
        <w:tc>
          <w:tcPr>
            <w:tcW w:w="1970" w:type="pct"/>
            <w:tcBorders>
              <w:top w:val="single" w:sz="18" w:space="0" w:color="auto"/>
              <w:left w:val="single" w:sz="18" w:space="0" w:color="auto"/>
              <w:right w:val="dotted" w:sz="4" w:space="0" w:color="auto"/>
            </w:tcBorders>
            <w:noWrap/>
            <w:vAlign w:val="center"/>
          </w:tcPr>
          <w:p w14:paraId="3CF77D62" w14:textId="266579CE" w:rsidR="00E860B3" w:rsidRPr="00621C6D" w:rsidRDefault="00E860B3" w:rsidP="00E860B3">
            <w:pPr>
              <w:rPr>
                <w:rFonts w:cstheme="minorHAnsi"/>
                <w:b/>
                <w:bCs/>
                <w:sz w:val="20"/>
                <w:szCs w:val="20"/>
              </w:rPr>
            </w:pPr>
            <w:r w:rsidRPr="000A4B11">
              <w:rPr>
                <w:rFonts w:cstheme="minorHAnsi"/>
                <w:b/>
                <w:bCs/>
                <w:sz w:val="20"/>
                <w:szCs w:val="20"/>
              </w:rPr>
              <w:t>Commute distance</w:t>
            </w:r>
          </w:p>
        </w:tc>
        <w:tc>
          <w:tcPr>
            <w:tcW w:w="530" w:type="pct"/>
            <w:tcBorders>
              <w:top w:val="single" w:sz="18" w:space="0" w:color="auto"/>
              <w:left w:val="dotted" w:sz="4" w:space="0" w:color="auto"/>
              <w:right w:val="single" w:sz="18" w:space="0" w:color="auto"/>
            </w:tcBorders>
            <w:vAlign w:val="center"/>
          </w:tcPr>
          <w:p w14:paraId="7D91FA88" w14:textId="400EBD3F" w:rsidR="00E860B3" w:rsidRPr="000A4B11" w:rsidRDefault="00E860B3" w:rsidP="00E860B3">
            <w:pPr>
              <w:tabs>
                <w:tab w:val="decimal" w:pos="251"/>
              </w:tabs>
              <w:jc w:val="center"/>
              <w:rPr>
                <w:rFonts w:cstheme="minorHAnsi"/>
                <w:sz w:val="20"/>
                <w:szCs w:val="20"/>
              </w:rPr>
            </w:pPr>
          </w:p>
        </w:tc>
        <w:tc>
          <w:tcPr>
            <w:tcW w:w="1982" w:type="pct"/>
            <w:tcBorders>
              <w:left w:val="single" w:sz="18" w:space="0" w:color="auto"/>
              <w:right w:val="dotted" w:sz="4" w:space="0" w:color="auto"/>
            </w:tcBorders>
            <w:noWrap/>
            <w:vAlign w:val="center"/>
          </w:tcPr>
          <w:p w14:paraId="64451CC1" w14:textId="523960B8" w:rsidR="00E860B3" w:rsidRPr="000A4B11" w:rsidRDefault="00E860B3" w:rsidP="00E860B3">
            <w:pPr>
              <w:ind w:left="144"/>
              <w:rPr>
                <w:rFonts w:cstheme="minorHAnsi"/>
                <w:sz w:val="20"/>
                <w:szCs w:val="20"/>
              </w:rPr>
            </w:pPr>
            <w:r>
              <w:rPr>
                <w:rFonts w:cstheme="minorHAnsi"/>
                <w:sz w:val="20"/>
                <w:szCs w:val="20"/>
              </w:rPr>
              <w:t>Deficient (# vehicles &lt; # drivers)</w:t>
            </w:r>
          </w:p>
        </w:tc>
        <w:tc>
          <w:tcPr>
            <w:tcW w:w="518" w:type="pct"/>
            <w:tcBorders>
              <w:left w:val="dotted" w:sz="4" w:space="0" w:color="auto"/>
              <w:right w:val="single" w:sz="18" w:space="0" w:color="auto"/>
            </w:tcBorders>
            <w:vAlign w:val="center"/>
          </w:tcPr>
          <w:p w14:paraId="4A6D00F0" w14:textId="2C946129" w:rsidR="00E860B3" w:rsidRPr="000A4B11" w:rsidRDefault="00E860B3" w:rsidP="00E860B3">
            <w:pPr>
              <w:tabs>
                <w:tab w:val="decimal" w:pos="249"/>
              </w:tabs>
              <w:jc w:val="center"/>
              <w:rPr>
                <w:rFonts w:cstheme="minorHAnsi"/>
                <w:sz w:val="20"/>
                <w:szCs w:val="20"/>
              </w:rPr>
            </w:pPr>
            <w:r>
              <w:rPr>
                <w:rFonts w:cstheme="minorHAnsi"/>
                <w:sz w:val="20"/>
                <w:szCs w:val="20"/>
                <w:lang w:eastAsia="ko-KR"/>
              </w:rPr>
              <w:t>31.0</w:t>
            </w:r>
          </w:p>
        </w:tc>
      </w:tr>
      <w:tr w:rsidR="00E860B3" w:rsidRPr="000A4B11" w14:paraId="4107081D" w14:textId="77777777" w:rsidTr="0075594E">
        <w:trPr>
          <w:trHeight w:val="20"/>
        </w:trPr>
        <w:tc>
          <w:tcPr>
            <w:tcW w:w="1970" w:type="pct"/>
            <w:tcBorders>
              <w:left w:val="single" w:sz="18" w:space="0" w:color="auto"/>
            </w:tcBorders>
            <w:noWrap/>
            <w:vAlign w:val="center"/>
          </w:tcPr>
          <w:p w14:paraId="240E6396" w14:textId="1DFEA49C" w:rsidR="00E860B3" w:rsidRPr="000A4B11" w:rsidRDefault="00E860B3" w:rsidP="00E860B3">
            <w:pPr>
              <w:ind w:left="144"/>
              <w:rPr>
                <w:rFonts w:cstheme="minorHAnsi"/>
                <w:sz w:val="20"/>
                <w:szCs w:val="20"/>
              </w:rPr>
            </w:pPr>
            <w:r w:rsidRPr="000A4B11">
              <w:rPr>
                <w:rFonts w:cstheme="minorHAnsi"/>
                <w:sz w:val="20"/>
                <w:szCs w:val="20"/>
              </w:rPr>
              <w:t>&lt; 5 miles</w:t>
            </w:r>
          </w:p>
        </w:tc>
        <w:tc>
          <w:tcPr>
            <w:tcW w:w="530" w:type="pct"/>
            <w:tcBorders>
              <w:right w:val="single" w:sz="18" w:space="0" w:color="auto"/>
            </w:tcBorders>
            <w:noWrap/>
            <w:vAlign w:val="center"/>
          </w:tcPr>
          <w:p w14:paraId="570F3DEB" w14:textId="4CFDC72B" w:rsidR="00E860B3" w:rsidRPr="000A4B11" w:rsidRDefault="00E860B3" w:rsidP="00E860B3">
            <w:pPr>
              <w:tabs>
                <w:tab w:val="decimal" w:pos="251"/>
              </w:tabs>
              <w:jc w:val="center"/>
              <w:rPr>
                <w:rFonts w:cstheme="minorHAnsi"/>
                <w:sz w:val="20"/>
                <w:szCs w:val="20"/>
                <w:lang w:eastAsia="ko-KR"/>
              </w:rPr>
            </w:pPr>
            <w:r w:rsidRPr="000A4B11">
              <w:rPr>
                <w:rFonts w:cstheme="minorHAnsi"/>
                <w:sz w:val="20"/>
                <w:szCs w:val="20"/>
              </w:rPr>
              <w:t>21.1</w:t>
            </w:r>
          </w:p>
        </w:tc>
        <w:tc>
          <w:tcPr>
            <w:tcW w:w="1982" w:type="pct"/>
            <w:tcBorders>
              <w:left w:val="single" w:sz="18" w:space="0" w:color="auto"/>
              <w:right w:val="dotted" w:sz="4" w:space="0" w:color="auto"/>
            </w:tcBorders>
            <w:noWrap/>
            <w:vAlign w:val="center"/>
          </w:tcPr>
          <w:p w14:paraId="7EC744B2" w14:textId="53601FB6" w:rsidR="00E860B3" w:rsidRPr="000A4B11" w:rsidRDefault="00E860B3" w:rsidP="00E860B3">
            <w:pPr>
              <w:ind w:left="144"/>
              <w:rPr>
                <w:rFonts w:cstheme="minorHAnsi"/>
                <w:sz w:val="20"/>
                <w:szCs w:val="20"/>
              </w:rPr>
            </w:pPr>
            <w:r>
              <w:rPr>
                <w:rFonts w:cstheme="minorHAnsi"/>
                <w:sz w:val="20"/>
                <w:szCs w:val="20"/>
              </w:rPr>
              <w:t>Sufficient (# vehicles ≥ # drivers)</w:t>
            </w:r>
          </w:p>
        </w:tc>
        <w:tc>
          <w:tcPr>
            <w:tcW w:w="518" w:type="pct"/>
            <w:tcBorders>
              <w:left w:val="dotted" w:sz="4" w:space="0" w:color="auto"/>
              <w:right w:val="single" w:sz="18" w:space="0" w:color="auto"/>
            </w:tcBorders>
            <w:vAlign w:val="center"/>
          </w:tcPr>
          <w:p w14:paraId="3DA3692F" w14:textId="29AD5D57" w:rsidR="00E860B3" w:rsidRPr="000A4B11" w:rsidRDefault="00E860B3" w:rsidP="00E860B3">
            <w:pPr>
              <w:tabs>
                <w:tab w:val="decimal" w:pos="249"/>
              </w:tabs>
              <w:jc w:val="center"/>
              <w:rPr>
                <w:rFonts w:cstheme="minorHAnsi"/>
                <w:sz w:val="20"/>
                <w:szCs w:val="20"/>
                <w:lang w:eastAsia="ko-KR"/>
              </w:rPr>
            </w:pPr>
            <w:r>
              <w:rPr>
                <w:rFonts w:cstheme="minorHAnsi"/>
                <w:sz w:val="20"/>
                <w:szCs w:val="20"/>
              </w:rPr>
              <w:t>69.0</w:t>
            </w:r>
          </w:p>
        </w:tc>
      </w:tr>
      <w:tr w:rsidR="00E860B3" w:rsidRPr="000A4B11" w14:paraId="199DB4F6" w14:textId="77777777" w:rsidTr="0075594E">
        <w:trPr>
          <w:trHeight w:val="20"/>
        </w:trPr>
        <w:tc>
          <w:tcPr>
            <w:tcW w:w="1970" w:type="pct"/>
            <w:tcBorders>
              <w:left w:val="single" w:sz="18" w:space="0" w:color="auto"/>
            </w:tcBorders>
            <w:noWrap/>
            <w:vAlign w:val="center"/>
          </w:tcPr>
          <w:p w14:paraId="45CF2AC9" w14:textId="3ECE95F0" w:rsidR="00E860B3" w:rsidRPr="000A4B11" w:rsidRDefault="00E860B3" w:rsidP="00E860B3">
            <w:pPr>
              <w:ind w:left="144"/>
              <w:rPr>
                <w:rFonts w:cstheme="minorHAnsi"/>
                <w:sz w:val="20"/>
                <w:szCs w:val="20"/>
              </w:rPr>
            </w:pPr>
            <w:r w:rsidRPr="000A4B11">
              <w:rPr>
                <w:rFonts w:cstheme="minorHAnsi"/>
                <w:sz w:val="20"/>
                <w:szCs w:val="20"/>
              </w:rPr>
              <w:t xml:space="preserve">≥ 5 miles and &lt; 10 miles </w:t>
            </w:r>
          </w:p>
        </w:tc>
        <w:tc>
          <w:tcPr>
            <w:tcW w:w="530" w:type="pct"/>
            <w:tcBorders>
              <w:right w:val="single" w:sz="18" w:space="0" w:color="auto"/>
            </w:tcBorders>
            <w:noWrap/>
            <w:vAlign w:val="center"/>
          </w:tcPr>
          <w:p w14:paraId="37A92A3A" w14:textId="165ADF72" w:rsidR="00E860B3" w:rsidRPr="000A4B11" w:rsidRDefault="00E860B3" w:rsidP="00E860B3">
            <w:pPr>
              <w:tabs>
                <w:tab w:val="decimal" w:pos="251"/>
              </w:tabs>
              <w:jc w:val="center"/>
              <w:rPr>
                <w:rFonts w:cstheme="minorHAnsi"/>
                <w:sz w:val="20"/>
                <w:szCs w:val="20"/>
                <w:lang w:eastAsia="ko-KR"/>
              </w:rPr>
            </w:pPr>
            <w:r w:rsidRPr="000A4B11">
              <w:rPr>
                <w:rFonts w:cstheme="minorHAnsi"/>
                <w:sz w:val="20"/>
                <w:szCs w:val="20"/>
              </w:rPr>
              <w:t>26.3</w:t>
            </w:r>
          </w:p>
        </w:tc>
        <w:tc>
          <w:tcPr>
            <w:tcW w:w="1982" w:type="pct"/>
            <w:tcBorders>
              <w:left w:val="single" w:sz="18" w:space="0" w:color="auto"/>
            </w:tcBorders>
            <w:noWrap/>
            <w:vAlign w:val="center"/>
          </w:tcPr>
          <w:p w14:paraId="6FC5B84D" w14:textId="6D529B97" w:rsidR="00E860B3" w:rsidRPr="000A4B11" w:rsidRDefault="00E860B3" w:rsidP="00E860B3">
            <w:pPr>
              <w:rPr>
                <w:rFonts w:cstheme="minorHAnsi"/>
                <w:sz w:val="20"/>
                <w:szCs w:val="20"/>
              </w:rPr>
            </w:pPr>
            <w:r w:rsidRPr="000A4B11">
              <w:rPr>
                <w:rFonts w:cstheme="minorHAnsi"/>
                <w:b/>
                <w:bCs/>
                <w:sz w:val="20"/>
                <w:szCs w:val="20"/>
              </w:rPr>
              <w:t>Location</w:t>
            </w:r>
          </w:p>
        </w:tc>
        <w:tc>
          <w:tcPr>
            <w:tcW w:w="518" w:type="pct"/>
            <w:tcBorders>
              <w:right w:val="single" w:sz="18" w:space="0" w:color="auto"/>
            </w:tcBorders>
            <w:noWrap/>
            <w:vAlign w:val="center"/>
          </w:tcPr>
          <w:p w14:paraId="0F3C5BE2" w14:textId="0C677A5B" w:rsidR="00E860B3" w:rsidRPr="000A4B11" w:rsidRDefault="00E860B3" w:rsidP="00E860B3">
            <w:pPr>
              <w:tabs>
                <w:tab w:val="decimal" w:pos="249"/>
              </w:tabs>
              <w:jc w:val="center"/>
              <w:rPr>
                <w:rFonts w:cstheme="minorHAnsi"/>
                <w:sz w:val="20"/>
                <w:szCs w:val="20"/>
                <w:lang w:eastAsia="ko-KR"/>
              </w:rPr>
            </w:pPr>
          </w:p>
        </w:tc>
      </w:tr>
      <w:tr w:rsidR="00E860B3" w:rsidRPr="000A4B11" w14:paraId="7B756492" w14:textId="77777777" w:rsidTr="0075594E">
        <w:trPr>
          <w:trHeight w:val="20"/>
        </w:trPr>
        <w:tc>
          <w:tcPr>
            <w:tcW w:w="1970" w:type="pct"/>
            <w:tcBorders>
              <w:left w:val="single" w:sz="18" w:space="0" w:color="auto"/>
            </w:tcBorders>
            <w:noWrap/>
            <w:vAlign w:val="center"/>
          </w:tcPr>
          <w:p w14:paraId="5233FC43" w14:textId="373AE84A" w:rsidR="00E860B3" w:rsidRPr="000A4B11" w:rsidRDefault="00E860B3" w:rsidP="00E860B3">
            <w:pPr>
              <w:rPr>
                <w:rFonts w:cstheme="minorHAnsi"/>
                <w:sz w:val="20"/>
                <w:szCs w:val="20"/>
              </w:rPr>
            </w:pPr>
            <w:r>
              <w:rPr>
                <w:rFonts w:cstheme="minorHAnsi"/>
                <w:sz w:val="20"/>
                <w:szCs w:val="20"/>
              </w:rPr>
              <w:t xml:space="preserve">   </w:t>
            </w:r>
            <w:r w:rsidRPr="000A4B11">
              <w:rPr>
                <w:rFonts w:cstheme="minorHAnsi"/>
                <w:sz w:val="20"/>
                <w:szCs w:val="20"/>
              </w:rPr>
              <w:t xml:space="preserve">≥ 10 miles and &lt; 15 miles </w:t>
            </w:r>
          </w:p>
        </w:tc>
        <w:tc>
          <w:tcPr>
            <w:tcW w:w="530" w:type="pct"/>
            <w:tcBorders>
              <w:right w:val="single" w:sz="18" w:space="0" w:color="auto"/>
            </w:tcBorders>
            <w:noWrap/>
            <w:vAlign w:val="center"/>
          </w:tcPr>
          <w:p w14:paraId="2F616757" w14:textId="69EE2A7C" w:rsidR="00E860B3" w:rsidRPr="000A4B11" w:rsidRDefault="00E860B3" w:rsidP="00E860B3">
            <w:pPr>
              <w:tabs>
                <w:tab w:val="decimal" w:pos="251"/>
              </w:tabs>
              <w:jc w:val="center"/>
              <w:rPr>
                <w:rFonts w:cstheme="minorHAnsi"/>
                <w:sz w:val="20"/>
                <w:szCs w:val="20"/>
                <w:lang w:eastAsia="ko-KR"/>
              </w:rPr>
            </w:pPr>
            <w:r w:rsidRPr="000A4B11">
              <w:rPr>
                <w:rFonts w:cstheme="minorHAnsi"/>
                <w:sz w:val="20"/>
                <w:szCs w:val="20"/>
              </w:rPr>
              <w:t>17.6</w:t>
            </w:r>
          </w:p>
        </w:tc>
        <w:tc>
          <w:tcPr>
            <w:tcW w:w="1982" w:type="pct"/>
            <w:tcBorders>
              <w:left w:val="single" w:sz="18" w:space="0" w:color="auto"/>
            </w:tcBorders>
            <w:noWrap/>
            <w:vAlign w:val="center"/>
          </w:tcPr>
          <w:p w14:paraId="46C635A5" w14:textId="1527E92B" w:rsidR="00E860B3" w:rsidRPr="000A4B11" w:rsidRDefault="00E860B3" w:rsidP="00E860B3">
            <w:pPr>
              <w:rPr>
                <w:rFonts w:cstheme="minorHAnsi"/>
                <w:sz w:val="20"/>
                <w:szCs w:val="20"/>
              </w:rPr>
            </w:pPr>
            <w:r>
              <w:rPr>
                <w:rFonts w:cstheme="minorHAnsi"/>
                <w:sz w:val="20"/>
                <w:szCs w:val="20"/>
              </w:rPr>
              <w:t xml:space="preserve">   </w:t>
            </w:r>
            <w:r w:rsidRPr="000A4B11">
              <w:rPr>
                <w:rFonts w:cstheme="minorHAnsi"/>
                <w:sz w:val="20"/>
                <w:szCs w:val="20"/>
              </w:rPr>
              <w:t>Urban</w:t>
            </w:r>
          </w:p>
        </w:tc>
        <w:tc>
          <w:tcPr>
            <w:tcW w:w="518" w:type="pct"/>
            <w:tcBorders>
              <w:right w:val="single" w:sz="18" w:space="0" w:color="auto"/>
            </w:tcBorders>
            <w:noWrap/>
            <w:vAlign w:val="center"/>
          </w:tcPr>
          <w:p w14:paraId="3D04C7E5" w14:textId="3728CD18" w:rsidR="00E860B3" w:rsidRPr="000A4B11" w:rsidRDefault="00E860B3" w:rsidP="00E860B3">
            <w:pPr>
              <w:tabs>
                <w:tab w:val="decimal" w:pos="249"/>
              </w:tabs>
              <w:jc w:val="center"/>
              <w:rPr>
                <w:rFonts w:cstheme="minorHAnsi"/>
                <w:sz w:val="20"/>
                <w:szCs w:val="20"/>
                <w:lang w:eastAsia="ko-KR"/>
              </w:rPr>
            </w:pPr>
            <w:r w:rsidRPr="000A4B11">
              <w:rPr>
                <w:rFonts w:cstheme="minorHAnsi"/>
                <w:color w:val="000000"/>
                <w:sz w:val="20"/>
                <w:szCs w:val="20"/>
              </w:rPr>
              <w:t>51.</w:t>
            </w:r>
            <w:r>
              <w:rPr>
                <w:rFonts w:cstheme="minorHAnsi"/>
                <w:color w:val="000000"/>
                <w:sz w:val="20"/>
                <w:szCs w:val="20"/>
              </w:rPr>
              <w:t>2</w:t>
            </w:r>
          </w:p>
        </w:tc>
      </w:tr>
      <w:tr w:rsidR="00E860B3" w:rsidRPr="000A4B11" w14:paraId="4B71856A" w14:textId="77777777" w:rsidTr="0075594E">
        <w:trPr>
          <w:trHeight w:val="20"/>
        </w:trPr>
        <w:tc>
          <w:tcPr>
            <w:tcW w:w="1970" w:type="pct"/>
            <w:tcBorders>
              <w:left w:val="single" w:sz="18" w:space="0" w:color="auto"/>
            </w:tcBorders>
            <w:noWrap/>
            <w:vAlign w:val="center"/>
          </w:tcPr>
          <w:p w14:paraId="61A020B6" w14:textId="70E0BB73" w:rsidR="00E860B3" w:rsidRPr="00621C6D" w:rsidRDefault="00E860B3" w:rsidP="00E860B3">
            <w:pPr>
              <w:rPr>
                <w:rFonts w:cstheme="minorHAnsi"/>
                <w:b/>
                <w:bCs/>
                <w:sz w:val="20"/>
                <w:szCs w:val="20"/>
              </w:rPr>
            </w:pPr>
            <w:r>
              <w:rPr>
                <w:rFonts w:cstheme="minorHAnsi"/>
                <w:sz w:val="20"/>
                <w:szCs w:val="20"/>
              </w:rPr>
              <w:t xml:space="preserve">   </w:t>
            </w:r>
            <w:r w:rsidRPr="000A4B11">
              <w:rPr>
                <w:rFonts w:cstheme="minorHAnsi"/>
                <w:sz w:val="20"/>
                <w:szCs w:val="20"/>
              </w:rPr>
              <w:t xml:space="preserve">≥ 15 miles </w:t>
            </w:r>
          </w:p>
        </w:tc>
        <w:tc>
          <w:tcPr>
            <w:tcW w:w="530" w:type="pct"/>
            <w:tcBorders>
              <w:right w:val="single" w:sz="18" w:space="0" w:color="auto"/>
            </w:tcBorders>
            <w:noWrap/>
            <w:vAlign w:val="center"/>
          </w:tcPr>
          <w:p w14:paraId="5713C0B4" w14:textId="788413E6" w:rsidR="00E860B3" w:rsidRPr="000A4B11" w:rsidRDefault="00E860B3" w:rsidP="00E860B3">
            <w:pPr>
              <w:tabs>
                <w:tab w:val="decimal" w:pos="251"/>
              </w:tabs>
              <w:jc w:val="center"/>
              <w:rPr>
                <w:rFonts w:cstheme="minorHAnsi"/>
                <w:sz w:val="20"/>
                <w:szCs w:val="20"/>
                <w:lang w:eastAsia="ko-KR"/>
              </w:rPr>
            </w:pPr>
            <w:r w:rsidRPr="000A4B11">
              <w:rPr>
                <w:rFonts w:cstheme="minorHAnsi"/>
                <w:sz w:val="20"/>
                <w:szCs w:val="20"/>
              </w:rPr>
              <w:t>35.0</w:t>
            </w:r>
          </w:p>
        </w:tc>
        <w:tc>
          <w:tcPr>
            <w:tcW w:w="1982" w:type="pct"/>
            <w:tcBorders>
              <w:left w:val="single" w:sz="18" w:space="0" w:color="auto"/>
            </w:tcBorders>
            <w:noWrap/>
            <w:vAlign w:val="center"/>
          </w:tcPr>
          <w:p w14:paraId="2BD4AA62" w14:textId="76FEAD1D" w:rsidR="00E860B3" w:rsidRPr="000A4B11" w:rsidRDefault="00E860B3" w:rsidP="00E860B3">
            <w:pPr>
              <w:rPr>
                <w:rFonts w:cstheme="minorHAnsi"/>
                <w:sz w:val="20"/>
                <w:szCs w:val="20"/>
              </w:rPr>
            </w:pPr>
            <w:r>
              <w:rPr>
                <w:rFonts w:cstheme="minorHAnsi"/>
                <w:sz w:val="20"/>
                <w:szCs w:val="20"/>
              </w:rPr>
              <w:t xml:space="preserve">   </w:t>
            </w:r>
            <w:r w:rsidRPr="000A4B11">
              <w:rPr>
                <w:rFonts w:cstheme="minorHAnsi"/>
                <w:sz w:val="20"/>
                <w:szCs w:val="20"/>
              </w:rPr>
              <w:t>Suburban</w:t>
            </w:r>
          </w:p>
        </w:tc>
        <w:tc>
          <w:tcPr>
            <w:tcW w:w="518" w:type="pct"/>
            <w:tcBorders>
              <w:right w:val="single" w:sz="18" w:space="0" w:color="auto"/>
            </w:tcBorders>
            <w:noWrap/>
            <w:vAlign w:val="center"/>
          </w:tcPr>
          <w:p w14:paraId="18994825" w14:textId="42B73B21" w:rsidR="00E860B3" w:rsidRPr="000A4B11" w:rsidRDefault="00E860B3" w:rsidP="00E860B3">
            <w:pPr>
              <w:tabs>
                <w:tab w:val="decimal" w:pos="249"/>
              </w:tabs>
              <w:jc w:val="center"/>
              <w:rPr>
                <w:rFonts w:cstheme="minorHAnsi"/>
                <w:sz w:val="20"/>
                <w:szCs w:val="20"/>
                <w:lang w:eastAsia="ko-KR"/>
              </w:rPr>
            </w:pPr>
            <w:r w:rsidRPr="000A4B11">
              <w:rPr>
                <w:rFonts w:cstheme="minorHAnsi"/>
                <w:color w:val="000000"/>
                <w:sz w:val="20"/>
                <w:szCs w:val="20"/>
              </w:rPr>
              <w:t>35.7</w:t>
            </w:r>
          </w:p>
        </w:tc>
      </w:tr>
      <w:tr w:rsidR="00E860B3" w:rsidRPr="000A4B11" w14:paraId="363E0F6E" w14:textId="77777777" w:rsidTr="00E860B3">
        <w:trPr>
          <w:trHeight w:val="20"/>
        </w:trPr>
        <w:tc>
          <w:tcPr>
            <w:tcW w:w="2500" w:type="pct"/>
            <w:gridSpan w:val="2"/>
            <w:vMerge w:val="restart"/>
            <w:tcBorders>
              <w:left w:val="single" w:sz="18" w:space="0" w:color="auto"/>
              <w:right w:val="single" w:sz="18" w:space="0" w:color="auto"/>
            </w:tcBorders>
            <w:noWrap/>
            <w:vAlign w:val="center"/>
          </w:tcPr>
          <w:p w14:paraId="7D2133E2" w14:textId="06BE0017" w:rsidR="00E860B3" w:rsidRPr="000A4B11" w:rsidRDefault="00E860B3" w:rsidP="00E860B3">
            <w:pPr>
              <w:tabs>
                <w:tab w:val="decimal" w:pos="251"/>
              </w:tabs>
              <w:jc w:val="center"/>
              <w:rPr>
                <w:rFonts w:cstheme="minorHAnsi"/>
                <w:sz w:val="20"/>
                <w:szCs w:val="20"/>
              </w:rPr>
            </w:pPr>
          </w:p>
        </w:tc>
        <w:tc>
          <w:tcPr>
            <w:tcW w:w="1982" w:type="pct"/>
            <w:tcBorders>
              <w:left w:val="single" w:sz="18" w:space="0" w:color="auto"/>
              <w:right w:val="dotted" w:sz="4" w:space="0" w:color="auto"/>
            </w:tcBorders>
            <w:noWrap/>
            <w:vAlign w:val="center"/>
          </w:tcPr>
          <w:p w14:paraId="7DD058B6" w14:textId="42B302DE" w:rsidR="00E860B3" w:rsidRPr="000A4B11" w:rsidRDefault="00E860B3" w:rsidP="00E860B3">
            <w:pPr>
              <w:rPr>
                <w:rFonts w:cstheme="minorHAnsi"/>
                <w:sz w:val="20"/>
                <w:szCs w:val="20"/>
              </w:rPr>
            </w:pPr>
            <w:r>
              <w:rPr>
                <w:rFonts w:cstheme="minorHAnsi"/>
                <w:sz w:val="20"/>
                <w:szCs w:val="20"/>
              </w:rPr>
              <w:t xml:space="preserve">   </w:t>
            </w:r>
            <w:r w:rsidRPr="000A4B11">
              <w:rPr>
                <w:rFonts w:cstheme="minorHAnsi"/>
                <w:sz w:val="20"/>
                <w:szCs w:val="20"/>
              </w:rPr>
              <w:t>Small town</w:t>
            </w:r>
          </w:p>
        </w:tc>
        <w:tc>
          <w:tcPr>
            <w:tcW w:w="518" w:type="pct"/>
            <w:tcBorders>
              <w:left w:val="dotted" w:sz="4" w:space="0" w:color="auto"/>
              <w:right w:val="single" w:sz="18" w:space="0" w:color="auto"/>
            </w:tcBorders>
            <w:vAlign w:val="center"/>
          </w:tcPr>
          <w:p w14:paraId="3CE848CF" w14:textId="6881DE68" w:rsidR="00E860B3" w:rsidRPr="000A4B11" w:rsidRDefault="00E860B3" w:rsidP="00E860B3">
            <w:pPr>
              <w:tabs>
                <w:tab w:val="decimal" w:pos="249"/>
              </w:tabs>
              <w:jc w:val="center"/>
              <w:rPr>
                <w:rFonts w:cstheme="minorHAnsi"/>
                <w:sz w:val="20"/>
                <w:szCs w:val="20"/>
              </w:rPr>
            </w:pPr>
            <w:r w:rsidRPr="000A4B11">
              <w:rPr>
                <w:rFonts w:cstheme="minorHAnsi"/>
                <w:color w:val="000000"/>
                <w:sz w:val="20"/>
                <w:szCs w:val="20"/>
              </w:rPr>
              <w:t>4.7</w:t>
            </w:r>
          </w:p>
        </w:tc>
      </w:tr>
      <w:tr w:rsidR="00E860B3" w:rsidRPr="000A4B11" w14:paraId="41F59A73" w14:textId="77777777" w:rsidTr="00E860B3">
        <w:trPr>
          <w:trHeight w:val="20"/>
        </w:trPr>
        <w:tc>
          <w:tcPr>
            <w:tcW w:w="2500" w:type="pct"/>
            <w:gridSpan w:val="2"/>
            <w:vMerge/>
            <w:tcBorders>
              <w:left w:val="single" w:sz="18" w:space="0" w:color="auto"/>
              <w:right w:val="single" w:sz="18" w:space="0" w:color="auto"/>
            </w:tcBorders>
            <w:noWrap/>
            <w:vAlign w:val="center"/>
          </w:tcPr>
          <w:p w14:paraId="0337BB9C" w14:textId="698A8D75" w:rsidR="00E860B3" w:rsidRPr="000A4B11" w:rsidRDefault="00E860B3" w:rsidP="00E860B3">
            <w:pPr>
              <w:tabs>
                <w:tab w:val="decimal" w:pos="251"/>
              </w:tabs>
              <w:jc w:val="center"/>
              <w:rPr>
                <w:rFonts w:cstheme="minorHAnsi"/>
                <w:color w:val="000000"/>
                <w:sz w:val="20"/>
                <w:szCs w:val="20"/>
              </w:rPr>
            </w:pPr>
          </w:p>
        </w:tc>
        <w:tc>
          <w:tcPr>
            <w:tcW w:w="1982" w:type="pct"/>
            <w:tcBorders>
              <w:left w:val="single" w:sz="18" w:space="0" w:color="auto"/>
              <w:right w:val="dotted" w:sz="4" w:space="0" w:color="auto"/>
            </w:tcBorders>
            <w:noWrap/>
            <w:vAlign w:val="center"/>
          </w:tcPr>
          <w:p w14:paraId="0C24F85D" w14:textId="3E997D62" w:rsidR="00E860B3" w:rsidRDefault="00E860B3" w:rsidP="00E860B3">
            <w:pPr>
              <w:rPr>
                <w:rFonts w:cstheme="minorHAnsi"/>
                <w:sz w:val="20"/>
                <w:szCs w:val="20"/>
              </w:rPr>
            </w:pPr>
            <w:r>
              <w:rPr>
                <w:rFonts w:cstheme="minorHAnsi"/>
                <w:sz w:val="20"/>
                <w:szCs w:val="20"/>
              </w:rPr>
              <w:t xml:space="preserve">   </w:t>
            </w:r>
            <w:r w:rsidRPr="000A4B11">
              <w:rPr>
                <w:rFonts w:cstheme="minorHAnsi"/>
                <w:sz w:val="20"/>
                <w:szCs w:val="20"/>
              </w:rPr>
              <w:t>Rural</w:t>
            </w:r>
          </w:p>
        </w:tc>
        <w:tc>
          <w:tcPr>
            <w:tcW w:w="518" w:type="pct"/>
            <w:tcBorders>
              <w:left w:val="dotted" w:sz="4" w:space="0" w:color="auto"/>
              <w:right w:val="single" w:sz="18" w:space="0" w:color="auto"/>
            </w:tcBorders>
            <w:vAlign w:val="center"/>
          </w:tcPr>
          <w:p w14:paraId="0158AD1B" w14:textId="4232CDE6" w:rsidR="00E860B3" w:rsidRDefault="00E860B3" w:rsidP="00E860B3">
            <w:pPr>
              <w:tabs>
                <w:tab w:val="decimal" w:pos="249"/>
              </w:tabs>
              <w:jc w:val="center"/>
              <w:rPr>
                <w:rFonts w:cstheme="minorHAnsi"/>
                <w:sz w:val="20"/>
                <w:szCs w:val="20"/>
              </w:rPr>
            </w:pPr>
            <w:r w:rsidRPr="000A4B11">
              <w:rPr>
                <w:rFonts w:cstheme="minorHAnsi"/>
                <w:color w:val="000000"/>
                <w:sz w:val="20"/>
                <w:szCs w:val="20"/>
              </w:rPr>
              <w:t>8.4</w:t>
            </w:r>
          </w:p>
        </w:tc>
      </w:tr>
      <w:tr w:rsidR="00E860B3" w:rsidRPr="000A4B11" w14:paraId="217D16C9" w14:textId="77777777" w:rsidTr="00621C6D">
        <w:trPr>
          <w:trHeight w:val="20"/>
        </w:trPr>
        <w:tc>
          <w:tcPr>
            <w:tcW w:w="5000" w:type="pct"/>
            <w:gridSpan w:val="4"/>
            <w:tcBorders>
              <w:top w:val="single" w:sz="18" w:space="0" w:color="auto"/>
              <w:left w:val="single" w:sz="18" w:space="0" w:color="auto"/>
              <w:bottom w:val="single" w:sz="8" w:space="0" w:color="auto"/>
              <w:right w:val="single" w:sz="18" w:space="0" w:color="auto"/>
            </w:tcBorders>
            <w:noWrap/>
            <w:vAlign w:val="center"/>
          </w:tcPr>
          <w:p w14:paraId="1A6B4D31" w14:textId="1015CB54" w:rsidR="00E860B3" w:rsidRPr="000A4B11" w:rsidRDefault="00E860B3" w:rsidP="00E860B3">
            <w:pPr>
              <w:tabs>
                <w:tab w:val="decimal" w:pos="249"/>
              </w:tabs>
              <w:jc w:val="center"/>
              <w:rPr>
                <w:rFonts w:cstheme="minorHAnsi"/>
                <w:sz w:val="20"/>
                <w:szCs w:val="20"/>
                <w:lang w:eastAsia="ko-KR"/>
              </w:rPr>
            </w:pPr>
            <w:r>
              <w:rPr>
                <w:rFonts w:cstheme="minorHAnsi"/>
                <w:b/>
                <w:bCs/>
                <w:i/>
                <w:iCs/>
                <w:sz w:val="20"/>
                <w:szCs w:val="20"/>
              </w:rPr>
              <w:t>Geographic Attributes</w:t>
            </w:r>
            <w:r w:rsidRPr="000A4B11">
              <w:rPr>
                <w:rFonts w:cstheme="minorHAnsi"/>
                <w:b/>
                <w:bCs/>
                <w:i/>
                <w:iCs/>
                <w:sz w:val="20"/>
                <w:szCs w:val="20"/>
              </w:rPr>
              <w:t xml:space="preserve"> (N=2,655)</w:t>
            </w:r>
          </w:p>
        </w:tc>
      </w:tr>
      <w:tr w:rsidR="00E860B3" w:rsidRPr="000A4B11" w14:paraId="6B99791E" w14:textId="77777777" w:rsidTr="00621C6D">
        <w:trPr>
          <w:trHeight w:val="20"/>
        </w:trPr>
        <w:tc>
          <w:tcPr>
            <w:tcW w:w="1970" w:type="pct"/>
            <w:tcBorders>
              <w:top w:val="single" w:sz="18" w:space="0" w:color="auto"/>
              <w:left w:val="single" w:sz="18" w:space="0" w:color="auto"/>
            </w:tcBorders>
            <w:noWrap/>
            <w:vAlign w:val="center"/>
          </w:tcPr>
          <w:p w14:paraId="126A8968" w14:textId="06174E06" w:rsidR="00E860B3" w:rsidRPr="0063612E" w:rsidRDefault="00E860B3" w:rsidP="00E860B3">
            <w:pPr>
              <w:rPr>
                <w:rFonts w:cstheme="minorHAnsi"/>
                <w:b/>
                <w:bCs/>
                <w:sz w:val="20"/>
                <w:szCs w:val="20"/>
              </w:rPr>
            </w:pPr>
            <w:r w:rsidRPr="0063612E">
              <w:rPr>
                <w:rFonts w:cstheme="minorHAnsi"/>
                <w:b/>
                <w:bCs/>
                <w:sz w:val="20"/>
                <w:szCs w:val="20"/>
              </w:rPr>
              <w:t xml:space="preserve">Population </w:t>
            </w:r>
            <w:r w:rsidR="0014289F">
              <w:rPr>
                <w:rFonts w:cstheme="minorHAnsi"/>
                <w:b/>
                <w:bCs/>
                <w:sz w:val="20"/>
                <w:szCs w:val="20"/>
              </w:rPr>
              <w:t>d</w:t>
            </w:r>
            <w:r w:rsidRPr="0063612E">
              <w:rPr>
                <w:rFonts w:cstheme="minorHAnsi"/>
                <w:b/>
                <w:bCs/>
                <w:sz w:val="20"/>
                <w:szCs w:val="20"/>
              </w:rPr>
              <w:t>ensity</w:t>
            </w:r>
          </w:p>
        </w:tc>
        <w:tc>
          <w:tcPr>
            <w:tcW w:w="530" w:type="pct"/>
            <w:tcBorders>
              <w:top w:val="single" w:sz="18" w:space="0" w:color="auto"/>
              <w:right w:val="single" w:sz="18" w:space="0" w:color="auto"/>
            </w:tcBorders>
            <w:noWrap/>
            <w:vAlign w:val="center"/>
          </w:tcPr>
          <w:p w14:paraId="1C26282F" w14:textId="36609485" w:rsidR="00E860B3" w:rsidRPr="000A4B11" w:rsidRDefault="00E860B3" w:rsidP="00E860B3">
            <w:pPr>
              <w:tabs>
                <w:tab w:val="decimal" w:pos="251"/>
              </w:tabs>
              <w:jc w:val="center"/>
              <w:rPr>
                <w:rFonts w:cstheme="minorHAnsi"/>
                <w:sz w:val="20"/>
                <w:szCs w:val="20"/>
                <w:lang w:eastAsia="ko-KR"/>
              </w:rPr>
            </w:pPr>
          </w:p>
        </w:tc>
        <w:tc>
          <w:tcPr>
            <w:tcW w:w="1982" w:type="pct"/>
            <w:tcBorders>
              <w:top w:val="single" w:sz="18" w:space="0" w:color="auto"/>
              <w:left w:val="single" w:sz="18" w:space="0" w:color="auto"/>
              <w:bottom w:val="dotted" w:sz="4" w:space="0" w:color="auto"/>
            </w:tcBorders>
            <w:noWrap/>
            <w:vAlign w:val="center"/>
          </w:tcPr>
          <w:p w14:paraId="7EE05EE6" w14:textId="63C8BA57" w:rsidR="00E860B3" w:rsidRPr="0063612E" w:rsidRDefault="00E860B3" w:rsidP="00E860B3">
            <w:pPr>
              <w:rPr>
                <w:rFonts w:cstheme="minorHAnsi"/>
                <w:b/>
                <w:bCs/>
                <w:sz w:val="20"/>
                <w:szCs w:val="20"/>
              </w:rPr>
            </w:pPr>
            <w:r w:rsidRPr="0063612E">
              <w:rPr>
                <w:rFonts w:cstheme="minorHAnsi"/>
                <w:b/>
                <w:bCs/>
                <w:sz w:val="20"/>
                <w:szCs w:val="20"/>
              </w:rPr>
              <w:t>Walkability</w:t>
            </w:r>
          </w:p>
        </w:tc>
        <w:tc>
          <w:tcPr>
            <w:tcW w:w="518" w:type="pct"/>
            <w:tcBorders>
              <w:top w:val="single" w:sz="18" w:space="0" w:color="auto"/>
              <w:bottom w:val="dotted" w:sz="4" w:space="0" w:color="auto"/>
              <w:right w:val="single" w:sz="18" w:space="0" w:color="auto"/>
            </w:tcBorders>
            <w:noWrap/>
            <w:vAlign w:val="center"/>
          </w:tcPr>
          <w:p w14:paraId="00A596DE" w14:textId="5263BF6B" w:rsidR="00E860B3" w:rsidRPr="000A4B11" w:rsidRDefault="00E860B3" w:rsidP="00E860B3">
            <w:pPr>
              <w:tabs>
                <w:tab w:val="decimal" w:pos="249"/>
              </w:tabs>
              <w:jc w:val="center"/>
              <w:rPr>
                <w:rFonts w:cstheme="minorHAnsi"/>
                <w:color w:val="000000"/>
                <w:sz w:val="20"/>
                <w:szCs w:val="20"/>
              </w:rPr>
            </w:pPr>
          </w:p>
        </w:tc>
      </w:tr>
      <w:tr w:rsidR="00E860B3" w:rsidRPr="000A4B11" w14:paraId="5116EE01" w14:textId="77777777" w:rsidTr="0075594E">
        <w:trPr>
          <w:trHeight w:val="20"/>
        </w:trPr>
        <w:tc>
          <w:tcPr>
            <w:tcW w:w="1970" w:type="pct"/>
            <w:tcBorders>
              <w:left w:val="single" w:sz="18" w:space="0" w:color="auto"/>
            </w:tcBorders>
            <w:noWrap/>
            <w:vAlign w:val="center"/>
          </w:tcPr>
          <w:p w14:paraId="79C8761F" w14:textId="0E5EE093" w:rsidR="00E860B3" w:rsidRPr="000A4B11" w:rsidRDefault="00E860B3" w:rsidP="00E860B3">
            <w:pPr>
              <w:ind w:left="144"/>
              <w:rPr>
                <w:rFonts w:cstheme="minorHAnsi"/>
                <w:sz w:val="20"/>
                <w:szCs w:val="20"/>
              </w:rPr>
            </w:pPr>
            <w:r>
              <w:rPr>
                <w:rFonts w:cstheme="minorHAnsi"/>
                <w:sz w:val="20"/>
                <w:szCs w:val="20"/>
              </w:rPr>
              <w:t>High (</w:t>
            </w:r>
            <w:r w:rsidR="00083000">
              <w:rPr>
                <w:rFonts w:cstheme="minorHAnsi"/>
                <w:sz w:val="20"/>
                <w:szCs w:val="20"/>
              </w:rPr>
              <w:t xml:space="preserve">≥ </w:t>
            </w:r>
            <w:r>
              <w:rPr>
                <w:rFonts w:cstheme="minorHAnsi"/>
                <w:sz w:val="20"/>
                <w:szCs w:val="20"/>
              </w:rPr>
              <w:t xml:space="preserve">30 </w:t>
            </w:r>
            <w:r w:rsidR="00083000">
              <w:rPr>
                <w:rFonts w:cstheme="minorHAnsi"/>
                <w:sz w:val="20"/>
                <w:szCs w:val="20"/>
              </w:rPr>
              <w:t>people</w:t>
            </w:r>
            <w:r>
              <w:rPr>
                <w:rFonts w:cstheme="minorHAnsi"/>
                <w:sz w:val="20"/>
                <w:szCs w:val="20"/>
              </w:rPr>
              <w:t>/acre)</w:t>
            </w:r>
          </w:p>
        </w:tc>
        <w:tc>
          <w:tcPr>
            <w:tcW w:w="530" w:type="pct"/>
            <w:tcBorders>
              <w:right w:val="single" w:sz="18" w:space="0" w:color="auto"/>
            </w:tcBorders>
            <w:noWrap/>
            <w:vAlign w:val="center"/>
          </w:tcPr>
          <w:p w14:paraId="1A68832B" w14:textId="4402C37D"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29.9</w:t>
            </w:r>
          </w:p>
        </w:tc>
        <w:tc>
          <w:tcPr>
            <w:tcW w:w="1982" w:type="pct"/>
            <w:tcBorders>
              <w:left w:val="single" w:sz="18" w:space="0" w:color="auto"/>
            </w:tcBorders>
            <w:noWrap/>
            <w:vAlign w:val="center"/>
          </w:tcPr>
          <w:p w14:paraId="367CBE7F" w14:textId="753D7C95" w:rsidR="00E860B3" w:rsidRPr="000A4B11" w:rsidRDefault="00E860B3" w:rsidP="00E860B3">
            <w:pPr>
              <w:ind w:left="144"/>
              <w:rPr>
                <w:rFonts w:cstheme="minorHAnsi"/>
                <w:sz w:val="20"/>
                <w:szCs w:val="20"/>
              </w:rPr>
            </w:pPr>
            <w:r>
              <w:rPr>
                <w:rFonts w:cstheme="minorHAnsi"/>
                <w:sz w:val="20"/>
                <w:szCs w:val="20"/>
              </w:rPr>
              <w:t>High</w:t>
            </w:r>
            <w:r w:rsidR="00083000">
              <w:rPr>
                <w:rFonts w:cstheme="minorHAnsi"/>
                <w:sz w:val="20"/>
                <w:szCs w:val="20"/>
              </w:rPr>
              <w:t xml:space="preserve"> (≥ 13 National Walk Index)</w:t>
            </w:r>
          </w:p>
        </w:tc>
        <w:tc>
          <w:tcPr>
            <w:tcW w:w="518" w:type="pct"/>
            <w:tcBorders>
              <w:right w:val="single" w:sz="18" w:space="0" w:color="auto"/>
            </w:tcBorders>
            <w:noWrap/>
            <w:vAlign w:val="center"/>
          </w:tcPr>
          <w:p w14:paraId="6AA4D89D" w14:textId="5745A417"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29.0</w:t>
            </w:r>
          </w:p>
        </w:tc>
      </w:tr>
      <w:tr w:rsidR="00E860B3" w:rsidRPr="000A4B11" w14:paraId="2DF359E3" w14:textId="77777777" w:rsidTr="00621C6D">
        <w:trPr>
          <w:trHeight w:val="20"/>
        </w:trPr>
        <w:tc>
          <w:tcPr>
            <w:tcW w:w="1970" w:type="pct"/>
            <w:tcBorders>
              <w:left w:val="single" w:sz="18" w:space="0" w:color="auto"/>
            </w:tcBorders>
            <w:noWrap/>
            <w:vAlign w:val="center"/>
          </w:tcPr>
          <w:p w14:paraId="77B57693" w14:textId="7D95CCE4" w:rsidR="00E860B3" w:rsidRPr="000A4B11" w:rsidRDefault="00E860B3" w:rsidP="00E860B3">
            <w:pPr>
              <w:ind w:left="144"/>
              <w:rPr>
                <w:rFonts w:cstheme="minorHAnsi"/>
                <w:sz w:val="20"/>
                <w:szCs w:val="20"/>
              </w:rPr>
            </w:pPr>
            <w:r>
              <w:rPr>
                <w:rFonts w:cstheme="minorHAnsi"/>
                <w:sz w:val="20"/>
                <w:szCs w:val="20"/>
              </w:rPr>
              <w:t>Medium (</w:t>
            </w:r>
            <w:r w:rsidR="00083000">
              <w:rPr>
                <w:rFonts w:cstheme="minorHAnsi"/>
                <w:sz w:val="20"/>
                <w:szCs w:val="20"/>
              </w:rPr>
              <w:t xml:space="preserve">≥ </w:t>
            </w:r>
            <w:r>
              <w:rPr>
                <w:rFonts w:cstheme="minorHAnsi"/>
                <w:sz w:val="20"/>
                <w:szCs w:val="20"/>
              </w:rPr>
              <w:t>4, &lt;</w:t>
            </w:r>
            <w:r w:rsidR="00083000">
              <w:rPr>
                <w:rFonts w:cstheme="minorHAnsi"/>
                <w:sz w:val="20"/>
                <w:szCs w:val="20"/>
              </w:rPr>
              <w:t xml:space="preserve"> </w:t>
            </w:r>
            <w:r>
              <w:rPr>
                <w:rFonts w:cstheme="minorHAnsi"/>
                <w:sz w:val="20"/>
                <w:szCs w:val="20"/>
              </w:rPr>
              <w:t>30</w:t>
            </w:r>
            <w:r w:rsidR="00083000">
              <w:rPr>
                <w:rFonts w:cstheme="minorHAnsi"/>
                <w:sz w:val="20"/>
                <w:szCs w:val="20"/>
              </w:rPr>
              <w:t xml:space="preserve"> people/acre</w:t>
            </w:r>
            <w:r>
              <w:rPr>
                <w:rFonts w:cstheme="minorHAnsi"/>
                <w:sz w:val="20"/>
                <w:szCs w:val="20"/>
              </w:rPr>
              <w:t>)</w:t>
            </w:r>
          </w:p>
        </w:tc>
        <w:tc>
          <w:tcPr>
            <w:tcW w:w="530" w:type="pct"/>
            <w:tcBorders>
              <w:right w:val="single" w:sz="18" w:space="0" w:color="auto"/>
            </w:tcBorders>
            <w:noWrap/>
            <w:vAlign w:val="center"/>
          </w:tcPr>
          <w:p w14:paraId="0792D9EB" w14:textId="4A2D1C1D"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58.4</w:t>
            </w:r>
          </w:p>
        </w:tc>
        <w:tc>
          <w:tcPr>
            <w:tcW w:w="1982" w:type="pct"/>
            <w:tcBorders>
              <w:left w:val="single" w:sz="18" w:space="0" w:color="auto"/>
            </w:tcBorders>
            <w:noWrap/>
            <w:vAlign w:val="center"/>
          </w:tcPr>
          <w:p w14:paraId="27BED13B" w14:textId="067F1FF0" w:rsidR="00E860B3" w:rsidRPr="000A4B11" w:rsidRDefault="00E860B3" w:rsidP="00E860B3">
            <w:pPr>
              <w:ind w:left="144"/>
              <w:rPr>
                <w:rFonts w:cstheme="minorHAnsi"/>
                <w:sz w:val="20"/>
                <w:szCs w:val="20"/>
              </w:rPr>
            </w:pPr>
            <w:r>
              <w:rPr>
                <w:rFonts w:cstheme="minorHAnsi"/>
                <w:sz w:val="20"/>
                <w:szCs w:val="20"/>
              </w:rPr>
              <w:t>Medium</w:t>
            </w:r>
            <w:r w:rsidR="00083000">
              <w:rPr>
                <w:rFonts w:cstheme="minorHAnsi"/>
                <w:sz w:val="20"/>
                <w:szCs w:val="20"/>
              </w:rPr>
              <w:t xml:space="preserve"> (≥ 8, &lt; 13 National Walk Index)</w:t>
            </w:r>
          </w:p>
        </w:tc>
        <w:tc>
          <w:tcPr>
            <w:tcW w:w="518" w:type="pct"/>
            <w:tcBorders>
              <w:right w:val="single" w:sz="18" w:space="0" w:color="auto"/>
            </w:tcBorders>
            <w:noWrap/>
            <w:vAlign w:val="center"/>
          </w:tcPr>
          <w:p w14:paraId="5E6D9B80" w14:textId="2BBBA62A"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37.0</w:t>
            </w:r>
          </w:p>
        </w:tc>
      </w:tr>
      <w:tr w:rsidR="00E860B3" w:rsidRPr="000A4B11" w14:paraId="5B7B2CC7" w14:textId="77777777" w:rsidTr="00621C6D">
        <w:trPr>
          <w:trHeight w:val="20"/>
        </w:trPr>
        <w:tc>
          <w:tcPr>
            <w:tcW w:w="1970" w:type="pct"/>
            <w:tcBorders>
              <w:left w:val="single" w:sz="18" w:space="0" w:color="auto"/>
            </w:tcBorders>
            <w:noWrap/>
            <w:vAlign w:val="center"/>
          </w:tcPr>
          <w:p w14:paraId="5DB6390D" w14:textId="47704CF9" w:rsidR="00E860B3" w:rsidRDefault="00E860B3" w:rsidP="00E860B3">
            <w:pPr>
              <w:ind w:left="144"/>
              <w:rPr>
                <w:rFonts w:cstheme="minorHAnsi"/>
                <w:sz w:val="20"/>
                <w:szCs w:val="20"/>
              </w:rPr>
            </w:pPr>
            <w:r>
              <w:rPr>
                <w:rFonts w:cstheme="minorHAnsi"/>
                <w:sz w:val="20"/>
                <w:szCs w:val="20"/>
              </w:rPr>
              <w:t>Low (&lt;</w:t>
            </w:r>
            <w:r w:rsidR="00083000">
              <w:rPr>
                <w:rFonts w:cstheme="minorHAnsi"/>
                <w:sz w:val="20"/>
                <w:szCs w:val="20"/>
              </w:rPr>
              <w:t xml:space="preserve"> </w:t>
            </w:r>
            <w:r>
              <w:rPr>
                <w:rFonts w:cstheme="minorHAnsi"/>
                <w:sz w:val="20"/>
                <w:szCs w:val="20"/>
              </w:rPr>
              <w:t>4</w:t>
            </w:r>
            <w:r w:rsidR="00083000">
              <w:rPr>
                <w:rFonts w:cstheme="minorHAnsi"/>
                <w:sz w:val="20"/>
                <w:szCs w:val="20"/>
              </w:rPr>
              <w:t xml:space="preserve"> people/acre</w:t>
            </w:r>
            <w:r>
              <w:rPr>
                <w:rFonts w:cstheme="minorHAnsi"/>
                <w:sz w:val="20"/>
                <w:szCs w:val="20"/>
              </w:rPr>
              <w:t>)</w:t>
            </w:r>
          </w:p>
        </w:tc>
        <w:tc>
          <w:tcPr>
            <w:tcW w:w="530" w:type="pct"/>
            <w:tcBorders>
              <w:right w:val="single" w:sz="18" w:space="0" w:color="auto"/>
            </w:tcBorders>
            <w:noWrap/>
            <w:vAlign w:val="center"/>
          </w:tcPr>
          <w:p w14:paraId="32B790D9" w14:textId="0BCF8604"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11.7</w:t>
            </w:r>
          </w:p>
        </w:tc>
        <w:tc>
          <w:tcPr>
            <w:tcW w:w="1982" w:type="pct"/>
            <w:tcBorders>
              <w:left w:val="single" w:sz="18" w:space="0" w:color="auto"/>
            </w:tcBorders>
            <w:noWrap/>
            <w:vAlign w:val="center"/>
          </w:tcPr>
          <w:p w14:paraId="473CA89A" w14:textId="5D8CA89A" w:rsidR="00E860B3" w:rsidRPr="000A4B11" w:rsidRDefault="00E860B3" w:rsidP="00E860B3">
            <w:pPr>
              <w:ind w:left="144"/>
              <w:rPr>
                <w:rFonts w:cstheme="minorHAnsi"/>
                <w:sz w:val="20"/>
                <w:szCs w:val="20"/>
              </w:rPr>
            </w:pPr>
            <w:r>
              <w:rPr>
                <w:rFonts w:cstheme="minorHAnsi"/>
                <w:sz w:val="20"/>
                <w:szCs w:val="20"/>
              </w:rPr>
              <w:t>Low</w:t>
            </w:r>
            <w:r w:rsidR="00083000">
              <w:rPr>
                <w:rFonts w:cstheme="minorHAnsi"/>
                <w:sz w:val="20"/>
                <w:szCs w:val="20"/>
              </w:rPr>
              <w:t xml:space="preserve"> (&lt; 8 National Walk Index)</w:t>
            </w:r>
          </w:p>
        </w:tc>
        <w:tc>
          <w:tcPr>
            <w:tcW w:w="518" w:type="pct"/>
            <w:tcBorders>
              <w:right w:val="single" w:sz="18" w:space="0" w:color="auto"/>
            </w:tcBorders>
            <w:noWrap/>
            <w:vAlign w:val="center"/>
          </w:tcPr>
          <w:p w14:paraId="7D1CF8A1" w14:textId="799C358B"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34.0</w:t>
            </w:r>
          </w:p>
        </w:tc>
      </w:tr>
      <w:tr w:rsidR="00E860B3" w:rsidRPr="000A4B11" w14:paraId="6BB36F00" w14:textId="77777777" w:rsidTr="00621C6D">
        <w:trPr>
          <w:trHeight w:val="20"/>
        </w:trPr>
        <w:tc>
          <w:tcPr>
            <w:tcW w:w="1970" w:type="pct"/>
            <w:tcBorders>
              <w:left w:val="single" w:sz="18" w:space="0" w:color="auto"/>
            </w:tcBorders>
            <w:noWrap/>
            <w:vAlign w:val="center"/>
          </w:tcPr>
          <w:p w14:paraId="3304CCEC" w14:textId="7DF68272" w:rsidR="00E860B3" w:rsidRPr="0063612E" w:rsidRDefault="00E860B3" w:rsidP="00E860B3">
            <w:pPr>
              <w:rPr>
                <w:rFonts w:cstheme="minorHAnsi"/>
                <w:b/>
                <w:bCs/>
                <w:sz w:val="20"/>
                <w:szCs w:val="20"/>
              </w:rPr>
            </w:pPr>
            <w:r w:rsidRPr="0063612E">
              <w:rPr>
                <w:rFonts w:cstheme="minorHAnsi"/>
                <w:b/>
                <w:bCs/>
                <w:sz w:val="20"/>
                <w:szCs w:val="20"/>
              </w:rPr>
              <w:t>Employment density</w:t>
            </w:r>
          </w:p>
        </w:tc>
        <w:tc>
          <w:tcPr>
            <w:tcW w:w="530" w:type="pct"/>
            <w:tcBorders>
              <w:right w:val="single" w:sz="18" w:space="0" w:color="auto"/>
            </w:tcBorders>
            <w:noWrap/>
            <w:vAlign w:val="center"/>
          </w:tcPr>
          <w:p w14:paraId="5A365718" w14:textId="77777777" w:rsidR="00E860B3" w:rsidRPr="000A4B11" w:rsidRDefault="00E860B3" w:rsidP="00E860B3">
            <w:pPr>
              <w:tabs>
                <w:tab w:val="decimal" w:pos="251"/>
              </w:tabs>
              <w:jc w:val="center"/>
              <w:rPr>
                <w:rFonts w:cstheme="minorHAnsi"/>
                <w:sz w:val="20"/>
                <w:szCs w:val="20"/>
                <w:lang w:eastAsia="ko-KR"/>
              </w:rPr>
            </w:pPr>
          </w:p>
        </w:tc>
        <w:tc>
          <w:tcPr>
            <w:tcW w:w="1982" w:type="pct"/>
            <w:tcBorders>
              <w:left w:val="single" w:sz="18" w:space="0" w:color="auto"/>
            </w:tcBorders>
            <w:noWrap/>
            <w:vAlign w:val="center"/>
          </w:tcPr>
          <w:p w14:paraId="71B819FE" w14:textId="68DE70A5" w:rsidR="00E860B3" w:rsidRPr="0063612E" w:rsidRDefault="00E860B3" w:rsidP="00E860B3">
            <w:pPr>
              <w:rPr>
                <w:rFonts w:cstheme="minorHAnsi"/>
                <w:b/>
                <w:bCs/>
                <w:sz w:val="20"/>
                <w:szCs w:val="20"/>
              </w:rPr>
            </w:pPr>
            <w:r w:rsidRPr="0063612E">
              <w:rPr>
                <w:rFonts w:cstheme="minorHAnsi"/>
                <w:b/>
                <w:bCs/>
                <w:sz w:val="20"/>
                <w:szCs w:val="20"/>
              </w:rPr>
              <w:t>Transit accessibility to employment</w:t>
            </w:r>
          </w:p>
        </w:tc>
        <w:tc>
          <w:tcPr>
            <w:tcW w:w="518" w:type="pct"/>
            <w:tcBorders>
              <w:right w:val="single" w:sz="18" w:space="0" w:color="auto"/>
            </w:tcBorders>
            <w:noWrap/>
            <w:vAlign w:val="center"/>
          </w:tcPr>
          <w:p w14:paraId="3ECA2327" w14:textId="77777777" w:rsidR="00E860B3" w:rsidRPr="000A4B11" w:rsidRDefault="00E860B3" w:rsidP="00E860B3">
            <w:pPr>
              <w:tabs>
                <w:tab w:val="decimal" w:pos="249"/>
              </w:tabs>
              <w:jc w:val="center"/>
              <w:rPr>
                <w:rFonts w:cstheme="minorHAnsi"/>
                <w:color w:val="000000"/>
                <w:sz w:val="20"/>
                <w:szCs w:val="20"/>
              </w:rPr>
            </w:pPr>
          </w:p>
        </w:tc>
      </w:tr>
      <w:tr w:rsidR="00E860B3" w:rsidRPr="000A4B11" w14:paraId="55AFE87D" w14:textId="77777777" w:rsidTr="00621C6D">
        <w:trPr>
          <w:trHeight w:val="20"/>
        </w:trPr>
        <w:tc>
          <w:tcPr>
            <w:tcW w:w="1970" w:type="pct"/>
            <w:tcBorders>
              <w:left w:val="single" w:sz="18" w:space="0" w:color="auto"/>
            </w:tcBorders>
            <w:noWrap/>
            <w:vAlign w:val="center"/>
          </w:tcPr>
          <w:p w14:paraId="6B1A201C" w14:textId="32CE742C" w:rsidR="00E860B3" w:rsidRDefault="00E860B3" w:rsidP="00E860B3">
            <w:pPr>
              <w:ind w:left="144"/>
              <w:rPr>
                <w:rFonts w:cstheme="minorHAnsi"/>
                <w:sz w:val="20"/>
                <w:szCs w:val="20"/>
              </w:rPr>
            </w:pPr>
            <w:r>
              <w:rPr>
                <w:rFonts w:cstheme="minorHAnsi"/>
                <w:sz w:val="20"/>
                <w:szCs w:val="20"/>
              </w:rPr>
              <w:t>High (</w:t>
            </w:r>
            <w:r w:rsidR="00083000">
              <w:rPr>
                <w:rFonts w:cstheme="minorHAnsi"/>
                <w:sz w:val="20"/>
                <w:szCs w:val="20"/>
              </w:rPr>
              <w:t>≥ 11 jobs/acre)</w:t>
            </w:r>
          </w:p>
        </w:tc>
        <w:tc>
          <w:tcPr>
            <w:tcW w:w="530" w:type="pct"/>
            <w:tcBorders>
              <w:right w:val="single" w:sz="18" w:space="0" w:color="auto"/>
            </w:tcBorders>
            <w:noWrap/>
            <w:vAlign w:val="center"/>
          </w:tcPr>
          <w:p w14:paraId="644ED2BF" w14:textId="0DAEF987"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28.7</w:t>
            </w:r>
          </w:p>
        </w:tc>
        <w:tc>
          <w:tcPr>
            <w:tcW w:w="1982" w:type="pct"/>
            <w:tcBorders>
              <w:left w:val="single" w:sz="18" w:space="0" w:color="auto"/>
            </w:tcBorders>
            <w:noWrap/>
            <w:vAlign w:val="center"/>
          </w:tcPr>
          <w:p w14:paraId="3EF7DDE7" w14:textId="272276EE" w:rsidR="00E860B3" w:rsidRDefault="00E860B3" w:rsidP="00E860B3">
            <w:pPr>
              <w:ind w:left="144"/>
              <w:rPr>
                <w:rFonts w:cstheme="minorHAnsi"/>
                <w:sz w:val="20"/>
                <w:szCs w:val="20"/>
              </w:rPr>
            </w:pPr>
            <w:r>
              <w:rPr>
                <w:rFonts w:cstheme="minorHAnsi"/>
                <w:sz w:val="20"/>
                <w:szCs w:val="20"/>
              </w:rPr>
              <w:t>High</w:t>
            </w:r>
            <w:r w:rsidR="00083000">
              <w:rPr>
                <w:rFonts w:cstheme="minorHAnsi"/>
                <w:sz w:val="20"/>
                <w:szCs w:val="20"/>
              </w:rPr>
              <w:t xml:space="preserve"> (≥ 10%)</w:t>
            </w:r>
          </w:p>
        </w:tc>
        <w:tc>
          <w:tcPr>
            <w:tcW w:w="518" w:type="pct"/>
            <w:tcBorders>
              <w:right w:val="single" w:sz="18" w:space="0" w:color="auto"/>
            </w:tcBorders>
            <w:noWrap/>
            <w:vAlign w:val="center"/>
          </w:tcPr>
          <w:p w14:paraId="4608ABB4" w14:textId="070A3AFF"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64.3</w:t>
            </w:r>
          </w:p>
        </w:tc>
      </w:tr>
      <w:tr w:rsidR="00E860B3" w:rsidRPr="000A4B11" w14:paraId="424E8FCA" w14:textId="77777777" w:rsidTr="00621C6D">
        <w:trPr>
          <w:trHeight w:val="20"/>
        </w:trPr>
        <w:tc>
          <w:tcPr>
            <w:tcW w:w="1970" w:type="pct"/>
            <w:tcBorders>
              <w:left w:val="single" w:sz="18" w:space="0" w:color="auto"/>
            </w:tcBorders>
            <w:noWrap/>
            <w:vAlign w:val="center"/>
          </w:tcPr>
          <w:p w14:paraId="5876E3EB" w14:textId="756D0C42" w:rsidR="00E860B3" w:rsidRDefault="00E860B3" w:rsidP="00E860B3">
            <w:pPr>
              <w:ind w:left="144"/>
              <w:rPr>
                <w:rFonts w:cstheme="minorHAnsi"/>
                <w:sz w:val="20"/>
                <w:szCs w:val="20"/>
              </w:rPr>
            </w:pPr>
            <w:r>
              <w:rPr>
                <w:rFonts w:cstheme="minorHAnsi"/>
                <w:sz w:val="20"/>
                <w:szCs w:val="20"/>
              </w:rPr>
              <w:t>Medium</w:t>
            </w:r>
            <w:r w:rsidR="00083000">
              <w:rPr>
                <w:rFonts w:cstheme="minorHAnsi"/>
                <w:sz w:val="20"/>
                <w:szCs w:val="20"/>
              </w:rPr>
              <w:t xml:space="preserve"> (≥ 1, &lt; 11 jobs/acre)</w:t>
            </w:r>
          </w:p>
        </w:tc>
        <w:tc>
          <w:tcPr>
            <w:tcW w:w="530" w:type="pct"/>
            <w:tcBorders>
              <w:right w:val="single" w:sz="18" w:space="0" w:color="auto"/>
            </w:tcBorders>
            <w:noWrap/>
            <w:vAlign w:val="center"/>
          </w:tcPr>
          <w:p w14:paraId="64128669" w14:textId="08268C43"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60.4</w:t>
            </w:r>
          </w:p>
        </w:tc>
        <w:tc>
          <w:tcPr>
            <w:tcW w:w="1982" w:type="pct"/>
            <w:tcBorders>
              <w:left w:val="single" w:sz="18" w:space="0" w:color="auto"/>
            </w:tcBorders>
            <w:noWrap/>
            <w:vAlign w:val="center"/>
          </w:tcPr>
          <w:p w14:paraId="35BB5465" w14:textId="46AC1F53" w:rsidR="00E860B3" w:rsidRDefault="00E860B3" w:rsidP="00E860B3">
            <w:pPr>
              <w:ind w:left="144"/>
              <w:rPr>
                <w:rFonts w:cstheme="minorHAnsi"/>
                <w:sz w:val="20"/>
                <w:szCs w:val="20"/>
              </w:rPr>
            </w:pPr>
            <w:r>
              <w:rPr>
                <w:rFonts w:cstheme="minorHAnsi"/>
                <w:sz w:val="20"/>
                <w:szCs w:val="20"/>
              </w:rPr>
              <w:t>Medium</w:t>
            </w:r>
            <w:r w:rsidR="00083000">
              <w:rPr>
                <w:rFonts w:cstheme="minorHAnsi"/>
                <w:sz w:val="20"/>
                <w:szCs w:val="20"/>
              </w:rPr>
              <w:t xml:space="preserve"> (&gt; 0%, &lt; 10%)</w:t>
            </w:r>
          </w:p>
        </w:tc>
        <w:tc>
          <w:tcPr>
            <w:tcW w:w="518" w:type="pct"/>
            <w:tcBorders>
              <w:right w:val="single" w:sz="18" w:space="0" w:color="auto"/>
            </w:tcBorders>
            <w:noWrap/>
            <w:vAlign w:val="center"/>
          </w:tcPr>
          <w:p w14:paraId="6EA16FE5" w14:textId="0D102FC4"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11.7</w:t>
            </w:r>
          </w:p>
        </w:tc>
      </w:tr>
      <w:tr w:rsidR="00E860B3" w:rsidRPr="000A4B11" w14:paraId="1CB0733D" w14:textId="77777777" w:rsidTr="00621C6D">
        <w:trPr>
          <w:trHeight w:val="20"/>
        </w:trPr>
        <w:tc>
          <w:tcPr>
            <w:tcW w:w="1970" w:type="pct"/>
            <w:tcBorders>
              <w:left w:val="single" w:sz="18" w:space="0" w:color="auto"/>
              <w:bottom w:val="single" w:sz="18" w:space="0" w:color="auto"/>
            </w:tcBorders>
            <w:noWrap/>
            <w:vAlign w:val="center"/>
          </w:tcPr>
          <w:p w14:paraId="5AEF0BED" w14:textId="4CE25927" w:rsidR="00E860B3" w:rsidRDefault="00E860B3" w:rsidP="00E860B3">
            <w:pPr>
              <w:ind w:left="144"/>
              <w:rPr>
                <w:rFonts w:cstheme="minorHAnsi"/>
                <w:sz w:val="20"/>
                <w:szCs w:val="20"/>
              </w:rPr>
            </w:pPr>
            <w:r>
              <w:rPr>
                <w:rFonts w:cstheme="minorHAnsi"/>
                <w:sz w:val="20"/>
                <w:szCs w:val="20"/>
              </w:rPr>
              <w:t>Low</w:t>
            </w:r>
            <w:r w:rsidR="00083000">
              <w:rPr>
                <w:rFonts w:cstheme="minorHAnsi"/>
                <w:sz w:val="20"/>
                <w:szCs w:val="20"/>
              </w:rPr>
              <w:t xml:space="preserve"> (&lt; 1 jobs/acre)</w:t>
            </w:r>
          </w:p>
        </w:tc>
        <w:tc>
          <w:tcPr>
            <w:tcW w:w="530" w:type="pct"/>
            <w:tcBorders>
              <w:bottom w:val="single" w:sz="18" w:space="0" w:color="auto"/>
              <w:right w:val="single" w:sz="18" w:space="0" w:color="auto"/>
            </w:tcBorders>
            <w:noWrap/>
            <w:vAlign w:val="center"/>
          </w:tcPr>
          <w:p w14:paraId="1FA9713F" w14:textId="0A594CC7" w:rsidR="00E860B3" w:rsidRPr="000A4B11" w:rsidRDefault="00E860B3" w:rsidP="00E860B3">
            <w:pPr>
              <w:tabs>
                <w:tab w:val="decimal" w:pos="251"/>
              </w:tabs>
              <w:jc w:val="center"/>
              <w:rPr>
                <w:rFonts w:cstheme="minorHAnsi"/>
                <w:sz w:val="20"/>
                <w:szCs w:val="20"/>
                <w:lang w:eastAsia="ko-KR"/>
              </w:rPr>
            </w:pPr>
            <w:r>
              <w:rPr>
                <w:rFonts w:cstheme="minorHAnsi"/>
                <w:sz w:val="20"/>
                <w:szCs w:val="20"/>
                <w:lang w:eastAsia="ko-KR"/>
              </w:rPr>
              <w:t>10.9</w:t>
            </w:r>
          </w:p>
        </w:tc>
        <w:tc>
          <w:tcPr>
            <w:tcW w:w="1982" w:type="pct"/>
            <w:tcBorders>
              <w:left w:val="single" w:sz="18" w:space="0" w:color="auto"/>
              <w:bottom w:val="single" w:sz="18" w:space="0" w:color="auto"/>
            </w:tcBorders>
            <w:noWrap/>
            <w:vAlign w:val="center"/>
          </w:tcPr>
          <w:p w14:paraId="426A31D0" w14:textId="7BE54F5C" w:rsidR="00E860B3" w:rsidRDefault="00E860B3" w:rsidP="00E860B3">
            <w:pPr>
              <w:ind w:left="144"/>
              <w:rPr>
                <w:rFonts w:cstheme="minorHAnsi"/>
                <w:sz w:val="20"/>
                <w:szCs w:val="20"/>
              </w:rPr>
            </w:pPr>
            <w:r>
              <w:rPr>
                <w:rFonts w:cstheme="minorHAnsi"/>
                <w:sz w:val="20"/>
                <w:szCs w:val="20"/>
              </w:rPr>
              <w:t>Low</w:t>
            </w:r>
            <w:r w:rsidR="00083000">
              <w:rPr>
                <w:rFonts w:cstheme="minorHAnsi"/>
                <w:sz w:val="20"/>
                <w:szCs w:val="20"/>
              </w:rPr>
              <w:t xml:space="preserve"> (0%)</w:t>
            </w:r>
          </w:p>
        </w:tc>
        <w:tc>
          <w:tcPr>
            <w:tcW w:w="518" w:type="pct"/>
            <w:tcBorders>
              <w:bottom w:val="single" w:sz="18" w:space="0" w:color="auto"/>
              <w:right w:val="single" w:sz="18" w:space="0" w:color="auto"/>
            </w:tcBorders>
            <w:noWrap/>
            <w:vAlign w:val="center"/>
          </w:tcPr>
          <w:p w14:paraId="7F05CDAD" w14:textId="211B7504" w:rsidR="00E860B3" w:rsidRPr="000A4B11" w:rsidRDefault="00E860B3" w:rsidP="00E860B3">
            <w:pPr>
              <w:tabs>
                <w:tab w:val="decimal" w:pos="249"/>
              </w:tabs>
              <w:jc w:val="center"/>
              <w:rPr>
                <w:rFonts w:cstheme="minorHAnsi"/>
                <w:color w:val="000000"/>
                <w:sz w:val="20"/>
                <w:szCs w:val="20"/>
              </w:rPr>
            </w:pPr>
            <w:r>
              <w:rPr>
                <w:rFonts w:cstheme="minorHAnsi"/>
                <w:color w:val="000000"/>
                <w:sz w:val="20"/>
                <w:szCs w:val="20"/>
              </w:rPr>
              <w:t>24.0</w:t>
            </w:r>
          </w:p>
        </w:tc>
      </w:tr>
    </w:tbl>
    <w:p w14:paraId="0A27F9CE" w14:textId="77777777" w:rsidR="00457BB1" w:rsidRDefault="00457BB1" w:rsidP="00457BB1">
      <w:pPr>
        <w:rPr>
          <w:noProof/>
        </w:rPr>
      </w:pPr>
    </w:p>
    <w:p w14:paraId="3AA71506" w14:textId="77777777" w:rsidR="00457BB1" w:rsidRDefault="00457BB1" w:rsidP="00457BB1">
      <w:pPr>
        <w:jc w:val="center"/>
      </w:pPr>
      <w:r>
        <w:rPr>
          <w:noProof/>
        </w:rPr>
        <w:lastRenderedPageBreak/>
        <w:drawing>
          <wp:inline distT="0" distB="0" distL="0" distR="0" wp14:anchorId="1BA43545" wp14:editId="19792F45">
            <wp:extent cx="5943600" cy="2660190"/>
            <wp:effectExtent l="0" t="0" r="0" b="6985"/>
            <wp:docPr id="117216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660190"/>
                    </a:xfrm>
                    <a:prstGeom prst="rect">
                      <a:avLst/>
                    </a:prstGeom>
                    <a:noFill/>
                  </pic:spPr>
                </pic:pic>
              </a:graphicData>
            </a:graphic>
          </wp:inline>
        </w:drawing>
      </w:r>
    </w:p>
    <w:p w14:paraId="36DE6212" w14:textId="77777777" w:rsidR="00457BB1" w:rsidRPr="00B95CAC" w:rsidRDefault="00457BB1" w:rsidP="00457BB1">
      <w:pPr>
        <w:jc w:val="center"/>
        <w:rPr>
          <w:rFonts w:eastAsia="Calibri"/>
          <w:b/>
          <w:bCs/>
          <w:sz w:val="22"/>
          <w:szCs w:val="22"/>
        </w:rPr>
      </w:pPr>
      <w:r w:rsidRPr="00B95CAC">
        <w:rPr>
          <w:rFonts w:eastAsia="Calibri"/>
          <w:b/>
          <w:bCs/>
          <w:sz w:val="22"/>
          <w:szCs w:val="22"/>
        </w:rPr>
        <w:t>FIGURE 1 Schedule and Location Flexibility by Work Arrangement</w:t>
      </w:r>
    </w:p>
    <w:p w14:paraId="3A9C21C1" w14:textId="77777777" w:rsidR="00830665" w:rsidRPr="008D525A" w:rsidRDefault="00830665" w:rsidP="00457BB1">
      <w:pPr>
        <w:rPr>
          <w:rFonts w:eastAsia="Calibri"/>
          <w:b/>
          <w:bCs/>
        </w:rPr>
      </w:pPr>
    </w:p>
    <w:p w14:paraId="1AD2EF1F" w14:textId="5EA76D87" w:rsidR="00194659" w:rsidRPr="003A657E" w:rsidRDefault="006F16D8" w:rsidP="00D068C0">
      <w:pPr>
        <w:pStyle w:val="Heading2"/>
      </w:pPr>
      <w:r>
        <w:t>3</w:t>
      </w:r>
      <w:r w:rsidR="00194659">
        <w:t>.</w:t>
      </w:r>
      <w:r w:rsidR="00AD3CFC">
        <w:t>3</w:t>
      </w:r>
      <w:r w:rsidR="00194659">
        <w:t xml:space="preserve">. </w:t>
      </w:r>
      <w:r w:rsidR="00194659" w:rsidRPr="003A657E">
        <w:t>Endogenous Outcomes</w:t>
      </w:r>
    </w:p>
    <w:p w14:paraId="4BB52E31" w14:textId="2030382C" w:rsidR="006971EE" w:rsidRPr="006971EE" w:rsidRDefault="006971EE" w:rsidP="00AC699A">
      <w:r w:rsidRPr="006971EE">
        <w:t>The endogenous outcomes capture three related dimensions of weekly work behavior</w:t>
      </w:r>
      <w:r w:rsidR="00E02672">
        <w:t>:</w:t>
      </w:r>
      <w:r w:rsidRPr="006971EE">
        <w:t xml:space="preserve"> work arrangement, commute frequency among hybrid workers, and motivations for working from home. Respondents reported the number of hours worked and the location of work on each weekday during the preceding week. Work locations were classified as the primary workplace, home, or a third location.</w:t>
      </w:r>
      <w:r w:rsidR="00AC699A">
        <w:t xml:space="preserve"> </w:t>
      </w:r>
      <w:r w:rsidRPr="006971EE">
        <w:t xml:space="preserve">These daily records were used to assign each respondent to one of four work arrangement categories. Fully in-person workers reported commuting to a workplace on all five weekdays. Hybrid workers commuted on one to four days and worked remotely on the remaining days. Respondents who did not commute on any weekday were classified as fully remote. This group was further divided by dominant remote-work location. Those who worked from a third location on fewer than three days were classified as fully remote </w:t>
      </w:r>
      <w:r w:rsidR="00320D34">
        <w:t>HB</w:t>
      </w:r>
      <w:r w:rsidRPr="006971EE">
        <w:t xml:space="preserve">, while those who worked from a third location on three or more days were classified as fully remote </w:t>
      </w:r>
      <w:r w:rsidR="00320D34">
        <w:t>TLB</w:t>
      </w:r>
      <w:r w:rsidRPr="006971EE">
        <w:t>.</w:t>
      </w:r>
      <w:r w:rsidR="00AC699A">
        <w:t xml:space="preserve"> </w:t>
      </w:r>
      <w:r w:rsidRPr="006971EE">
        <w:t xml:space="preserve">Table 2 shows that fully in-person work remains the dominant arrangement, accounting for 62.6 percent of the sample. Hybrid workers constitute another 26.2 percent, indicating that more than one-quarter of respondents divided the week between </w:t>
      </w:r>
      <w:r w:rsidR="00AC699A">
        <w:t xml:space="preserve">their </w:t>
      </w:r>
      <w:r w:rsidRPr="006971EE">
        <w:t>workplace and remote work. Fully remote workers account for the remaining 11.</w:t>
      </w:r>
      <w:r w:rsidR="006E0F05">
        <w:t>2</w:t>
      </w:r>
      <w:r w:rsidRPr="006971EE">
        <w:t xml:space="preserve"> percent and are distributed fairly evenly between </w:t>
      </w:r>
      <w:r w:rsidR="00320D34">
        <w:t>HB</w:t>
      </w:r>
      <w:r w:rsidRPr="006971EE">
        <w:t xml:space="preserve"> and </w:t>
      </w:r>
      <w:r w:rsidR="00320D34">
        <w:t>TLB</w:t>
      </w:r>
      <w:r w:rsidRPr="006971EE">
        <w:t xml:space="preserve"> arrangements. The relatively large </w:t>
      </w:r>
      <w:r w:rsidR="00474CC9">
        <w:t>TLB</w:t>
      </w:r>
      <w:r w:rsidRPr="006971EE">
        <w:t xml:space="preserve"> share is noteworthy because it </w:t>
      </w:r>
      <w:r w:rsidR="00E02672">
        <w:t>suggests</w:t>
      </w:r>
      <w:r w:rsidRPr="006971EE">
        <w:t xml:space="preserve"> that remote work </w:t>
      </w:r>
      <w:r w:rsidR="00E02672">
        <w:t>should not</w:t>
      </w:r>
      <w:r w:rsidRPr="006971EE">
        <w:t xml:space="preserve"> be treated as synonymous with working from home.</w:t>
      </w:r>
    </w:p>
    <w:p w14:paraId="00B9F522" w14:textId="0BC8CCAB" w:rsidR="006971EE" w:rsidRPr="006971EE" w:rsidRDefault="006971EE" w:rsidP="00E02672">
      <w:pPr>
        <w:ind w:firstLine="720"/>
      </w:pPr>
      <w:r w:rsidRPr="006971EE">
        <w:t xml:space="preserve">Commute frequency is modeled as an additional outcome for the 696 hybrid workers. </w:t>
      </w:r>
      <w:r w:rsidR="00AC699A">
        <w:t>As shown in Table 2, m</w:t>
      </w:r>
      <w:r w:rsidRPr="006971EE">
        <w:t>ost hybrid workers commute on three or four days per week</w:t>
      </w:r>
      <w:r w:rsidR="00AC699A">
        <w:t xml:space="preserve">, with 37.9 </w:t>
      </w:r>
      <w:r w:rsidRPr="006971EE">
        <w:t>percent report</w:t>
      </w:r>
      <w:r w:rsidR="00AC699A">
        <w:t>ing a commute on three</w:t>
      </w:r>
      <w:r w:rsidRPr="006971EE">
        <w:t xml:space="preserve"> days, while another 30.2 percent report four</w:t>
      </w:r>
      <w:r w:rsidR="00E02672">
        <w:t xml:space="preserve"> commute days</w:t>
      </w:r>
      <w:r w:rsidRPr="006971EE">
        <w:t xml:space="preserve">. Two-day </w:t>
      </w:r>
      <w:r w:rsidR="00E02672">
        <w:t>commute</w:t>
      </w:r>
      <w:r w:rsidRPr="006971EE">
        <w:t xml:space="preserve"> schedules are less common, and only 9.6 percent commute once per week. These patterns suggest that hybrid work in this sample generally involves modest rather than extensive substitution of remote work for workplace attendance.</w:t>
      </w:r>
    </w:p>
    <w:p w14:paraId="38ADF4F6" w14:textId="69873F23" w:rsidR="006971EE" w:rsidRDefault="006971EE" w:rsidP="00AC699A">
      <w:pPr>
        <w:ind w:firstLine="720"/>
      </w:pPr>
      <w:r w:rsidRPr="006971EE">
        <w:lastRenderedPageBreak/>
        <w:t>The survey also asked respondents who worked from home on at least one day to identify all applicable reasons for doing so</w:t>
      </w:r>
      <w:r w:rsidR="005F6420">
        <w:rPr>
          <w:rStyle w:val="FootnoteReference"/>
        </w:rPr>
        <w:footnoteReference w:id="2"/>
      </w:r>
      <w:r w:rsidRPr="006971EE">
        <w:t xml:space="preserve">. The original response options were consolidated into four broad motivation categories that reflect distinct behavioral considerations. </w:t>
      </w:r>
      <w:r w:rsidR="00AC699A">
        <w:t>The first of these categories is “</w:t>
      </w:r>
      <w:r w:rsidR="005F6420">
        <w:t>s</w:t>
      </w:r>
      <w:r w:rsidRPr="006971EE">
        <w:t>aving time</w:t>
      </w:r>
      <w:r w:rsidR="00AC699A">
        <w:t>,”</w:t>
      </w:r>
      <w:r w:rsidRPr="006971EE">
        <w:t xml:space="preserve"> </w:t>
      </w:r>
      <w:r w:rsidR="00AC699A">
        <w:t xml:space="preserve">which </w:t>
      </w:r>
      <w:r w:rsidRPr="006971EE">
        <w:t xml:space="preserve">captures the desire to avoid </w:t>
      </w:r>
      <w:r w:rsidR="000046FE">
        <w:t xml:space="preserve">devoting time to </w:t>
      </w:r>
      <w:r w:rsidRPr="006971EE">
        <w:t xml:space="preserve">commuting, while </w:t>
      </w:r>
      <w:r w:rsidR="00AC699A">
        <w:t>“</w:t>
      </w:r>
      <w:r w:rsidRPr="006971EE">
        <w:t>saving money</w:t>
      </w:r>
      <w:r w:rsidR="00AC699A">
        <w:t>”</w:t>
      </w:r>
      <w:r w:rsidRPr="006971EE">
        <w:t xml:space="preserve"> reflects the costs associated with commuting. </w:t>
      </w:r>
      <w:r w:rsidR="00AC699A">
        <w:t>“</w:t>
      </w:r>
      <w:r w:rsidRPr="006971EE">
        <w:t>Work-life balance</w:t>
      </w:r>
      <w:r w:rsidR="00AC699A">
        <w:t>”</w:t>
      </w:r>
      <w:r w:rsidRPr="006971EE">
        <w:t xml:space="preserve"> combines motivations related to personal responsibilities, household tasks, appointments, and caregiving.</w:t>
      </w:r>
      <w:r w:rsidR="00AC699A">
        <w:t xml:space="preserve"> </w:t>
      </w:r>
      <w:r w:rsidR="005F6420">
        <w:t xml:space="preserve">Finally, </w:t>
      </w:r>
      <w:r w:rsidR="00AC699A">
        <w:t>“</w:t>
      </w:r>
      <w:r w:rsidR="005F6420">
        <w:t>w</w:t>
      </w:r>
      <w:r w:rsidRPr="006971EE">
        <w:t>ork</w:t>
      </w:r>
      <w:r w:rsidR="000046FE">
        <w:t xml:space="preserve"> </w:t>
      </w:r>
      <w:r w:rsidRPr="006971EE">
        <w:t>environment</w:t>
      </w:r>
      <w:r w:rsidR="00AC699A">
        <w:t>”</w:t>
      </w:r>
      <w:r w:rsidRPr="006971EE">
        <w:t xml:space="preserve"> captures preferences for a quieter setting, remaining home on a particular day, or seeking a change in surroundings.</w:t>
      </w:r>
      <w:r w:rsidR="00AC699A">
        <w:t xml:space="preserve"> </w:t>
      </w:r>
      <w:r w:rsidRPr="006971EE">
        <w:t>Work-life balance is the most widely reported motivation, selected by 68.1 percent of home teleworkers. Saving commuting time ranks second at 44.8 percent, followed by work environment at 35.5 percent and saving money at 24.5 percent. Because respondents could select multiple reasons, these categories are not mutually exclusive</w:t>
      </w:r>
      <w:r w:rsidR="00223CCA">
        <w:t xml:space="preserve"> and do not sum to 100 percent.</w:t>
      </w:r>
      <w:r w:rsidRPr="006971EE">
        <w:t xml:space="preserve"> The distributions underscore the multidimensional nature of telework decisions. Workers may value remote work simultaneously for household flexibility, commute relief, financial savings, and environmental comfort.</w:t>
      </w:r>
    </w:p>
    <w:p w14:paraId="1FDC2C88" w14:textId="7FC406FF" w:rsidR="003014B6" w:rsidRPr="006971EE" w:rsidRDefault="003014B6" w:rsidP="003014B6">
      <w:pPr>
        <w:ind w:firstLine="720"/>
      </w:pPr>
      <w:r w:rsidRPr="006971EE">
        <w:t xml:space="preserve">Several original survey responses were excluded from the modeling </w:t>
      </w:r>
      <w:r>
        <w:t>exercise</w:t>
      </w:r>
      <w:r w:rsidRPr="006971EE">
        <w:t>. Options reflecting external circumstances</w:t>
      </w:r>
      <w:r>
        <w:t xml:space="preserve"> (e.g., illness or weather conditions)</w:t>
      </w:r>
      <w:r w:rsidRPr="006971EE">
        <w:t xml:space="preserve"> were omitted because they could not be readily explained by respondent characteristics. The response indicating that an individual always works from home was also excluded because that condition is already represented through the fully remote work arrangement categories. The final set of endogenous variables therefore captures the central behavioral dimensions of interest without duplicating information across outcomes.</w:t>
      </w:r>
    </w:p>
    <w:p w14:paraId="6DC5529B" w14:textId="77777777" w:rsidR="006971EE" w:rsidRDefault="006971EE" w:rsidP="00917915">
      <w:pPr>
        <w:pStyle w:val="Caption"/>
        <w:rPr>
          <w:color w:val="000000" w:themeColor="text1"/>
          <w:szCs w:val="22"/>
        </w:rPr>
      </w:pPr>
    </w:p>
    <w:p w14:paraId="2F493DFC" w14:textId="62D4CA2B" w:rsidR="00B95CAC" w:rsidRPr="00917915" w:rsidRDefault="006971EE" w:rsidP="00917915">
      <w:pPr>
        <w:pStyle w:val="Caption"/>
        <w:rPr>
          <w:b w:val="0"/>
          <w:i/>
          <w:color w:val="000000" w:themeColor="text1"/>
          <w:szCs w:val="22"/>
        </w:rPr>
      </w:pPr>
      <w:r>
        <w:rPr>
          <w:color w:val="000000" w:themeColor="text1"/>
          <w:szCs w:val="22"/>
        </w:rPr>
        <w:t>T</w:t>
      </w:r>
      <w:r w:rsidR="00917915" w:rsidRPr="0018675A">
        <w:rPr>
          <w:color w:val="000000" w:themeColor="text1"/>
          <w:szCs w:val="22"/>
        </w:rPr>
        <w:t xml:space="preserve">ABLE </w:t>
      </w:r>
      <w:r w:rsidR="00917915" w:rsidRPr="0018675A">
        <w:rPr>
          <w:b w:val="0"/>
          <w:i/>
          <w:color w:val="000000" w:themeColor="text1"/>
          <w:szCs w:val="22"/>
        </w:rPr>
        <w:fldChar w:fldCharType="begin"/>
      </w:r>
      <w:r w:rsidR="00917915" w:rsidRPr="0018675A">
        <w:rPr>
          <w:color w:val="000000" w:themeColor="text1"/>
          <w:szCs w:val="22"/>
        </w:rPr>
        <w:instrText xml:space="preserve"> SEQ Table \* ARABIC </w:instrText>
      </w:r>
      <w:r w:rsidR="00917915" w:rsidRPr="0018675A">
        <w:rPr>
          <w:b w:val="0"/>
          <w:i/>
          <w:color w:val="000000" w:themeColor="text1"/>
          <w:szCs w:val="22"/>
        </w:rPr>
        <w:fldChar w:fldCharType="separate"/>
      </w:r>
      <w:r w:rsidR="00474CC9">
        <w:rPr>
          <w:noProof/>
          <w:color w:val="000000" w:themeColor="text1"/>
          <w:szCs w:val="22"/>
        </w:rPr>
        <w:t>2</w:t>
      </w:r>
      <w:r w:rsidR="00917915" w:rsidRPr="0018675A">
        <w:rPr>
          <w:b w:val="0"/>
          <w:i/>
          <w:color w:val="000000" w:themeColor="text1"/>
          <w:szCs w:val="22"/>
        </w:rPr>
        <w:fldChar w:fldCharType="end"/>
      </w:r>
      <w:r w:rsidR="00917915" w:rsidRPr="0018675A">
        <w:rPr>
          <w:color w:val="000000" w:themeColor="text1"/>
          <w:szCs w:val="22"/>
        </w:rPr>
        <w:t xml:space="preserve"> </w:t>
      </w:r>
      <w:r w:rsidR="00917915">
        <w:rPr>
          <w:color w:val="000000" w:themeColor="text1"/>
          <w:szCs w:val="22"/>
        </w:rPr>
        <w:t>Distribution of Endogenous Variables</w:t>
      </w:r>
    </w:p>
    <w:tbl>
      <w:tblPr>
        <w:tblStyle w:val="TableGrid"/>
        <w:tblW w:w="501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43" w:type="dxa"/>
          <w:right w:w="43" w:type="dxa"/>
        </w:tblCellMar>
        <w:tblLook w:val="04A0" w:firstRow="1" w:lastRow="0" w:firstColumn="1" w:lastColumn="0" w:noHBand="0" w:noVBand="1"/>
      </w:tblPr>
      <w:tblGrid>
        <w:gridCol w:w="1867"/>
        <w:gridCol w:w="6121"/>
        <w:gridCol w:w="1348"/>
      </w:tblGrid>
      <w:tr w:rsidR="00AB0FB1" w:rsidRPr="00B95CAC" w14:paraId="0C350E47" w14:textId="77777777" w:rsidTr="007369D8">
        <w:trPr>
          <w:trHeight w:val="144"/>
        </w:trPr>
        <w:tc>
          <w:tcPr>
            <w:tcW w:w="4278" w:type="pct"/>
            <w:gridSpan w:val="2"/>
            <w:tcBorders>
              <w:top w:val="single" w:sz="18" w:space="0" w:color="auto"/>
              <w:left w:val="single" w:sz="18" w:space="0" w:color="auto"/>
              <w:bottom w:val="single" w:sz="18" w:space="0" w:color="auto"/>
              <w:right w:val="single" w:sz="4" w:space="0" w:color="auto"/>
            </w:tcBorders>
            <w:vAlign w:val="center"/>
          </w:tcPr>
          <w:p w14:paraId="3AA3260C" w14:textId="554B6634" w:rsidR="00AB0FB1" w:rsidRPr="00B95CAC" w:rsidRDefault="00AB0FB1" w:rsidP="00575BE8">
            <w:pPr>
              <w:rPr>
                <w:rFonts w:cstheme="minorHAnsi"/>
                <w:b/>
                <w:bCs/>
                <w:sz w:val="20"/>
                <w:szCs w:val="20"/>
              </w:rPr>
            </w:pPr>
            <w:r>
              <w:rPr>
                <w:rFonts w:cstheme="minorHAnsi"/>
                <w:b/>
                <w:bCs/>
                <w:sz w:val="20"/>
                <w:szCs w:val="20"/>
              </w:rPr>
              <w:t>Variable</w:t>
            </w:r>
          </w:p>
        </w:tc>
        <w:tc>
          <w:tcPr>
            <w:tcW w:w="722" w:type="pct"/>
            <w:tcBorders>
              <w:top w:val="single" w:sz="18" w:space="0" w:color="auto"/>
              <w:left w:val="single" w:sz="4" w:space="0" w:color="auto"/>
              <w:bottom w:val="single" w:sz="18" w:space="0" w:color="auto"/>
              <w:right w:val="single" w:sz="18" w:space="0" w:color="auto"/>
            </w:tcBorders>
            <w:vAlign w:val="center"/>
          </w:tcPr>
          <w:p w14:paraId="3630E103" w14:textId="2DEBFC99" w:rsidR="00AB0FB1" w:rsidRPr="00B95CAC" w:rsidRDefault="00AB0FB1" w:rsidP="00AB0FB1">
            <w:pPr>
              <w:jc w:val="center"/>
              <w:rPr>
                <w:rFonts w:cstheme="minorHAnsi"/>
                <w:b/>
                <w:bCs/>
                <w:sz w:val="20"/>
                <w:szCs w:val="20"/>
              </w:rPr>
            </w:pPr>
            <w:r>
              <w:rPr>
                <w:rFonts w:cstheme="minorHAnsi"/>
                <w:b/>
                <w:bCs/>
                <w:sz w:val="20"/>
                <w:szCs w:val="20"/>
              </w:rPr>
              <w:t>%</w:t>
            </w:r>
          </w:p>
        </w:tc>
      </w:tr>
      <w:tr w:rsidR="004E6096" w:rsidRPr="00B95CAC" w14:paraId="50F630FF" w14:textId="77777777" w:rsidTr="007C5BC9">
        <w:trPr>
          <w:trHeight w:val="144"/>
        </w:trPr>
        <w:tc>
          <w:tcPr>
            <w:tcW w:w="5000" w:type="pct"/>
            <w:gridSpan w:val="3"/>
            <w:tcBorders>
              <w:top w:val="single" w:sz="18" w:space="0" w:color="auto"/>
              <w:left w:val="single" w:sz="18" w:space="0" w:color="auto"/>
              <w:bottom w:val="single" w:sz="12" w:space="0" w:color="auto"/>
              <w:right w:val="single" w:sz="18" w:space="0" w:color="auto"/>
            </w:tcBorders>
            <w:vAlign w:val="center"/>
            <w:hideMark/>
          </w:tcPr>
          <w:p w14:paraId="5B11B268" w14:textId="35455522" w:rsidR="004E6096" w:rsidRPr="00B95CAC" w:rsidRDefault="004E6096" w:rsidP="00575BE8">
            <w:pPr>
              <w:rPr>
                <w:rFonts w:cstheme="minorHAnsi"/>
                <w:b/>
                <w:bCs/>
                <w:sz w:val="20"/>
                <w:szCs w:val="20"/>
              </w:rPr>
            </w:pPr>
            <w:r w:rsidRPr="00B95CAC">
              <w:rPr>
                <w:rFonts w:cstheme="minorHAnsi"/>
                <w:b/>
                <w:bCs/>
                <w:sz w:val="20"/>
                <w:szCs w:val="20"/>
              </w:rPr>
              <w:t xml:space="preserve">Work </w:t>
            </w:r>
            <w:r w:rsidR="009D3E4F">
              <w:rPr>
                <w:rFonts w:cstheme="minorHAnsi"/>
                <w:b/>
                <w:bCs/>
                <w:sz w:val="20"/>
                <w:szCs w:val="20"/>
              </w:rPr>
              <w:t>a</w:t>
            </w:r>
            <w:r w:rsidRPr="00B95CAC">
              <w:rPr>
                <w:rFonts w:cstheme="minorHAnsi"/>
                <w:b/>
                <w:bCs/>
                <w:sz w:val="20"/>
                <w:szCs w:val="20"/>
              </w:rPr>
              <w:t>rrangement</w:t>
            </w:r>
            <w:r w:rsidR="007369D8">
              <w:rPr>
                <w:rFonts w:cstheme="minorHAnsi"/>
                <w:b/>
                <w:bCs/>
                <w:sz w:val="20"/>
                <w:szCs w:val="20"/>
              </w:rPr>
              <w:t xml:space="preserve"> </w:t>
            </w:r>
            <w:r w:rsidR="007369D8" w:rsidRPr="007369D8">
              <w:rPr>
                <w:rFonts w:cstheme="minorHAnsi"/>
                <w:sz w:val="20"/>
                <w:szCs w:val="20"/>
              </w:rPr>
              <w:t>(N=2,655)</w:t>
            </w:r>
          </w:p>
        </w:tc>
      </w:tr>
      <w:tr w:rsidR="004E6096" w:rsidRPr="00B95CAC" w14:paraId="460EB2F8" w14:textId="77777777" w:rsidTr="007C5BC9">
        <w:trPr>
          <w:trHeight w:val="144"/>
        </w:trPr>
        <w:tc>
          <w:tcPr>
            <w:tcW w:w="4278" w:type="pct"/>
            <w:gridSpan w:val="2"/>
            <w:tcBorders>
              <w:top w:val="single" w:sz="12" w:space="0" w:color="auto"/>
              <w:left w:val="single" w:sz="18" w:space="0" w:color="auto"/>
              <w:bottom w:val="dotted" w:sz="4" w:space="0" w:color="auto"/>
              <w:right w:val="single" w:sz="4" w:space="0" w:color="auto"/>
            </w:tcBorders>
            <w:vAlign w:val="center"/>
            <w:hideMark/>
          </w:tcPr>
          <w:p w14:paraId="0FC29216" w14:textId="3EB940E1" w:rsidR="004E6096" w:rsidRPr="00B95CAC" w:rsidRDefault="004E6096" w:rsidP="00575BE8">
            <w:pPr>
              <w:ind w:left="144"/>
              <w:rPr>
                <w:rFonts w:cstheme="minorHAnsi"/>
                <w:sz w:val="20"/>
                <w:szCs w:val="20"/>
              </w:rPr>
            </w:pPr>
            <w:r w:rsidRPr="00B95CAC">
              <w:rPr>
                <w:rFonts w:cstheme="minorHAnsi"/>
                <w:sz w:val="20"/>
                <w:szCs w:val="20"/>
              </w:rPr>
              <w:t xml:space="preserve">Fully in-person </w:t>
            </w:r>
          </w:p>
        </w:tc>
        <w:tc>
          <w:tcPr>
            <w:tcW w:w="722" w:type="pct"/>
            <w:tcBorders>
              <w:top w:val="single" w:sz="12" w:space="0" w:color="auto"/>
              <w:left w:val="single" w:sz="4" w:space="0" w:color="auto"/>
              <w:bottom w:val="dotted" w:sz="4" w:space="0" w:color="auto"/>
              <w:right w:val="single" w:sz="18" w:space="0" w:color="auto"/>
            </w:tcBorders>
            <w:noWrap/>
            <w:vAlign w:val="center"/>
          </w:tcPr>
          <w:p w14:paraId="366B1B9A" w14:textId="77777777" w:rsidR="004E6096" w:rsidRPr="00B95CAC" w:rsidRDefault="004E6096" w:rsidP="00575BE8">
            <w:pPr>
              <w:jc w:val="center"/>
              <w:rPr>
                <w:rFonts w:cstheme="minorHAnsi"/>
                <w:sz w:val="20"/>
                <w:szCs w:val="20"/>
              </w:rPr>
            </w:pPr>
            <w:r w:rsidRPr="00B95CAC">
              <w:rPr>
                <w:rFonts w:cstheme="minorHAnsi"/>
                <w:sz w:val="20"/>
                <w:szCs w:val="20"/>
              </w:rPr>
              <w:t>62.6</w:t>
            </w:r>
          </w:p>
        </w:tc>
      </w:tr>
      <w:tr w:rsidR="004E6096" w:rsidRPr="00B95CAC" w14:paraId="0D91E8F8" w14:textId="77777777" w:rsidTr="007369D8">
        <w:trPr>
          <w:trHeight w:val="144"/>
        </w:trPr>
        <w:tc>
          <w:tcPr>
            <w:tcW w:w="4278" w:type="pct"/>
            <w:gridSpan w:val="2"/>
            <w:tcBorders>
              <w:top w:val="dotted" w:sz="4" w:space="0" w:color="auto"/>
              <w:left w:val="single" w:sz="18" w:space="0" w:color="auto"/>
              <w:bottom w:val="dotted" w:sz="4" w:space="0" w:color="auto"/>
              <w:right w:val="single" w:sz="4" w:space="0" w:color="auto"/>
            </w:tcBorders>
            <w:vAlign w:val="center"/>
            <w:hideMark/>
          </w:tcPr>
          <w:p w14:paraId="3CF4ADA2" w14:textId="40DB78E2" w:rsidR="004E6096" w:rsidRPr="00B95CAC" w:rsidRDefault="004E6096" w:rsidP="00575BE8">
            <w:pPr>
              <w:ind w:left="144"/>
              <w:rPr>
                <w:rFonts w:cstheme="minorHAnsi"/>
                <w:sz w:val="20"/>
                <w:szCs w:val="20"/>
              </w:rPr>
            </w:pPr>
            <w:r w:rsidRPr="00B95CAC">
              <w:rPr>
                <w:rFonts w:cstheme="minorHAnsi"/>
                <w:sz w:val="20"/>
                <w:szCs w:val="20"/>
              </w:rPr>
              <w:t xml:space="preserve">Hybrid </w:t>
            </w:r>
          </w:p>
        </w:tc>
        <w:tc>
          <w:tcPr>
            <w:tcW w:w="722" w:type="pct"/>
            <w:tcBorders>
              <w:top w:val="dotted" w:sz="4" w:space="0" w:color="auto"/>
              <w:left w:val="single" w:sz="4" w:space="0" w:color="auto"/>
              <w:bottom w:val="dotted" w:sz="4" w:space="0" w:color="auto"/>
              <w:right w:val="single" w:sz="18" w:space="0" w:color="auto"/>
            </w:tcBorders>
            <w:noWrap/>
            <w:vAlign w:val="center"/>
          </w:tcPr>
          <w:p w14:paraId="11B5FC04" w14:textId="77777777" w:rsidR="004E6096" w:rsidRPr="00B95CAC" w:rsidRDefault="004E6096" w:rsidP="00575BE8">
            <w:pPr>
              <w:jc w:val="center"/>
              <w:rPr>
                <w:rFonts w:cstheme="minorHAnsi"/>
                <w:sz w:val="20"/>
                <w:szCs w:val="20"/>
              </w:rPr>
            </w:pPr>
            <w:r w:rsidRPr="00B95CAC">
              <w:rPr>
                <w:rFonts w:cstheme="minorHAnsi"/>
                <w:sz w:val="20"/>
                <w:szCs w:val="20"/>
              </w:rPr>
              <w:t>26.2</w:t>
            </w:r>
          </w:p>
        </w:tc>
      </w:tr>
      <w:tr w:rsidR="004E6096" w:rsidRPr="00B95CAC" w14:paraId="417573A4" w14:textId="77777777" w:rsidTr="007369D8">
        <w:trPr>
          <w:trHeight w:val="144"/>
        </w:trPr>
        <w:tc>
          <w:tcPr>
            <w:tcW w:w="4278" w:type="pct"/>
            <w:gridSpan w:val="2"/>
            <w:tcBorders>
              <w:top w:val="dotted" w:sz="4" w:space="0" w:color="auto"/>
              <w:left w:val="single" w:sz="18" w:space="0" w:color="auto"/>
              <w:bottom w:val="dotted" w:sz="4" w:space="0" w:color="auto"/>
              <w:right w:val="single" w:sz="4" w:space="0" w:color="auto"/>
            </w:tcBorders>
            <w:vAlign w:val="center"/>
          </w:tcPr>
          <w:p w14:paraId="31A31875" w14:textId="0707965F" w:rsidR="004E6096" w:rsidRPr="00B95CAC" w:rsidRDefault="004E6096" w:rsidP="00575BE8">
            <w:pPr>
              <w:ind w:left="144"/>
              <w:rPr>
                <w:rFonts w:cstheme="minorHAnsi"/>
                <w:sz w:val="20"/>
                <w:szCs w:val="20"/>
              </w:rPr>
            </w:pPr>
            <w:r w:rsidRPr="00B95CAC">
              <w:rPr>
                <w:rFonts w:cstheme="minorHAnsi"/>
                <w:sz w:val="20"/>
                <w:szCs w:val="20"/>
              </w:rPr>
              <w:t xml:space="preserve">Fully remote </w:t>
            </w:r>
            <w:r w:rsidR="00474CC9">
              <w:rPr>
                <w:rFonts w:cstheme="minorHAnsi"/>
                <w:sz w:val="20"/>
                <w:szCs w:val="20"/>
              </w:rPr>
              <w:t>HB</w:t>
            </w:r>
            <w:r w:rsidRPr="00B95CAC">
              <w:rPr>
                <w:rFonts w:cstheme="minorHAnsi"/>
                <w:sz w:val="20"/>
                <w:szCs w:val="20"/>
              </w:rPr>
              <w:t xml:space="preserve"> </w:t>
            </w:r>
          </w:p>
        </w:tc>
        <w:tc>
          <w:tcPr>
            <w:tcW w:w="722" w:type="pct"/>
            <w:tcBorders>
              <w:top w:val="dotted" w:sz="4" w:space="0" w:color="auto"/>
              <w:left w:val="single" w:sz="4" w:space="0" w:color="auto"/>
              <w:bottom w:val="dotted" w:sz="4" w:space="0" w:color="auto"/>
              <w:right w:val="single" w:sz="18" w:space="0" w:color="auto"/>
            </w:tcBorders>
            <w:noWrap/>
            <w:vAlign w:val="center"/>
          </w:tcPr>
          <w:p w14:paraId="58EE1A57" w14:textId="1C9207CD" w:rsidR="004E6096" w:rsidRPr="00B95CAC" w:rsidRDefault="004E6096" w:rsidP="00575BE8">
            <w:pPr>
              <w:jc w:val="center"/>
              <w:rPr>
                <w:rFonts w:cstheme="minorHAnsi"/>
                <w:sz w:val="20"/>
                <w:szCs w:val="20"/>
              </w:rPr>
            </w:pPr>
            <w:r w:rsidRPr="00B95CAC">
              <w:rPr>
                <w:rFonts w:cstheme="minorHAnsi"/>
                <w:sz w:val="20"/>
                <w:szCs w:val="20"/>
              </w:rPr>
              <w:t xml:space="preserve">  5.</w:t>
            </w:r>
            <w:r w:rsidR="00830665">
              <w:rPr>
                <w:rFonts w:cstheme="minorHAnsi"/>
                <w:sz w:val="20"/>
                <w:szCs w:val="20"/>
              </w:rPr>
              <w:t>1</w:t>
            </w:r>
          </w:p>
        </w:tc>
      </w:tr>
      <w:tr w:rsidR="004E6096" w:rsidRPr="00B95CAC" w14:paraId="3E51388B" w14:textId="77777777" w:rsidTr="007C5BC9">
        <w:trPr>
          <w:trHeight w:val="144"/>
        </w:trPr>
        <w:tc>
          <w:tcPr>
            <w:tcW w:w="4278" w:type="pct"/>
            <w:gridSpan w:val="2"/>
            <w:tcBorders>
              <w:top w:val="dotted" w:sz="4" w:space="0" w:color="auto"/>
              <w:left w:val="single" w:sz="18" w:space="0" w:color="auto"/>
              <w:bottom w:val="single" w:sz="12" w:space="0" w:color="auto"/>
              <w:right w:val="single" w:sz="4" w:space="0" w:color="auto"/>
            </w:tcBorders>
            <w:vAlign w:val="center"/>
          </w:tcPr>
          <w:p w14:paraId="51E233F8" w14:textId="677CF439" w:rsidR="004E6096" w:rsidRPr="00B95CAC" w:rsidRDefault="004E6096" w:rsidP="00575BE8">
            <w:pPr>
              <w:ind w:left="144"/>
              <w:rPr>
                <w:rFonts w:cstheme="minorHAnsi"/>
                <w:sz w:val="20"/>
                <w:szCs w:val="20"/>
              </w:rPr>
            </w:pPr>
            <w:r w:rsidRPr="00B95CAC">
              <w:rPr>
                <w:rFonts w:cstheme="minorHAnsi"/>
                <w:sz w:val="20"/>
                <w:szCs w:val="20"/>
              </w:rPr>
              <w:t xml:space="preserve">Fully remote </w:t>
            </w:r>
            <w:r w:rsidR="00474CC9">
              <w:rPr>
                <w:rFonts w:cstheme="minorHAnsi"/>
                <w:sz w:val="20"/>
                <w:szCs w:val="20"/>
              </w:rPr>
              <w:t>TLB</w:t>
            </w:r>
            <w:r w:rsidRPr="00B95CAC">
              <w:rPr>
                <w:rFonts w:cstheme="minorHAnsi"/>
                <w:sz w:val="20"/>
                <w:szCs w:val="20"/>
              </w:rPr>
              <w:t xml:space="preserve"> </w:t>
            </w:r>
          </w:p>
        </w:tc>
        <w:tc>
          <w:tcPr>
            <w:tcW w:w="722" w:type="pct"/>
            <w:tcBorders>
              <w:top w:val="dotted" w:sz="4" w:space="0" w:color="auto"/>
              <w:left w:val="single" w:sz="4" w:space="0" w:color="auto"/>
              <w:bottom w:val="single" w:sz="12" w:space="0" w:color="auto"/>
              <w:right w:val="single" w:sz="18" w:space="0" w:color="auto"/>
            </w:tcBorders>
            <w:noWrap/>
            <w:vAlign w:val="center"/>
          </w:tcPr>
          <w:p w14:paraId="6DF07F51" w14:textId="77777777" w:rsidR="004E6096" w:rsidRPr="00B95CAC" w:rsidRDefault="004E6096" w:rsidP="00575BE8">
            <w:pPr>
              <w:jc w:val="center"/>
              <w:rPr>
                <w:rFonts w:cstheme="minorHAnsi"/>
                <w:sz w:val="20"/>
                <w:szCs w:val="20"/>
              </w:rPr>
            </w:pPr>
            <w:r w:rsidRPr="00B95CAC">
              <w:rPr>
                <w:rFonts w:cstheme="minorHAnsi"/>
                <w:sz w:val="20"/>
                <w:szCs w:val="20"/>
              </w:rPr>
              <w:t xml:space="preserve">  6.1</w:t>
            </w:r>
          </w:p>
        </w:tc>
      </w:tr>
      <w:tr w:rsidR="003B1F74" w:rsidRPr="00B95CAC" w14:paraId="2C337959" w14:textId="77777777" w:rsidTr="007C5BC9">
        <w:trPr>
          <w:trHeight w:val="144"/>
        </w:trPr>
        <w:tc>
          <w:tcPr>
            <w:tcW w:w="4278" w:type="pct"/>
            <w:gridSpan w:val="2"/>
            <w:tcBorders>
              <w:top w:val="single" w:sz="12" w:space="0" w:color="auto"/>
              <w:left w:val="single" w:sz="18" w:space="0" w:color="auto"/>
              <w:bottom w:val="single" w:sz="12" w:space="0" w:color="auto"/>
              <w:right w:val="single" w:sz="4" w:space="0" w:color="auto"/>
            </w:tcBorders>
            <w:vAlign w:val="center"/>
          </w:tcPr>
          <w:p w14:paraId="6F366E64" w14:textId="5870419B" w:rsidR="003B1F74" w:rsidRPr="00AB0FB1" w:rsidRDefault="00AB0FB1" w:rsidP="00AB0FB1">
            <w:pPr>
              <w:rPr>
                <w:rFonts w:cstheme="minorHAnsi"/>
                <w:b/>
                <w:bCs/>
                <w:sz w:val="20"/>
                <w:szCs w:val="20"/>
              </w:rPr>
            </w:pPr>
            <w:r>
              <w:rPr>
                <w:rFonts w:cstheme="minorHAnsi"/>
                <w:b/>
                <w:bCs/>
                <w:sz w:val="20"/>
                <w:szCs w:val="20"/>
              </w:rPr>
              <w:t xml:space="preserve">Number of </w:t>
            </w:r>
            <w:r w:rsidR="009D3E4F">
              <w:rPr>
                <w:rFonts w:cstheme="minorHAnsi"/>
                <w:b/>
                <w:bCs/>
                <w:sz w:val="20"/>
                <w:szCs w:val="20"/>
              </w:rPr>
              <w:t>c</w:t>
            </w:r>
            <w:r w:rsidRPr="00AB0FB1">
              <w:rPr>
                <w:rFonts w:cstheme="minorHAnsi"/>
                <w:b/>
                <w:bCs/>
                <w:sz w:val="20"/>
                <w:szCs w:val="20"/>
              </w:rPr>
              <w:t xml:space="preserve">ommute </w:t>
            </w:r>
            <w:r w:rsidR="009D3E4F">
              <w:rPr>
                <w:rFonts w:cstheme="minorHAnsi"/>
                <w:b/>
                <w:bCs/>
                <w:sz w:val="20"/>
                <w:szCs w:val="20"/>
              </w:rPr>
              <w:t>d</w:t>
            </w:r>
            <w:r w:rsidRPr="00AB0FB1">
              <w:rPr>
                <w:rFonts w:cstheme="minorHAnsi"/>
                <w:b/>
                <w:bCs/>
                <w:sz w:val="20"/>
                <w:szCs w:val="20"/>
              </w:rPr>
              <w:t xml:space="preserve">ays in the </w:t>
            </w:r>
            <w:r w:rsidR="009D3E4F">
              <w:rPr>
                <w:rFonts w:cstheme="minorHAnsi"/>
                <w:b/>
                <w:bCs/>
                <w:sz w:val="20"/>
                <w:szCs w:val="20"/>
              </w:rPr>
              <w:t>l</w:t>
            </w:r>
            <w:r w:rsidRPr="00AB0FB1">
              <w:rPr>
                <w:rFonts w:cstheme="minorHAnsi"/>
                <w:b/>
                <w:bCs/>
                <w:sz w:val="20"/>
                <w:szCs w:val="20"/>
              </w:rPr>
              <w:t xml:space="preserve">ast </w:t>
            </w:r>
            <w:r w:rsidR="009D3E4F">
              <w:rPr>
                <w:rFonts w:cstheme="minorHAnsi"/>
                <w:b/>
                <w:bCs/>
                <w:sz w:val="20"/>
                <w:szCs w:val="20"/>
              </w:rPr>
              <w:t>w</w:t>
            </w:r>
            <w:r w:rsidRPr="00AB0FB1">
              <w:rPr>
                <w:rFonts w:cstheme="minorHAnsi"/>
                <w:b/>
                <w:bCs/>
                <w:sz w:val="20"/>
                <w:szCs w:val="20"/>
              </w:rPr>
              <w:t xml:space="preserve">eek </w:t>
            </w:r>
            <w:r w:rsidRPr="00AB0FB1">
              <w:rPr>
                <w:rFonts w:cstheme="minorHAnsi"/>
                <w:i/>
                <w:iCs/>
                <w:sz w:val="20"/>
                <w:szCs w:val="20"/>
              </w:rPr>
              <w:t>(among hybrid workers only; N=696)</w:t>
            </w:r>
          </w:p>
        </w:tc>
        <w:tc>
          <w:tcPr>
            <w:tcW w:w="722" w:type="pct"/>
            <w:tcBorders>
              <w:top w:val="single" w:sz="12" w:space="0" w:color="auto"/>
              <w:left w:val="single" w:sz="4" w:space="0" w:color="auto"/>
              <w:bottom w:val="single" w:sz="12" w:space="0" w:color="auto"/>
              <w:right w:val="single" w:sz="18" w:space="0" w:color="auto"/>
            </w:tcBorders>
            <w:noWrap/>
            <w:vAlign w:val="center"/>
          </w:tcPr>
          <w:p w14:paraId="1635E233" w14:textId="77777777" w:rsidR="003B1F74" w:rsidRPr="00B95CAC" w:rsidRDefault="003B1F74" w:rsidP="00575BE8">
            <w:pPr>
              <w:jc w:val="center"/>
              <w:rPr>
                <w:rFonts w:cstheme="minorHAnsi"/>
                <w:sz w:val="20"/>
                <w:szCs w:val="20"/>
              </w:rPr>
            </w:pPr>
          </w:p>
        </w:tc>
      </w:tr>
      <w:tr w:rsidR="003B1F74" w:rsidRPr="00B95CAC" w14:paraId="3FD708F4" w14:textId="77777777" w:rsidTr="007C5BC9">
        <w:trPr>
          <w:trHeight w:val="144"/>
        </w:trPr>
        <w:tc>
          <w:tcPr>
            <w:tcW w:w="4278" w:type="pct"/>
            <w:gridSpan w:val="2"/>
            <w:tcBorders>
              <w:top w:val="single" w:sz="12" w:space="0" w:color="auto"/>
              <w:left w:val="single" w:sz="18" w:space="0" w:color="auto"/>
              <w:bottom w:val="dotted" w:sz="4" w:space="0" w:color="auto"/>
              <w:right w:val="single" w:sz="4" w:space="0" w:color="auto"/>
            </w:tcBorders>
            <w:vAlign w:val="center"/>
          </w:tcPr>
          <w:p w14:paraId="0588D8C4" w14:textId="7209FAC4" w:rsidR="003B1F74" w:rsidRPr="00B95CAC" w:rsidRDefault="00AB0FB1" w:rsidP="00575BE8">
            <w:pPr>
              <w:ind w:left="144"/>
              <w:rPr>
                <w:rFonts w:cstheme="minorHAnsi"/>
                <w:sz w:val="20"/>
                <w:szCs w:val="20"/>
              </w:rPr>
            </w:pPr>
            <w:r>
              <w:rPr>
                <w:rFonts w:cstheme="minorHAnsi"/>
                <w:sz w:val="20"/>
                <w:szCs w:val="20"/>
              </w:rPr>
              <w:t>1 commute day</w:t>
            </w:r>
          </w:p>
        </w:tc>
        <w:tc>
          <w:tcPr>
            <w:tcW w:w="722" w:type="pct"/>
            <w:tcBorders>
              <w:top w:val="single" w:sz="12" w:space="0" w:color="auto"/>
              <w:left w:val="single" w:sz="4" w:space="0" w:color="auto"/>
              <w:bottom w:val="dotted" w:sz="4" w:space="0" w:color="auto"/>
              <w:right w:val="single" w:sz="18" w:space="0" w:color="auto"/>
            </w:tcBorders>
            <w:noWrap/>
            <w:vAlign w:val="center"/>
          </w:tcPr>
          <w:p w14:paraId="6DF0897A" w14:textId="2C7C122E" w:rsidR="003B1F74" w:rsidRPr="00B95CAC" w:rsidRDefault="00AB0FB1" w:rsidP="00830665">
            <w:pPr>
              <w:tabs>
                <w:tab w:val="decimal" w:pos="228"/>
              </w:tabs>
              <w:jc w:val="center"/>
              <w:rPr>
                <w:rFonts w:cstheme="minorHAnsi"/>
                <w:sz w:val="20"/>
                <w:szCs w:val="20"/>
              </w:rPr>
            </w:pPr>
            <w:r>
              <w:rPr>
                <w:rFonts w:cstheme="minorHAnsi"/>
                <w:sz w:val="20"/>
                <w:szCs w:val="20"/>
              </w:rPr>
              <w:t>9.6</w:t>
            </w:r>
          </w:p>
        </w:tc>
      </w:tr>
      <w:tr w:rsidR="003B1F74" w:rsidRPr="00B95CAC" w14:paraId="6FB96C5F" w14:textId="77777777" w:rsidTr="007369D8">
        <w:trPr>
          <w:trHeight w:val="144"/>
        </w:trPr>
        <w:tc>
          <w:tcPr>
            <w:tcW w:w="4278" w:type="pct"/>
            <w:gridSpan w:val="2"/>
            <w:tcBorders>
              <w:top w:val="dotted" w:sz="4" w:space="0" w:color="auto"/>
              <w:left w:val="single" w:sz="18" w:space="0" w:color="auto"/>
              <w:bottom w:val="dotted" w:sz="4" w:space="0" w:color="auto"/>
              <w:right w:val="single" w:sz="4" w:space="0" w:color="auto"/>
            </w:tcBorders>
            <w:vAlign w:val="center"/>
          </w:tcPr>
          <w:p w14:paraId="3D45EDE0" w14:textId="55E1A2BF" w:rsidR="003B1F74" w:rsidRPr="00B95CAC" w:rsidRDefault="00AB0FB1" w:rsidP="00575BE8">
            <w:pPr>
              <w:ind w:left="144"/>
              <w:rPr>
                <w:rFonts w:cstheme="minorHAnsi"/>
                <w:sz w:val="20"/>
                <w:szCs w:val="20"/>
              </w:rPr>
            </w:pPr>
            <w:r>
              <w:rPr>
                <w:rFonts w:cstheme="minorHAnsi"/>
                <w:sz w:val="20"/>
                <w:szCs w:val="20"/>
              </w:rPr>
              <w:t>2 commute days</w:t>
            </w:r>
          </w:p>
        </w:tc>
        <w:tc>
          <w:tcPr>
            <w:tcW w:w="722" w:type="pct"/>
            <w:tcBorders>
              <w:top w:val="dotted" w:sz="4" w:space="0" w:color="auto"/>
              <w:left w:val="single" w:sz="4" w:space="0" w:color="auto"/>
              <w:bottom w:val="dotted" w:sz="4" w:space="0" w:color="auto"/>
              <w:right w:val="single" w:sz="18" w:space="0" w:color="auto"/>
            </w:tcBorders>
            <w:noWrap/>
            <w:vAlign w:val="center"/>
          </w:tcPr>
          <w:p w14:paraId="3EC391B4" w14:textId="4D1194C9" w:rsidR="003B1F74" w:rsidRPr="00B95CAC" w:rsidRDefault="00AB0FB1" w:rsidP="00830665">
            <w:pPr>
              <w:tabs>
                <w:tab w:val="decimal" w:pos="228"/>
              </w:tabs>
              <w:jc w:val="center"/>
              <w:rPr>
                <w:rFonts w:cstheme="minorHAnsi"/>
                <w:sz w:val="20"/>
                <w:szCs w:val="20"/>
              </w:rPr>
            </w:pPr>
            <w:r>
              <w:rPr>
                <w:rFonts w:cstheme="minorHAnsi"/>
                <w:sz w:val="20"/>
                <w:szCs w:val="20"/>
              </w:rPr>
              <w:t>22.3</w:t>
            </w:r>
          </w:p>
        </w:tc>
      </w:tr>
      <w:tr w:rsidR="003B1F74" w:rsidRPr="00B95CAC" w14:paraId="56AC936B" w14:textId="77777777" w:rsidTr="007369D8">
        <w:trPr>
          <w:trHeight w:val="144"/>
        </w:trPr>
        <w:tc>
          <w:tcPr>
            <w:tcW w:w="4278" w:type="pct"/>
            <w:gridSpan w:val="2"/>
            <w:tcBorders>
              <w:top w:val="dotted" w:sz="4" w:space="0" w:color="auto"/>
              <w:left w:val="single" w:sz="18" w:space="0" w:color="auto"/>
              <w:bottom w:val="dotted" w:sz="4" w:space="0" w:color="auto"/>
              <w:right w:val="single" w:sz="4" w:space="0" w:color="auto"/>
            </w:tcBorders>
            <w:vAlign w:val="center"/>
          </w:tcPr>
          <w:p w14:paraId="3ACE0DB3" w14:textId="4E25C3BE" w:rsidR="003B1F74" w:rsidRPr="00B95CAC" w:rsidRDefault="00AB0FB1" w:rsidP="00575BE8">
            <w:pPr>
              <w:ind w:left="144"/>
              <w:rPr>
                <w:rFonts w:cstheme="minorHAnsi"/>
                <w:sz w:val="20"/>
                <w:szCs w:val="20"/>
              </w:rPr>
            </w:pPr>
            <w:r>
              <w:rPr>
                <w:rFonts w:cstheme="minorHAnsi"/>
                <w:sz w:val="20"/>
                <w:szCs w:val="20"/>
              </w:rPr>
              <w:t>3 commute days</w:t>
            </w:r>
          </w:p>
        </w:tc>
        <w:tc>
          <w:tcPr>
            <w:tcW w:w="722" w:type="pct"/>
            <w:tcBorders>
              <w:top w:val="dotted" w:sz="4" w:space="0" w:color="auto"/>
              <w:left w:val="single" w:sz="4" w:space="0" w:color="auto"/>
              <w:bottom w:val="dotted" w:sz="4" w:space="0" w:color="auto"/>
              <w:right w:val="single" w:sz="18" w:space="0" w:color="auto"/>
            </w:tcBorders>
            <w:noWrap/>
            <w:vAlign w:val="center"/>
          </w:tcPr>
          <w:p w14:paraId="0DF04C52" w14:textId="58D27AF0" w:rsidR="003B1F74" w:rsidRPr="00B95CAC" w:rsidRDefault="00AB0FB1" w:rsidP="00830665">
            <w:pPr>
              <w:tabs>
                <w:tab w:val="decimal" w:pos="228"/>
              </w:tabs>
              <w:jc w:val="center"/>
              <w:rPr>
                <w:rFonts w:cstheme="minorHAnsi"/>
                <w:sz w:val="20"/>
                <w:szCs w:val="20"/>
              </w:rPr>
            </w:pPr>
            <w:r>
              <w:rPr>
                <w:rFonts w:cstheme="minorHAnsi"/>
                <w:sz w:val="20"/>
                <w:szCs w:val="20"/>
              </w:rPr>
              <w:t>37.9</w:t>
            </w:r>
          </w:p>
        </w:tc>
      </w:tr>
      <w:tr w:rsidR="003B1F74" w:rsidRPr="00B95CAC" w14:paraId="609E0BFB" w14:textId="77777777" w:rsidTr="007369D8">
        <w:trPr>
          <w:trHeight w:val="144"/>
        </w:trPr>
        <w:tc>
          <w:tcPr>
            <w:tcW w:w="4278" w:type="pct"/>
            <w:gridSpan w:val="2"/>
            <w:tcBorders>
              <w:top w:val="dotted" w:sz="4" w:space="0" w:color="auto"/>
              <w:left w:val="single" w:sz="18" w:space="0" w:color="auto"/>
              <w:bottom w:val="dotted" w:sz="4" w:space="0" w:color="auto"/>
              <w:right w:val="single" w:sz="4" w:space="0" w:color="auto"/>
            </w:tcBorders>
            <w:vAlign w:val="center"/>
          </w:tcPr>
          <w:p w14:paraId="3CC36642" w14:textId="482EF57B" w:rsidR="003B1F74" w:rsidRPr="00B95CAC" w:rsidRDefault="00AB0FB1" w:rsidP="00575BE8">
            <w:pPr>
              <w:ind w:left="144"/>
              <w:rPr>
                <w:rFonts w:cstheme="minorHAnsi"/>
                <w:sz w:val="20"/>
                <w:szCs w:val="20"/>
              </w:rPr>
            </w:pPr>
            <w:r>
              <w:rPr>
                <w:rFonts w:cstheme="minorHAnsi"/>
                <w:sz w:val="20"/>
                <w:szCs w:val="20"/>
              </w:rPr>
              <w:t>4 commute days</w:t>
            </w:r>
          </w:p>
        </w:tc>
        <w:tc>
          <w:tcPr>
            <w:tcW w:w="722" w:type="pct"/>
            <w:tcBorders>
              <w:top w:val="dotted" w:sz="4" w:space="0" w:color="auto"/>
              <w:left w:val="single" w:sz="4" w:space="0" w:color="auto"/>
              <w:bottom w:val="dotted" w:sz="4" w:space="0" w:color="auto"/>
              <w:right w:val="single" w:sz="18" w:space="0" w:color="auto"/>
            </w:tcBorders>
            <w:noWrap/>
            <w:vAlign w:val="center"/>
          </w:tcPr>
          <w:p w14:paraId="2F36B3D7" w14:textId="4865459D" w:rsidR="003B1F74" w:rsidRPr="00B95CAC" w:rsidRDefault="00AB0FB1" w:rsidP="00830665">
            <w:pPr>
              <w:tabs>
                <w:tab w:val="decimal" w:pos="228"/>
              </w:tabs>
              <w:jc w:val="center"/>
              <w:rPr>
                <w:rFonts w:cstheme="minorHAnsi"/>
                <w:sz w:val="20"/>
                <w:szCs w:val="20"/>
              </w:rPr>
            </w:pPr>
            <w:r>
              <w:rPr>
                <w:rFonts w:cstheme="minorHAnsi"/>
                <w:sz w:val="20"/>
                <w:szCs w:val="20"/>
              </w:rPr>
              <w:t>30.2</w:t>
            </w:r>
          </w:p>
        </w:tc>
      </w:tr>
      <w:tr w:rsidR="004E6096" w:rsidRPr="00B95CAC" w14:paraId="2035FAB6" w14:textId="77777777" w:rsidTr="00C23429">
        <w:trPr>
          <w:trHeight w:val="144"/>
        </w:trPr>
        <w:tc>
          <w:tcPr>
            <w:tcW w:w="5000" w:type="pct"/>
            <w:gridSpan w:val="3"/>
            <w:tcBorders>
              <w:top w:val="single" w:sz="18" w:space="0" w:color="auto"/>
              <w:left w:val="single" w:sz="18" w:space="0" w:color="auto"/>
              <w:bottom w:val="single" w:sz="18" w:space="0" w:color="auto"/>
              <w:right w:val="single" w:sz="18" w:space="0" w:color="auto"/>
            </w:tcBorders>
            <w:vAlign w:val="center"/>
            <w:hideMark/>
          </w:tcPr>
          <w:p w14:paraId="4CF2F88C" w14:textId="772C896B" w:rsidR="004E6096" w:rsidRPr="007369D8" w:rsidRDefault="004E6096" w:rsidP="00C23429">
            <w:pPr>
              <w:ind w:left="48" w:hanging="51"/>
              <w:jc w:val="left"/>
              <w:rPr>
                <w:rFonts w:cstheme="minorHAnsi"/>
                <w:sz w:val="20"/>
                <w:szCs w:val="20"/>
              </w:rPr>
            </w:pPr>
            <w:r w:rsidRPr="007369D8">
              <w:rPr>
                <w:rFonts w:cstheme="minorHAnsi"/>
                <w:sz w:val="20"/>
                <w:szCs w:val="20"/>
              </w:rPr>
              <w:t>Work</w:t>
            </w:r>
            <w:r w:rsidR="005F6420">
              <w:rPr>
                <w:rFonts w:cstheme="minorHAnsi"/>
                <w:sz w:val="20"/>
                <w:szCs w:val="20"/>
              </w:rPr>
              <w:t>-</w:t>
            </w:r>
            <w:r w:rsidRPr="007369D8">
              <w:rPr>
                <w:rFonts w:cstheme="minorHAnsi"/>
                <w:sz w:val="20"/>
                <w:szCs w:val="20"/>
              </w:rPr>
              <w:t>from</w:t>
            </w:r>
            <w:r w:rsidR="005F6420">
              <w:rPr>
                <w:rFonts w:cstheme="minorHAnsi"/>
                <w:sz w:val="20"/>
                <w:szCs w:val="20"/>
              </w:rPr>
              <w:t>-</w:t>
            </w:r>
            <w:r w:rsidR="009D3E4F">
              <w:rPr>
                <w:rFonts w:cstheme="minorHAnsi"/>
                <w:sz w:val="20"/>
                <w:szCs w:val="20"/>
              </w:rPr>
              <w:t>h</w:t>
            </w:r>
            <w:r w:rsidRPr="007369D8">
              <w:rPr>
                <w:rFonts w:cstheme="minorHAnsi"/>
                <w:sz w:val="20"/>
                <w:szCs w:val="20"/>
              </w:rPr>
              <w:t xml:space="preserve">ome </w:t>
            </w:r>
            <w:r w:rsidR="009D3E4F">
              <w:rPr>
                <w:rFonts w:cstheme="minorHAnsi"/>
                <w:sz w:val="20"/>
                <w:szCs w:val="20"/>
              </w:rPr>
              <w:t>m</w:t>
            </w:r>
            <w:r w:rsidR="00917915" w:rsidRPr="007369D8">
              <w:rPr>
                <w:rFonts w:cstheme="minorHAnsi"/>
                <w:sz w:val="20"/>
                <w:szCs w:val="20"/>
              </w:rPr>
              <w:t xml:space="preserve">otivations </w:t>
            </w:r>
            <w:r w:rsidRPr="007369D8">
              <w:rPr>
                <w:rFonts w:cstheme="minorHAnsi"/>
                <w:i/>
                <w:iCs/>
                <w:sz w:val="20"/>
                <w:szCs w:val="20"/>
              </w:rPr>
              <w:t xml:space="preserve">(among </w:t>
            </w:r>
            <w:r w:rsidR="00917915" w:rsidRPr="007369D8">
              <w:rPr>
                <w:rFonts w:cstheme="minorHAnsi"/>
                <w:i/>
                <w:iCs/>
                <w:sz w:val="20"/>
                <w:szCs w:val="20"/>
              </w:rPr>
              <w:t>those</w:t>
            </w:r>
            <w:r w:rsidRPr="007369D8">
              <w:rPr>
                <w:rFonts w:cstheme="minorHAnsi"/>
                <w:i/>
                <w:iCs/>
                <w:sz w:val="20"/>
                <w:szCs w:val="20"/>
              </w:rPr>
              <w:t xml:space="preserve"> who worked from home at least one day; N=799; multiple select)</w:t>
            </w:r>
          </w:p>
        </w:tc>
      </w:tr>
      <w:tr w:rsidR="00917915" w:rsidRPr="00B95CAC" w14:paraId="7C6E4903" w14:textId="77777777" w:rsidTr="007C5BC9">
        <w:trPr>
          <w:trHeight w:val="144"/>
        </w:trPr>
        <w:tc>
          <w:tcPr>
            <w:tcW w:w="1000" w:type="pct"/>
            <w:tcBorders>
              <w:top w:val="single" w:sz="18" w:space="0" w:color="auto"/>
              <w:left w:val="single" w:sz="18" w:space="0" w:color="auto"/>
              <w:bottom w:val="single" w:sz="12" w:space="0" w:color="auto"/>
              <w:right w:val="single" w:sz="4" w:space="0" w:color="auto"/>
            </w:tcBorders>
            <w:vAlign w:val="center"/>
          </w:tcPr>
          <w:p w14:paraId="1C85B548" w14:textId="23EE3309" w:rsidR="00917915" w:rsidRPr="00AB0FB1" w:rsidRDefault="003B1F74" w:rsidP="00917915">
            <w:pPr>
              <w:rPr>
                <w:rFonts w:cstheme="minorHAnsi"/>
                <w:b/>
                <w:bCs/>
                <w:sz w:val="20"/>
                <w:szCs w:val="20"/>
              </w:rPr>
            </w:pPr>
            <w:r w:rsidRPr="00AB0FB1">
              <w:rPr>
                <w:rFonts w:cstheme="minorHAnsi"/>
                <w:b/>
                <w:bCs/>
                <w:sz w:val="20"/>
                <w:szCs w:val="20"/>
              </w:rPr>
              <w:t>Save</w:t>
            </w:r>
            <w:r w:rsidR="00917915" w:rsidRPr="00AB0FB1">
              <w:rPr>
                <w:rFonts w:cstheme="minorHAnsi"/>
                <w:b/>
                <w:bCs/>
                <w:sz w:val="20"/>
                <w:szCs w:val="20"/>
              </w:rPr>
              <w:t xml:space="preserve"> time</w:t>
            </w:r>
          </w:p>
        </w:tc>
        <w:tc>
          <w:tcPr>
            <w:tcW w:w="3278" w:type="pct"/>
            <w:tcBorders>
              <w:top w:val="single" w:sz="18" w:space="0" w:color="auto"/>
              <w:left w:val="single" w:sz="4" w:space="0" w:color="auto"/>
              <w:bottom w:val="single" w:sz="12" w:space="0" w:color="auto"/>
              <w:right w:val="single" w:sz="4" w:space="0" w:color="auto"/>
            </w:tcBorders>
            <w:vAlign w:val="center"/>
          </w:tcPr>
          <w:p w14:paraId="51DFE884" w14:textId="7CFE59B1" w:rsidR="00917915" w:rsidRPr="003B1F74" w:rsidRDefault="00917915" w:rsidP="003B1F74">
            <w:pPr>
              <w:pStyle w:val="ListParagraph"/>
              <w:numPr>
                <w:ilvl w:val="0"/>
                <w:numId w:val="42"/>
              </w:numPr>
              <w:ind w:left="432" w:hanging="288"/>
              <w:rPr>
                <w:rFonts w:cstheme="minorHAnsi"/>
                <w:sz w:val="20"/>
                <w:szCs w:val="20"/>
              </w:rPr>
            </w:pPr>
            <w:r w:rsidRPr="003B1F74">
              <w:rPr>
                <w:rFonts w:cstheme="minorHAnsi"/>
                <w:sz w:val="20"/>
                <w:szCs w:val="20"/>
              </w:rPr>
              <w:t>To save commuting time</w:t>
            </w:r>
          </w:p>
        </w:tc>
        <w:tc>
          <w:tcPr>
            <w:tcW w:w="722" w:type="pct"/>
            <w:tcBorders>
              <w:top w:val="single" w:sz="18" w:space="0" w:color="auto"/>
              <w:left w:val="single" w:sz="4" w:space="0" w:color="auto"/>
              <w:bottom w:val="single" w:sz="12" w:space="0" w:color="auto"/>
              <w:right w:val="single" w:sz="18" w:space="0" w:color="auto"/>
            </w:tcBorders>
            <w:vAlign w:val="center"/>
          </w:tcPr>
          <w:p w14:paraId="15E7E5F9" w14:textId="77777777" w:rsidR="00917915" w:rsidRPr="00B95CAC" w:rsidRDefault="00917915" w:rsidP="00917915">
            <w:pPr>
              <w:ind w:left="48" w:hanging="51"/>
              <w:jc w:val="center"/>
              <w:rPr>
                <w:rFonts w:cstheme="minorHAnsi"/>
                <w:sz w:val="20"/>
                <w:szCs w:val="20"/>
              </w:rPr>
            </w:pPr>
            <w:r w:rsidRPr="00B95CAC">
              <w:rPr>
                <w:rFonts w:cstheme="minorHAnsi"/>
                <w:sz w:val="20"/>
                <w:szCs w:val="20"/>
              </w:rPr>
              <w:t>44.8</w:t>
            </w:r>
          </w:p>
        </w:tc>
      </w:tr>
      <w:tr w:rsidR="00917915" w:rsidRPr="00B95CAC" w14:paraId="2695B25A" w14:textId="77777777" w:rsidTr="007C5BC9">
        <w:trPr>
          <w:trHeight w:val="144"/>
        </w:trPr>
        <w:tc>
          <w:tcPr>
            <w:tcW w:w="1000" w:type="pct"/>
            <w:tcBorders>
              <w:top w:val="single" w:sz="12" w:space="0" w:color="auto"/>
              <w:left w:val="single" w:sz="18" w:space="0" w:color="auto"/>
              <w:bottom w:val="single" w:sz="12" w:space="0" w:color="auto"/>
              <w:right w:val="single" w:sz="4" w:space="0" w:color="auto"/>
            </w:tcBorders>
            <w:vAlign w:val="center"/>
          </w:tcPr>
          <w:p w14:paraId="2138148D" w14:textId="00417FA9" w:rsidR="00917915" w:rsidRPr="00AB0FB1" w:rsidRDefault="003B1F74" w:rsidP="00917915">
            <w:pPr>
              <w:rPr>
                <w:rFonts w:cstheme="minorHAnsi"/>
                <w:b/>
                <w:bCs/>
                <w:sz w:val="20"/>
                <w:szCs w:val="20"/>
              </w:rPr>
            </w:pPr>
            <w:r w:rsidRPr="00AB0FB1">
              <w:rPr>
                <w:rFonts w:cstheme="minorHAnsi"/>
                <w:b/>
                <w:bCs/>
                <w:sz w:val="20"/>
                <w:szCs w:val="20"/>
              </w:rPr>
              <w:t>Save money</w:t>
            </w:r>
          </w:p>
        </w:tc>
        <w:tc>
          <w:tcPr>
            <w:tcW w:w="3278" w:type="pct"/>
            <w:tcBorders>
              <w:top w:val="single" w:sz="12" w:space="0" w:color="auto"/>
              <w:left w:val="single" w:sz="4" w:space="0" w:color="auto"/>
              <w:bottom w:val="single" w:sz="12" w:space="0" w:color="auto"/>
              <w:right w:val="single" w:sz="4" w:space="0" w:color="auto"/>
            </w:tcBorders>
            <w:vAlign w:val="center"/>
          </w:tcPr>
          <w:p w14:paraId="2DF3E3D7" w14:textId="34949E9A" w:rsidR="00917915" w:rsidRPr="003B1F74" w:rsidRDefault="00917915" w:rsidP="003B1F74">
            <w:pPr>
              <w:pStyle w:val="ListParagraph"/>
              <w:numPr>
                <w:ilvl w:val="0"/>
                <w:numId w:val="42"/>
              </w:numPr>
              <w:ind w:left="432" w:hanging="288"/>
              <w:rPr>
                <w:rFonts w:cstheme="minorHAnsi"/>
                <w:sz w:val="20"/>
                <w:szCs w:val="20"/>
              </w:rPr>
            </w:pPr>
            <w:r w:rsidRPr="003B1F74">
              <w:rPr>
                <w:rFonts w:cstheme="minorHAnsi"/>
                <w:sz w:val="20"/>
                <w:szCs w:val="20"/>
              </w:rPr>
              <w:t>To avoid monetary costs from commuting</w:t>
            </w:r>
          </w:p>
        </w:tc>
        <w:tc>
          <w:tcPr>
            <w:tcW w:w="722" w:type="pct"/>
            <w:tcBorders>
              <w:top w:val="single" w:sz="12" w:space="0" w:color="auto"/>
              <w:left w:val="single" w:sz="4" w:space="0" w:color="auto"/>
              <w:bottom w:val="single" w:sz="12" w:space="0" w:color="auto"/>
              <w:right w:val="single" w:sz="18" w:space="0" w:color="auto"/>
            </w:tcBorders>
            <w:vAlign w:val="center"/>
          </w:tcPr>
          <w:p w14:paraId="00786A61" w14:textId="77777777" w:rsidR="00917915" w:rsidRPr="00B95CAC" w:rsidRDefault="00917915" w:rsidP="00917915">
            <w:pPr>
              <w:ind w:left="48" w:hanging="51"/>
              <w:jc w:val="center"/>
              <w:rPr>
                <w:rFonts w:cstheme="minorHAnsi"/>
                <w:sz w:val="20"/>
                <w:szCs w:val="20"/>
              </w:rPr>
            </w:pPr>
            <w:r w:rsidRPr="00B95CAC">
              <w:rPr>
                <w:rFonts w:cstheme="minorHAnsi"/>
                <w:sz w:val="20"/>
                <w:szCs w:val="20"/>
              </w:rPr>
              <w:t>24.5</w:t>
            </w:r>
          </w:p>
        </w:tc>
      </w:tr>
      <w:tr w:rsidR="00917915" w:rsidRPr="00B95CAC" w14:paraId="3A7777D4" w14:textId="77777777" w:rsidTr="007C5BC9">
        <w:trPr>
          <w:trHeight w:val="144"/>
        </w:trPr>
        <w:tc>
          <w:tcPr>
            <w:tcW w:w="1000" w:type="pct"/>
            <w:tcBorders>
              <w:top w:val="single" w:sz="12" w:space="0" w:color="auto"/>
              <w:left w:val="single" w:sz="18" w:space="0" w:color="auto"/>
              <w:bottom w:val="single" w:sz="12" w:space="0" w:color="auto"/>
              <w:right w:val="single" w:sz="4" w:space="0" w:color="auto"/>
            </w:tcBorders>
            <w:vAlign w:val="center"/>
          </w:tcPr>
          <w:p w14:paraId="5C15E8CB" w14:textId="41724AE7" w:rsidR="00917915" w:rsidRPr="00AB0FB1" w:rsidRDefault="00917915" w:rsidP="003B1F74">
            <w:pPr>
              <w:rPr>
                <w:rFonts w:cstheme="minorHAnsi"/>
                <w:b/>
                <w:bCs/>
                <w:sz w:val="20"/>
                <w:szCs w:val="20"/>
              </w:rPr>
            </w:pPr>
            <w:r w:rsidRPr="00AB0FB1">
              <w:rPr>
                <w:rFonts w:cstheme="minorHAnsi"/>
                <w:b/>
                <w:bCs/>
                <w:sz w:val="20"/>
                <w:szCs w:val="20"/>
              </w:rPr>
              <w:t>Work-life balance</w:t>
            </w:r>
          </w:p>
        </w:tc>
        <w:tc>
          <w:tcPr>
            <w:tcW w:w="3278" w:type="pct"/>
            <w:tcBorders>
              <w:top w:val="single" w:sz="12" w:space="0" w:color="auto"/>
              <w:left w:val="single" w:sz="4" w:space="0" w:color="auto"/>
              <w:bottom w:val="single" w:sz="12" w:space="0" w:color="auto"/>
              <w:right w:val="single" w:sz="4" w:space="0" w:color="auto"/>
            </w:tcBorders>
            <w:vAlign w:val="center"/>
          </w:tcPr>
          <w:p w14:paraId="12CE125B" w14:textId="5ECB6AD8" w:rsidR="00917915" w:rsidRDefault="00917915" w:rsidP="003B1F74">
            <w:pPr>
              <w:pStyle w:val="ListParagraph"/>
              <w:numPr>
                <w:ilvl w:val="0"/>
                <w:numId w:val="40"/>
              </w:numPr>
              <w:ind w:left="432" w:hanging="288"/>
              <w:rPr>
                <w:rFonts w:cstheme="minorHAnsi"/>
                <w:sz w:val="20"/>
                <w:szCs w:val="20"/>
              </w:rPr>
            </w:pPr>
            <w:r w:rsidRPr="00917915">
              <w:rPr>
                <w:rFonts w:cstheme="minorHAnsi"/>
                <w:sz w:val="20"/>
                <w:szCs w:val="20"/>
              </w:rPr>
              <w:t>To better balance work and personal responsibilities</w:t>
            </w:r>
          </w:p>
          <w:p w14:paraId="52C7F6B9" w14:textId="7E04A22A" w:rsidR="00917915" w:rsidRDefault="00917915" w:rsidP="003B1F74">
            <w:pPr>
              <w:pStyle w:val="ListParagraph"/>
              <w:numPr>
                <w:ilvl w:val="0"/>
                <w:numId w:val="40"/>
              </w:numPr>
              <w:ind w:left="432" w:hanging="288"/>
              <w:rPr>
                <w:rFonts w:cstheme="minorHAnsi"/>
                <w:sz w:val="20"/>
                <w:szCs w:val="20"/>
              </w:rPr>
            </w:pPr>
            <w:r w:rsidRPr="00917915">
              <w:rPr>
                <w:rFonts w:cstheme="minorHAnsi"/>
                <w:sz w:val="20"/>
                <w:szCs w:val="20"/>
              </w:rPr>
              <w:t xml:space="preserve">To handle household tasks or appointments </w:t>
            </w:r>
          </w:p>
          <w:p w14:paraId="57E7F97E" w14:textId="28084CEC" w:rsidR="00917915" w:rsidRPr="00917915" w:rsidRDefault="00917915" w:rsidP="003B1F74">
            <w:pPr>
              <w:pStyle w:val="ListParagraph"/>
              <w:numPr>
                <w:ilvl w:val="0"/>
                <w:numId w:val="40"/>
              </w:numPr>
              <w:ind w:left="432" w:hanging="288"/>
              <w:rPr>
                <w:rFonts w:cstheme="minorHAnsi"/>
                <w:sz w:val="20"/>
                <w:szCs w:val="20"/>
              </w:rPr>
            </w:pPr>
            <w:r w:rsidRPr="00917915">
              <w:rPr>
                <w:rFonts w:cstheme="minorHAnsi"/>
                <w:sz w:val="20"/>
                <w:szCs w:val="20"/>
              </w:rPr>
              <w:t>To take care of children or family members</w:t>
            </w:r>
          </w:p>
        </w:tc>
        <w:tc>
          <w:tcPr>
            <w:tcW w:w="722" w:type="pct"/>
            <w:tcBorders>
              <w:top w:val="single" w:sz="12" w:space="0" w:color="auto"/>
              <w:left w:val="single" w:sz="4" w:space="0" w:color="auto"/>
              <w:bottom w:val="single" w:sz="12" w:space="0" w:color="auto"/>
              <w:right w:val="single" w:sz="18" w:space="0" w:color="auto"/>
            </w:tcBorders>
            <w:vAlign w:val="center"/>
          </w:tcPr>
          <w:p w14:paraId="795B3119" w14:textId="77777777" w:rsidR="00917915" w:rsidRPr="00B95CAC" w:rsidRDefault="00917915" w:rsidP="00917915">
            <w:pPr>
              <w:ind w:left="48" w:hanging="51"/>
              <w:jc w:val="center"/>
              <w:rPr>
                <w:rFonts w:cstheme="minorHAnsi"/>
                <w:sz w:val="20"/>
                <w:szCs w:val="20"/>
              </w:rPr>
            </w:pPr>
            <w:r w:rsidRPr="00B95CAC">
              <w:rPr>
                <w:rFonts w:cstheme="minorHAnsi"/>
                <w:sz w:val="20"/>
                <w:szCs w:val="20"/>
              </w:rPr>
              <w:t>68.1</w:t>
            </w:r>
          </w:p>
        </w:tc>
      </w:tr>
      <w:tr w:rsidR="00917915" w:rsidRPr="00B95CAC" w14:paraId="44724D74" w14:textId="77777777" w:rsidTr="007C5BC9">
        <w:trPr>
          <w:trHeight w:val="144"/>
        </w:trPr>
        <w:tc>
          <w:tcPr>
            <w:tcW w:w="1000" w:type="pct"/>
            <w:tcBorders>
              <w:top w:val="single" w:sz="12" w:space="0" w:color="auto"/>
              <w:left w:val="single" w:sz="18" w:space="0" w:color="auto"/>
              <w:bottom w:val="single" w:sz="18" w:space="0" w:color="auto"/>
              <w:right w:val="single" w:sz="4" w:space="0" w:color="auto"/>
            </w:tcBorders>
            <w:vAlign w:val="center"/>
          </w:tcPr>
          <w:p w14:paraId="789765D4" w14:textId="36B7BA49" w:rsidR="00917915" w:rsidRPr="00AB0FB1" w:rsidRDefault="00917915" w:rsidP="003B1F74">
            <w:pPr>
              <w:rPr>
                <w:rFonts w:cstheme="minorHAnsi"/>
                <w:b/>
                <w:bCs/>
                <w:sz w:val="20"/>
                <w:szCs w:val="20"/>
              </w:rPr>
            </w:pPr>
            <w:r w:rsidRPr="00AB0FB1">
              <w:rPr>
                <w:rFonts w:cstheme="minorHAnsi"/>
                <w:b/>
                <w:bCs/>
                <w:sz w:val="20"/>
                <w:szCs w:val="20"/>
              </w:rPr>
              <w:t>Work environment</w:t>
            </w:r>
          </w:p>
        </w:tc>
        <w:tc>
          <w:tcPr>
            <w:tcW w:w="3278" w:type="pct"/>
            <w:tcBorders>
              <w:top w:val="single" w:sz="12" w:space="0" w:color="auto"/>
              <w:left w:val="single" w:sz="4" w:space="0" w:color="auto"/>
              <w:bottom w:val="single" w:sz="18" w:space="0" w:color="auto"/>
              <w:right w:val="single" w:sz="4" w:space="0" w:color="auto"/>
            </w:tcBorders>
            <w:vAlign w:val="center"/>
          </w:tcPr>
          <w:p w14:paraId="406F715F" w14:textId="7C528AE2" w:rsidR="00917915" w:rsidRDefault="00917915" w:rsidP="003B1F74">
            <w:pPr>
              <w:pStyle w:val="ListParagraph"/>
              <w:numPr>
                <w:ilvl w:val="0"/>
                <w:numId w:val="41"/>
              </w:numPr>
              <w:ind w:left="432" w:hanging="288"/>
              <w:rPr>
                <w:rFonts w:cstheme="minorHAnsi"/>
                <w:sz w:val="20"/>
                <w:szCs w:val="20"/>
              </w:rPr>
            </w:pPr>
            <w:r w:rsidRPr="00917915">
              <w:rPr>
                <w:rFonts w:cstheme="minorHAnsi"/>
                <w:sz w:val="20"/>
                <w:szCs w:val="20"/>
              </w:rPr>
              <w:t>To have a quieter work environment</w:t>
            </w:r>
          </w:p>
          <w:p w14:paraId="16E6F4D2" w14:textId="41359A5B" w:rsidR="00917915" w:rsidRDefault="00917915" w:rsidP="003B1F74">
            <w:pPr>
              <w:pStyle w:val="ListParagraph"/>
              <w:numPr>
                <w:ilvl w:val="0"/>
                <w:numId w:val="41"/>
              </w:numPr>
              <w:ind w:left="432" w:hanging="288"/>
              <w:rPr>
                <w:rFonts w:cstheme="minorHAnsi"/>
                <w:sz w:val="20"/>
                <w:szCs w:val="20"/>
              </w:rPr>
            </w:pPr>
            <w:r w:rsidRPr="00917915">
              <w:rPr>
                <w:rFonts w:cstheme="minorHAnsi"/>
                <w:sz w:val="20"/>
                <w:szCs w:val="20"/>
              </w:rPr>
              <w:t>I did not feel like leaving home on that day</w:t>
            </w:r>
          </w:p>
          <w:p w14:paraId="143CE1A6" w14:textId="5E709BF7" w:rsidR="00917915" w:rsidRPr="00917915" w:rsidRDefault="00917915" w:rsidP="003B1F74">
            <w:pPr>
              <w:pStyle w:val="ListParagraph"/>
              <w:numPr>
                <w:ilvl w:val="0"/>
                <w:numId w:val="41"/>
              </w:numPr>
              <w:ind w:left="432" w:hanging="288"/>
              <w:rPr>
                <w:rFonts w:cstheme="minorHAnsi"/>
                <w:sz w:val="20"/>
                <w:szCs w:val="20"/>
              </w:rPr>
            </w:pPr>
            <w:r w:rsidRPr="00917915">
              <w:rPr>
                <w:rFonts w:cstheme="minorHAnsi"/>
                <w:sz w:val="20"/>
                <w:szCs w:val="20"/>
              </w:rPr>
              <w:t>I wanted a different environment for a change</w:t>
            </w:r>
          </w:p>
        </w:tc>
        <w:tc>
          <w:tcPr>
            <w:tcW w:w="722" w:type="pct"/>
            <w:tcBorders>
              <w:top w:val="single" w:sz="12" w:space="0" w:color="auto"/>
              <w:left w:val="single" w:sz="4" w:space="0" w:color="auto"/>
              <w:bottom w:val="single" w:sz="18" w:space="0" w:color="auto"/>
              <w:right w:val="single" w:sz="18" w:space="0" w:color="auto"/>
            </w:tcBorders>
            <w:vAlign w:val="center"/>
          </w:tcPr>
          <w:p w14:paraId="7EA96AC7" w14:textId="77777777" w:rsidR="00917915" w:rsidRPr="00B95CAC" w:rsidRDefault="00917915" w:rsidP="00917915">
            <w:pPr>
              <w:ind w:left="48" w:hanging="51"/>
              <w:jc w:val="center"/>
              <w:rPr>
                <w:rFonts w:cstheme="minorHAnsi"/>
                <w:sz w:val="20"/>
                <w:szCs w:val="20"/>
              </w:rPr>
            </w:pPr>
            <w:r w:rsidRPr="00B95CAC">
              <w:rPr>
                <w:rFonts w:cstheme="minorHAnsi"/>
                <w:sz w:val="20"/>
                <w:szCs w:val="20"/>
              </w:rPr>
              <w:t>35.5</w:t>
            </w:r>
          </w:p>
        </w:tc>
      </w:tr>
    </w:tbl>
    <w:p w14:paraId="45BC5D45" w14:textId="77777777" w:rsidR="005F6420" w:rsidRDefault="005F6420" w:rsidP="00CB4856"/>
    <w:p w14:paraId="3D1E5304" w14:textId="2F9D480F" w:rsidR="00DC51C5" w:rsidRDefault="00DC51C5" w:rsidP="00DC51C5">
      <w:pPr>
        <w:pStyle w:val="Heading1"/>
      </w:pPr>
      <w:r>
        <w:lastRenderedPageBreak/>
        <w:t>3.</w:t>
      </w:r>
      <w:r w:rsidR="00A321F3">
        <w:t xml:space="preserve">  MODELING FRAMEWORK AND</w:t>
      </w:r>
      <w:r>
        <w:t xml:space="preserve"> </w:t>
      </w:r>
      <w:r w:rsidRPr="002A5549">
        <w:t>M</w:t>
      </w:r>
      <w:r>
        <w:t>ETHODOLOGY</w:t>
      </w:r>
    </w:p>
    <w:p w14:paraId="297445A6" w14:textId="7A2DA73E" w:rsidR="00A321F3" w:rsidRPr="00A321F3" w:rsidRDefault="00A321F3" w:rsidP="00CB4856">
      <w:pPr>
        <w:rPr>
          <w:b/>
        </w:rPr>
      </w:pPr>
      <w:r>
        <w:t xml:space="preserve">This section presents a detailed description of the modeling framework and methodology adopted in this study.  </w:t>
      </w:r>
    </w:p>
    <w:p w14:paraId="0C47053F" w14:textId="77777777" w:rsidR="00A321F3" w:rsidRPr="00A321F3" w:rsidRDefault="00A321F3" w:rsidP="00A321F3"/>
    <w:p w14:paraId="3FE21518" w14:textId="3B2F87AA" w:rsidR="00DC51C5" w:rsidRDefault="00DC51C5" w:rsidP="00120108">
      <w:pPr>
        <w:pStyle w:val="Heading2"/>
      </w:pPr>
      <w:r>
        <w:t>3.1. Modeling Framework</w:t>
      </w:r>
    </w:p>
    <w:p w14:paraId="35FCAF58" w14:textId="44F3686C" w:rsidR="00A321F3" w:rsidRPr="00A321F3" w:rsidRDefault="00A321F3" w:rsidP="00A321F3">
      <w:pPr>
        <w:rPr>
          <w:rFonts w:eastAsia="Calibri"/>
        </w:rPr>
      </w:pPr>
      <w:r w:rsidRPr="00A321F3">
        <w:rPr>
          <w:rFonts w:eastAsia="Calibri"/>
        </w:rPr>
        <w:t xml:space="preserve">Figure 2 presents the conceptual structure of the multivariate modeling framework adopted in this study. The framework is designed to reflect the bundled nature of work arrangements by jointly representing six related endogenous outcomes: work arrangement, commute frequency among hybrid workers, and four motivations for working from home. Rather than treating these dimensions as separate behavioral </w:t>
      </w:r>
      <w:r>
        <w:rPr>
          <w:rFonts w:eastAsia="Calibri"/>
        </w:rPr>
        <w:t>choices</w:t>
      </w:r>
      <w:r w:rsidRPr="00A321F3">
        <w:rPr>
          <w:rFonts w:eastAsia="Calibri"/>
        </w:rPr>
        <w:t>, the model recognizes that they may be shaped by common observed and unobserved factors.</w:t>
      </w:r>
    </w:p>
    <w:p w14:paraId="516A5010" w14:textId="004504E1" w:rsidR="00A321F3" w:rsidRPr="00A321F3" w:rsidRDefault="00A321F3" w:rsidP="00926CB9">
      <w:pPr>
        <w:ind w:firstLine="720"/>
        <w:rPr>
          <w:rFonts w:eastAsia="Calibri"/>
        </w:rPr>
      </w:pPr>
      <w:r w:rsidRPr="00A321F3">
        <w:rPr>
          <w:rFonts w:eastAsia="Calibri"/>
        </w:rPr>
        <w:t xml:space="preserve">The first outcome is work arrangement, specified as a nominal choice among four alternatives: fully in person, hybrid, fully remote </w:t>
      </w:r>
      <w:r w:rsidR="00320D34">
        <w:rPr>
          <w:rFonts w:eastAsia="Calibri"/>
        </w:rPr>
        <w:t>HB</w:t>
      </w:r>
      <w:r w:rsidRPr="00A321F3">
        <w:rPr>
          <w:rFonts w:eastAsia="Calibri"/>
        </w:rPr>
        <w:t xml:space="preserve">, and fully remote </w:t>
      </w:r>
      <w:r w:rsidR="00320D34">
        <w:rPr>
          <w:rFonts w:eastAsia="Calibri"/>
        </w:rPr>
        <w:t>TLB</w:t>
      </w:r>
      <w:r w:rsidRPr="00A321F3">
        <w:rPr>
          <w:rFonts w:eastAsia="Calibri"/>
        </w:rPr>
        <w:t xml:space="preserve">. This outcome is modeled for the full sample of 2,655 workers. The second outcome is commute frequency, represented as an ordinal variable indicating the number of workplace commute days during the preceding week. Because this outcome is </w:t>
      </w:r>
      <w:r w:rsidR="00926CB9">
        <w:rPr>
          <w:rFonts w:eastAsia="Calibri"/>
        </w:rPr>
        <w:t>observed</w:t>
      </w:r>
      <w:r w:rsidRPr="00A321F3">
        <w:rPr>
          <w:rFonts w:eastAsia="Calibri"/>
        </w:rPr>
        <w:t xml:space="preserve"> only for workers who divide their week between in-person and remote work, it is modeled for the subset of 696 hybrid workers.</w:t>
      </w:r>
      <w:r w:rsidR="00926CB9">
        <w:rPr>
          <w:rFonts w:eastAsia="Calibri"/>
        </w:rPr>
        <w:t xml:space="preserve"> </w:t>
      </w:r>
      <w:r w:rsidRPr="00A321F3">
        <w:rPr>
          <w:rFonts w:eastAsia="Calibri"/>
        </w:rPr>
        <w:t xml:space="preserve">The remaining four outcomes capture motivations for working from home: saving commute time, reducing commute costs, improving work-life balance, and obtaining a preferred work environment. Each motivation is represented as a </w:t>
      </w:r>
      <w:r w:rsidR="00474CC9">
        <w:rPr>
          <w:rFonts w:eastAsia="Calibri"/>
        </w:rPr>
        <w:t>two-level</w:t>
      </w:r>
      <w:r w:rsidRPr="00A321F3">
        <w:rPr>
          <w:rFonts w:eastAsia="Calibri"/>
        </w:rPr>
        <w:t xml:space="preserve"> </w:t>
      </w:r>
      <w:r w:rsidR="00474CC9">
        <w:rPr>
          <w:rFonts w:eastAsia="Calibri"/>
        </w:rPr>
        <w:t xml:space="preserve">ordinal </w:t>
      </w:r>
      <w:r w:rsidRPr="00A321F3">
        <w:rPr>
          <w:rFonts w:eastAsia="Calibri"/>
        </w:rPr>
        <w:t>outcome</w:t>
      </w:r>
      <w:r w:rsidR="00474CC9">
        <w:rPr>
          <w:rFonts w:eastAsia="Calibri"/>
        </w:rPr>
        <w:t xml:space="preserve"> (equivalent to a binary response)</w:t>
      </w:r>
      <w:r w:rsidRPr="00A321F3">
        <w:rPr>
          <w:rFonts w:eastAsia="Calibri"/>
        </w:rPr>
        <w:t xml:space="preserve"> and modeled for the 799 </w:t>
      </w:r>
      <w:r w:rsidR="00CB4856">
        <w:rPr>
          <w:rFonts w:eastAsia="Calibri"/>
        </w:rPr>
        <w:t xml:space="preserve">“home teleworkers,” or </w:t>
      </w:r>
      <w:r w:rsidRPr="00A321F3">
        <w:rPr>
          <w:rFonts w:eastAsia="Calibri"/>
        </w:rPr>
        <w:t>respondents who worked from home on at least one day during the reference week. Because workers could report more than one motivation, the four outcomes are not mutually exclusive. A worker may, for example, value both the time saved by avoiding a commute and the flexibility gained for managing household responsibilities.</w:t>
      </w:r>
    </w:p>
    <w:p w14:paraId="768E4D8D" w14:textId="5AA75A34" w:rsidR="00A321F3" w:rsidRPr="00A321F3" w:rsidRDefault="00A321F3" w:rsidP="00A321F3">
      <w:pPr>
        <w:ind w:firstLine="720"/>
        <w:rPr>
          <w:rFonts w:eastAsia="Calibri"/>
        </w:rPr>
      </w:pPr>
      <w:r>
        <w:rPr>
          <w:rFonts w:eastAsia="Calibri"/>
        </w:rPr>
        <w:t>An extensive set of exogenous variables influence the outcome variables</w:t>
      </w:r>
      <w:r w:rsidRPr="00A321F3">
        <w:rPr>
          <w:rFonts w:eastAsia="Calibri"/>
        </w:rPr>
        <w:t xml:space="preserve">. These variables include socio-demographic characteristics, household </w:t>
      </w:r>
      <w:r w:rsidR="004358E0">
        <w:rPr>
          <w:rFonts w:eastAsia="Calibri"/>
        </w:rPr>
        <w:t>characteristics</w:t>
      </w:r>
      <w:r w:rsidRPr="00A321F3">
        <w:rPr>
          <w:rFonts w:eastAsia="Calibri"/>
        </w:rPr>
        <w:t>,</w:t>
      </w:r>
      <w:r w:rsidR="001B5A54">
        <w:rPr>
          <w:rFonts w:eastAsia="Calibri"/>
        </w:rPr>
        <w:t xml:space="preserve"> </w:t>
      </w:r>
      <w:r w:rsidR="001B5A54" w:rsidRPr="00A321F3">
        <w:rPr>
          <w:rFonts w:eastAsia="Calibri"/>
        </w:rPr>
        <w:t xml:space="preserve">built-environment </w:t>
      </w:r>
      <w:r w:rsidR="001B5A54">
        <w:rPr>
          <w:rFonts w:eastAsia="Calibri"/>
        </w:rPr>
        <w:t>attributes, and</w:t>
      </w:r>
      <w:r w:rsidRPr="00A321F3">
        <w:rPr>
          <w:rFonts w:eastAsia="Calibri"/>
        </w:rPr>
        <w:t xml:space="preserve"> work-related </w:t>
      </w:r>
      <w:r w:rsidR="004358E0">
        <w:rPr>
          <w:rFonts w:eastAsia="Calibri"/>
        </w:rPr>
        <w:t>variables (commute distance, work schedule and location flexibility)</w:t>
      </w:r>
      <w:r w:rsidRPr="00A321F3">
        <w:rPr>
          <w:rFonts w:eastAsia="Calibri"/>
        </w:rPr>
        <w:t xml:space="preserve">. Their inclusion permits the model to identify how observed differences among workers influence work arrangement, commute frequency, and </w:t>
      </w:r>
      <w:r w:rsidR="005F6420">
        <w:rPr>
          <w:rFonts w:eastAsia="Calibri"/>
        </w:rPr>
        <w:t>work-from-home</w:t>
      </w:r>
      <w:r w:rsidRPr="00A321F3">
        <w:rPr>
          <w:rFonts w:eastAsia="Calibri"/>
        </w:rPr>
        <w:t xml:space="preserve"> motivations. </w:t>
      </w:r>
    </w:p>
    <w:p w14:paraId="25FB93BF" w14:textId="6E12C912" w:rsidR="004358E0" w:rsidRDefault="00A321F3" w:rsidP="004358E0">
      <w:pPr>
        <w:ind w:firstLine="720"/>
        <w:rPr>
          <w:rFonts w:eastAsia="Calibri"/>
        </w:rPr>
      </w:pPr>
      <w:r w:rsidRPr="00A321F3">
        <w:rPr>
          <w:rFonts w:eastAsia="Calibri"/>
        </w:rPr>
        <w:t xml:space="preserve">The principal strength of the framework lies in its joint treatment of the outcome dimensions. Conventional approaches might estimate separate models for work arrangement, commute frequency, and each </w:t>
      </w:r>
      <w:r w:rsidR="005F6420">
        <w:rPr>
          <w:rFonts w:eastAsia="Calibri"/>
        </w:rPr>
        <w:t>work-from-home</w:t>
      </w:r>
      <w:r w:rsidRPr="00A321F3">
        <w:rPr>
          <w:rFonts w:eastAsia="Calibri"/>
        </w:rPr>
        <w:t xml:space="preserve"> motivation. Such an approach would implicitly assume that the unobserved factors affecting one outcome are unrelated to those affecting the others. That assumption is difficult to justify in the present context. Attitudes toward commuting, preferences for workplace interaction, caregiving obligations, productivity perceptions, and lifestyle orientations may influence several dimensions of work behavior simultaneously.</w:t>
      </w:r>
      <w:r w:rsidR="004358E0">
        <w:rPr>
          <w:rFonts w:eastAsia="Calibri"/>
        </w:rPr>
        <w:t xml:space="preserve"> </w:t>
      </w:r>
      <w:r w:rsidRPr="00A321F3">
        <w:rPr>
          <w:rFonts w:eastAsia="Calibri"/>
        </w:rPr>
        <w:t xml:space="preserve">The joint model accommodates this interdependence through correlations among the stochastic error components of the outcome equations. These correlations capture the effects of unobserved attributes that are not measured directly in the survey but may shape multiple outcomes. For instance, an unobserved caregiving responsibility may increase the likelihood of a </w:t>
      </w:r>
      <w:r w:rsidR="00320D34">
        <w:rPr>
          <w:rFonts w:eastAsia="Calibri"/>
        </w:rPr>
        <w:t>HB</w:t>
      </w:r>
      <w:r w:rsidRPr="00A321F3">
        <w:rPr>
          <w:rFonts w:eastAsia="Calibri"/>
        </w:rPr>
        <w:t xml:space="preserve"> remote arrangement and the propensity to identify work-life balance as a </w:t>
      </w:r>
      <w:r w:rsidR="005F6420">
        <w:rPr>
          <w:rFonts w:eastAsia="Calibri"/>
        </w:rPr>
        <w:t>work-from-home</w:t>
      </w:r>
      <w:r w:rsidR="005F6420" w:rsidRPr="00A321F3">
        <w:rPr>
          <w:rFonts w:eastAsia="Calibri"/>
        </w:rPr>
        <w:t xml:space="preserve"> </w:t>
      </w:r>
      <w:r w:rsidRPr="00A321F3">
        <w:rPr>
          <w:rFonts w:eastAsia="Calibri"/>
        </w:rPr>
        <w:t xml:space="preserve">motivation. Similarly, an unobserved aversion to commuting may influence both the choice of a remote work arrangement and the motivation to save time or money. By allowing such correlations, the framework offers a </w:t>
      </w:r>
      <w:r w:rsidRPr="004358E0">
        <w:rPr>
          <w:rFonts w:eastAsia="Calibri"/>
        </w:rPr>
        <w:t>more behaviorally complete representation of how workers assemble their weekly work arrangements.</w:t>
      </w:r>
      <w:r w:rsidR="004358E0" w:rsidRPr="004358E0">
        <w:rPr>
          <w:rFonts w:eastAsia="Calibri"/>
        </w:rPr>
        <w:t xml:space="preserve"> </w:t>
      </w:r>
      <w:r w:rsidR="00CB4856" w:rsidRPr="004358E0">
        <w:rPr>
          <w:rFonts w:eastAsia="Calibri"/>
        </w:rPr>
        <w:t xml:space="preserve">Furthermore, by explicitly </w:t>
      </w:r>
      <w:r w:rsidR="00BB5301">
        <w:rPr>
          <w:rFonts w:eastAsia="Calibri"/>
        </w:rPr>
        <w:t>modeling</w:t>
      </w:r>
      <w:r w:rsidR="00CB4856" w:rsidRPr="004358E0">
        <w:rPr>
          <w:rFonts w:eastAsia="Calibri"/>
        </w:rPr>
        <w:t xml:space="preserve"> the correlations between the error </w:t>
      </w:r>
      <w:r w:rsidR="00CB4856" w:rsidRPr="004358E0">
        <w:rPr>
          <w:rFonts w:eastAsia="Calibri"/>
        </w:rPr>
        <w:lastRenderedPageBreak/>
        <w:t xml:space="preserve">terms </w:t>
      </w:r>
      <w:r w:rsidR="004358E0" w:rsidRPr="004358E0">
        <w:rPr>
          <w:rFonts w:eastAsia="Calibri"/>
        </w:rPr>
        <w:t>associated with</w:t>
      </w:r>
      <w:r w:rsidR="00CB4856" w:rsidRPr="004358E0">
        <w:rPr>
          <w:rFonts w:eastAsia="Calibri"/>
        </w:rPr>
        <w:t xml:space="preserve"> different outcome dimensions</w:t>
      </w:r>
      <w:r w:rsidR="004358E0" w:rsidRPr="004358E0">
        <w:rPr>
          <w:rFonts w:eastAsia="Calibri"/>
        </w:rPr>
        <w:t xml:space="preserve">, we account for sample </w:t>
      </w:r>
      <w:r w:rsidR="00BB5301">
        <w:rPr>
          <w:rFonts w:eastAsia="Calibri"/>
        </w:rPr>
        <w:t>selection</w:t>
      </w:r>
      <w:r w:rsidR="004358E0" w:rsidRPr="004358E0">
        <w:rPr>
          <w:rFonts w:eastAsia="Calibri"/>
        </w:rPr>
        <w:t xml:space="preserve"> effects. This allows information contained within the commute frequency and work-from-home motivation outcomes to contribute to behavioral inference across the full sample, including respondents who did not engage in hybrid work or work from home. Consequently, the results offer insights into the broader working population, identifying factors that may influence commute frequency and work-from-home behavior if individuals were to adopt the associated work arrangements.</w:t>
      </w:r>
    </w:p>
    <w:p w14:paraId="5FFAC310" w14:textId="3AF361CC" w:rsidR="00A321F3" w:rsidRDefault="00A321F3" w:rsidP="00FA51C6">
      <w:pPr>
        <w:ind w:firstLine="720"/>
        <w:rPr>
          <w:rFonts w:eastAsia="Calibri"/>
        </w:rPr>
      </w:pPr>
      <w:r w:rsidRPr="00A321F3">
        <w:rPr>
          <w:rFonts w:eastAsia="Calibri"/>
        </w:rPr>
        <w:t>Overall, the model structure provides a unified representation of work arrangement</w:t>
      </w:r>
      <w:r>
        <w:rPr>
          <w:rFonts w:eastAsia="Calibri"/>
        </w:rPr>
        <w:t>s including work location and modality, commuting frequency</w:t>
      </w:r>
      <w:r w:rsidRPr="00A321F3">
        <w:rPr>
          <w:rFonts w:eastAsia="Calibri"/>
        </w:rPr>
        <w:t xml:space="preserve">, and </w:t>
      </w:r>
      <w:r>
        <w:rPr>
          <w:rFonts w:eastAsia="Calibri"/>
        </w:rPr>
        <w:t>motivations for</w:t>
      </w:r>
      <w:r w:rsidRPr="00A321F3">
        <w:rPr>
          <w:rFonts w:eastAsia="Calibri"/>
        </w:rPr>
        <w:t xml:space="preserve"> work</w:t>
      </w:r>
      <w:r>
        <w:rPr>
          <w:rFonts w:eastAsia="Calibri"/>
        </w:rPr>
        <w:t>ing</w:t>
      </w:r>
      <w:r w:rsidRPr="00A321F3">
        <w:rPr>
          <w:rFonts w:eastAsia="Calibri"/>
        </w:rPr>
        <w:t xml:space="preserve"> from home. This integrated treatment is especially valuable for transportation </w:t>
      </w:r>
      <w:r>
        <w:rPr>
          <w:rFonts w:eastAsia="Calibri"/>
        </w:rPr>
        <w:t>demand modeling</w:t>
      </w:r>
      <w:r w:rsidRPr="00A321F3">
        <w:rPr>
          <w:rFonts w:eastAsia="Calibri"/>
        </w:rPr>
        <w:t xml:space="preserve"> because it links worker characteristics and institutional constraints to the frequency and location of work travel. It also provides a stronger foundation for estimating the commute</w:t>
      </w:r>
      <w:r>
        <w:rPr>
          <w:rFonts w:eastAsia="Calibri"/>
        </w:rPr>
        <w:t xml:space="preserve"> VMT</w:t>
      </w:r>
      <w:r w:rsidRPr="00A321F3">
        <w:rPr>
          <w:rFonts w:eastAsia="Calibri"/>
        </w:rPr>
        <w:t xml:space="preserve"> implications of alternative work arrangements than would a series of independent models.</w:t>
      </w:r>
    </w:p>
    <w:p w14:paraId="7D8072EB" w14:textId="5AF20A01" w:rsidR="004B4798" w:rsidRPr="00A321F3" w:rsidRDefault="004B4798" w:rsidP="00A321F3">
      <w:pPr>
        <w:rPr>
          <w:rFonts w:eastAsia="Calibri"/>
        </w:rPr>
      </w:pPr>
    </w:p>
    <w:p w14:paraId="409FF824" w14:textId="7C05B368" w:rsidR="00DC51C5" w:rsidRPr="002A5549" w:rsidRDefault="00915A47" w:rsidP="00DC51C5">
      <w:pPr>
        <w:pStyle w:val="NormalWeb"/>
        <w:spacing w:before="0" w:beforeAutospacing="0" w:after="0" w:afterAutospacing="0"/>
        <w:jc w:val="center"/>
      </w:pPr>
      <w:r>
        <w:rPr>
          <w:noProof/>
        </w:rPr>
        <w:drawing>
          <wp:inline distT="0" distB="0" distL="0" distR="0" wp14:anchorId="060C886E" wp14:editId="544BF75F">
            <wp:extent cx="5892859" cy="3547745"/>
            <wp:effectExtent l="0" t="0" r="0" b="0"/>
            <wp:docPr id="1484532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14573" cy="3560818"/>
                    </a:xfrm>
                    <a:prstGeom prst="rect">
                      <a:avLst/>
                    </a:prstGeom>
                    <a:noFill/>
                  </pic:spPr>
                </pic:pic>
              </a:graphicData>
            </a:graphic>
          </wp:inline>
        </w:drawing>
      </w:r>
    </w:p>
    <w:p w14:paraId="53FF6155" w14:textId="771F7421" w:rsidR="00DC51C5" w:rsidRDefault="00DC51C5" w:rsidP="00DC51C5">
      <w:pPr>
        <w:jc w:val="center"/>
        <w:rPr>
          <w:rFonts w:eastAsia="Calibri"/>
          <w:b/>
          <w:bCs/>
        </w:rPr>
      </w:pPr>
      <w:r w:rsidRPr="002A5549">
        <w:rPr>
          <w:rFonts w:eastAsia="Calibri"/>
          <w:b/>
          <w:bCs/>
        </w:rPr>
        <w:t xml:space="preserve">Figure </w:t>
      </w:r>
      <w:r w:rsidR="009B2A81">
        <w:rPr>
          <w:rFonts w:eastAsia="Calibri"/>
          <w:b/>
          <w:bCs/>
        </w:rPr>
        <w:t>2</w:t>
      </w:r>
      <w:r w:rsidRPr="002A5549">
        <w:rPr>
          <w:rFonts w:eastAsia="Calibri"/>
          <w:b/>
          <w:bCs/>
        </w:rPr>
        <w:t xml:space="preserve"> Model Framework</w:t>
      </w:r>
    </w:p>
    <w:p w14:paraId="47FBFAD8" w14:textId="77777777" w:rsidR="00DC51C5" w:rsidRDefault="00DC51C5" w:rsidP="00DC51C5"/>
    <w:p w14:paraId="17043678" w14:textId="5D4E4535" w:rsidR="00DC51C5" w:rsidRDefault="00DC51C5" w:rsidP="00DC51C5">
      <w:pPr>
        <w:pStyle w:val="Heading2"/>
      </w:pPr>
      <w:r>
        <w:t>3.</w:t>
      </w:r>
      <w:r w:rsidR="00516DF9">
        <w:t>2</w:t>
      </w:r>
      <w:r>
        <w:t xml:space="preserve">. </w:t>
      </w:r>
      <w:r w:rsidR="00A321F3">
        <w:t>Methodological</w:t>
      </w:r>
      <w:r>
        <w:t xml:space="preserve"> Formulation</w:t>
      </w:r>
    </w:p>
    <w:p w14:paraId="3A06E69C" w14:textId="77777777" w:rsidR="000A7775" w:rsidRPr="00A0504B" w:rsidRDefault="000A7775" w:rsidP="000A7775">
      <w:pPr>
        <w:rPr>
          <w:rFonts w:eastAsia="Calibri"/>
        </w:rPr>
      </w:pPr>
      <w:r>
        <w:rPr>
          <w:rFonts w:eastAsia="Calibri"/>
        </w:rPr>
        <w:t xml:space="preserve">For the mathematical formulation of the model, we will begin with the nominal variable for the four work arrangement alternatives. Throughout the formulation we will suppress the index </w:t>
      </w:r>
      <w:r w:rsidRPr="00A91450">
        <w:rPr>
          <w:rFonts w:eastAsia="Calibri"/>
          <w:position w:val="-10"/>
        </w:rPr>
        <w:object w:dxaOrig="200" w:dyaOrig="260" w14:anchorId="14EE2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2.85pt" o:ole="">
            <v:imagedata r:id="rId20" o:title=""/>
          </v:shape>
          <o:OLEObject Type="Embed" ProgID="Equation.DSMT4" ShapeID="_x0000_i1025" DrawAspect="Content" ObjectID="_1847354307" r:id="rId21"/>
        </w:object>
      </w:r>
      <w:r>
        <w:rPr>
          <w:rFonts w:eastAsia="Calibri"/>
        </w:rPr>
        <w:t xml:space="preserve"> for the decision maker, simply for ease of presentation. For the nominal outcome, let</w:t>
      </w:r>
      <w:r w:rsidRPr="00C82A65">
        <w:rPr>
          <w:rFonts w:eastAsia="Calibri"/>
        </w:rPr>
        <w:t xml:space="preserve"> </w:t>
      </w:r>
      <w:r w:rsidRPr="00C82A65">
        <w:rPr>
          <w:rFonts w:eastAsia="Calibri"/>
          <w:position w:val="-6"/>
        </w:rPr>
        <w:object w:dxaOrig="139" w:dyaOrig="260" w14:anchorId="0F80C970">
          <v:shape id="_x0000_i1026" type="#_x0000_t75" style="width:7.3pt;height:12.85pt" o:ole="">
            <v:imagedata r:id="rId22" o:title=""/>
          </v:shape>
          <o:OLEObject Type="Embed" ProgID="Equation.DSMT4" ShapeID="_x0000_i1026" DrawAspect="Content" ObjectID="_1847354308" r:id="rId23"/>
        </w:object>
      </w:r>
      <w:r w:rsidRPr="00C82A65">
        <w:rPr>
          <w:rFonts w:eastAsia="Calibri"/>
        </w:rPr>
        <w:t xml:space="preserve"> be the index </w:t>
      </w:r>
      <w:r>
        <w:rPr>
          <w:rFonts w:eastAsia="Calibri"/>
        </w:rPr>
        <w:t xml:space="preserve">for the alternatives </w:t>
      </w:r>
      <w:r w:rsidRPr="00C82A65">
        <w:rPr>
          <w:rFonts w:eastAsia="Calibri"/>
          <w:position w:val="-10"/>
        </w:rPr>
        <w:object w:dxaOrig="1420" w:dyaOrig="320" w14:anchorId="5ABC8DD3">
          <v:shape id="_x0000_i1027" type="#_x0000_t75" style="width:71.15pt;height:15.85pt" o:ole="">
            <v:imagedata r:id="rId24" o:title=""/>
          </v:shape>
          <o:OLEObject Type="Embed" ProgID="Equation.DSMT4" ShapeID="_x0000_i1027" DrawAspect="Content" ObjectID="_1847354309" r:id="rId25"/>
        </w:object>
      </w:r>
      <w:r w:rsidRPr="00C82A65">
        <w:rPr>
          <w:rFonts w:eastAsia="Calibri"/>
        </w:rPr>
        <w:t xml:space="preserve"> </w:t>
      </w:r>
      <w:r>
        <w:rPr>
          <w:rFonts w:eastAsia="Calibri"/>
        </w:rPr>
        <w:t xml:space="preserve">where </w:t>
      </w:r>
      <w:r w:rsidRPr="00C82A65">
        <w:rPr>
          <w:rFonts w:eastAsia="Calibri"/>
          <w:position w:val="-4"/>
        </w:rPr>
        <w:object w:dxaOrig="560" w:dyaOrig="260" w14:anchorId="0E99C414">
          <v:shape id="_x0000_i1028" type="#_x0000_t75" style="width:28.3pt;height:12.85pt" o:ole="">
            <v:imagedata r:id="rId26" o:title=""/>
          </v:shape>
          <o:OLEObject Type="Embed" ProgID="Equation.DSMT4" ShapeID="_x0000_i1028" DrawAspect="Content" ObjectID="_1847354310" r:id="rId27"/>
        </w:object>
      </w:r>
      <w:r>
        <w:rPr>
          <w:rFonts w:eastAsia="Calibri"/>
        </w:rPr>
        <w:t xml:space="preserve"> in our analysis, as the work arrangement variable has 4 alternatives. Assume the usual underlying random utility structure for each alternative </w:t>
      </w:r>
      <w:r w:rsidRPr="00AF6248">
        <w:rPr>
          <w:rFonts w:eastAsia="Calibri"/>
          <w:position w:val="-6"/>
        </w:rPr>
        <w:object w:dxaOrig="139" w:dyaOrig="260" w14:anchorId="3C03E05F">
          <v:shape id="_x0000_i1029" type="#_x0000_t75" style="width:7.3pt;height:12.85pt" o:ole="">
            <v:imagedata r:id="rId28" o:title=""/>
          </v:shape>
          <o:OLEObject Type="Embed" ProgID="Equation.DSMT4" ShapeID="_x0000_i1029" DrawAspect="Content" ObjectID="_1847354311" r:id="rId29"/>
        </w:object>
      </w:r>
      <w:r>
        <w:rPr>
          <w:rFonts w:eastAsia="Calibri"/>
        </w:rPr>
        <w:t>:</w:t>
      </w:r>
    </w:p>
    <w:p w14:paraId="35C9CC7C" w14:textId="2A917273" w:rsidR="000A7775" w:rsidRDefault="000A7775" w:rsidP="000A7775">
      <w:pPr>
        <w:pStyle w:val="MTDisplayEquation"/>
      </w:pPr>
      <w:r w:rsidRPr="00C82A65">
        <w:rPr>
          <w:position w:val="-12"/>
        </w:rPr>
        <w:object w:dxaOrig="1359" w:dyaOrig="360" w14:anchorId="7BC383AF">
          <v:shape id="_x0000_i1030" type="#_x0000_t75" style="width:67.7pt;height:18pt" o:ole="">
            <v:imagedata r:id="rId30" o:title=""/>
          </v:shape>
          <o:OLEObject Type="Embed" ProgID="Equation.DSMT4" ShapeID="_x0000_i1030" DrawAspect="Content" ObjectID="_1847354312" r:id="rId31"/>
        </w:object>
      </w:r>
      <w:r>
        <w:tab/>
      </w:r>
      <w:r>
        <w:tab/>
      </w:r>
      <w:r w:rsidRPr="006B4214">
        <w:rPr>
          <w:b/>
          <w:bCs/>
        </w:rPr>
        <w:fldChar w:fldCharType="begin"/>
      </w:r>
      <w:r w:rsidRPr="006B4214">
        <w:instrText xml:space="preserve"> MACROBUTTON MTPlaceRef \* MERGEFORMAT </w:instrText>
      </w:r>
      <w:r w:rsidRPr="006B4214">
        <w:rPr>
          <w:b/>
          <w:bCs/>
        </w:rPr>
        <w:fldChar w:fldCharType="begin"/>
      </w:r>
      <w:r w:rsidRPr="006B4214">
        <w:instrText xml:space="preserve"> SEQ MTEqn \h \* MERGEFORMAT </w:instrText>
      </w:r>
      <w:r w:rsidRPr="006B4214">
        <w:rPr>
          <w:b/>
          <w:bCs/>
        </w:rPr>
        <w:fldChar w:fldCharType="end"/>
      </w:r>
      <w:r w:rsidRPr="006B4214">
        <w:instrText>(</w:instrText>
      </w:r>
      <w:r w:rsidR="003D6D39">
        <w:fldChar w:fldCharType="begin"/>
      </w:r>
      <w:r w:rsidR="003D6D39">
        <w:instrText xml:space="preserve"> SEQ MTEqn \c \* Arabic \* MERGEFORMAT </w:instrText>
      </w:r>
      <w:r w:rsidR="003D6D39">
        <w:fldChar w:fldCharType="separate"/>
      </w:r>
      <w:r w:rsidR="00474CC9">
        <w:rPr>
          <w:noProof/>
        </w:rPr>
        <w:instrText>1</w:instrText>
      </w:r>
      <w:r w:rsidR="003D6D39">
        <w:rPr>
          <w:noProof/>
        </w:rPr>
        <w:fldChar w:fldCharType="end"/>
      </w:r>
      <w:r w:rsidRPr="006B4214">
        <w:instrText>)</w:instrText>
      </w:r>
      <w:r w:rsidRPr="006B4214">
        <w:rPr>
          <w:b/>
          <w:bCs/>
        </w:rPr>
        <w:fldChar w:fldCharType="end"/>
      </w:r>
    </w:p>
    <w:p w14:paraId="19B67469" w14:textId="1B162045" w:rsidR="000A7775" w:rsidRDefault="000A7775" w:rsidP="000A7775">
      <w:r>
        <w:t xml:space="preserve">where </w:t>
      </w:r>
      <w:r w:rsidRPr="00A0504B">
        <w:rPr>
          <w:position w:val="-12"/>
        </w:rPr>
        <w:object w:dxaOrig="240" w:dyaOrig="360" w14:anchorId="169FD55A">
          <v:shape id="_x0000_i1031" type="#_x0000_t75" style="width:12.45pt;height:18.45pt" o:ole="">
            <v:imagedata r:id="rId32" o:title=""/>
          </v:shape>
          <o:OLEObject Type="Embed" ProgID="Equation.DSMT4" ShapeID="_x0000_i1031" DrawAspect="Content" ObjectID="_1847354313" r:id="rId33"/>
        </w:object>
      </w:r>
      <w:r>
        <w:t xml:space="preserve"> is an </w:t>
      </w:r>
      <w:r w:rsidRPr="00AF6248">
        <w:rPr>
          <w:position w:val="-10"/>
        </w:rPr>
        <w:object w:dxaOrig="660" w:dyaOrig="320" w14:anchorId="0CC88C14">
          <v:shape id="_x0000_i1032" type="#_x0000_t75" style="width:33pt;height:15.85pt" o:ole="">
            <v:imagedata r:id="rId34" o:title=""/>
          </v:shape>
          <o:OLEObject Type="Embed" ProgID="Equation.DSMT4" ShapeID="_x0000_i1032" DrawAspect="Content" ObjectID="_1847354314" r:id="rId35"/>
        </w:object>
      </w:r>
      <w:r>
        <w:t xml:space="preserve"> vector of exogenous variables including a constant, </w:t>
      </w:r>
      <w:r w:rsidRPr="00A0504B">
        <w:rPr>
          <w:position w:val="-10"/>
        </w:rPr>
        <w:object w:dxaOrig="260" w:dyaOrig="320" w14:anchorId="04B29F74">
          <v:shape id="_x0000_i1033" type="#_x0000_t75" style="width:12.85pt;height:15.85pt" o:ole="">
            <v:imagedata r:id="rId36" o:title=""/>
          </v:shape>
          <o:OLEObject Type="Embed" ProgID="Equation.DSMT4" ShapeID="_x0000_i1033" DrawAspect="Content" ObjectID="_1847354315" r:id="rId37"/>
        </w:object>
      </w:r>
      <w:r>
        <w:t xml:space="preserve"> is an </w:t>
      </w:r>
      <w:r w:rsidRPr="00AF6248">
        <w:rPr>
          <w:position w:val="-10"/>
        </w:rPr>
        <w:object w:dxaOrig="660" w:dyaOrig="320" w14:anchorId="539BE3DB">
          <v:shape id="_x0000_i1034" type="#_x0000_t75" style="width:33pt;height:15.85pt" o:ole="">
            <v:imagedata r:id="rId34" o:title=""/>
          </v:shape>
          <o:OLEObject Type="Embed" ProgID="Equation.DSMT4" ShapeID="_x0000_i1034" DrawAspect="Content" ObjectID="_1847354316" r:id="rId38"/>
        </w:object>
      </w:r>
      <w:r>
        <w:t xml:space="preserve"> column vector of corresponding coefficients, and </w:t>
      </w:r>
      <w:r w:rsidRPr="00AF6248">
        <w:rPr>
          <w:position w:val="-12"/>
        </w:rPr>
        <w:object w:dxaOrig="240" w:dyaOrig="360" w14:anchorId="1E8123AC">
          <v:shape id="_x0000_i1035" type="#_x0000_t75" style="width:12.45pt;height:18pt" o:ole="">
            <v:imagedata r:id="rId39" o:title=""/>
          </v:shape>
          <o:OLEObject Type="Embed" ProgID="Equation.DSMT4" ShapeID="_x0000_i1035" DrawAspect="Content" ObjectID="_1847354317" r:id="rId40"/>
        </w:object>
      </w:r>
      <w:r>
        <w:t xml:space="preserve"> is a normal error </w:t>
      </w:r>
      <w:proofErr w:type="gramStart"/>
      <w:r>
        <w:t>term.</w:t>
      </w:r>
      <w:proofErr w:type="gramEnd"/>
      <w:r>
        <w:t xml:space="preserve"> F</w:t>
      </w:r>
      <w:r w:rsidRPr="002F2D36">
        <w:t xml:space="preserve">or identification purposes, given that all the exogenous variables in our model are individual-specific and do not vary across </w:t>
      </w:r>
      <w:r w:rsidRPr="002F2D36">
        <w:lastRenderedPageBreak/>
        <w:t xml:space="preserve">alternatives, all elements of </w:t>
      </w:r>
      <w:r w:rsidRPr="002F2D36">
        <w:rPr>
          <w:position w:val="-12"/>
        </w:rPr>
        <w:object w:dxaOrig="240" w:dyaOrig="360" w14:anchorId="5B425287">
          <v:shape id="_x0000_i1036" type="#_x0000_t75" style="width:12pt;height:18pt" o:ole="">
            <v:imagedata r:id="rId41" o:title=""/>
          </v:shape>
          <o:OLEObject Type="Embed" ProgID="Equation.DSMT4" ShapeID="_x0000_i1036" DrawAspect="Content" ObjectID="_1847354318" r:id="rId42"/>
        </w:object>
      </w:r>
      <w:r>
        <w:t xml:space="preserve"> </w:t>
      </w:r>
      <w:r w:rsidRPr="002F2D36">
        <w:t xml:space="preserve">will be uniformly zero for a base alternative; in our empirical analysis later, this base alternative is considered as the </w:t>
      </w:r>
      <w:r w:rsidR="00C46EF1">
        <w:t>“fully i</w:t>
      </w:r>
      <w:r>
        <w:t>n</w:t>
      </w:r>
      <w:r w:rsidR="00C46EF1">
        <w:t>-p</w:t>
      </w:r>
      <w:r>
        <w:t>erson</w:t>
      </w:r>
      <w:r w:rsidR="00C46EF1">
        <w:t>”</w:t>
      </w:r>
      <w:r w:rsidRPr="002F2D36">
        <w:t xml:space="preserve"> alternative</w:t>
      </w:r>
      <w:r>
        <w:t xml:space="preserve">. We assume that </w:t>
      </w:r>
      <w:r w:rsidRPr="00E54424">
        <w:rPr>
          <w:position w:val="-12"/>
        </w:rPr>
        <w:object w:dxaOrig="240" w:dyaOrig="360" w14:anchorId="1A64E51B">
          <v:shape id="_x0000_i1037" type="#_x0000_t75" style="width:12.45pt;height:18pt" o:ole="">
            <v:imagedata r:id="rId43" o:title=""/>
          </v:shape>
          <o:OLEObject Type="Embed" ProgID="Equation.DSMT4" ShapeID="_x0000_i1037" DrawAspect="Content" ObjectID="_1847354319" r:id="rId44"/>
        </w:object>
      </w:r>
      <w:r>
        <w:t xml:space="preserve"> is independent and identically normally distributed across individuals, but allow a covariance structure across alternatives for each individual. Let </w:t>
      </w:r>
      <w:r w:rsidRPr="00E54424">
        <w:rPr>
          <w:position w:val="-12"/>
        </w:rPr>
        <w:object w:dxaOrig="1820" w:dyaOrig="360" w14:anchorId="2BB5EB0A">
          <v:shape id="_x0000_i1038" type="#_x0000_t75" style="width:90.85pt;height:18pt" o:ole="">
            <v:imagedata r:id="rId45" o:title=""/>
          </v:shape>
          <o:OLEObject Type="Embed" ProgID="Equation.DSMT4" ShapeID="_x0000_i1038" DrawAspect="Content" ObjectID="_1847354320" r:id="rId46"/>
        </w:object>
      </w:r>
      <w:r>
        <w:t xml:space="preserve"> </w:t>
      </w:r>
      <w:r w:rsidRPr="00E54424">
        <w:rPr>
          <w:position w:val="-10"/>
        </w:rPr>
        <w:object w:dxaOrig="1320" w:dyaOrig="320" w14:anchorId="7D06BB3E">
          <v:shape id="_x0000_i1039" type="#_x0000_t75" style="width:66pt;height:15.85pt" o:ole="">
            <v:imagedata r:id="rId47" o:title=""/>
          </v:shape>
          <o:OLEObject Type="Embed" ProgID="Equation.DSMT4" ShapeID="_x0000_i1039" DrawAspect="Content" ObjectID="_1847354321" r:id="rId48"/>
        </w:object>
      </w:r>
      <w:r>
        <w:t xml:space="preserve"> Then, we assume</w:t>
      </w:r>
      <w:r w:rsidR="00BB5301">
        <w:t xml:space="preserve"> </w:t>
      </w:r>
      <w:r w:rsidR="00BB5301" w:rsidRPr="008D2638">
        <w:rPr>
          <w:position w:val="-12"/>
        </w:rPr>
        <w:object w:dxaOrig="1660" w:dyaOrig="360" w14:anchorId="064A26D9">
          <v:shape id="_x0000_i1040" type="#_x0000_t75" style="width:83.15pt;height:18pt" o:ole="">
            <v:imagedata r:id="rId49" o:title=""/>
          </v:shape>
          <o:OLEObject Type="Embed" ProgID="Equation.DSMT4" ShapeID="_x0000_i1040" DrawAspect="Content" ObjectID="_1847354322" r:id="rId50"/>
        </w:object>
      </w:r>
      <w:r>
        <w:t xml:space="preserve"> Appropriate scale and level normalization must be imposed on </w:t>
      </w:r>
      <w:r w:rsidRPr="00C47AC1">
        <w:rPr>
          <w:position w:val="-4"/>
        </w:rPr>
        <w:object w:dxaOrig="260" w:dyaOrig="260" w14:anchorId="65C106E8">
          <v:shape id="_x0000_i1041" type="#_x0000_t75" style="width:12.85pt;height:12.85pt" o:ole="">
            <v:imagedata r:id="rId51" o:title=""/>
          </v:shape>
          <o:OLEObject Type="Embed" ProgID="Equation.DSMT4" ShapeID="_x0000_i1041" DrawAspect="Content" ObjectID="_1847354323" r:id="rId52"/>
        </w:object>
      </w:r>
      <w:r>
        <w:t xml:space="preserve"> for identifiability. Specifically, only utility differentials matter at each choice occasion. Taking the utility differentials with respect to the first alternative, only the elements of the covariance matrix </w:t>
      </w:r>
      <w:r w:rsidRPr="00BC10A4">
        <w:rPr>
          <w:position w:val="-12"/>
        </w:rPr>
        <w:object w:dxaOrig="1780" w:dyaOrig="400" w14:anchorId="3932D556">
          <v:shape id="_x0000_i1042" type="#_x0000_t75" style="width:88.7pt;height:20.15pt" o:ole="">
            <v:imagedata r:id="rId53" o:title=""/>
          </v:shape>
          <o:OLEObject Type="Embed" ProgID="Equation.DSMT4" ShapeID="_x0000_i1042" DrawAspect="Content" ObjectID="_1847354324" r:id="rId54"/>
        </w:object>
      </w:r>
      <w:r>
        <w:t xml:space="preserve"> of </w:t>
      </w:r>
      <w:r w:rsidRPr="00BC10A4">
        <w:rPr>
          <w:position w:val="-12"/>
        </w:rPr>
        <w:object w:dxaOrig="1760" w:dyaOrig="360" w14:anchorId="6E2F2306">
          <v:shape id="_x0000_i1043" type="#_x0000_t75" style="width:88.3pt;height:18pt" o:ole="">
            <v:imagedata r:id="rId55" o:title=""/>
          </v:shape>
          <o:OLEObject Type="Embed" ProgID="Equation.DSMT4" ShapeID="_x0000_i1043" DrawAspect="Content" ObjectID="_1847354325" r:id="rId56"/>
        </w:object>
      </w:r>
      <w:r>
        <w:t xml:space="preserve"> are estimable, with the first diagonal element of </w:t>
      </w:r>
      <w:r w:rsidRPr="00DE46CE">
        <w:rPr>
          <w:position w:val="-12"/>
        </w:rPr>
        <w:object w:dxaOrig="320" w:dyaOrig="400" w14:anchorId="215F94C4">
          <v:shape id="_x0000_i1044" type="#_x0000_t75" style="width:15.85pt;height:20.15pt" o:ole="">
            <v:imagedata r:id="rId57" o:title=""/>
          </v:shape>
          <o:OLEObject Type="Embed" ProgID="Equation.DSMT4" ShapeID="_x0000_i1044" DrawAspect="Content" ObjectID="_1847354326" r:id="rId58"/>
        </w:object>
      </w:r>
      <w:r>
        <w:t xml:space="preserve"> also set to one for identifiability. </w:t>
      </w:r>
      <w:r w:rsidRPr="00677CE8">
        <w:t>Also, for future use, define</w:t>
      </w:r>
      <w:r>
        <w:t xml:space="preserve"> the </w:t>
      </w:r>
      <w:r w:rsidRPr="00E54424">
        <w:rPr>
          <w:position w:val="-10"/>
        </w:rPr>
        <w:object w:dxaOrig="1060" w:dyaOrig="320" w14:anchorId="6ADAF925">
          <v:shape id="_x0000_i1045" type="#_x0000_t75" style="width:53.15pt;height:15.85pt" o:ole="">
            <v:imagedata r:id="rId59" o:title=""/>
          </v:shape>
          <o:OLEObject Type="Embed" ProgID="Equation.DSMT4" ShapeID="_x0000_i1045" DrawAspect="Content" ObjectID="_1847354327" r:id="rId60"/>
        </w:object>
      </w:r>
      <w:r>
        <w:t xml:space="preserve"> vector</w:t>
      </w:r>
      <w:r w:rsidRPr="00677CE8">
        <w:t xml:space="preserve"> </w:t>
      </w:r>
      <w:r w:rsidRPr="00637F07">
        <w:rPr>
          <w:position w:val="-14"/>
        </w:rPr>
        <w:object w:dxaOrig="1960" w:dyaOrig="499" w14:anchorId="6D94E764">
          <v:shape id="_x0000_i1046" type="#_x0000_t75" style="width:98.55pt;height:25.3pt" o:ole="">
            <v:imagedata r:id="rId61" o:title=""/>
          </v:shape>
          <o:OLEObject Type="Embed" ProgID="Equation.DSMT4" ShapeID="_x0000_i1046" DrawAspect="Content" ObjectID="_1847354328" r:id="rId62"/>
        </w:object>
      </w:r>
      <w:r>
        <w:t xml:space="preserve"> as well as the </w:t>
      </w:r>
      <w:r w:rsidRPr="00AF6248">
        <w:rPr>
          <w:position w:val="-10"/>
        </w:rPr>
        <w:object w:dxaOrig="620" w:dyaOrig="320" w14:anchorId="047DD75A">
          <v:shape id="_x0000_i1047" type="#_x0000_t75" style="width:31.3pt;height:15.85pt" o:ole="">
            <v:imagedata r:id="rId63" o:title=""/>
          </v:shape>
          <o:OLEObject Type="Embed" ProgID="Equation.DSMT4" ShapeID="_x0000_i1047" DrawAspect="Content" ObjectID="_1847354329" r:id="rId64"/>
        </w:object>
      </w:r>
      <w:r>
        <w:t xml:space="preserve"> vector </w:t>
      </w:r>
      <w:r w:rsidRPr="00A043F6">
        <w:rPr>
          <w:position w:val="-12"/>
        </w:rPr>
        <w:object w:dxaOrig="1900" w:dyaOrig="360" w14:anchorId="6ABB3A16">
          <v:shape id="_x0000_i1048" type="#_x0000_t75" style="width:94.7pt;height:18pt" o:ole="">
            <v:imagedata r:id="rId65" o:title=""/>
          </v:shape>
          <o:OLEObject Type="Embed" ProgID="Equation.DSMT4" ShapeID="_x0000_i1048" DrawAspect="Content" ObjectID="_1847354330" r:id="rId66"/>
        </w:object>
      </w:r>
      <w:r>
        <w:t xml:space="preserve"> and the </w:t>
      </w:r>
      <w:r w:rsidRPr="00AF6248">
        <w:rPr>
          <w:position w:val="-10"/>
        </w:rPr>
        <w:object w:dxaOrig="700" w:dyaOrig="320" w14:anchorId="2BB04625">
          <v:shape id="_x0000_i1049" type="#_x0000_t75" style="width:34.7pt;height:15.85pt" o:ole="">
            <v:imagedata r:id="rId67" o:title=""/>
          </v:shape>
          <o:OLEObject Type="Embed" ProgID="Equation.DSMT4" ShapeID="_x0000_i1049" DrawAspect="Content" ObjectID="_1847354331" r:id="rId68"/>
        </w:object>
      </w:r>
      <w:r>
        <w:t xml:space="preserve"> matrix </w:t>
      </w:r>
      <w:r w:rsidRPr="005B1982">
        <w:rPr>
          <w:position w:val="-12"/>
        </w:rPr>
        <w:object w:dxaOrig="1719" w:dyaOrig="360" w14:anchorId="247FBF5A">
          <v:shape id="_x0000_i1050" type="#_x0000_t75" style="width:85.7pt;height:18pt" o:ole="">
            <v:imagedata r:id="rId69" o:title=""/>
          </v:shape>
          <o:OLEObject Type="Embed" ProgID="Equation.DSMT4" ShapeID="_x0000_i1050" DrawAspect="Content" ObjectID="_1847354332" r:id="rId70"/>
        </w:object>
      </w:r>
      <w:r>
        <w:t>.</w:t>
      </w:r>
    </w:p>
    <w:p w14:paraId="079C9EF0" w14:textId="7AC051B1" w:rsidR="000A7775" w:rsidRPr="004267AC" w:rsidRDefault="000A7775" w:rsidP="000A7775">
      <w:pPr>
        <w:ind w:firstLine="720"/>
        <w:rPr>
          <w:rFonts w:cs="Times New Roman"/>
        </w:rPr>
      </w:pPr>
      <w:r>
        <w:t>Next, we will consider the ordinal outcomes. We consider the commute frequency as an ordered outcome (as discussed in the previous section), as well as the work</w:t>
      </w:r>
      <w:r w:rsidR="00691A10">
        <w:t>-</w:t>
      </w:r>
      <w:r>
        <w:t>from</w:t>
      </w:r>
      <w:r w:rsidR="00691A10">
        <w:t>-</w:t>
      </w:r>
      <w:r>
        <w:t>home motivations (which may be considered as ordinal since binary outcomes are simply a special case of ordinal outcomes with two levels). D</w:t>
      </w:r>
      <w:r w:rsidRPr="004267AC">
        <w:rPr>
          <w:rFonts w:cs="Times New Roman"/>
        </w:rPr>
        <w:t xml:space="preserve">enote the index for the ordinal outcomes as </w:t>
      </w:r>
      <w:r w:rsidRPr="004267AC">
        <w:rPr>
          <w:rFonts w:cs="Times New Roman"/>
          <w:position w:val="-6"/>
        </w:rPr>
        <w:object w:dxaOrig="200" w:dyaOrig="220" w14:anchorId="53DCA53A">
          <v:shape id="_x0000_i1051" type="#_x0000_t75" style="width:9.85pt;height:10.7pt" o:ole="" o:preferrelative="f">
            <v:imagedata r:id="rId71" o:title=""/>
            <o:lock v:ext="edit" aspectratio="f"/>
          </v:shape>
          <o:OLEObject Type="Embed" ProgID="Equation.DSMT4" ShapeID="_x0000_i1051" DrawAspect="Content" ObjectID="_1847354333" r:id="rId72"/>
        </w:object>
      </w:r>
      <w:r w:rsidRPr="004267AC">
        <w:rPr>
          <w:rFonts w:cs="Times New Roman"/>
        </w:rPr>
        <w:t xml:space="preserve"> </w:t>
      </w:r>
      <w:r w:rsidRPr="004267AC">
        <w:rPr>
          <w:rFonts w:cs="Times New Roman"/>
          <w:position w:val="-10"/>
        </w:rPr>
        <w:object w:dxaOrig="1420" w:dyaOrig="320" w14:anchorId="52BB917D">
          <v:shape id="_x0000_i1052" type="#_x0000_t75" style="width:71.15pt;height:15.85pt" o:ole="" o:preferrelative="f">
            <v:imagedata r:id="rId73" o:title=""/>
            <o:lock v:ext="edit" aspectratio="f"/>
          </v:shape>
          <o:OLEObject Type="Embed" ProgID="Equation.DSMT4" ShapeID="_x0000_i1052" DrawAspect="Content" ObjectID="_1847354334" r:id="rId74"/>
        </w:object>
      </w:r>
      <w:r>
        <w:rPr>
          <w:rFonts w:cs="Times New Roman"/>
        </w:rPr>
        <w:t xml:space="preserve"> with </w:t>
      </w:r>
      <w:r w:rsidRPr="00637F07">
        <w:rPr>
          <w:rFonts w:cs="Times New Roman"/>
          <w:position w:val="-6"/>
        </w:rPr>
        <w:object w:dxaOrig="620" w:dyaOrig="279" w14:anchorId="00C94613">
          <v:shape id="_x0000_i1053" type="#_x0000_t75" style="width:31.3pt;height:13.7pt" o:ole="">
            <v:imagedata r:id="rId75" o:title=""/>
          </v:shape>
          <o:OLEObject Type="Embed" ProgID="Equation.DSMT4" ShapeID="_x0000_i1053" DrawAspect="Content" ObjectID="_1847354335" r:id="rId76"/>
        </w:object>
      </w:r>
      <w:r>
        <w:rPr>
          <w:rFonts w:cs="Times New Roman"/>
        </w:rPr>
        <w:t xml:space="preserve"> for the commute frequency and four work</w:t>
      </w:r>
      <w:r w:rsidR="00691A10">
        <w:rPr>
          <w:rFonts w:cs="Times New Roman"/>
        </w:rPr>
        <w:t>-</w:t>
      </w:r>
      <w:r>
        <w:rPr>
          <w:rFonts w:cs="Times New Roman"/>
        </w:rPr>
        <w:t>from</w:t>
      </w:r>
      <w:r w:rsidR="00691A10">
        <w:rPr>
          <w:rFonts w:cs="Times New Roman"/>
        </w:rPr>
        <w:t>-</w:t>
      </w:r>
      <w:r>
        <w:rPr>
          <w:rFonts w:cs="Times New Roman"/>
        </w:rPr>
        <w:t>home motivations. Note also that each of these ordinal outcomes is only available for a subset of respondents. The commute frequency outcome is available only when the hybrid work arrangement alternative is selected, and the work</w:t>
      </w:r>
      <w:r w:rsidR="00691A10">
        <w:rPr>
          <w:rFonts w:cs="Times New Roman"/>
        </w:rPr>
        <w:t>-</w:t>
      </w:r>
      <w:r>
        <w:rPr>
          <w:rFonts w:cs="Times New Roman"/>
        </w:rPr>
        <w:t>from</w:t>
      </w:r>
      <w:r w:rsidR="00691A10">
        <w:rPr>
          <w:rFonts w:cs="Times New Roman"/>
        </w:rPr>
        <w:t>-</w:t>
      </w:r>
      <w:r>
        <w:rPr>
          <w:rFonts w:cs="Times New Roman"/>
        </w:rPr>
        <w:t xml:space="preserve">home motivations are only available for respondents who reported working from home for at least one day. Thus, while the remainder of this section presents the formulation for an individual with this full set of endogenous variables, the relevant vectors/matrices need only be marginalized to include only the relevant data for respondents for whom </w:t>
      </w:r>
      <w:proofErr w:type="gramStart"/>
      <w:r>
        <w:rPr>
          <w:rFonts w:cs="Times New Roman"/>
        </w:rPr>
        <w:t>these outcome</w:t>
      </w:r>
      <w:proofErr w:type="gramEnd"/>
      <w:r>
        <w:rPr>
          <w:rFonts w:cs="Times New Roman"/>
        </w:rPr>
        <w:t xml:space="preserve"> are irrelevant. For each ordinal outcome, </w:t>
      </w:r>
      <w:r w:rsidRPr="004267AC">
        <w:rPr>
          <w:rFonts w:cs="Times New Roman"/>
        </w:rPr>
        <w:t xml:space="preserve">let </w:t>
      </w:r>
      <w:r w:rsidRPr="004267AC">
        <w:rPr>
          <w:rFonts w:cs="Times New Roman"/>
          <w:position w:val="-12"/>
        </w:rPr>
        <w:object w:dxaOrig="279" w:dyaOrig="360" w14:anchorId="4491FC54">
          <v:shape id="_x0000_i1054" type="#_x0000_t75" style="width:13.7pt;height:18.85pt" o:ole="" o:preferrelative="f">
            <v:imagedata r:id="rId77" o:title=""/>
            <o:lock v:ext="edit" aspectratio="f"/>
          </v:shape>
          <o:OLEObject Type="Embed" ProgID="Equation.DSMT4" ShapeID="_x0000_i1054" DrawAspect="Content" ObjectID="_1847354336" r:id="rId78"/>
        </w:object>
      </w:r>
      <w:r w:rsidRPr="004267AC">
        <w:rPr>
          <w:rFonts w:cs="Times New Roman"/>
          <w:position w:val="-12"/>
        </w:rPr>
        <w:t xml:space="preserve"> </w:t>
      </w:r>
      <w:r w:rsidRPr="004267AC">
        <w:rPr>
          <w:rFonts w:cs="Times New Roman"/>
        </w:rPr>
        <w:t xml:space="preserve">be the number of categories </w:t>
      </w:r>
      <w:r>
        <w:rPr>
          <w:rFonts w:cs="Times New Roman"/>
        </w:rPr>
        <w:t xml:space="preserve">(with </w:t>
      </w:r>
      <w:r w:rsidRPr="004267AC">
        <w:rPr>
          <w:rFonts w:cs="Times New Roman"/>
          <w:position w:val="-12"/>
        </w:rPr>
        <w:object w:dxaOrig="660" w:dyaOrig="360" w14:anchorId="2F89E98D">
          <v:shape id="_x0000_i1055" type="#_x0000_t75" style="width:33pt;height:18.85pt" o:ole="" o:preferrelative="f">
            <v:imagedata r:id="rId79" o:title=""/>
            <o:lock v:ext="edit" aspectratio="f"/>
          </v:shape>
          <o:OLEObject Type="Embed" ProgID="Equation.DSMT4" ShapeID="_x0000_i1055" DrawAspect="Content" ObjectID="_1847354337" r:id="rId80"/>
        </w:object>
      </w:r>
      <w:r>
        <w:rPr>
          <w:rFonts w:cs="Times New Roman"/>
        </w:rPr>
        <w:t>)</w:t>
      </w:r>
      <w:r w:rsidRPr="004267AC">
        <w:rPr>
          <w:rFonts w:cs="Times New Roman"/>
          <w:position w:val="-12"/>
        </w:rPr>
        <w:t xml:space="preserve"> </w:t>
      </w:r>
      <w:r w:rsidRPr="004267AC">
        <w:rPr>
          <w:rFonts w:cs="Times New Roman"/>
        </w:rPr>
        <w:t xml:space="preserve">and let </w:t>
      </w:r>
      <w:r w:rsidRPr="004267AC">
        <w:rPr>
          <w:rFonts w:cs="Times New Roman"/>
          <w:position w:val="-12"/>
        </w:rPr>
        <w:object w:dxaOrig="260" w:dyaOrig="360" w14:anchorId="58D18CA7">
          <v:shape id="_x0000_i1056" type="#_x0000_t75" style="width:13.7pt;height:20.55pt" o:ole="">
            <v:imagedata r:id="rId81" o:title=""/>
          </v:shape>
          <o:OLEObject Type="Embed" ProgID="Equation.DSMT4" ShapeID="_x0000_i1056" DrawAspect="Content" ObjectID="_1847354338" r:id="rId82"/>
        </w:object>
      </w:r>
      <w:r w:rsidRPr="004267AC">
        <w:rPr>
          <w:rFonts w:cs="Times New Roman"/>
        </w:rPr>
        <w:t xml:space="preserve"> be the corresponding index </w:t>
      </w:r>
      <w:r w:rsidRPr="004267AC">
        <w:rPr>
          <w:rFonts w:cs="Times New Roman"/>
          <w:position w:val="-12"/>
        </w:rPr>
        <w:object w:dxaOrig="1540" w:dyaOrig="360" w14:anchorId="7A0DD8FA">
          <v:shape id="_x0000_i1057" type="#_x0000_t75" style="width:77.55pt;height:18.85pt" o:ole="" o:preferrelative="f">
            <v:imagedata r:id="rId83" o:title=""/>
            <o:lock v:ext="edit" aspectratio="f"/>
          </v:shape>
          <o:OLEObject Type="Embed" ProgID="Equation.DSMT4" ShapeID="_x0000_i1057" DrawAspect="Content" ObjectID="_1847354339" r:id="rId84"/>
        </w:object>
      </w:r>
      <w:r w:rsidRPr="004267AC">
        <w:rPr>
          <w:rFonts w:cs="Times New Roman"/>
        </w:rPr>
        <w:t xml:space="preserve">. Also, for each ordinal outcome, let </w:t>
      </w:r>
      <w:r w:rsidRPr="004267AC">
        <w:rPr>
          <w:rFonts w:cs="Times New Roman"/>
          <w:position w:val="-12"/>
        </w:rPr>
        <w:object w:dxaOrig="279" w:dyaOrig="380" w14:anchorId="0049E7C2">
          <v:shape id="_x0000_i1058" type="#_x0000_t75" style="width:13.7pt;height:20.55pt" o:ole="">
            <v:imagedata r:id="rId85" o:title=""/>
          </v:shape>
          <o:OLEObject Type="Embed" ProgID="Equation.DSMT4" ShapeID="_x0000_i1058" DrawAspect="Content" ObjectID="_1847354340" r:id="rId86"/>
        </w:object>
      </w:r>
      <w:r w:rsidRPr="004267AC">
        <w:rPr>
          <w:rFonts w:cs="Times New Roman"/>
        </w:rPr>
        <w:t xml:space="preserve"> be the underlying latent variable whose horizontal partitioning leads to the observed outcome. Next, assume that the individual chooses the </w:t>
      </w:r>
      <w:r w:rsidRPr="004267AC">
        <w:rPr>
          <w:rFonts w:cs="Times New Roman"/>
          <w:position w:val="-12"/>
        </w:rPr>
        <w:object w:dxaOrig="340" w:dyaOrig="380" w14:anchorId="2E4CB78C">
          <v:shape id="_x0000_i1059" type="#_x0000_t75" style="width:20.55pt;height:20.55pt" o:ole="">
            <v:imagedata r:id="rId87" o:title=""/>
          </v:shape>
          <o:OLEObject Type="Embed" ProgID="Equation.3" ShapeID="_x0000_i1059" DrawAspect="Content" ObjectID="_1847354341" r:id="rId88"/>
        </w:object>
      </w:r>
      <w:r w:rsidRPr="004267AC">
        <w:rPr>
          <w:rFonts w:cs="Times New Roman"/>
        </w:rPr>
        <w:t xml:space="preserve"> ordinal category. Then, we can apply the usual ordered response formulation, for the individual, to write:</w:t>
      </w:r>
    </w:p>
    <w:p w14:paraId="1E8A18E8" w14:textId="5ED503CA" w:rsidR="000A7775" w:rsidRPr="004267AC" w:rsidRDefault="005E36CD" w:rsidP="005E36CD">
      <w:pPr>
        <w:pStyle w:val="MTDisplayEquation"/>
        <w:spacing w:before="120" w:after="120"/>
        <w:rPr>
          <w:rFonts w:cs="Times New Roman"/>
        </w:rPr>
      </w:pPr>
      <w:r w:rsidRPr="004267AC">
        <w:rPr>
          <w:rFonts w:cs="Times New Roman"/>
          <w:position w:val="-12"/>
        </w:rPr>
        <w:object w:dxaOrig="1320" w:dyaOrig="380" w14:anchorId="502A46EF">
          <v:shape id="_x0000_i1060" type="#_x0000_t75" style="width:66.45pt;height:18.85pt" o:ole="" o:preferrelative="f">
            <v:imagedata r:id="rId89" o:title=""/>
            <o:lock v:ext="edit" aspectratio="f"/>
          </v:shape>
          <o:OLEObject Type="Embed" ProgID="Equation.DSMT4" ShapeID="_x0000_i1060" DrawAspect="Content" ObjectID="_1847354342" r:id="rId90"/>
        </w:object>
      </w:r>
      <w:r w:rsidR="000A7775" w:rsidRPr="004267AC">
        <w:rPr>
          <w:rFonts w:cs="Times New Roman"/>
        </w:rPr>
        <w:tab/>
      </w:r>
      <w:r w:rsidR="000A7775" w:rsidRPr="004267AC">
        <w:rPr>
          <w:rFonts w:cs="Times New Roman"/>
        </w:rPr>
        <w:tab/>
      </w:r>
      <w:r w:rsidR="000A7775" w:rsidRPr="000F6B83">
        <w:rPr>
          <w:rFonts w:cs="Times New Roman"/>
          <w:b/>
          <w:bCs/>
        </w:rPr>
        <w:fldChar w:fldCharType="begin"/>
      </w:r>
      <w:r w:rsidR="000A7775" w:rsidRPr="000F6B83">
        <w:rPr>
          <w:rFonts w:cs="Times New Roman"/>
        </w:rPr>
        <w:instrText xml:space="preserve"> MACROBUTTON MTPlaceRef \* MERGEFORMAT </w:instrText>
      </w:r>
      <w:r w:rsidR="000A7775" w:rsidRPr="000F6B83">
        <w:rPr>
          <w:rFonts w:cs="Times New Roman"/>
          <w:b/>
          <w:bCs/>
        </w:rPr>
        <w:fldChar w:fldCharType="begin"/>
      </w:r>
      <w:r w:rsidR="000A7775" w:rsidRPr="000F6B83">
        <w:rPr>
          <w:rFonts w:cs="Times New Roman"/>
        </w:rPr>
        <w:instrText xml:space="preserve"> SEQ MTEqn \h \* MERGEFORMAT </w:instrText>
      </w:r>
      <w:r w:rsidR="000A7775" w:rsidRPr="000F6B83">
        <w:rPr>
          <w:rFonts w:cs="Times New Roman"/>
          <w:b/>
          <w:bCs/>
        </w:rPr>
        <w:fldChar w:fldCharType="end"/>
      </w:r>
      <w:r w:rsidR="000A7775" w:rsidRPr="000F6B83">
        <w:rPr>
          <w:rFonts w:cs="Times New Roman"/>
        </w:rPr>
        <w:instrText>(</w:instrText>
      </w:r>
      <w:r w:rsidR="000A7775" w:rsidRPr="000F6B83">
        <w:rPr>
          <w:rFonts w:cs="Times New Roman"/>
          <w:b/>
          <w:bCs/>
        </w:rPr>
        <w:fldChar w:fldCharType="begin"/>
      </w:r>
      <w:r w:rsidR="000A7775" w:rsidRPr="000F6B83">
        <w:rPr>
          <w:rFonts w:cs="Times New Roman"/>
        </w:rPr>
        <w:instrText xml:space="preserve"> SEQ MTEqn \c \* Arabic \* MERGEFORMAT </w:instrText>
      </w:r>
      <w:r w:rsidR="000A7775" w:rsidRPr="000F6B83">
        <w:rPr>
          <w:rFonts w:cs="Times New Roman"/>
          <w:b/>
          <w:bCs/>
        </w:rPr>
        <w:fldChar w:fldCharType="separate"/>
      </w:r>
      <w:r w:rsidR="00474CC9">
        <w:rPr>
          <w:rFonts w:cs="Times New Roman"/>
          <w:noProof/>
        </w:rPr>
        <w:instrText>2</w:instrText>
      </w:r>
      <w:r w:rsidR="000A7775" w:rsidRPr="000F6B83">
        <w:rPr>
          <w:rFonts w:cs="Times New Roman"/>
          <w:b/>
          <w:bCs/>
        </w:rPr>
        <w:fldChar w:fldCharType="end"/>
      </w:r>
      <w:r w:rsidR="000A7775" w:rsidRPr="000F6B83">
        <w:rPr>
          <w:rFonts w:cs="Times New Roman"/>
        </w:rPr>
        <w:instrText>)</w:instrText>
      </w:r>
      <w:r w:rsidR="000A7775" w:rsidRPr="000F6B83">
        <w:rPr>
          <w:rFonts w:cs="Times New Roman"/>
          <w:b/>
          <w:bCs/>
        </w:rPr>
        <w:fldChar w:fldCharType="end"/>
      </w:r>
    </w:p>
    <w:p w14:paraId="32EA4D34" w14:textId="77777777" w:rsidR="000A7775" w:rsidRDefault="000A7775" w:rsidP="000A7775">
      <w:pPr>
        <w:rPr>
          <w:rFonts w:cs="Times New Roman"/>
        </w:rPr>
      </w:pPr>
      <w:r w:rsidRPr="004267AC">
        <w:rPr>
          <w:rFonts w:cs="Times New Roman"/>
        </w:rPr>
        <w:t xml:space="preserve">with </w:t>
      </w:r>
      <w:r w:rsidRPr="004267AC">
        <w:rPr>
          <w:rFonts w:cs="Times New Roman"/>
          <w:position w:val="-14"/>
        </w:rPr>
        <w:object w:dxaOrig="1760" w:dyaOrig="400" w14:anchorId="00F01539">
          <v:shape id="_x0000_i1061" type="#_x0000_t75" style="width:88.7pt;height:20.55pt" o:ole="">
            <v:imagedata r:id="rId91" o:title=""/>
          </v:shape>
          <o:OLEObject Type="Embed" ProgID="Equation.DSMT4" ShapeID="_x0000_i1061" DrawAspect="Content" ObjectID="_1847354343" r:id="rId92"/>
        </w:object>
      </w:r>
      <w:r w:rsidRPr="004267AC">
        <w:rPr>
          <w:rFonts w:cs="Times New Roman"/>
        </w:rPr>
        <w:t xml:space="preserve">, and where </w:t>
      </w:r>
      <w:r w:rsidRPr="000F6B83">
        <w:rPr>
          <w:rFonts w:cs="Times New Roman"/>
          <w:position w:val="-6"/>
        </w:rPr>
        <w:object w:dxaOrig="260" w:dyaOrig="220" w14:anchorId="156AC962">
          <v:shape id="_x0000_i1062" type="#_x0000_t75" style="width:12.85pt;height:11.15pt" o:ole="">
            <v:imagedata r:id="rId93" o:title=""/>
          </v:shape>
          <o:OLEObject Type="Embed" ProgID="Equation.DSMT4" ShapeID="_x0000_i1062" DrawAspect="Content" ObjectID="_1847354344" r:id="rId94"/>
        </w:object>
      </w:r>
      <w:r>
        <w:rPr>
          <w:rFonts w:cs="Times New Roman"/>
        </w:rPr>
        <w:t xml:space="preserve"> </w:t>
      </w:r>
      <w:r w:rsidRPr="004267AC">
        <w:rPr>
          <w:rFonts w:cs="Times New Roman"/>
        </w:rPr>
        <w:t xml:space="preserve">is an </w:t>
      </w:r>
      <w:r w:rsidRPr="004267AC">
        <w:rPr>
          <w:rFonts w:cs="Times New Roman"/>
          <w:position w:val="-10"/>
        </w:rPr>
        <w:object w:dxaOrig="660" w:dyaOrig="320" w14:anchorId="3CBC6562">
          <v:shape id="_x0000_i1063" type="#_x0000_t75" style="width:32.55pt;height:16.3pt" o:ole="">
            <v:imagedata r:id="rId95" o:title=""/>
          </v:shape>
          <o:OLEObject Type="Embed" ProgID="Equation.DSMT4" ShapeID="_x0000_i1063" DrawAspect="Content" ObjectID="_1847354345" r:id="rId96"/>
        </w:object>
      </w:r>
      <w:r w:rsidRPr="004267AC">
        <w:rPr>
          <w:rFonts w:cs="Times New Roman"/>
        </w:rPr>
        <w:t xml:space="preserve"> vector of exogenous variables </w:t>
      </w:r>
      <w:bookmarkStart w:id="0" w:name="_Hlk78693510"/>
      <w:r w:rsidRPr="004267AC">
        <w:rPr>
          <w:rFonts w:cs="Times New Roman"/>
        </w:rPr>
        <w:t>(</w:t>
      </w:r>
      <w:r>
        <w:rPr>
          <w:rFonts w:cs="Times New Roman"/>
        </w:rPr>
        <w:t xml:space="preserve">not </w:t>
      </w:r>
      <w:r w:rsidRPr="004267AC">
        <w:rPr>
          <w:rFonts w:cs="Times New Roman"/>
        </w:rPr>
        <w:t>including a constant)</w:t>
      </w:r>
      <w:bookmarkEnd w:id="0"/>
      <w:r>
        <w:rPr>
          <w:rFonts w:cs="Times New Roman"/>
        </w:rPr>
        <w:t xml:space="preserve"> and</w:t>
      </w:r>
      <w:r w:rsidRPr="004267AC">
        <w:rPr>
          <w:rFonts w:cs="Times New Roman"/>
        </w:rPr>
        <w:t xml:space="preserve"> </w:t>
      </w:r>
      <w:r w:rsidRPr="004267AC">
        <w:rPr>
          <w:rFonts w:cs="Times New Roman"/>
          <w:position w:val="-12"/>
        </w:rPr>
        <w:object w:dxaOrig="260" w:dyaOrig="360" w14:anchorId="228A2919">
          <v:shape id="_x0000_i1064" type="#_x0000_t75" style="width:13.7pt;height:18.85pt" o:ole="" o:preferrelative="f">
            <v:imagedata r:id="rId97" o:title=""/>
            <o:lock v:ext="edit" aspectratio="f"/>
          </v:shape>
          <o:OLEObject Type="Embed" ProgID="Equation.DSMT4" ShapeID="_x0000_i1064" DrawAspect="Content" ObjectID="_1847354346" r:id="rId98"/>
        </w:object>
      </w:r>
      <w:r w:rsidRPr="004267AC">
        <w:rPr>
          <w:rFonts w:cs="Times New Roman"/>
          <w:position w:val="-12"/>
        </w:rPr>
        <w:t xml:space="preserve"> </w:t>
      </w:r>
      <w:r w:rsidRPr="004267AC">
        <w:rPr>
          <w:rFonts w:cs="Times New Roman"/>
        </w:rPr>
        <w:t>is a vector of corresponding coefficients to be estimated</w:t>
      </w:r>
      <w:r>
        <w:rPr>
          <w:rFonts w:cs="Times New Roman"/>
        </w:rPr>
        <w:t>. T</w:t>
      </w:r>
      <w:r w:rsidRPr="004267AC">
        <w:rPr>
          <w:rFonts w:cs="Times New Roman"/>
        </w:rPr>
        <w:t xml:space="preserve">he </w:t>
      </w:r>
      <w:r w:rsidRPr="004267AC">
        <w:rPr>
          <w:rFonts w:cs="Times New Roman"/>
          <w:position w:val="-10"/>
        </w:rPr>
        <w:object w:dxaOrig="240" w:dyaOrig="320" w14:anchorId="295760A0">
          <v:shape id="_x0000_i1065" type="#_x0000_t75" style="width:12.85pt;height:15.85pt" o:ole="" o:preferrelative="f">
            <v:imagedata r:id="rId99" o:title=""/>
            <o:lock v:ext="edit" aspectratio="f"/>
          </v:shape>
          <o:OLEObject Type="Embed" ProgID="Equation.3" ShapeID="_x0000_i1065" DrawAspect="Content" ObjectID="_1847354347" r:id="rId100"/>
        </w:object>
      </w:r>
      <w:r w:rsidRPr="004267AC">
        <w:rPr>
          <w:rFonts w:cs="Times New Roman"/>
        </w:rPr>
        <w:t xml:space="preserve"> terms represent thresholds to be estimated, and </w:t>
      </w:r>
      <w:r w:rsidRPr="004267AC">
        <w:rPr>
          <w:rFonts w:cs="Times New Roman"/>
          <w:position w:val="-12"/>
        </w:rPr>
        <w:object w:dxaOrig="279" w:dyaOrig="360" w14:anchorId="1822AAFA">
          <v:shape id="_x0000_i1066" type="#_x0000_t75" style="width:13.7pt;height:18.85pt" o:ole="" o:preferrelative="f">
            <v:imagedata r:id="rId101" o:title=""/>
            <o:lock v:ext="edit" aspectratio="f"/>
          </v:shape>
          <o:OLEObject Type="Embed" ProgID="Equation.3" ShapeID="_x0000_i1066" DrawAspect="Content" ObjectID="_1847354348" r:id="rId102"/>
        </w:object>
      </w:r>
      <w:r w:rsidRPr="004267AC">
        <w:rPr>
          <w:rFonts w:cs="Times New Roman"/>
        </w:rPr>
        <w:t xml:space="preserve"> represents the standard normal random error for the ordinal outcome.</w:t>
      </w:r>
      <w:r>
        <w:rPr>
          <w:rFonts w:cs="Times New Roman"/>
        </w:rPr>
        <w:t xml:space="preserve"> </w:t>
      </w:r>
      <w:r w:rsidRPr="004267AC">
        <w:rPr>
          <w:rFonts w:cs="Times New Roman"/>
        </w:rPr>
        <w:t xml:space="preserve">For each ordinal outcome, the thresholds must be ordered </w:t>
      </w:r>
      <w:r w:rsidRPr="004267AC">
        <w:rPr>
          <w:rFonts w:cs="Times New Roman"/>
          <w:position w:val="-14"/>
        </w:rPr>
        <w:object w:dxaOrig="2460" w:dyaOrig="380" w14:anchorId="0505EBED">
          <v:shape id="_x0000_i1067" type="#_x0000_t75" style="width:123pt;height:18.85pt" o:ole="" o:preferrelative="f">
            <v:imagedata r:id="rId103" o:title=""/>
            <o:lock v:ext="edit" aspectratio="f"/>
          </v:shape>
          <o:OLEObject Type="Embed" ProgID="Equation.DSMT4" ShapeID="_x0000_i1067" DrawAspect="Content" ObjectID="_1847354349" r:id="rId104"/>
        </w:object>
      </w:r>
      <w:r w:rsidRPr="004267AC">
        <w:rPr>
          <w:rFonts w:cs="Times New Roman"/>
        </w:rPr>
        <w:t xml:space="preserve">, with </w:t>
      </w:r>
      <w:r w:rsidRPr="004267AC">
        <w:rPr>
          <w:rFonts w:cs="Times New Roman"/>
          <w:position w:val="-14"/>
        </w:rPr>
        <w:object w:dxaOrig="999" w:dyaOrig="380" w14:anchorId="4F3891ED">
          <v:shape id="_x0000_i1068" type="#_x0000_t75" style="width:48.85pt;height:18.85pt" o:ole="" o:preferrelative="f">
            <v:imagedata r:id="rId105" o:title=""/>
            <o:lock v:ext="edit" aspectratio="f"/>
          </v:shape>
          <o:OLEObject Type="Embed" ProgID="Equation.DSMT4" ShapeID="_x0000_i1068" DrawAspect="Content" ObjectID="_1847354350" r:id="rId106"/>
        </w:object>
      </w:r>
      <w:r w:rsidRPr="004267AC">
        <w:rPr>
          <w:rFonts w:cs="Times New Roman"/>
        </w:rPr>
        <w:t>,</w:t>
      </w:r>
      <w:r>
        <w:rPr>
          <w:rFonts w:cs="Times New Roman"/>
        </w:rPr>
        <w:t xml:space="preserve"> </w:t>
      </w:r>
      <w:r w:rsidRPr="004267AC">
        <w:rPr>
          <w:rFonts w:cs="Times New Roman"/>
        </w:rPr>
        <w:t xml:space="preserve">and </w:t>
      </w:r>
      <w:r w:rsidRPr="004267AC">
        <w:rPr>
          <w:rFonts w:cs="Times New Roman"/>
          <w:position w:val="-14"/>
        </w:rPr>
        <w:object w:dxaOrig="1080" w:dyaOrig="380" w14:anchorId="48431F18">
          <v:shape id="_x0000_i1069" type="#_x0000_t75" style="width:53.55pt;height:18.85pt" o:ole="" o:preferrelative="f">
            <v:imagedata r:id="rId107" o:title=""/>
            <o:lock v:ext="edit" aspectratio="f"/>
          </v:shape>
          <o:OLEObject Type="Embed" ProgID="Equation.DSMT4" ShapeID="_x0000_i1069" DrawAspect="Content" ObjectID="_1847354351" r:id="rId108"/>
        </w:object>
      </w:r>
      <w:r w:rsidRPr="004267AC">
        <w:rPr>
          <w:rFonts w:cs="Times New Roman"/>
        </w:rPr>
        <w:t xml:space="preserve">. Let </w:t>
      </w:r>
      <w:r w:rsidRPr="004267AC">
        <w:rPr>
          <w:rFonts w:cs="Times New Roman"/>
          <w:position w:val="-14"/>
        </w:rPr>
        <w:object w:dxaOrig="2480" w:dyaOrig="380" w14:anchorId="520CA812">
          <v:shape id="_x0000_i1070" type="#_x0000_t75" style="width:123.45pt;height:18.85pt" o:ole="" o:preferrelative="f">
            <v:imagedata r:id="rId109" o:title=""/>
            <o:lock v:ext="edit" aspectratio="f"/>
          </v:shape>
          <o:OLEObject Type="Embed" ProgID="Equation.DSMT4" ShapeID="_x0000_i1070" DrawAspect="Content" ObjectID="_1847354352" r:id="rId110"/>
        </w:object>
      </w:r>
      <w:r w:rsidRPr="004267AC">
        <w:rPr>
          <w:rFonts w:cs="Times New Roman"/>
        </w:rPr>
        <w:t xml:space="preserve"> and </w:t>
      </w:r>
      <w:r w:rsidRPr="004267AC">
        <w:rPr>
          <w:rFonts w:cs="Times New Roman"/>
          <w:position w:val="-12"/>
        </w:rPr>
        <w:object w:dxaOrig="1920" w:dyaOrig="360" w14:anchorId="4A9897E6">
          <v:shape id="_x0000_i1071" type="#_x0000_t75" style="width:95.55pt;height:18.45pt" o:ole="" o:preferrelative="f">
            <v:imagedata r:id="rId111" o:title=""/>
            <o:lock v:ext="edit" aspectratio="f"/>
          </v:shape>
          <o:OLEObject Type="Embed" ProgID="Equation.DSMT4" ShapeID="_x0000_i1071" DrawAspect="Content" ObjectID="_1847354353" r:id="rId112"/>
        </w:object>
      </w:r>
      <w:r w:rsidRPr="004267AC">
        <w:rPr>
          <w:rFonts w:cs="Times New Roman"/>
        </w:rPr>
        <w:t xml:space="preserve"> Stack the </w:t>
      </w:r>
      <w:r w:rsidRPr="004267AC">
        <w:rPr>
          <w:rFonts w:cs="Times New Roman"/>
          <w:i/>
        </w:rPr>
        <w:t xml:space="preserve">N </w:t>
      </w:r>
      <w:r w:rsidRPr="004267AC">
        <w:rPr>
          <w:rFonts w:cs="Times New Roman"/>
        </w:rPr>
        <w:t>underlying continuous</w:t>
      </w:r>
      <w:r w:rsidRPr="004267AC">
        <w:rPr>
          <w:rFonts w:cs="Times New Roman"/>
          <w:i/>
        </w:rPr>
        <w:t xml:space="preserve"> </w:t>
      </w:r>
      <w:r w:rsidRPr="004267AC">
        <w:rPr>
          <w:rFonts w:cs="Times New Roman"/>
        </w:rPr>
        <w:t xml:space="preserve">variables </w:t>
      </w:r>
      <w:r w:rsidRPr="004267AC">
        <w:rPr>
          <w:rFonts w:cs="Times New Roman"/>
          <w:position w:val="-12"/>
        </w:rPr>
        <w:object w:dxaOrig="279" w:dyaOrig="380" w14:anchorId="5B0838D5">
          <v:shape id="_x0000_i1072" type="#_x0000_t75" style="width:13.7pt;height:18.85pt" o:ole="" o:preferrelative="f">
            <v:imagedata r:id="rId85" o:title=""/>
            <o:lock v:ext="edit" aspectratio="f"/>
          </v:shape>
          <o:OLEObject Type="Embed" ProgID="Equation.DSMT4" ShapeID="_x0000_i1072" DrawAspect="Content" ObjectID="_1847354354" r:id="rId113"/>
        </w:object>
      </w:r>
      <w:r w:rsidRPr="004267AC">
        <w:rPr>
          <w:rFonts w:cs="Times New Roman"/>
        </w:rPr>
        <w:t xml:space="preserve"> into an </w:t>
      </w:r>
      <w:r w:rsidRPr="004267AC">
        <w:rPr>
          <w:rFonts w:cs="Times New Roman"/>
          <w:position w:val="-10"/>
        </w:rPr>
        <w:object w:dxaOrig="700" w:dyaOrig="320" w14:anchorId="65791AE5">
          <v:shape id="_x0000_i1073" type="#_x0000_t75" style="width:36.45pt;height:16.3pt" o:ole="">
            <v:imagedata r:id="rId114" o:title=""/>
          </v:shape>
          <o:OLEObject Type="Embed" ProgID="Equation.DSMT4" ShapeID="_x0000_i1073" DrawAspect="Content" ObjectID="_1847354355" r:id="rId115"/>
        </w:object>
      </w:r>
      <w:r w:rsidRPr="004267AC">
        <w:rPr>
          <w:rFonts w:cs="Times New Roman"/>
        </w:rPr>
        <w:t xml:space="preserve"> vector </w:t>
      </w:r>
      <w:r w:rsidRPr="004267AC">
        <w:rPr>
          <w:rFonts w:cs="Times New Roman"/>
          <w:position w:val="-10"/>
        </w:rPr>
        <w:object w:dxaOrig="300" w:dyaOrig="360" w14:anchorId="7209A306">
          <v:shape id="_x0000_i1074" type="#_x0000_t75" style="width:15pt;height:18.85pt" o:ole="" o:preferrelative="f">
            <v:imagedata r:id="rId116" o:title=""/>
            <o:lock v:ext="edit" aspectratio="f"/>
          </v:shape>
          <o:OLEObject Type="Embed" ProgID="Equation.3" ShapeID="_x0000_i1074" DrawAspect="Content" ObjectID="_1847354356" r:id="rId117"/>
        </w:object>
      </w:r>
      <w:r>
        <w:rPr>
          <w:rFonts w:cs="Times New Roman"/>
        </w:rPr>
        <w:t xml:space="preserve"> and d</w:t>
      </w:r>
      <w:r w:rsidRPr="004267AC">
        <w:rPr>
          <w:rFonts w:cs="Times New Roman"/>
        </w:rPr>
        <w:t xml:space="preserve">efine the </w:t>
      </w:r>
      <w:r w:rsidRPr="004267AC">
        <w:rPr>
          <w:rFonts w:cs="Times New Roman"/>
          <w:position w:val="-10"/>
        </w:rPr>
        <w:object w:dxaOrig="780" w:dyaOrig="320" w14:anchorId="76C0033B">
          <v:shape id="_x0000_i1075" type="#_x0000_t75" style="width:38.15pt;height:16.3pt" o:ole="">
            <v:imagedata r:id="rId118" o:title=""/>
          </v:shape>
          <o:OLEObject Type="Embed" ProgID="Equation.DSMT4" ShapeID="_x0000_i1075" DrawAspect="Content" ObjectID="_1847354357" r:id="rId119"/>
        </w:object>
      </w:r>
      <w:r w:rsidRPr="004267AC">
        <w:rPr>
          <w:rFonts w:cs="Times New Roman"/>
        </w:rPr>
        <w:t xml:space="preserve"> matrix </w:t>
      </w:r>
      <w:r w:rsidRPr="004267AC">
        <w:rPr>
          <w:rFonts w:cs="Times New Roman"/>
          <w:position w:val="-12"/>
        </w:rPr>
        <w:object w:dxaOrig="1719" w:dyaOrig="360" w14:anchorId="3F48D78F">
          <v:shape id="_x0000_i1076" type="#_x0000_t75" style="width:85.7pt;height:18.85pt" o:ole="" o:preferrelative="f">
            <v:imagedata r:id="rId120" o:title=""/>
            <o:lock v:ext="edit" aspectratio="f"/>
          </v:shape>
          <o:OLEObject Type="Embed" ProgID="Equation.DSMT4" ShapeID="_x0000_i1076" DrawAspect="Content" ObjectID="_1847354358" r:id="rId121"/>
        </w:object>
      </w:r>
      <w:r w:rsidRPr="004267AC">
        <w:rPr>
          <w:rFonts w:cs="Times New Roman"/>
        </w:rPr>
        <w:t xml:space="preserve">. </w:t>
      </w:r>
      <w:r>
        <w:rPr>
          <w:rFonts w:cs="Times New Roman"/>
        </w:rPr>
        <w:t>Also</w:t>
      </w:r>
      <w:r w:rsidRPr="004267AC">
        <w:rPr>
          <w:rFonts w:cs="Times New Roman"/>
        </w:rPr>
        <w:t xml:space="preserve">, stack the </w:t>
      </w:r>
      <w:r w:rsidRPr="004267AC">
        <w:rPr>
          <w:rFonts w:cs="Times New Roman"/>
          <w:i/>
          <w:iCs/>
        </w:rPr>
        <w:t>N</w:t>
      </w:r>
      <w:r w:rsidRPr="004267AC">
        <w:rPr>
          <w:rFonts w:cs="Times New Roman"/>
        </w:rPr>
        <w:t xml:space="preserve"> lower thresholds for the decision-maker </w:t>
      </w:r>
      <w:r w:rsidRPr="004267AC">
        <w:rPr>
          <w:rFonts w:cs="Times New Roman"/>
          <w:position w:val="-14"/>
        </w:rPr>
        <w:object w:dxaOrig="620" w:dyaOrig="380" w14:anchorId="68825CCB">
          <v:shape id="_x0000_i1077" type="#_x0000_t75" style="width:31.3pt;height:18.85pt" o:ole="" o:preferrelative="f">
            <v:imagedata r:id="rId122" o:title=""/>
            <o:lock v:ext="edit" aspectratio="f"/>
          </v:shape>
          <o:OLEObject Type="Embed" ProgID="Equation.DSMT4" ShapeID="_x0000_i1077" DrawAspect="Content" ObjectID="_1847354359" r:id="rId123"/>
        </w:object>
      </w:r>
      <w:r w:rsidRPr="004267AC">
        <w:rPr>
          <w:rFonts w:cs="Times New Roman"/>
          <w:position w:val="-14"/>
        </w:rPr>
        <w:t xml:space="preserve"> </w:t>
      </w:r>
      <w:r w:rsidRPr="004267AC">
        <w:rPr>
          <w:rFonts w:cs="Times New Roman"/>
        </w:rPr>
        <w:t xml:space="preserve">into an </w:t>
      </w:r>
      <w:r w:rsidRPr="004267AC">
        <w:rPr>
          <w:rFonts w:cs="Times New Roman"/>
          <w:position w:val="-10"/>
        </w:rPr>
        <w:object w:dxaOrig="700" w:dyaOrig="320" w14:anchorId="6C2EBB66">
          <v:shape id="_x0000_i1078" type="#_x0000_t75" style="width:35.55pt;height:16.3pt" o:ole="" o:preferrelative="f">
            <v:imagedata r:id="rId124" o:title=""/>
            <o:lock v:ext="edit" aspectratio="f"/>
          </v:shape>
          <o:OLEObject Type="Embed" ProgID="Equation.DSMT4" ShapeID="_x0000_i1078" DrawAspect="Content" ObjectID="_1847354360" r:id="rId125"/>
        </w:object>
      </w:r>
      <w:r w:rsidRPr="004267AC">
        <w:rPr>
          <w:rFonts w:cs="Times New Roman"/>
          <w:position w:val="-10"/>
        </w:rPr>
        <w:t xml:space="preserve"> </w:t>
      </w:r>
      <w:r w:rsidRPr="004267AC">
        <w:rPr>
          <w:rFonts w:cs="Times New Roman"/>
        </w:rPr>
        <w:t xml:space="preserve">vector </w:t>
      </w:r>
      <w:r w:rsidRPr="004267AC">
        <w:rPr>
          <w:rFonts w:cs="Times New Roman"/>
          <w:position w:val="-12"/>
        </w:rPr>
        <w:object w:dxaOrig="440" w:dyaOrig="360" w14:anchorId="57D82839">
          <v:shape id="_x0000_i1079" type="#_x0000_t75" style="width:23.15pt;height:18.85pt" o:ole="" o:preferrelative="f">
            <v:imagedata r:id="rId126" o:title=""/>
            <o:lock v:ext="edit" aspectratio="f"/>
          </v:shape>
          <o:OLEObject Type="Embed" ProgID="Equation.DSMT4" ShapeID="_x0000_i1079" DrawAspect="Content" ObjectID="_1847354361" r:id="rId127"/>
        </w:object>
      </w:r>
      <w:r w:rsidRPr="004267AC">
        <w:rPr>
          <w:rFonts w:cs="Times New Roman"/>
          <w:position w:val="-12"/>
        </w:rPr>
        <w:t xml:space="preserve"> </w:t>
      </w:r>
      <w:r w:rsidRPr="004267AC">
        <w:rPr>
          <w:rFonts w:cs="Times New Roman"/>
        </w:rPr>
        <w:t xml:space="preserve">and the </w:t>
      </w:r>
      <w:r w:rsidRPr="004267AC">
        <w:rPr>
          <w:rFonts w:cs="Times New Roman"/>
          <w:i/>
          <w:iCs/>
        </w:rPr>
        <w:t>N</w:t>
      </w:r>
      <w:r w:rsidRPr="004267AC">
        <w:rPr>
          <w:rFonts w:cs="Times New Roman"/>
        </w:rPr>
        <w:t xml:space="preserve"> upper thresholds </w:t>
      </w:r>
      <w:r w:rsidRPr="004267AC">
        <w:rPr>
          <w:rFonts w:cs="Times New Roman"/>
          <w:position w:val="-14"/>
        </w:rPr>
        <w:object w:dxaOrig="499" w:dyaOrig="380" w14:anchorId="1A8BE967">
          <v:shape id="_x0000_i1080" type="#_x0000_t75" style="width:25.7pt;height:18.85pt" o:ole="" o:preferrelative="f">
            <v:imagedata r:id="rId128" o:title=""/>
            <o:lock v:ext="edit" aspectratio="f"/>
          </v:shape>
          <o:OLEObject Type="Embed" ProgID="Equation.DSMT4" ShapeID="_x0000_i1080" DrawAspect="Content" ObjectID="_1847354362" r:id="rId129"/>
        </w:object>
      </w:r>
      <w:r w:rsidRPr="004267AC">
        <w:rPr>
          <w:rFonts w:cs="Times New Roman"/>
        </w:rPr>
        <w:t xml:space="preserve"> into another vector </w:t>
      </w:r>
      <w:r w:rsidRPr="004267AC">
        <w:rPr>
          <w:rFonts w:cs="Times New Roman"/>
          <w:position w:val="-14"/>
        </w:rPr>
        <w:object w:dxaOrig="380" w:dyaOrig="380" w14:anchorId="0485CDF8">
          <v:shape id="_x0000_i1081" type="#_x0000_t75" style="width:18.85pt;height:18.85pt" o:ole="">
            <v:imagedata r:id="rId130" o:title=""/>
          </v:shape>
          <o:OLEObject Type="Embed" ProgID="Equation.DSMT4" ShapeID="_x0000_i1081" DrawAspect="Content" ObjectID="_1847354363" r:id="rId131"/>
        </w:object>
      </w:r>
      <w:r w:rsidRPr="004267AC">
        <w:rPr>
          <w:rFonts w:cs="Times New Roman"/>
        </w:rPr>
        <w:t>.</w:t>
      </w:r>
      <w:r>
        <w:rPr>
          <w:rFonts w:cs="Times New Roman"/>
        </w:rPr>
        <w:t xml:space="preserve"> Finally, stack </w:t>
      </w:r>
      <w:r w:rsidRPr="004267AC">
        <w:rPr>
          <w:rFonts w:cs="Times New Roman"/>
        </w:rPr>
        <w:t xml:space="preserve">the </w:t>
      </w:r>
      <w:r w:rsidRPr="004267AC">
        <w:rPr>
          <w:rFonts w:cs="Times New Roman"/>
          <w:i/>
        </w:rPr>
        <w:t>N</w:t>
      </w:r>
      <w:r w:rsidRPr="004267AC">
        <w:rPr>
          <w:rFonts w:cs="Times New Roman"/>
        </w:rPr>
        <w:t xml:space="preserve"> error </w:t>
      </w:r>
      <w:r w:rsidRPr="004267AC">
        <w:rPr>
          <w:rFonts w:cs="Times New Roman"/>
        </w:rPr>
        <w:lastRenderedPageBreak/>
        <w:t xml:space="preserve">terms </w:t>
      </w:r>
      <w:r w:rsidRPr="004267AC">
        <w:rPr>
          <w:rFonts w:cs="Times New Roman"/>
          <w:position w:val="-12"/>
        </w:rPr>
        <w:object w:dxaOrig="279" w:dyaOrig="360" w14:anchorId="1C3B4364">
          <v:shape id="_x0000_i1082" type="#_x0000_t75" style="width:13.7pt;height:18.85pt" o:ole="" o:preferrelative="f">
            <v:imagedata r:id="rId132" o:title=""/>
            <o:lock v:ext="edit" aspectratio="f"/>
          </v:shape>
          <o:OLEObject Type="Embed" ProgID="Equation.3" ShapeID="_x0000_i1082" DrawAspect="Content" ObjectID="_1847354364" r:id="rId133"/>
        </w:object>
      </w:r>
      <w:r w:rsidRPr="004267AC">
        <w:rPr>
          <w:rFonts w:cs="Times New Roman"/>
        </w:rPr>
        <w:t xml:space="preserve"> into an </w:t>
      </w:r>
      <w:r w:rsidRPr="004267AC">
        <w:rPr>
          <w:rFonts w:cs="Times New Roman"/>
          <w:position w:val="-10"/>
        </w:rPr>
        <w:object w:dxaOrig="700" w:dyaOrig="320" w14:anchorId="289511D2">
          <v:shape id="_x0000_i1083" type="#_x0000_t75" style="width:36.45pt;height:16.3pt" o:ole="">
            <v:imagedata r:id="rId134" o:title=""/>
          </v:shape>
          <o:OLEObject Type="Embed" ProgID="Equation.DSMT4" ShapeID="_x0000_i1083" DrawAspect="Content" ObjectID="_1847354365" r:id="rId135"/>
        </w:object>
      </w:r>
      <w:r w:rsidRPr="004267AC">
        <w:rPr>
          <w:rFonts w:cs="Times New Roman"/>
        </w:rPr>
        <w:t xml:space="preserve"> vector </w:t>
      </w:r>
      <w:r w:rsidRPr="004267AC">
        <w:rPr>
          <w:rFonts w:cs="Times New Roman"/>
          <w:position w:val="-6"/>
        </w:rPr>
        <w:object w:dxaOrig="200" w:dyaOrig="279" w14:anchorId="79D96B7E">
          <v:shape id="_x0000_i1084" type="#_x0000_t75" style="width:10.7pt;height:13.7pt" o:ole="" o:preferrelative="f">
            <v:imagedata r:id="rId136" o:title=""/>
            <o:lock v:ext="edit" aspectratio="f"/>
          </v:shape>
          <o:OLEObject Type="Embed" ProgID="Equation.DSMT4" ShapeID="_x0000_i1084" DrawAspect="Content" ObjectID="_1847354366" r:id="rId137"/>
        </w:object>
      </w:r>
      <w:r w:rsidRPr="004267AC">
        <w:rPr>
          <w:rFonts w:cs="Times New Roman"/>
        </w:rPr>
        <w:t xml:space="preserve">. </w:t>
      </w:r>
      <w:r w:rsidRPr="004267AC">
        <w:rPr>
          <w:rFonts w:cs="Times New Roman"/>
          <w:position w:val="-6"/>
        </w:rPr>
        <w:object w:dxaOrig="200" w:dyaOrig="279" w14:anchorId="24FDC88C">
          <v:shape id="_x0000_i1085" type="#_x0000_t75" style="width:10.7pt;height:13.7pt" o:ole="" o:preferrelative="f">
            <v:imagedata r:id="rId136" o:title=""/>
            <o:lock v:ext="edit" aspectratio="f"/>
          </v:shape>
          <o:OLEObject Type="Embed" ProgID="Equation.DSMT4" ShapeID="_x0000_i1085" DrawAspect="Content" ObjectID="_1847354367" r:id="rId138"/>
        </w:object>
      </w:r>
      <w:r>
        <w:rPr>
          <w:rFonts w:cs="Times New Roman"/>
        </w:rPr>
        <w:t xml:space="preserve"> is multivariate normal distributed with a mean vector of zeros and a general correlation matrix </w:t>
      </w:r>
      <w:r w:rsidRPr="00A043F6">
        <w:rPr>
          <w:rFonts w:cs="Times New Roman"/>
          <w:position w:val="-4"/>
        </w:rPr>
        <w:object w:dxaOrig="240" w:dyaOrig="260" w14:anchorId="37035B6E">
          <v:shape id="_x0000_i1086" type="#_x0000_t75" style="width:12pt;height:12.85pt" o:ole="">
            <v:imagedata r:id="rId139" o:title=""/>
          </v:shape>
          <o:OLEObject Type="Embed" ProgID="Equation.DSMT4" ShapeID="_x0000_i1086" DrawAspect="Content" ObjectID="_1847354368" r:id="rId140"/>
        </w:object>
      </w:r>
      <w:r>
        <w:rPr>
          <w:rFonts w:cs="Times New Roman"/>
        </w:rPr>
        <w:t xml:space="preserve">. The correlation matrix captures unobserved factors that would lead some respondents to be more likely to endorse multiple reasons for working from home or to work more days from home and also select any specific reasons for doing so. </w:t>
      </w:r>
    </w:p>
    <w:p w14:paraId="61A0A452" w14:textId="0CB16EEC" w:rsidR="000A7775" w:rsidRDefault="000A7775" w:rsidP="000A7775">
      <w:r>
        <w:rPr>
          <w:rFonts w:cs="Times New Roman"/>
        </w:rPr>
        <w:tab/>
        <w:t xml:space="preserve">Next, define the </w:t>
      </w:r>
      <w:r w:rsidRPr="005526BC">
        <w:rPr>
          <w:rFonts w:cs="Times New Roman"/>
          <w:position w:val="-10"/>
        </w:rPr>
        <w:object w:dxaOrig="1200" w:dyaOrig="320" w14:anchorId="16D76A1F">
          <v:shape id="_x0000_i1087" type="#_x0000_t75" style="width:60pt;height:15.85pt" o:ole="">
            <v:imagedata r:id="rId141" o:title=""/>
          </v:shape>
          <o:OLEObject Type="Embed" ProgID="Equation.DSMT4" ShapeID="_x0000_i1087" DrawAspect="Content" ObjectID="_1847354369" r:id="rId142"/>
        </w:object>
      </w:r>
      <w:r>
        <w:rPr>
          <w:rFonts w:cs="Times New Roman"/>
        </w:rPr>
        <w:t xml:space="preserve"> vector </w:t>
      </w:r>
      <w:r w:rsidRPr="005526BC">
        <w:rPr>
          <w:rFonts w:cs="Times New Roman"/>
          <w:position w:val="-30"/>
        </w:rPr>
        <w:object w:dxaOrig="1020" w:dyaOrig="720" w14:anchorId="610EF4F6">
          <v:shape id="_x0000_i1088" type="#_x0000_t75" style="width:51pt;height:36.45pt" o:ole="">
            <v:imagedata r:id="rId143" o:title=""/>
          </v:shape>
          <o:OLEObject Type="Embed" ProgID="Equation.DSMT4" ShapeID="_x0000_i1088" DrawAspect="Content" ObjectID="_1847354370" r:id="rId144"/>
        </w:object>
      </w:r>
      <w:r>
        <w:rPr>
          <w:rFonts w:cs="Times New Roman"/>
        </w:rPr>
        <w:t xml:space="preserve"> and</w:t>
      </w:r>
      <w:r w:rsidRPr="004267AC">
        <w:rPr>
          <w:rFonts w:cs="Times New Roman"/>
        </w:rPr>
        <w:t xml:space="preserve"> the two </w:t>
      </w:r>
      <w:r w:rsidR="00791B95" w:rsidRPr="004267AC">
        <w:rPr>
          <w:rFonts w:cs="Times New Roman"/>
          <w:position w:val="-14"/>
        </w:rPr>
        <w:object w:dxaOrig="1500" w:dyaOrig="400" w14:anchorId="15D86912">
          <v:shape id="_x0000_i1089" type="#_x0000_t75" style="width:75.85pt;height:20.55pt" o:ole="" o:preferrelative="f">
            <v:imagedata r:id="rId145" o:title=""/>
            <o:lock v:ext="edit" aspectratio="f"/>
          </v:shape>
          <o:OLEObject Type="Embed" ProgID="Equation.DSMT4" ShapeID="_x0000_i1089" DrawAspect="Content" ObjectID="_1847354371" r:id="rId146"/>
        </w:object>
      </w:r>
      <w:r w:rsidRPr="004267AC">
        <w:rPr>
          <w:rFonts w:cs="Times New Roman"/>
        </w:rPr>
        <w:t xml:space="preserve"> threshold vectors </w:t>
      </w:r>
      <w:r w:rsidRPr="004267AC">
        <w:rPr>
          <w:rFonts w:cs="Times New Roman"/>
          <w:position w:val="-32"/>
        </w:rPr>
        <w:object w:dxaOrig="1480" w:dyaOrig="760" w14:anchorId="2A439A01">
          <v:shape id="_x0000_i1090" type="#_x0000_t75" style="width:73.3pt;height:38.15pt" o:ole="" o:preferrelative="f">
            <v:imagedata r:id="rId147" o:title=""/>
            <o:lock v:ext="edit" aspectratio="f"/>
          </v:shape>
          <o:OLEObject Type="Embed" ProgID="Equation.DSMT4" ShapeID="_x0000_i1090" DrawAspect="Content" ObjectID="_1847354372" r:id="rId148"/>
        </w:object>
      </w:r>
      <w:r w:rsidRPr="004267AC">
        <w:rPr>
          <w:rFonts w:cs="Times New Roman"/>
        </w:rPr>
        <w:t xml:space="preserve"> and </w:t>
      </w:r>
      <w:r w:rsidR="005E36CD" w:rsidRPr="004267AC">
        <w:rPr>
          <w:rFonts w:cs="Times New Roman"/>
          <w:position w:val="-32"/>
        </w:rPr>
        <w:object w:dxaOrig="1219" w:dyaOrig="760" w14:anchorId="7E77D042">
          <v:shape id="_x0000_i1091" type="#_x0000_t75" style="width:61.3pt;height:38.15pt" o:ole="" o:preferrelative="f">
            <v:imagedata r:id="rId149" o:title=""/>
            <o:lock v:ext="edit" aspectratio="f"/>
          </v:shape>
          <o:OLEObject Type="Embed" ProgID="Equation.DSMT4" ShapeID="_x0000_i1091" DrawAspect="Content" ObjectID="_1847354373" r:id="rId150"/>
        </w:object>
      </w:r>
      <w:r w:rsidRPr="004267AC">
        <w:rPr>
          <w:rFonts w:cs="Times New Roman"/>
        </w:rPr>
        <w:t xml:space="preserve">, where </w:t>
      </w:r>
      <w:r w:rsidRPr="004267AC">
        <w:rPr>
          <w:rFonts w:cs="Times New Roman"/>
          <w:position w:val="-12"/>
        </w:rPr>
        <w:object w:dxaOrig="600" w:dyaOrig="360" w14:anchorId="557D6125">
          <v:shape id="_x0000_i1092" type="#_x0000_t75" style="width:30.45pt;height:18.85pt" o:ole="">
            <v:imagedata r:id="rId151" o:title=""/>
          </v:shape>
          <o:OLEObject Type="Embed" ProgID="Equation.DSMT4" ShapeID="_x0000_i1092" DrawAspect="Content" ObjectID="_1847354374" r:id="rId152"/>
        </w:object>
      </w:r>
      <w:r w:rsidRPr="004267AC">
        <w:rPr>
          <w:rFonts w:cs="Times New Roman"/>
        </w:rPr>
        <w:t xml:space="preserve"> represents a </w:t>
      </w:r>
      <w:r w:rsidRPr="004267AC">
        <w:rPr>
          <w:rFonts w:cs="Times New Roman"/>
          <w:position w:val="-14"/>
        </w:rPr>
        <w:object w:dxaOrig="1080" w:dyaOrig="400" w14:anchorId="4604BB4E">
          <v:shape id="_x0000_i1093" type="#_x0000_t75" style="width:54.45pt;height:20.55pt" o:ole="" o:preferrelative="f">
            <v:imagedata r:id="rId153" o:title=""/>
            <o:lock v:ext="edit" aspectratio="f"/>
          </v:shape>
          <o:OLEObject Type="Embed" ProgID="Equation.DSMT4" ShapeID="_x0000_i1093" DrawAspect="Content" ObjectID="_1847354375" r:id="rId154"/>
        </w:object>
      </w:r>
      <w:r w:rsidRPr="004267AC">
        <w:rPr>
          <w:rFonts w:cs="Times New Roman"/>
        </w:rPr>
        <w:t xml:space="preserve"> column vector of negative infinities, and </w:t>
      </w:r>
      <w:r w:rsidRPr="004267AC">
        <w:rPr>
          <w:rFonts w:cs="Times New Roman"/>
          <w:position w:val="-12"/>
        </w:rPr>
        <w:object w:dxaOrig="400" w:dyaOrig="360" w14:anchorId="3E928AA2">
          <v:shape id="_x0000_i1094" type="#_x0000_t75" style="width:20.55pt;height:18.85pt" o:ole="" o:preferrelative="f">
            <v:imagedata r:id="rId155" o:title=""/>
            <o:lock v:ext="edit" aspectratio="f"/>
          </v:shape>
          <o:OLEObject Type="Embed" ProgID="Equation.DSMT4" ShapeID="_x0000_i1094" DrawAspect="Content" ObjectID="_1847354376" r:id="rId156"/>
        </w:object>
      </w:r>
      <w:r w:rsidRPr="004267AC">
        <w:rPr>
          <w:rFonts w:cs="Times New Roman"/>
          <w:position w:val="-10"/>
        </w:rPr>
        <w:t xml:space="preserve"> </w:t>
      </w:r>
      <w:r w:rsidRPr="004267AC">
        <w:rPr>
          <w:rFonts w:cs="Times New Roman"/>
        </w:rPr>
        <w:t xml:space="preserve">represents a </w:t>
      </w:r>
      <w:r w:rsidRPr="004267AC">
        <w:rPr>
          <w:rFonts w:cs="Times New Roman"/>
          <w:position w:val="-14"/>
        </w:rPr>
        <w:object w:dxaOrig="1080" w:dyaOrig="400" w14:anchorId="16DD46E4">
          <v:shape id="_x0000_i1095" type="#_x0000_t75" style="width:54.45pt;height:20.55pt" o:ole="" o:preferrelative="f">
            <v:imagedata r:id="rId153" o:title=""/>
            <o:lock v:ext="edit" aspectratio="f"/>
          </v:shape>
          <o:OLEObject Type="Embed" ProgID="Equation.DSMT4" ShapeID="_x0000_i1095" DrawAspect="Content" ObjectID="_1847354377" r:id="rId157"/>
        </w:object>
      </w:r>
      <w:r w:rsidRPr="004267AC">
        <w:rPr>
          <w:rFonts w:cs="Times New Roman"/>
        </w:rPr>
        <w:t xml:space="preserve"> column vector of zeros.</w:t>
      </w:r>
      <w:r>
        <w:rPr>
          <w:rFonts w:cs="Times New Roman"/>
        </w:rPr>
        <w:t xml:space="preserve"> Also define the </w:t>
      </w:r>
      <w:r w:rsidRPr="004267AC">
        <w:rPr>
          <w:rFonts w:cs="Times New Roman"/>
          <w:position w:val="-10"/>
        </w:rPr>
        <w:object w:dxaOrig="2380" w:dyaOrig="320" w14:anchorId="41F54ABB">
          <v:shape id="_x0000_i1096" type="#_x0000_t75" style="width:123.85pt;height:16.3pt" o:ole="">
            <v:imagedata r:id="rId158" o:title=""/>
          </v:shape>
          <o:OLEObject Type="Embed" ProgID="Equation.DSMT4" ShapeID="_x0000_i1096" DrawAspect="Content" ObjectID="_1847354378" r:id="rId159"/>
        </w:object>
      </w:r>
      <w:r>
        <w:rPr>
          <w:rFonts w:cs="Times New Roman"/>
        </w:rPr>
        <w:t xml:space="preserve"> covariance matrix </w:t>
      </w:r>
      <w:r w:rsidRPr="005B1982">
        <w:rPr>
          <w:rFonts w:cs="Times New Roman"/>
          <w:position w:val="-32"/>
        </w:rPr>
        <w:object w:dxaOrig="1359" w:dyaOrig="760" w14:anchorId="7A40C0B8">
          <v:shape id="_x0000_i1097" type="#_x0000_t75" style="width:67.7pt;height:38.15pt" o:ole="">
            <v:imagedata r:id="rId160" o:title=""/>
          </v:shape>
          <o:OLEObject Type="Embed" ProgID="Equation.DSMT4" ShapeID="_x0000_i1097" DrawAspect="Content" ObjectID="_1847354379" r:id="rId161"/>
        </w:object>
      </w:r>
      <w:r>
        <w:rPr>
          <w:rFonts w:cs="Times New Roman"/>
        </w:rPr>
        <w:t xml:space="preserve">, where </w:t>
      </w:r>
      <w:r w:rsidRPr="005B1982">
        <w:rPr>
          <w:rFonts w:cs="Times New Roman"/>
          <w:position w:val="-4"/>
        </w:rPr>
        <w:object w:dxaOrig="240" w:dyaOrig="260" w14:anchorId="212E5C6A">
          <v:shape id="_x0000_i1098" type="#_x0000_t75" style="width:12pt;height:12.85pt" o:ole="">
            <v:imagedata r:id="rId162" o:title=""/>
          </v:shape>
          <o:OLEObject Type="Embed" ProgID="Equation.DSMT4" ShapeID="_x0000_i1098" DrawAspect="Content" ObjectID="_1847354380" r:id="rId163"/>
        </w:object>
      </w:r>
      <w:r>
        <w:rPr>
          <w:rFonts w:cs="Times New Roman"/>
        </w:rPr>
        <w:t xml:space="preserve"> is an </w:t>
      </w:r>
      <w:r w:rsidRPr="004267AC">
        <w:rPr>
          <w:rFonts w:cs="Times New Roman"/>
          <w:position w:val="-10"/>
        </w:rPr>
        <w:object w:dxaOrig="1180" w:dyaOrig="320" w14:anchorId="0A9C14DE">
          <v:shape id="_x0000_i1099" type="#_x0000_t75" style="width:60.85pt;height:16.3pt" o:ole="">
            <v:imagedata r:id="rId164" o:title=""/>
          </v:shape>
          <o:OLEObject Type="Embed" ProgID="Equation.DSMT4" ShapeID="_x0000_i1099" DrawAspect="Content" ObjectID="_1847354381" r:id="rId165"/>
        </w:object>
      </w:r>
      <w:r>
        <w:rPr>
          <w:rFonts w:cs="Times New Roman"/>
        </w:rPr>
        <w:t xml:space="preserve"> matrix that captures the covariation between each (differenced) nominal alternative and each ordinal outcome. Finally, partition the matrix </w:t>
      </w:r>
      <w:r w:rsidRPr="00FB443B">
        <w:rPr>
          <w:position w:val="-6"/>
        </w:rPr>
        <w:object w:dxaOrig="260" w:dyaOrig="279" w14:anchorId="20D951A1">
          <v:shape id="_x0000_i1100" type="#_x0000_t75" style="width:12.85pt;height:14.15pt" o:ole="">
            <v:imagedata r:id="rId166" o:title=""/>
          </v:shape>
          <o:OLEObject Type="Embed" ProgID="Equation.DSMT4" ShapeID="_x0000_i1100" DrawAspect="Content" ObjectID="_1847354382" r:id="rId167"/>
        </w:object>
      </w:r>
      <w:r w:rsidRPr="00677CE8">
        <w:t xml:space="preserve"> as </w:t>
      </w:r>
      <w:r w:rsidRPr="00677CE8">
        <w:rPr>
          <w:position w:val="-6"/>
        </w:rPr>
        <w:object w:dxaOrig="1120" w:dyaOrig="320" w14:anchorId="4C1D642E">
          <v:shape id="_x0000_i1101" type="#_x0000_t75" style="width:56.15pt;height:15.85pt" o:ole="">
            <v:imagedata r:id="rId168" o:title=""/>
          </v:shape>
          <o:OLEObject Type="Embed" ProgID="Equation.DSMT4" ShapeID="_x0000_i1101" DrawAspect="Content" ObjectID="_1847354383" r:id="rId169"/>
        </w:object>
      </w:r>
      <w:r>
        <w:t xml:space="preserve">, where </w:t>
      </w:r>
      <w:r w:rsidRPr="005526BC">
        <w:rPr>
          <w:position w:val="-6"/>
        </w:rPr>
        <w:object w:dxaOrig="240" w:dyaOrig="220" w14:anchorId="1E99189F">
          <v:shape id="_x0000_i1102" type="#_x0000_t75" style="width:12pt;height:11.15pt" o:ole="">
            <v:imagedata r:id="rId170" o:title=""/>
          </v:shape>
          <o:OLEObject Type="Embed" ProgID="Equation.DSMT4" ShapeID="_x0000_i1102" DrawAspect="Content" ObjectID="_1847354384" r:id="rId171"/>
        </w:object>
      </w:r>
      <w:r>
        <w:t xml:space="preserve"> is the diagonal matrix of standard deviations of </w:t>
      </w:r>
      <w:r w:rsidRPr="00FB443B">
        <w:rPr>
          <w:position w:val="-6"/>
        </w:rPr>
        <w:object w:dxaOrig="260" w:dyaOrig="279" w14:anchorId="7252526B">
          <v:shape id="_x0000_i1103" type="#_x0000_t75" style="width:12.85pt;height:14.15pt" o:ole="">
            <v:imagedata r:id="rId166" o:title=""/>
          </v:shape>
          <o:OLEObject Type="Embed" ProgID="Equation.DSMT4" ShapeID="_x0000_i1103" DrawAspect="Content" ObjectID="_1847354385" r:id="rId172"/>
        </w:object>
      </w:r>
      <w:r>
        <w:t xml:space="preserve"> (with zero as all off-diagonal entries) and </w:t>
      </w:r>
      <w:r w:rsidRPr="005526BC">
        <w:rPr>
          <w:position w:val="-6"/>
        </w:rPr>
        <w:object w:dxaOrig="320" w:dyaOrig="320" w14:anchorId="5B30B7B9">
          <v:shape id="_x0000_i1104" type="#_x0000_t75" style="width:15.85pt;height:15.85pt" o:ole="">
            <v:imagedata r:id="rId173" o:title=""/>
          </v:shape>
          <o:OLEObject Type="Embed" ProgID="Equation.DSMT4" ShapeID="_x0000_i1104" DrawAspect="Content" ObjectID="_1847354386" r:id="rId174"/>
        </w:object>
      </w:r>
      <w:r>
        <w:t xml:space="preserve"> is the corresponding correlation matrix. </w:t>
      </w:r>
    </w:p>
    <w:p w14:paraId="6ACCD539" w14:textId="77777777" w:rsidR="000A7775" w:rsidRDefault="000A7775" w:rsidP="000A7775">
      <w:r>
        <w:tab/>
        <w:t xml:space="preserve">For estimation, we will need the correlation matrix corresponding to the error term differences taken with respect to the chosen nominal alternative. To do so, for each individual, we define a contrast matrix </w:t>
      </w:r>
      <w:r w:rsidRPr="00C12333">
        <w:rPr>
          <w:position w:val="-4"/>
        </w:rPr>
        <w:object w:dxaOrig="300" w:dyaOrig="260" w14:anchorId="770520ED">
          <v:shape id="_x0000_i1105" type="#_x0000_t75" style="width:15pt;height:12.85pt" o:ole="">
            <v:imagedata r:id="rId175" o:title=""/>
          </v:shape>
          <o:OLEObject Type="Embed" ProgID="Equation.DSMT4" ShapeID="_x0000_i1105" DrawAspect="Content" ObjectID="_1847354387" r:id="rId176"/>
        </w:object>
      </w:r>
      <w:r>
        <w:t xml:space="preserve"> based on the selected nominal alternative. To get the contrast matrix, begin with an </w:t>
      </w:r>
      <w:r w:rsidRPr="00677CE8">
        <w:rPr>
          <w:position w:val="-10"/>
        </w:rPr>
        <w:object w:dxaOrig="2100" w:dyaOrig="320" w14:anchorId="1ACD1372">
          <v:shape id="_x0000_i1106" type="#_x0000_t75" style="width:107.15pt;height:15.85pt" o:ole="">
            <v:imagedata r:id="rId177" o:title=""/>
          </v:shape>
          <o:OLEObject Type="Embed" ProgID="Equation.DSMT4" ShapeID="_x0000_i1106" DrawAspect="Content" ObjectID="_1847354388" r:id="rId178"/>
        </w:object>
      </w:r>
      <w:r>
        <w:t xml:space="preserve"> matrix of zeros. Considering the first </w:t>
      </w:r>
      <w:r w:rsidRPr="00C12333">
        <w:rPr>
          <w:position w:val="-10"/>
        </w:rPr>
        <w:object w:dxaOrig="639" w:dyaOrig="320" w14:anchorId="486FACE4">
          <v:shape id="_x0000_i1107" type="#_x0000_t75" style="width:32.15pt;height:15.85pt" o:ole="">
            <v:imagedata r:id="rId179" o:title=""/>
          </v:shape>
          <o:OLEObject Type="Embed" ProgID="Equation.DSMT4" ShapeID="_x0000_i1107" DrawAspect="Content" ObjectID="_1847354389" r:id="rId180"/>
        </w:object>
      </w:r>
      <w:r>
        <w:t xml:space="preserve"> rows and </w:t>
      </w:r>
      <w:r w:rsidRPr="00C12333">
        <w:rPr>
          <w:position w:val="-4"/>
        </w:rPr>
        <w:object w:dxaOrig="200" w:dyaOrig="260" w14:anchorId="7F4894AB">
          <v:shape id="_x0000_i1108" type="#_x0000_t75" style="width:10.3pt;height:12.85pt" o:ole="">
            <v:imagedata r:id="rId181" o:title=""/>
          </v:shape>
          <o:OLEObject Type="Embed" ProgID="Equation.DSMT4" ShapeID="_x0000_i1108" DrawAspect="Content" ObjectID="_1847354390" r:id="rId182"/>
        </w:object>
      </w:r>
      <w:r>
        <w:t xml:space="preserve"> columns (corresponding to the nominal outcome), insert an identity matrix of size </w:t>
      </w:r>
      <w:r w:rsidRPr="00C12333">
        <w:rPr>
          <w:position w:val="-10"/>
        </w:rPr>
        <w:object w:dxaOrig="639" w:dyaOrig="320" w14:anchorId="1E7C6F44">
          <v:shape id="_x0000_i1109" type="#_x0000_t75" style="width:32.15pt;height:15.85pt" o:ole="">
            <v:imagedata r:id="rId179" o:title=""/>
          </v:shape>
          <o:OLEObject Type="Embed" ProgID="Equation.DSMT4" ShapeID="_x0000_i1109" DrawAspect="Content" ObjectID="_1847354391" r:id="rId183"/>
        </w:object>
      </w:r>
      <w:r>
        <w:t xml:space="preserve">, supplemented by a column of ‘-1’ values in the column corresponding to the chosen alternative. Then, insert another identity matrix of size </w:t>
      </w:r>
      <w:r w:rsidRPr="00C12333">
        <w:rPr>
          <w:position w:val="-6"/>
        </w:rPr>
        <w:object w:dxaOrig="279" w:dyaOrig="279" w14:anchorId="26C54305">
          <v:shape id="_x0000_i1110" type="#_x0000_t75" style="width:13.7pt;height:13.7pt" o:ole="">
            <v:imagedata r:id="rId184" o:title=""/>
          </v:shape>
          <o:OLEObject Type="Embed" ProgID="Equation.DSMT4" ShapeID="_x0000_i1110" DrawAspect="Content" ObjectID="_1847354392" r:id="rId185"/>
        </w:object>
      </w:r>
      <w:r>
        <w:t xml:space="preserve"> in the final  </w:t>
      </w:r>
      <w:r w:rsidRPr="00C12333">
        <w:rPr>
          <w:position w:val="-6"/>
        </w:rPr>
        <w:object w:dxaOrig="279" w:dyaOrig="279" w14:anchorId="78A8DCF2">
          <v:shape id="_x0000_i1111" type="#_x0000_t75" style="width:13.7pt;height:13.7pt" o:ole="">
            <v:imagedata r:id="rId184" o:title=""/>
          </v:shape>
          <o:OLEObject Type="Embed" ProgID="Equation.DSMT4" ShapeID="_x0000_i1111" DrawAspect="Content" ObjectID="_1847354393" r:id="rId186"/>
        </w:object>
      </w:r>
      <w:r>
        <w:t xml:space="preserve"> rows and </w:t>
      </w:r>
      <w:r w:rsidRPr="00C12333">
        <w:rPr>
          <w:position w:val="-6"/>
        </w:rPr>
        <w:object w:dxaOrig="279" w:dyaOrig="279" w14:anchorId="013130B8">
          <v:shape id="_x0000_i1112" type="#_x0000_t75" style="width:13.7pt;height:13.7pt" o:ole="">
            <v:imagedata r:id="rId184" o:title=""/>
          </v:shape>
          <o:OLEObject Type="Embed" ProgID="Equation.DSMT4" ShapeID="_x0000_i1112" DrawAspect="Content" ObjectID="_1847354394" r:id="rId187"/>
        </w:object>
      </w:r>
      <w:r>
        <w:t xml:space="preserve"> columns of the contrast matrix (corresponding to the ordinal outcomes). Also, define the </w:t>
      </w:r>
      <w:r w:rsidRPr="00677CE8">
        <w:rPr>
          <w:position w:val="-10"/>
        </w:rPr>
        <w:object w:dxaOrig="2100" w:dyaOrig="320" w14:anchorId="5726BF9C">
          <v:shape id="_x0000_i1113" type="#_x0000_t75" style="width:107.15pt;height:15.85pt" o:ole="">
            <v:imagedata r:id="rId188" o:title=""/>
          </v:shape>
          <o:OLEObject Type="Embed" ProgID="Equation.DSMT4" ShapeID="_x0000_i1113" DrawAspect="Content" ObjectID="_1847354395" r:id="rId189"/>
        </w:object>
      </w:r>
      <w:r>
        <w:t xml:space="preserve">matrix </w:t>
      </w:r>
      <w:r w:rsidRPr="00FE3EA2">
        <w:rPr>
          <w:position w:val="-4"/>
        </w:rPr>
        <w:object w:dxaOrig="240" w:dyaOrig="260" w14:anchorId="0491A96E">
          <v:shape id="_x0000_i1114" type="#_x0000_t75" style="width:12pt;height:12.85pt" o:ole="">
            <v:imagedata r:id="rId190" o:title=""/>
          </v:shape>
          <o:OLEObject Type="Embed" ProgID="Equation.DSMT4" ShapeID="_x0000_i1114" DrawAspect="Content" ObjectID="_1847354396" r:id="rId191"/>
        </w:object>
      </w:r>
      <w:r>
        <w:t xml:space="preserve"> that is created by supplementing an identity matrix of size </w:t>
      </w:r>
      <w:r w:rsidRPr="00FE3EA2">
        <w:rPr>
          <w:position w:val="-10"/>
        </w:rPr>
        <w:object w:dxaOrig="1060" w:dyaOrig="320" w14:anchorId="631D9329">
          <v:shape id="_x0000_i1115" type="#_x0000_t75" style="width:53.15pt;height:15.85pt" o:ole="">
            <v:imagedata r:id="rId192" o:title=""/>
          </v:shape>
          <o:OLEObject Type="Embed" ProgID="Equation.DSMT4" ShapeID="_x0000_i1115" DrawAspect="Content" ObjectID="_1847354397" r:id="rId193"/>
        </w:object>
      </w:r>
      <w:r>
        <w:t xml:space="preserve"> with an extra row of zeros in the first row. </w:t>
      </w:r>
    </w:p>
    <w:p w14:paraId="4F1CDA13" w14:textId="77777777" w:rsidR="000A7775" w:rsidRPr="00677CE8" w:rsidRDefault="000A7775" w:rsidP="000A7775">
      <w:pPr>
        <w:shd w:val="clear" w:color="auto" w:fill="FFFFFF"/>
        <w:ind w:firstLine="720"/>
      </w:pPr>
      <w:r>
        <w:t xml:space="preserve">The final set of parameters is </w:t>
      </w:r>
      <w:r w:rsidRPr="00FE3EA2">
        <w:rPr>
          <w:position w:val="-16"/>
        </w:rPr>
        <w:object w:dxaOrig="4680" w:dyaOrig="440" w14:anchorId="00A38090">
          <v:shape id="_x0000_i1116" type="#_x0000_t75" style="width:234pt;height:21.85pt" o:ole="">
            <v:imagedata r:id="rId194" o:title=""/>
          </v:shape>
          <o:OLEObject Type="Embed" ProgID="Equation.DSMT4" ShapeID="_x0000_i1116" DrawAspect="Content" ObjectID="_1847354398" r:id="rId195"/>
        </w:object>
      </w:r>
      <w:r w:rsidRPr="00677CE8">
        <w:t xml:space="preserve">, where </w:t>
      </w:r>
      <w:r w:rsidRPr="00677CE8">
        <w:rPr>
          <w:position w:val="-10"/>
        </w:rPr>
        <w:object w:dxaOrig="740" w:dyaOrig="320" w14:anchorId="1B87C0AC">
          <v:shape id="_x0000_i1117" type="#_x0000_t75" style="width:36.85pt;height:15.85pt" o:ole="">
            <v:imagedata r:id="rId196" o:title=""/>
          </v:shape>
          <o:OLEObject Type="Embed" ProgID="Equation.DSMT4" ShapeID="_x0000_i1117" DrawAspect="Content" ObjectID="_1847354399" r:id="rId197"/>
        </w:object>
      </w:r>
      <w:r>
        <w:t xml:space="preserve"> row-vectorizes the diagonal elements of a matrix, </w:t>
      </w:r>
      <w:r w:rsidRPr="00677CE8">
        <w:rPr>
          <w:position w:val="-10"/>
        </w:rPr>
        <w:object w:dxaOrig="800" w:dyaOrig="320" w14:anchorId="41F74E58">
          <v:shape id="_x0000_i1118" type="#_x0000_t75" style="width:38.55pt;height:15.85pt" o:ole="">
            <v:imagedata r:id="rId198" o:title=""/>
          </v:shape>
          <o:OLEObject Type="Embed" ProgID="Equation.DSMT4" ShapeID="_x0000_i1118" DrawAspect="Content" ObjectID="_1847354400" r:id="rId199"/>
        </w:object>
      </w:r>
      <w:r>
        <w:t xml:space="preserve"> row-vectorizes the unique and non-zero elements of a matrix, and </w:t>
      </w:r>
      <w:r w:rsidRPr="00677CE8">
        <w:rPr>
          <w:position w:val="-10"/>
        </w:rPr>
        <w:object w:dxaOrig="1040" w:dyaOrig="320" w14:anchorId="47854C5D">
          <v:shape id="_x0000_i1119" type="#_x0000_t75" style="width:50.55pt;height:15.85pt" o:ole="">
            <v:imagedata r:id="rId200" o:title=""/>
          </v:shape>
          <o:OLEObject Type="Embed" ProgID="Equation.DSMT4" ShapeID="_x0000_i1119" DrawAspect="Content" ObjectID="_1847354401" r:id="rId201"/>
        </w:object>
      </w:r>
      <w:r w:rsidRPr="00677CE8">
        <w:t xml:space="preserve"> row-vectorizes the unique and non-zero upper diagonal elements of a matrix.</w:t>
      </w:r>
      <w:r>
        <w:t xml:space="preserve"> </w:t>
      </w:r>
      <w:r w:rsidRPr="00677CE8">
        <w:t>Then, the likelihood function for the individual may be written as:</w:t>
      </w:r>
    </w:p>
    <w:p w14:paraId="20E6FA2C" w14:textId="2FE213C5" w:rsidR="000A7775" w:rsidRPr="00677CE8" w:rsidRDefault="000A7775" w:rsidP="000A7775">
      <w:pPr>
        <w:tabs>
          <w:tab w:val="right" w:pos="9360"/>
        </w:tabs>
        <w:spacing w:before="120" w:after="120"/>
      </w:pPr>
      <w:r w:rsidRPr="00FE3EA2">
        <w:rPr>
          <w:position w:val="-34"/>
        </w:rPr>
        <w:object w:dxaOrig="4459" w:dyaOrig="620" w14:anchorId="5FCF6B64">
          <v:shape id="_x0000_i1120" type="#_x0000_t75" style="width:223.3pt;height:30.85pt" o:ole="">
            <v:imagedata r:id="rId202" o:title=""/>
          </v:shape>
          <o:OLEObject Type="Embed" ProgID="Equation.DSMT4" ShapeID="_x0000_i1120" DrawAspect="Content" ObjectID="_1847354402" r:id="rId203"/>
        </w:object>
      </w:r>
      <w:r w:rsidRPr="00677CE8">
        <w:tab/>
      </w:r>
      <w:r w:rsidRPr="00677CE8">
        <w:fldChar w:fldCharType="begin"/>
      </w:r>
      <w:r w:rsidRPr="00677CE8">
        <w:instrText xml:space="preserve"> MACROBUTTON MTPlaceRef \* MERGEFORMAT </w:instrText>
      </w:r>
      <w:r w:rsidRPr="00677CE8">
        <w:fldChar w:fldCharType="begin"/>
      </w:r>
      <w:r w:rsidRPr="00677CE8">
        <w:instrText xml:space="preserve"> SEQ MTEqn \h \* MERGEFORMAT </w:instrText>
      </w:r>
      <w:r w:rsidRPr="00677CE8">
        <w:fldChar w:fldCharType="end"/>
      </w:r>
      <w:bookmarkStart w:id="1" w:name="ZEqnNum466830"/>
      <w:r w:rsidRPr="00677CE8">
        <w:instrText>(</w:instrText>
      </w:r>
      <w:r w:rsidR="003D6D39">
        <w:fldChar w:fldCharType="begin"/>
      </w:r>
      <w:r w:rsidR="003D6D39">
        <w:instrText xml:space="preserve"> SEQ MTEqn \c \* Arabic \* MERGEFORMAT </w:instrText>
      </w:r>
      <w:r w:rsidR="003D6D39">
        <w:fldChar w:fldCharType="separate"/>
      </w:r>
      <w:r w:rsidR="00474CC9">
        <w:rPr>
          <w:noProof/>
        </w:rPr>
        <w:instrText>3</w:instrText>
      </w:r>
      <w:r w:rsidR="003D6D39">
        <w:rPr>
          <w:noProof/>
        </w:rPr>
        <w:fldChar w:fldCharType="end"/>
      </w:r>
      <w:r w:rsidRPr="00677CE8">
        <w:instrText>)</w:instrText>
      </w:r>
      <w:bookmarkEnd w:id="1"/>
      <w:r w:rsidRPr="00677CE8">
        <w:fldChar w:fldCharType="end"/>
      </w:r>
    </w:p>
    <w:p w14:paraId="581839B5" w14:textId="64E54F6B" w:rsidR="000A7775" w:rsidRDefault="000A7775" w:rsidP="000A7775">
      <w:pPr>
        <w:rPr>
          <w:rFonts w:cs="Times New Roman"/>
        </w:rPr>
      </w:pPr>
      <w:r>
        <w:rPr>
          <w:rFonts w:cs="Times New Roman"/>
        </w:rPr>
        <w:t xml:space="preserve">where the integration domain </w:t>
      </w:r>
      <w:r w:rsidRPr="004267AC">
        <w:rPr>
          <w:rFonts w:cs="Times New Roman"/>
          <w:position w:val="-14"/>
        </w:rPr>
        <w:object w:dxaOrig="2280" w:dyaOrig="380" w14:anchorId="3357D2D7">
          <v:shape id="_x0000_i1121" type="#_x0000_t75" style="width:113.55pt;height:18.85pt" o:ole="" o:preferrelative="f">
            <v:imagedata r:id="rId204" o:title=""/>
            <o:lock v:ext="edit" aspectratio="f"/>
          </v:shape>
          <o:OLEObject Type="Embed" ProgID="Equation.DSMT4" ShapeID="_x0000_i1121" DrawAspect="Content" ObjectID="_1847354403" r:id="rId205"/>
        </w:object>
      </w:r>
      <w:r>
        <w:rPr>
          <w:rFonts w:cs="Times New Roman"/>
        </w:rPr>
        <w:t xml:space="preserve"> is the multivariate region determined by the utility differences taken with respect to the chosen alternative for the nominal outcome, and the observed ordinal outcomes. </w:t>
      </w:r>
      <w:r w:rsidRPr="002F2D36">
        <w:rPr>
          <w:rFonts w:cs="Times New Roman"/>
          <w:position w:val="-14"/>
        </w:rPr>
        <w:object w:dxaOrig="3280" w:dyaOrig="400" w14:anchorId="4B405114">
          <v:shape id="_x0000_i1122" type="#_x0000_t75" style="width:164.15pt;height:20.15pt" o:ole="">
            <v:imagedata r:id="rId206" o:title=""/>
          </v:shape>
          <o:OLEObject Type="Embed" ProgID="Equation.DSMT4" ShapeID="_x0000_i1122" DrawAspect="Content" ObjectID="_1847354404" r:id="rId207"/>
        </w:object>
      </w:r>
      <w:r>
        <w:rPr>
          <w:rFonts w:cs="Times New Roman"/>
        </w:rPr>
        <w:t xml:space="preserve"> is the multivariate normal density function of dimension </w:t>
      </w:r>
      <w:r w:rsidRPr="002F2D36">
        <w:rPr>
          <w:rFonts w:cs="Times New Roman"/>
          <w:position w:val="-10"/>
        </w:rPr>
        <w:object w:dxaOrig="1060" w:dyaOrig="320" w14:anchorId="7D735756">
          <v:shape id="_x0000_i1123" type="#_x0000_t75" style="width:53.15pt;height:15.85pt" o:ole="">
            <v:imagedata r:id="rId208" o:title=""/>
          </v:shape>
          <o:OLEObject Type="Embed" ProgID="Equation.DSMT4" ShapeID="_x0000_i1123" DrawAspect="Content" ObjectID="_1847354405" r:id="rId209"/>
        </w:object>
      </w:r>
      <w:r>
        <w:rPr>
          <w:rFonts w:cs="Times New Roman"/>
        </w:rPr>
        <w:t xml:space="preserve"> with a mean of </w:t>
      </w:r>
      <w:r w:rsidRPr="002F2D36">
        <w:rPr>
          <w:rFonts w:cs="Times New Roman"/>
          <w:position w:val="-4"/>
        </w:rPr>
        <w:object w:dxaOrig="460" w:dyaOrig="260" w14:anchorId="4CEA6DBC">
          <v:shape id="_x0000_i1124" type="#_x0000_t75" style="width:23.15pt;height:12.85pt" o:ole="">
            <v:imagedata r:id="rId210" o:title=""/>
          </v:shape>
          <o:OLEObject Type="Embed" ProgID="Equation.DSMT4" ShapeID="_x0000_i1124" DrawAspect="Content" ObjectID="_1847354406" r:id="rId211"/>
        </w:object>
      </w:r>
      <w:r>
        <w:rPr>
          <w:rFonts w:cs="Times New Roman"/>
        </w:rPr>
        <w:t xml:space="preserve"> and covariance of </w:t>
      </w:r>
      <w:r w:rsidRPr="002F2D36">
        <w:rPr>
          <w:rFonts w:cs="Times New Roman"/>
          <w:position w:val="-10"/>
        </w:rPr>
        <w:object w:dxaOrig="1760" w:dyaOrig="360" w14:anchorId="5880A9ED">
          <v:shape id="_x0000_i1125" type="#_x0000_t75" style="width:88.3pt;height:18pt" o:ole="">
            <v:imagedata r:id="rId212" o:title=""/>
          </v:shape>
          <o:OLEObject Type="Embed" ProgID="Equation.DSMT4" ShapeID="_x0000_i1125" DrawAspect="Content" ObjectID="_1847354407" r:id="rId213"/>
        </w:object>
      </w:r>
      <w:r>
        <w:rPr>
          <w:rFonts w:cs="Times New Roman"/>
        </w:rPr>
        <w:t xml:space="preserve">, and evaluated at </w:t>
      </w:r>
      <w:r w:rsidRPr="002F2D36">
        <w:rPr>
          <w:rFonts w:cs="Times New Roman"/>
          <w:position w:val="-4"/>
        </w:rPr>
        <w:object w:dxaOrig="180" w:dyaOrig="200" w14:anchorId="5B03C0C3">
          <v:shape id="_x0000_i1126" type="#_x0000_t75" style="width:8.55pt;height:10.3pt" o:ole="">
            <v:imagedata r:id="rId214" o:title=""/>
          </v:shape>
          <o:OLEObject Type="Embed" ProgID="Equation.DSMT4" ShapeID="_x0000_i1126" DrawAspect="Content" ObjectID="_1847354408" r:id="rId215"/>
        </w:object>
      </w:r>
      <w:r>
        <w:rPr>
          <w:rFonts w:cs="Times New Roman"/>
        </w:rPr>
        <w:t xml:space="preserve">. The likelihood function for the entire sample of decision makers is simply the product of the individual level likelihoods, and the likelihood function is evaluated using </w:t>
      </w:r>
      <w:r w:rsidRPr="004267AC">
        <w:rPr>
          <w:rFonts w:cs="Times New Roman"/>
        </w:rPr>
        <w:t xml:space="preserve">Bhat’s </w:t>
      </w:r>
      <w:r w:rsidRPr="004267AC">
        <w:rPr>
          <w:rFonts w:cs="Times New Roman"/>
        </w:rPr>
        <w:fldChar w:fldCharType="begin"/>
      </w:r>
      <w:r w:rsidR="008472E9">
        <w:rPr>
          <w:rFonts w:cs="Times New Roman"/>
        </w:rPr>
        <w:instrText xml:space="preserve"> ADDIN ZOTERO_ITEM CSL_CITATION {"citationID":"oUA1qbJE","properties":{"formattedCitation":"(2018)","plainCitation":"(2018)","noteIndex":0},"citationItems":[{"id":"oZ8hzv4B/rXtDA8Oz","uris":["http://zotero.org/users/12832277/items/SHBDR4NL"],"itemData":{"id":2026,"type":"article-journal","abstract":"In this paper, we develop a new matrix-based implementation of the Mendell and Elston (ME) analytic approximation to evaluate the multivariate normal cumulative distribution (MVNCD) function, using an LDLT decomposition method followed by a rank 1 update of the LDLT factorization. Our implementation is easy to code for individuals familiar with matrix-based coding. Further, our new matrix-based implementation for the ME algorithm allows us to efficiently write the analytic matrix-based gradients of the approximated MVNCD function with respect to the abscissae and correlation parameters, an issue that is important in econometric model estimation. In addition, we propose four new analytic methods for approximating the MVNCD function. The paper then evaluates the ability of the multiple approximations for individual MVNCD evaluations as well as multinomial probit model estimation. As expected, in our tests for evaluating individual MVNCD functions, we found that the traditional GHK approach degrades rapidly as the dimensionality of integration increases. Concomitant with this degradation in accuracy is a rapid increase in computational time. The analytic approximation methods are also much more stable across different numbers of dimensions of integration, and even the simplest of these methods is superior to the GHK-500 beyond seven dimensions of integration. Based on all the evaluation results in this paper, we recommend the new Two-Variate Bivariate Screening (TVBS) method proposed in this paper as the evaluation approach for MVNCD function evaluation.","container-title":"Transportation Research Part B: Methodological","DOI":"10.1016/j.trb.2018.01.011","ISSN":"0191-2615","page":"238-256","source":"ScienceDirect","title":"New Matrix-Based Methods for the Analytic Evaluation of the Multivariate Cumulative Normal Distribution Function","volume":"109","author":[{"family":"Bhat","given":"Chandra R."}],"issued":{"date-parts":[["2018",3,1]]}},"label":"page","suppress-author":true}],"schema":"https://github.com/citation-style-language/schema/raw/master/csl-citation.json"} </w:instrText>
      </w:r>
      <w:r w:rsidRPr="004267AC">
        <w:rPr>
          <w:rFonts w:cs="Times New Roman"/>
        </w:rPr>
        <w:fldChar w:fldCharType="separate"/>
      </w:r>
      <w:r w:rsidRPr="004267AC">
        <w:rPr>
          <w:rFonts w:cs="Times New Roman"/>
        </w:rPr>
        <w:t>(2018)</w:t>
      </w:r>
      <w:r w:rsidRPr="004267AC">
        <w:rPr>
          <w:rFonts w:cs="Times New Roman"/>
        </w:rPr>
        <w:fldChar w:fldCharType="end"/>
      </w:r>
      <w:r w:rsidRPr="004267AC">
        <w:rPr>
          <w:rFonts w:cs="Times New Roman"/>
        </w:rPr>
        <w:t xml:space="preserve"> matrix-based approximation method</w:t>
      </w:r>
      <w:r>
        <w:rPr>
          <w:rFonts w:cs="Times New Roman"/>
        </w:rPr>
        <w:t>s</w:t>
      </w:r>
      <w:r w:rsidRPr="004267AC">
        <w:rPr>
          <w:rFonts w:cs="Times New Roman"/>
        </w:rPr>
        <w:t xml:space="preserve"> for evaluating the multivariate normal cumulative distribution function</w:t>
      </w:r>
      <w:r>
        <w:rPr>
          <w:rFonts w:cs="Times New Roman"/>
        </w:rPr>
        <w:t xml:space="preserve">. </w:t>
      </w:r>
    </w:p>
    <w:p w14:paraId="145FF46F" w14:textId="77777777" w:rsidR="00DC51C5" w:rsidRDefault="00DC51C5" w:rsidP="00DC51C5"/>
    <w:p w14:paraId="4961CEFE" w14:textId="6D05D8ED" w:rsidR="00D068C0" w:rsidRPr="002A5549" w:rsidRDefault="00D068C0" w:rsidP="00D068C0">
      <w:pPr>
        <w:pStyle w:val="Heading1"/>
      </w:pPr>
      <w:r>
        <w:t xml:space="preserve">4. </w:t>
      </w:r>
      <w:r w:rsidRPr="002A5549">
        <w:t>MODEL ESTIMATION RESULTS</w:t>
      </w:r>
    </w:p>
    <w:p w14:paraId="7A0A2C0D" w14:textId="342A3524" w:rsidR="000A08AB" w:rsidRPr="000A08AB" w:rsidRDefault="000A08AB" w:rsidP="000A08AB">
      <w:pPr>
        <w:rPr>
          <w:bCs/>
          <w:color w:val="000000" w:themeColor="text1"/>
        </w:rPr>
      </w:pPr>
      <w:r w:rsidRPr="000A08AB">
        <w:rPr>
          <w:bCs/>
          <w:color w:val="000000" w:themeColor="text1"/>
        </w:rPr>
        <w:t xml:space="preserve">This section presents the model estimation results and their behavioral interpretation. A wide range of alternative specifications was examined before arriving at the final model reported in Table 3. </w:t>
      </w:r>
      <w:r w:rsidR="00691A10" w:rsidRPr="00691A10">
        <w:rPr>
          <w:bCs/>
          <w:color w:val="000000" w:themeColor="text1"/>
        </w:rPr>
        <w:t>Variables were retained based on a 90% confidence threshold,</w:t>
      </w:r>
      <w:r w:rsidR="00691A10">
        <w:rPr>
          <w:bCs/>
          <w:color w:val="000000" w:themeColor="text1"/>
        </w:rPr>
        <w:t xml:space="preserve"> with the final </w:t>
      </w:r>
      <w:r w:rsidRPr="000A08AB">
        <w:rPr>
          <w:bCs/>
          <w:color w:val="000000" w:themeColor="text1"/>
        </w:rPr>
        <w:t xml:space="preserve">specification </w:t>
      </w:r>
      <w:r w:rsidR="00691A10">
        <w:rPr>
          <w:bCs/>
          <w:color w:val="000000" w:themeColor="text1"/>
        </w:rPr>
        <w:t>selected</w:t>
      </w:r>
      <w:r>
        <w:rPr>
          <w:bCs/>
          <w:color w:val="000000" w:themeColor="text1"/>
        </w:rPr>
        <w:t xml:space="preserve"> based on considerations</w:t>
      </w:r>
      <w:r w:rsidRPr="000A08AB">
        <w:rPr>
          <w:bCs/>
          <w:color w:val="000000" w:themeColor="text1"/>
        </w:rPr>
        <w:t xml:space="preserve"> of statistical fit, coefficient significance, and behavioral interpretability, while also yielding a meaningful and intuitive correlation structure across the modeled outcomes.</w:t>
      </w:r>
    </w:p>
    <w:p w14:paraId="0CECB92D" w14:textId="4773D32B" w:rsidR="00280295" w:rsidRDefault="000A08AB" w:rsidP="00280295">
      <w:pPr>
        <w:ind w:firstLine="720"/>
        <w:rPr>
          <w:bCs/>
          <w:color w:val="000000" w:themeColor="text1"/>
        </w:rPr>
      </w:pPr>
      <w:r w:rsidRPr="000A08AB">
        <w:rPr>
          <w:bCs/>
          <w:color w:val="000000" w:themeColor="text1"/>
        </w:rPr>
        <w:t>The model includes three types of endogenous variables</w:t>
      </w:r>
      <w:r w:rsidR="00A24FDF">
        <w:rPr>
          <w:bCs/>
          <w:color w:val="000000" w:themeColor="text1"/>
        </w:rPr>
        <w:t xml:space="preserve"> (see Figure 2)</w:t>
      </w:r>
      <w:r w:rsidRPr="000A08AB">
        <w:rPr>
          <w:bCs/>
          <w:color w:val="000000" w:themeColor="text1"/>
        </w:rPr>
        <w:t>. Work arrangement is specified as a nominal outcome with four alternatives: fully in</w:t>
      </w:r>
      <w:r w:rsidR="00691A10">
        <w:rPr>
          <w:bCs/>
          <w:color w:val="000000" w:themeColor="text1"/>
        </w:rPr>
        <w:t>-</w:t>
      </w:r>
      <w:r w:rsidRPr="000A08AB">
        <w:rPr>
          <w:bCs/>
          <w:color w:val="000000" w:themeColor="text1"/>
        </w:rPr>
        <w:t xml:space="preserve">person, hybrid, fully </w:t>
      </w:r>
      <w:r w:rsidR="00691A10">
        <w:rPr>
          <w:bCs/>
          <w:color w:val="000000" w:themeColor="text1"/>
        </w:rPr>
        <w:t>HB</w:t>
      </w:r>
      <w:r w:rsidRPr="000A08AB">
        <w:rPr>
          <w:bCs/>
          <w:color w:val="000000" w:themeColor="text1"/>
        </w:rPr>
        <w:t xml:space="preserve">, and fully remote </w:t>
      </w:r>
      <w:r w:rsidR="00474CC9">
        <w:rPr>
          <w:bCs/>
          <w:color w:val="000000" w:themeColor="text1"/>
        </w:rPr>
        <w:t>TLB</w:t>
      </w:r>
      <w:r w:rsidRPr="000A08AB">
        <w:rPr>
          <w:bCs/>
          <w:color w:val="000000" w:themeColor="text1"/>
        </w:rPr>
        <w:t xml:space="preserve">. Commute frequency among hybrid workers is treated as an ordinal outcome reflecting the number of workplace commute days during the preceding week. The four motivations for working from home are represented as </w:t>
      </w:r>
      <w:r w:rsidR="00474CC9">
        <w:rPr>
          <w:bCs/>
          <w:color w:val="000000" w:themeColor="text1"/>
        </w:rPr>
        <w:t>two-level ordinal</w:t>
      </w:r>
      <w:r w:rsidRPr="000A08AB">
        <w:rPr>
          <w:bCs/>
          <w:color w:val="000000" w:themeColor="text1"/>
        </w:rPr>
        <w:t xml:space="preserve"> outcomes indicating whether each motivation was selected. Table 3 presents the final parameter estimates, corresponding t-statistics, threshold values, and correlations across the endogenous dimensions.</w:t>
      </w:r>
      <w:r>
        <w:rPr>
          <w:bCs/>
          <w:color w:val="000000" w:themeColor="text1"/>
        </w:rPr>
        <w:t xml:space="preserve"> </w:t>
      </w:r>
      <w:r w:rsidR="00280295" w:rsidRPr="00280295">
        <w:rPr>
          <w:bCs/>
          <w:color w:val="000000" w:themeColor="text1"/>
        </w:rPr>
        <w:t>The scale parameters reported at the bottom of Table 3 characterize the covariance structure of the nominal outcome component. The constants and threshold parameters do not have any meaningful interpretation and are included to best match the observed and predicted shares for each outcome.</w:t>
      </w:r>
    </w:p>
    <w:p w14:paraId="0FD1704A" w14:textId="77777777" w:rsidR="00280295" w:rsidRPr="00AE0F5E" w:rsidRDefault="00280295" w:rsidP="00280295">
      <w:pPr>
        <w:ind w:firstLine="720"/>
      </w:pPr>
    </w:p>
    <w:p w14:paraId="0E06AB29" w14:textId="3A7CD639" w:rsidR="00D068C0" w:rsidRPr="000F2C22" w:rsidRDefault="00D068C0" w:rsidP="00D068C0">
      <w:pPr>
        <w:pStyle w:val="Heading3"/>
        <w:rPr>
          <w:i w:val="0"/>
          <w:iCs/>
        </w:rPr>
      </w:pPr>
      <w:r w:rsidRPr="000F2C22">
        <w:rPr>
          <w:i w:val="0"/>
          <w:iCs/>
        </w:rPr>
        <w:t>4.</w:t>
      </w:r>
      <w:r w:rsidR="00011A4C" w:rsidRPr="000F2C22">
        <w:rPr>
          <w:i w:val="0"/>
          <w:iCs/>
        </w:rPr>
        <w:t>1</w:t>
      </w:r>
      <w:r w:rsidRPr="000F2C22">
        <w:rPr>
          <w:i w:val="0"/>
          <w:iCs/>
        </w:rPr>
        <w:t xml:space="preserve">. </w:t>
      </w:r>
      <w:r w:rsidR="000F2C22">
        <w:rPr>
          <w:i w:val="0"/>
          <w:iCs/>
        </w:rPr>
        <w:t xml:space="preserve"> </w:t>
      </w:r>
      <w:r w:rsidR="003A4983" w:rsidRPr="000F2C22">
        <w:rPr>
          <w:i w:val="0"/>
          <w:iCs/>
        </w:rPr>
        <w:t>Effects of Socio-Demographic Variables</w:t>
      </w:r>
    </w:p>
    <w:p w14:paraId="3D750FD4" w14:textId="3055836F" w:rsidR="000F2C22" w:rsidRPr="003C41E1" w:rsidRDefault="000F2C22" w:rsidP="000F2C22">
      <w:r w:rsidRPr="000F2C22">
        <w:t xml:space="preserve">The model reveals meaningful variation in work arrangements, commute frequency, and </w:t>
      </w:r>
      <w:r w:rsidR="005F6420">
        <w:rPr>
          <w:rFonts w:eastAsia="Calibri"/>
        </w:rPr>
        <w:t>work-from-home</w:t>
      </w:r>
      <w:r w:rsidR="005F6420" w:rsidRPr="00A321F3">
        <w:rPr>
          <w:rFonts w:eastAsia="Calibri"/>
        </w:rPr>
        <w:t xml:space="preserve"> </w:t>
      </w:r>
      <w:r w:rsidRPr="000F2C22">
        <w:t xml:space="preserve">motivations across individual and household characteristics. </w:t>
      </w:r>
      <w:r w:rsidR="00033793" w:rsidRPr="00033793">
        <w:t>Age-related effects are concentrated among mid-career workers.</w:t>
      </w:r>
      <w:r w:rsidR="00033793">
        <w:t xml:space="preserve"> </w:t>
      </w:r>
      <w:r w:rsidRPr="000F2C22">
        <w:t xml:space="preserve">Individuals between 25 and 54 years of age are more likely to adopt hybrid work arrangements, while those between 35 and 54 years are more likely to work fully remotely from a third location. These patterns are consistent with evidence that mid-career workers have been especially likely to retain hybrid and remote work practices in the </w:t>
      </w:r>
      <w:r w:rsidR="00710FC2">
        <w:t>post</w:t>
      </w:r>
      <w:r w:rsidRPr="000F2C22">
        <w:t>-</w:t>
      </w:r>
      <w:r w:rsidR="00CB4856">
        <w:t>pandemic</w:t>
      </w:r>
      <w:r w:rsidRPr="000F2C22">
        <w:t xml:space="preserve"> era </w:t>
      </w:r>
      <w:r w:rsidR="00710FC2">
        <w:t xml:space="preserve">owing to their work experience and lifecycle stage </w:t>
      </w:r>
      <w:r w:rsidRPr="000F2C22">
        <w:t xml:space="preserve">(Anik and Habib 2025; Sweet and Scott 2026). Workers aged 65 years or older are less likely to identify time savings or work-life balance as reasons for working from home, suggesting that telework may offer fewer benefits along these dimensions </w:t>
      </w:r>
      <w:r w:rsidRPr="003C41E1">
        <w:t>for older workers (Scheibe et al. 2024).</w:t>
      </w:r>
    </w:p>
    <w:p w14:paraId="4EECFE86" w14:textId="2ACC15B2" w:rsidR="000F2C22" w:rsidRPr="000F2C22" w:rsidRDefault="000F2C22" w:rsidP="00710FC2">
      <w:pPr>
        <w:ind w:firstLine="720"/>
      </w:pPr>
      <w:r w:rsidRPr="003C41E1">
        <w:t xml:space="preserve">Educational attainment differentiates fully remote work from hybrid work. Individuals with at least a bachelor’s degree are less likely to adopt </w:t>
      </w:r>
      <w:r w:rsidR="003C41E1" w:rsidRPr="003C41E1">
        <w:t>fully remote</w:t>
      </w:r>
      <w:r w:rsidRPr="003C41E1">
        <w:t xml:space="preserve"> arrangement</w:t>
      </w:r>
      <w:r w:rsidR="003C41E1" w:rsidRPr="003C41E1">
        <w:t>s (either HB or TLB)</w:t>
      </w:r>
      <w:r w:rsidRPr="003C41E1">
        <w:t>. This finding should not be interpreted as evidence of lower telework propensity among highly educated workers. Rather</w:t>
      </w:r>
      <w:r w:rsidRPr="000F2C22">
        <w:t>, it suggests that they may be more likely to combine remote work with continued workplace attendance.</w:t>
      </w:r>
      <w:r w:rsidR="003C41E1">
        <w:t xml:space="preserve"> </w:t>
      </w:r>
      <w:r w:rsidR="003C41E1" w:rsidRPr="003C41E1">
        <w:t xml:space="preserve">Many knowledge-intensive </w:t>
      </w:r>
      <w:r w:rsidRPr="000F2C22">
        <w:t>occupations often support telework while still placing value on in-person collaboration, networking, and team interaction (Anik and Habib 2025).</w:t>
      </w:r>
    </w:p>
    <w:p w14:paraId="74ED3198" w14:textId="3512A6AC" w:rsidR="000F2C22" w:rsidRPr="000F2C22" w:rsidRDefault="000F2C22" w:rsidP="00710FC2">
      <w:pPr>
        <w:ind w:firstLine="720"/>
      </w:pPr>
      <w:r w:rsidRPr="000F2C22">
        <w:t xml:space="preserve">Race and gender effects emerge more selectively through </w:t>
      </w:r>
      <w:r w:rsidR="005F6420">
        <w:rPr>
          <w:rFonts w:eastAsia="Calibri"/>
        </w:rPr>
        <w:t>work-from-home</w:t>
      </w:r>
      <w:r w:rsidR="005F6420" w:rsidRPr="00A321F3">
        <w:rPr>
          <w:rFonts w:eastAsia="Calibri"/>
        </w:rPr>
        <w:t xml:space="preserve"> </w:t>
      </w:r>
      <w:r w:rsidRPr="000F2C22">
        <w:t>motivations. Black workers show a marginally lower propensity to identify commute time savings as a reason for working from home. White workers are more likely to cite the work environment, while Asian men exhibit a similar tendency. These patterns may reflect differences in home workspace, workplace experience, or other unobserved circumstances. The available data do not permit a definitive explanation, and the results should therefore be interpreted cautiously.</w:t>
      </w:r>
    </w:p>
    <w:p w14:paraId="4A948908" w14:textId="164D3691" w:rsidR="000F2C22" w:rsidRPr="000F2C22" w:rsidRDefault="000F2C22" w:rsidP="00710FC2">
      <w:pPr>
        <w:ind w:firstLine="720"/>
      </w:pPr>
      <w:r w:rsidRPr="000F2C22">
        <w:t xml:space="preserve">Mobility challenges display one of the clearest and most consistent relationships in the model. Workers who experience health conditions or anxieties that make transportation difficult are more likely to adopt </w:t>
      </w:r>
      <w:r w:rsidR="00791B95">
        <w:t>all forms of telework arrangements</w:t>
      </w:r>
      <w:r w:rsidRPr="000F2C22">
        <w:t xml:space="preserve">. </w:t>
      </w:r>
      <w:r w:rsidR="003C41E1">
        <w:t>They also exhibit</w:t>
      </w:r>
      <w:r w:rsidRPr="000F2C22">
        <w:t xml:space="preserve"> a tendency to commute fewer days</w:t>
      </w:r>
      <w:r w:rsidR="00791B95">
        <w:t xml:space="preserve"> should they choose to engage in hybrid work relative to those without </w:t>
      </w:r>
      <w:r w:rsidR="00791B95">
        <w:lastRenderedPageBreak/>
        <w:t>mobility challenges</w:t>
      </w:r>
      <w:r w:rsidR="003C41E1">
        <w:t>,</w:t>
      </w:r>
      <w:r w:rsidR="00A24FDF">
        <w:t xml:space="preserve"> with the main motivation for such an arrangement being to improve</w:t>
      </w:r>
      <w:r w:rsidRPr="000F2C22">
        <w:t xml:space="preserve"> work-life balance.</w:t>
      </w:r>
      <w:r w:rsidR="003C41E1">
        <w:t xml:space="preserve"> </w:t>
      </w:r>
      <w:r w:rsidRPr="000F2C22">
        <w:t>These findings reinforce the role of telework as an accessibility strategy that can reduce the burden of reaching a conventional workplace</w:t>
      </w:r>
      <w:r w:rsidR="003C41E1">
        <w:t xml:space="preserve">, </w:t>
      </w:r>
      <w:r w:rsidR="003C41E1" w:rsidRPr="000F2C22">
        <w:t>support</w:t>
      </w:r>
      <w:r w:rsidR="003C41E1">
        <w:t>ing</w:t>
      </w:r>
      <w:r w:rsidRPr="000F2C22">
        <w:t xml:space="preserve"> labor-force participation among individuals with mobility limitations (Ameri et al. 2023; Lake and Maidment 2023). They also align with evidence that workers with disabilities often face added challenges in balancing employment and non-work responsibilities (</w:t>
      </w:r>
      <w:proofErr w:type="spellStart"/>
      <w:r w:rsidRPr="000F2C22">
        <w:t>Jammaers</w:t>
      </w:r>
      <w:proofErr w:type="spellEnd"/>
      <w:r w:rsidRPr="000F2C22">
        <w:t xml:space="preserve"> and Williams 2021).</w:t>
      </w:r>
    </w:p>
    <w:p w14:paraId="3F59D8A4" w14:textId="2E0A0145" w:rsidR="000F2C22" w:rsidRPr="000F2C22" w:rsidRDefault="000F2C22" w:rsidP="00710FC2">
      <w:pPr>
        <w:ind w:firstLine="720"/>
      </w:pPr>
      <w:r w:rsidRPr="000F2C22">
        <w:t xml:space="preserve">Income effects vary across outcomes and do not </w:t>
      </w:r>
      <w:r w:rsidR="00710FC2">
        <w:t>exhibit a straightforward pattern</w:t>
      </w:r>
      <w:r w:rsidRPr="000F2C22">
        <w:t xml:space="preserve">. Workers in households earning between $25,000 and $99,999 are less likely to adopt hybrid arrangements, while those with incomes below $50,000 </w:t>
      </w:r>
      <w:r w:rsidR="001B5A54">
        <w:t>exhibit</w:t>
      </w:r>
      <w:r w:rsidRPr="000F2C22">
        <w:t xml:space="preserve"> a tendency to commute more frequently</w:t>
      </w:r>
      <w:r w:rsidR="00791B95">
        <w:t xml:space="preserve"> should they adopt a hybrid work arrangement</w:t>
      </w:r>
      <w:r w:rsidRPr="000F2C22">
        <w:t xml:space="preserve">. These patterns likely reflect occupational differences </w:t>
      </w:r>
      <w:r w:rsidR="003C41E1">
        <w:t>between income levels, as</w:t>
      </w:r>
      <w:r w:rsidRPr="000F2C22">
        <w:t xml:space="preserve"> many lower- and moderate-income jobs are less amenable to remote work (Anik and Habib 2025; Asmussen et al. 2023). At the same time, commute costs are </w:t>
      </w:r>
      <w:r w:rsidR="003C41E1">
        <w:t xml:space="preserve">an important </w:t>
      </w:r>
      <w:r w:rsidR="005F6420">
        <w:rPr>
          <w:rFonts w:eastAsia="Calibri"/>
        </w:rPr>
        <w:t>work-from-home</w:t>
      </w:r>
      <w:r w:rsidR="005F6420" w:rsidRPr="00A321F3">
        <w:rPr>
          <w:rFonts w:eastAsia="Calibri"/>
        </w:rPr>
        <w:t xml:space="preserve"> </w:t>
      </w:r>
      <w:r w:rsidR="003C41E1" w:rsidRPr="000F2C22">
        <w:t>motivatio</w:t>
      </w:r>
      <w:r w:rsidR="003C41E1">
        <w:t>n</w:t>
      </w:r>
      <w:r w:rsidRPr="000F2C22">
        <w:t xml:space="preserve"> among workers in households earning between $25,000 and $99,999, and a similar but weaker association appears for those earning between $100,000 and $199,999. Workers in households earning at least $100,000 are more likely to cite work-life balance, while those earning at least $150,000 are more likely to cite time savings. The latter result is consistent with evidence that the value placed on time tends to increase with income (Huda et al. 2023; Lara-Pulido and Martinez-Cruz 2022; Nagler et al. 2024).</w:t>
      </w:r>
    </w:p>
    <w:p w14:paraId="74D8D228" w14:textId="06567196" w:rsidR="000F2C22" w:rsidRPr="000F2C22" w:rsidRDefault="000F2C22" w:rsidP="00710FC2">
      <w:pPr>
        <w:ind w:firstLine="720"/>
      </w:pPr>
      <w:r w:rsidRPr="000F2C22">
        <w:t xml:space="preserve">Household composition produces another set of important contrasts. Hybrid workers in nuclear families and households with four or more members commute more frequently. Larger households may create competing demands for space and attention, reducing the attractiveness of working from home on many days (de Abreu e Silva 2022; Tahlyan et al. 2022). Nevertheless, the presence of children increases the likelihood of adopting a hybrid arrangement and strengthens work-life balance as a </w:t>
      </w:r>
      <w:r w:rsidR="005F6420">
        <w:rPr>
          <w:rFonts w:eastAsia="Calibri"/>
        </w:rPr>
        <w:t>work-from-home</w:t>
      </w:r>
      <w:r w:rsidR="005F6420" w:rsidRPr="00A321F3">
        <w:rPr>
          <w:rFonts w:eastAsia="Calibri"/>
        </w:rPr>
        <w:t xml:space="preserve"> </w:t>
      </w:r>
      <w:r w:rsidRPr="000F2C22">
        <w:t>motivation. This pattern is consistent with prior evidence that parents use hybrid work to manage household and caregiving responsibilities while maintaining some workplace presence (Anik and Habib 2025; Asmussen et al. 2023; Asmussen</w:t>
      </w:r>
      <w:r w:rsidR="00EC480F">
        <w:t>, Mondal, and Bhat</w:t>
      </w:r>
      <w:r w:rsidR="006F5AD7">
        <w:t xml:space="preserve"> </w:t>
      </w:r>
      <w:r w:rsidRPr="000F2C22">
        <w:t xml:space="preserve">2024). Women with children show a </w:t>
      </w:r>
      <w:r w:rsidR="003C41E1">
        <w:t>reduced</w:t>
      </w:r>
      <w:r w:rsidRPr="000F2C22">
        <w:t xml:space="preserve"> propensity to cite time savings, suggesting that the appeal of working from home for this group may be tied more closely to caregiving flexibility than to commute reduction alone</w:t>
      </w:r>
      <w:r w:rsidR="003C41E1">
        <w:t xml:space="preserve">. </w:t>
      </w:r>
      <w:r w:rsidR="003C41E1" w:rsidRPr="003C41E1">
        <w:t xml:space="preserve">Often taking on the role of primary caregiver within the home, women with children may be more likely to see commuting time as a reprieve from caregiving responsibilities, valuing this period as a break from household tasks </w:t>
      </w:r>
      <w:r w:rsidRPr="000F2C22">
        <w:t>(Asmussen et al. 2022; Craig and Mullan 2010). Workers in single-worker households are also more likely to identify commute cost savings as a motivation</w:t>
      </w:r>
      <w:r w:rsidR="00710FC2">
        <w:t xml:space="preserve">, consistent with the notion that such households may be seeking ways to stretch their household budget on one worker’s income. </w:t>
      </w:r>
    </w:p>
    <w:p w14:paraId="1163CBBB" w14:textId="3E701B33" w:rsidR="00474CC9" w:rsidRDefault="000F2C22" w:rsidP="00464AD9">
      <w:pPr>
        <w:ind w:firstLine="720"/>
      </w:pPr>
      <w:r w:rsidRPr="000F2C22">
        <w:t xml:space="preserve">Homeownership increases the likelihood of hybrid and fully remote </w:t>
      </w:r>
      <w:r w:rsidR="00320D34">
        <w:t>HB</w:t>
      </w:r>
      <w:r w:rsidRPr="000F2C22">
        <w:t xml:space="preserve"> arrangements. Homeowners are also more likely to cite time savings and work-life balance as reasons for working from home. Greater control over the residential environment and the availability of suitable workspace may make </w:t>
      </w:r>
      <w:r w:rsidR="00320D34">
        <w:t>HB</w:t>
      </w:r>
      <w:r w:rsidRPr="000F2C22">
        <w:t xml:space="preserve"> work more feasible and productive</w:t>
      </w:r>
      <w:r w:rsidR="00B002BF">
        <w:t xml:space="preserve"> for these households</w:t>
      </w:r>
      <w:r w:rsidRPr="000F2C22">
        <w:t xml:space="preserve"> (Anik and Habib 2025; Asmussen</w:t>
      </w:r>
      <w:r w:rsidR="00EC480F">
        <w:t xml:space="preserve">, Mondal, and Bhat </w:t>
      </w:r>
      <w:r w:rsidRPr="000F2C22">
        <w:t xml:space="preserve">2024). Finally, workers in vehicle-deficient households are more likely to adopt all three telework arrangements. Telework may help these households manage limited vehicle availability, although the relationship may also reflect self-selection if households reduce vehicle ownership after adopting remote work (Han et al. 2026; </w:t>
      </w:r>
      <w:proofErr w:type="spellStart"/>
      <w:r w:rsidRPr="000F2C22">
        <w:t>Iogansen</w:t>
      </w:r>
      <w:proofErr w:type="spellEnd"/>
      <w:r w:rsidRPr="000F2C22">
        <w:t xml:space="preserve"> et al. 2024; Tahlyan et al. 2022).</w:t>
      </w:r>
      <w:r w:rsidR="00464AD9">
        <w:t xml:space="preserve"> </w:t>
      </w:r>
      <w:r w:rsidR="00474CC9" w:rsidRPr="00474CC9">
        <w:t xml:space="preserve">Overall, the results show that work arrangements reflect the influence of life-cycle stage, mobility capability, income, household composition, housing circumstances, and vehicle availability. Collectively, these factors influence not only the propensity to engage in </w:t>
      </w:r>
      <w:r w:rsidR="00474CC9" w:rsidRPr="00474CC9">
        <w:lastRenderedPageBreak/>
        <w:t>telework, but also the frequency of workplace attendance among hybrid workers and the motivations underlying work-from-home behavior.</w:t>
      </w:r>
    </w:p>
    <w:p w14:paraId="42466147" w14:textId="77777777" w:rsidR="00474CC9" w:rsidRPr="003A657E" w:rsidRDefault="00474CC9" w:rsidP="00474CC9">
      <w:pPr>
        <w:ind w:firstLine="720"/>
      </w:pPr>
    </w:p>
    <w:p w14:paraId="5A225FC4" w14:textId="6B38AB77" w:rsidR="003A4983" w:rsidRPr="009D3371" w:rsidRDefault="00AE0F5E" w:rsidP="00AE0F5E">
      <w:pPr>
        <w:pStyle w:val="Heading3"/>
        <w:rPr>
          <w:i w:val="0"/>
          <w:iCs/>
        </w:rPr>
      </w:pPr>
      <w:r w:rsidRPr="009D3371">
        <w:rPr>
          <w:i w:val="0"/>
          <w:iCs/>
        </w:rPr>
        <w:t xml:space="preserve">4.2. </w:t>
      </w:r>
      <w:r w:rsidR="003A4983" w:rsidRPr="009D3371">
        <w:rPr>
          <w:i w:val="0"/>
          <w:iCs/>
        </w:rPr>
        <w:t xml:space="preserve">Effects of </w:t>
      </w:r>
      <w:r w:rsidR="009D3371">
        <w:rPr>
          <w:i w:val="0"/>
          <w:iCs/>
        </w:rPr>
        <w:t>Built Environment</w:t>
      </w:r>
      <w:r w:rsidR="003A4983" w:rsidRPr="009D3371">
        <w:rPr>
          <w:i w:val="0"/>
          <w:iCs/>
        </w:rPr>
        <w:t xml:space="preserve"> Variables</w:t>
      </w:r>
    </w:p>
    <w:p w14:paraId="71EE89AE" w14:textId="766A0E77" w:rsidR="009D3371" w:rsidRPr="009D3371" w:rsidRDefault="009D3371" w:rsidP="00464AD9">
      <w:r w:rsidRPr="009D3371">
        <w:t xml:space="preserve">Built-environment </w:t>
      </w:r>
      <w:r w:rsidR="001B5A54">
        <w:t>attributes</w:t>
      </w:r>
      <w:r w:rsidRPr="009D3371">
        <w:t xml:space="preserve"> are associated primarily with commute frequency and with selected motivations for working from home. </w:t>
      </w:r>
      <w:r w:rsidR="00CD2152">
        <w:t>Individuals</w:t>
      </w:r>
      <w:r w:rsidRPr="009D3371">
        <w:t xml:space="preserve"> residing in high population-density areas commute more frequently than those living in lower-density settings. One possible explanation is that dense residential environments offer better access to employment and transportation options, thereby reducing the burden associated with workplace travel. Smaller residential units in such areas may also make the conventional workplace more attractive for completing paid work (</w:t>
      </w:r>
      <w:r w:rsidR="006F5AD7">
        <w:t xml:space="preserve">Rahman </w:t>
      </w:r>
      <w:r w:rsidRPr="009D3371">
        <w:t>Fatmi et al. 2022</w:t>
      </w:r>
      <w:r w:rsidR="003C38AC">
        <w:t>;</w:t>
      </w:r>
      <w:r w:rsidR="003C38AC" w:rsidRPr="003C38AC">
        <w:t xml:space="preserve"> </w:t>
      </w:r>
      <w:proofErr w:type="spellStart"/>
      <w:r w:rsidR="003C38AC" w:rsidRPr="009D3371">
        <w:t>Z’Rotz</w:t>
      </w:r>
      <w:proofErr w:type="spellEnd"/>
      <w:r w:rsidR="003C38AC" w:rsidRPr="009D3371">
        <w:t xml:space="preserve"> et al. 2026</w:t>
      </w:r>
      <w:r w:rsidRPr="009D3371">
        <w:t xml:space="preserve">). This result differs from prior findings that generally associate dense urban environments with greater telework activity (Barrero et al. 2023), suggesting that the influence of density may vary </w:t>
      </w:r>
      <w:r>
        <w:t>based on context and work dimensions</w:t>
      </w:r>
      <w:r w:rsidRPr="009D3371">
        <w:t>.</w:t>
      </w:r>
      <w:r w:rsidR="00464AD9">
        <w:t xml:space="preserve"> </w:t>
      </w:r>
      <w:r w:rsidRPr="009D3371">
        <w:t xml:space="preserve">Employment density exhibits the opposite relationship. </w:t>
      </w:r>
      <w:r w:rsidR="00CD2152">
        <w:t>Individuals</w:t>
      </w:r>
      <w:r w:rsidRPr="009D3371">
        <w:t xml:space="preserve"> residing in areas with medium or high employment density commute less frequently</w:t>
      </w:r>
      <w:r w:rsidR="00791B95">
        <w:t xml:space="preserve"> should they adopt a hybrid work arrangement</w:t>
      </w:r>
      <w:r w:rsidRPr="009D3371">
        <w:t xml:space="preserve">. Workers in high employment-density areas are also more likely to identify commute cost savings as a motivation for working from home. These patterns may reflect the greater congestion, parking costs, and other travel burdens commonly associated with dense employment centers (Asmussen et al. 2023; </w:t>
      </w:r>
      <w:r w:rsidR="003C38AC" w:rsidRPr="009D3371">
        <w:t xml:space="preserve">Sener and Bhat 2011; </w:t>
      </w:r>
      <w:r w:rsidRPr="009D3371">
        <w:t xml:space="preserve">Wang et al. 2023). The contrasting effects of population and employment density point to distinct built-environment influences. High residential density may make workplace access more convenient or reduce the suitability of the home for paid work, leading </w:t>
      </w:r>
      <w:r w:rsidR="00CD2152">
        <w:t xml:space="preserve">workers </w:t>
      </w:r>
      <w:r w:rsidRPr="009D3371">
        <w:t>to commute more often. High employment density, in contrast, may increase the time and monetary costs of workplace travel, encouraging workers to reduce commute frequency. These interpretations should be viewed with some caution because the built-environment measures are based on residential location and may capture several related neighborhood characteristics.</w:t>
      </w:r>
    </w:p>
    <w:p w14:paraId="6724C4DB" w14:textId="3A186C26" w:rsidR="009D3371" w:rsidRPr="009D3371" w:rsidRDefault="009D3371" w:rsidP="007A7EF7">
      <w:pPr>
        <w:ind w:firstLine="720"/>
      </w:pPr>
      <w:r w:rsidRPr="009D3371">
        <w:t xml:space="preserve">Walkability and transit accessibility are associated with </w:t>
      </w:r>
      <w:r w:rsidR="005F6420">
        <w:rPr>
          <w:rFonts w:eastAsia="Calibri"/>
        </w:rPr>
        <w:t>work-from-home</w:t>
      </w:r>
      <w:r w:rsidR="005F6420" w:rsidRPr="00A321F3">
        <w:rPr>
          <w:rFonts w:eastAsia="Calibri"/>
        </w:rPr>
        <w:t xml:space="preserve"> </w:t>
      </w:r>
      <w:r w:rsidRPr="009D3371">
        <w:t xml:space="preserve">motivations rather than work arrangement or commute frequency. Workers residing in highly walkable areas are more likely to cite the work environment as a reason for working from home. Walkability may capture broader neighborhood qualities, including access to nearby services and amenities, that enhance the appeal of working from home (Yang et al. 2025). Workers with low transit accessibility to employment are more likely to identify commute cost savings as a motivation, suggesting that limited access to lower-cost transportation options </w:t>
      </w:r>
      <w:r w:rsidR="007A7EF7">
        <w:t>may increase the fi</w:t>
      </w:r>
      <w:r w:rsidRPr="009D3371">
        <w:t xml:space="preserve">nancial burden of workplace travel </w:t>
      </w:r>
      <w:r w:rsidR="007A7EF7">
        <w:t xml:space="preserve">if </w:t>
      </w:r>
      <w:r w:rsidR="00464AD9">
        <w:t>commuting by private vehicle</w:t>
      </w:r>
      <w:r w:rsidR="007A7EF7">
        <w:t xml:space="preserve"> is the only viable option </w:t>
      </w:r>
      <w:r w:rsidRPr="009D3371">
        <w:t>(</w:t>
      </w:r>
      <w:r w:rsidR="003C38AC" w:rsidRPr="009D3371">
        <w:t>Dong 2021</w:t>
      </w:r>
      <w:r w:rsidR="003C38AC">
        <w:t xml:space="preserve">; </w:t>
      </w:r>
      <w:proofErr w:type="spellStart"/>
      <w:r w:rsidRPr="009D3371">
        <w:t>Thakuriah</w:t>
      </w:r>
      <w:proofErr w:type="spellEnd"/>
      <w:r w:rsidRPr="009D3371">
        <w:t xml:space="preserve"> et al. 2013).</w:t>
      </w:r>
    </w:p>
    <w:p w14:paraId="204E102F" w14:textId="77777777" w:rsidR="001F3A45" w:rsidRPr="003A657E" w:rsidRDefault="001F3A45" w:rsidP="001F3A45">
      <w:pPr>
        <w:pStyle w:val="ListParagraph"/>
      </w:pPr>
    </w:p>
    <w:p w14:paraId="404C4C03" w14:textId="28515013" w:rsidR="00AE0F5E" w:rsidRPr="00935F2D" w:rsidRDefault="00AE0F5E" w:rsidP="00AE0F5E">
      <w:pPr>
        <w:pStyle w:val="Heading3"/>
        <w:rPr>
          <w:i w:val="0"/>
          <w:iCs/>
        </w:rPr>
      </w:pPr>
      <w:r w:rsidRPr="00935F2D">
        <w:rPr>
          <w:i w:val="0"/>
          <w:iCs/>
        </w:rPr>
        <w:t xml:space="preserve">4.3. </w:t>
      </w:r>
      <w:r w:rsidR="003A4983" w:rsidRPr="00935F2D">
        <w:rPr>
          <w:i w:val="0"/>
          <w:iCs/>
        </w:rPr>
        <w:t xml:space="preserve">Effects of </w:t>
      </w:r>
      <w:r w:rsidR="00464AD9">
        <w:rPr>
          <w:i w:val="0"/>
          <w:iCs/>
        </w:rPr>
        <w:t>Work-Related</w:t>
      </w:r>
      <w:r w:rsidR="003A4983" w:rsidRPr="00935F2D">
        <w:rPr>
          <w:i w:val="0"/>
          <w:iCs/>
        </w:rPr>
        <w:t xml:space="preserve"> Variables</w:t>
      </w:r>
    </w:p>
    <w:p w14:paraId="3A775B1B" w14:textId="3E6955D2" w:rsidR="00935F2D" w:rsidRPr="00935F2D" w:rsidRDefault="00935F2D" w:rsidP="00464AD9">
      <w:r w:rsidRPr="00935F2D">
        <w:t xml:space="preserve">Control over work schedule and locations plays a central role in shaping work arrangements. </w:t>
      </w:r>
      <w:r w:rsidR="00464AD9">
        <w:t xml:space="preserve">Relative to those with </w:t>
      </w:r>
      <w:r w:rsidR="00791B95">
        <w:t>no</w:t>
      </w:r>
      <w:r w:rsidR="00464AD9">
        <w:t xml:space="preserve"> schedule control, </w:t>
      </w:r>
      <w:r w:rsidR="00791B95">
        <w:t>w</w:t>
      </w:r>
      <w:r w:rsidRPr="00935F2D">
        <w:t xml:space="preserve">orkers with </w:t>
      </w:r>
      <w:r w:rsidR="00464AD9">
        <w:t xml:space="preserve">some </w:t>
      </w:r>
      <w:r w:rsidR="00791B95">
        <w:t>or full</w:t>
      </w:r>
      <w:r w:rsidR="00464AD9">
        <w:t xml:space="preserve"> c</w:t>
      </w:r>
      <w:r w:rsidRPr="00935F2D">
        <w:t xml:space="preserve">ontrol over their schedules are substantially </w:t>
      </w:r>
      <w:r w:rsidR="00791B95">
        <w:t>more</w:t>
      </w:r>
      <w:r w:rsidRPr="00935F2D">
        <w:t xml:space="preserve"> likely to adopt a hybrid arrangement. In contrast, </w:t>
      </w:r>
      <w:r w:rsidR="00791B95">
        <w:t>this group with some or full schedule control</w:t>
      </w:r>
      <w:r w:rsidRPr="00935F2D">
        <w:t xml:space="preserve"> </w:t>
      </w:r>
      <w:r w:rsidR="00791B95">
        <w:t>is</w:t>
      </w:r>
      <w:r w:rsidRPr="00935F2D">
        <w:t xml:space="preserve"> more likely to work fully remotely, whether from home or from a third location. These patterns suggest that schedule flexibility is especially important for sustaining arrangements that </w:t>
      </w:r>
      <w:r>
        <w:t>reduce or eliminate</w:t>
      </w:r>
      <w:r w:rsidRPr="00935F2D">
        <w:t xml:space="preserve"> regular workplace attendance.</w:t>
      </w:r>
      <w:r w:rsidR="00464AD9">
        <w:t xml:space="preserve"> </w:t>
      </w:r>
      <w:r w:rsidRPr="00935F2D">
        <w:t xml:space="preserve">Location control has an even stronger relationship with work arrangement. Workers with some control over where they perform their jobs are considerably more likely to adopt a hybrid arrangement and are also more likely to work fully remotely from either home or a third location. Full location control produces a similar </w:t>
      </w:r>
      <w:r w:rsidRPr="00935F2D">
        <w:lastRenderedPageBreak/>
        <w:t>pattern, although its association with hybrid work is smaller than that observed for some location control. One possible interpretation is that limited location flexibility often takes the form of a structured hybrid arrangement, whereas workers with complete discretion may distribute themselves more broadly across hybrid and fully remote alternatives.</w:t>
      </w:r>
    </w:p>
    <w:p w14:paraId="5C1B4243" w14:textId="5C829154" w:rsidR="00935F2D" w:rsidRPr="00935F2D" w:rsidRDefault="00935F2D" w:rsidP="00464AD9">
      <w:pPr>
        <w:ind w:firstLine="720"/>
      </w:pPr>
      <w:r w:rsidRPr="00935F2D">
        <w:t xml:space="preserve">The influence of schedule and location control on commute frequency is more limited. </w:t>
      </w:r>
      <w:r w:rsidR="00791B95">
        <w:t>W</w:t>
      </w:r>
      <w:r w:rsidRPr="00935F2D">
        <w:t>orkers with full control over work location show a tendency to commute fewer days</w:t>
      </w:r>
      <w:r w:rsidR="00791B95">
        <w:t xml:space="preserve"> when they engage in hybrid arrangements</w:t>
      </w:r>
      <w:r w:rsidRPr="00935F2D">
        <w:t>. No comparable commute-frequency effects emerge for schedule control or for intermediate levels of location control. Thus, employer and job-related flexibility appears to exert its strongest influence on the type of work arrangement selected, while playing a more modest role in determining the number of commute days within a hybrid arrangement.</w:t>
      </w:r>
      <w:r w:rsidR="00464AD9">
        <w:t xml:space="preserve"> </w:t>
      </w:r>
      <w:r w:rsidRPr="00935F2D">
        <w:t>These results highlight the importance of institutional constraints. Work arrangements do not reflect worker preferences alone. Employers and the nature of the job define whether remote work is permitted and the degree of discretion available to the employee. When workers are granted greater control, they are more likely to take advantage of remote and hybrid arrangements.</w:t>
      </w:r>
    </w:p>
    <w:p w14:paraId="1CC9E599" w14:textId="1E249862" w:rsidR="00935F2D" w:rsidRPr="00935F2D" w:rsidRDefault="00935F2D" w:rsidP="00935F2D">
      <w:pPr>
        <w:ind w:firstLine="720"/>
      </w:pPr>
      <w:r w:rsidRPr="00935F2D">
        <w:t>Commute distance also shapes work arrangement decisions. Workers with commutes of at least five miles are more likely to adopt each of the three telework arrangements than to work fully in</w:t>
      </w:r>
      <w:r w:rsidR="00464AD9">
        <w:t>-</w:t>
      </w:r>
      <w:r w:rsidRPr="00935F2D">
        <w:t>person. This finding is consistent with previous evidence that the attractiveness of telework increases as the burden of workplace travel rises (Asmussen</w:t>
      </w:r>
      <w:r w:rsidR="00EC480F">
        <w:t xml:space="preserve">, Mondal, and Bhat </w:t>
      </w:r>
      <w:r w:rsidRPr="00935F2D">
        <w:t xml:space="preserve">2024; </w:t>
      </w:r>
      <w:proofErr w:type="spellStart"/>
      <w:r w:rsidRPr="00935F2D">
        <w:t>Versigghel</w:t>
      </w:r>
      <w:proofErr w:type="spellEnd"/>
      <w:r w:rsidRPr="00935F2D">
        <w:t xml:space="preserve"> et al. 2025; Wang et al. 2024). For those traveling at least 10 miles, saving money also emerges as a stronger motivation for working from home, reflecting the higher fuel, toll, fare, parking, and vehicle operating costs associated with longer commutes.</w:t>
      </w:r>
    </w:p>
    <w:p w14:paraId="35F91953" w14:textId="3B08959A" w:rsidR="00315F31" w:rsidRDefault="00F56CDD" w:rsidP="00F56CDD">
      <w:pPr>
        <w:ind w:firstLine="720"/>
      </w:pPr>
      <w:r>
        <w:t>The</w:t>
      </w:r>
      <w:r w:rsidR="00935F2D" w:rsidRPr="00935F2D">
        <w:t xml:space="preserve"> interaction effects provide additional insight into how commute distance and the built environment jointly shape work behavior. </w:t>
      </w:r>
      <w:r>
        <w:t>W</w:t>
      </w:r>
      <w:r w:rsidR="00935F2D" w:rsidRPr="00935F2D">
        <w:t xml:space="preserve">orkers with commutes shorter than five miles who reside in highly walkable areas </w:t>
      </w:r>
      <w:r>
        <w:t>exhibit higher commute frequencies</w:t>
      </w:r>
      <w:r w:rsidR="00791B95">
        <w:t xml:space="preserve"> when hybrid work is adopted</w:t>
      </w:r>
      <w:r w:rsidR="00935F2D" w:rsidRPr="00935F2D">
        <w:t xml:space="preserve">. Short and accessible workplace trips may make in-person attendance less burdensome, particularly when walking or other convenient travel options are available (Yang et al. 2025). In contrast, workers with commutes of at least five miles who reside in high population-density areas are more likely to identify both time savings and work-life balance as motivations for working from home. Longer travel distances in dense settings may translate into substantial travel-time burdens, making telework valuable not only for </w:t>
      </w:r>
      <w:r w:rsidR="00585FAC" w:rsidRPr="00935F2D">
        <w:t>avoiding commuting</w:t>
      </w:r>
      <w:r w:rsidR="00585FAC">
        <w:t xml:space="preserve">, </w:t>
      </w:r>
      <w:r w:rsidR="00935F2D" w:rsidRPr="00935F2D">
        <w:t>but also for</w:t>
      </w:r>
      <w:r w:rsidR="00585FAC">
        <w:t xml:space="preserve"> gaining time for</w:t>
      </w:r>
      <w:r w:rsidR="00935F2D" w:rsidRPr="00935F2D">
        <w:t xml:space="preserve"> personal and household responsibilities.</w:t>
      </w:r>
      <w:r>
        <w:t xml:space="preserve"> Taken together</w:t>
      </w:r>
      <w:r w:rsidR="00935F2D" w:rsidRPr="00935F2D">
        <w:t>, the</w:t>
      </w:r>
      <w:r>
        <w:t>se</w:t>
      </w:r>
      <w:r w:rsidR="00935F2D" w:rsidRPr="00935F2D">
        <w:t xml:space="preserve"> results </w:t>
      </w:r>
      <w:r>
        <w:t>illustrate</w:t>
      </w:r>
      <w:r w:rsidR="00935F2D" w:rsidRPr="00935F2D">
        <w:t xml:space="preserve"> that work arrangements reflect the combined influence of employer flexibility and commute burden. Control over schedule and location largely determines whether remote work is feasible, while commute distance </w:t>
      </w:r>
      <w:r>
        <w:t>shapes</w:t>
      </w:r>
      <w:r w:rsidR="00935F2D" w:rsidRPr="00935F2D">
        <w:t xml:space="preserve"> whether workers find telework attractive</w:t>
      </w:r>
      <w:r>
        <w:t xml:space="preserve"> </w:t>
      </w:r>
      <w:r w:rsidR="00935F2D" w:rsidRPr="00935F2D">
        <w:t xml:space="preserve">and </w:t>
      </w:r>
      <w:r w:rsidR="00585FAC">
        <w:t>the</w:t>
      </w:r>
      <w:r w:rsidR="00935F2D" w:rsidRPr="00935F2D">
        <w:t xml:space="preserve"> benefits they </w:t>
      </w:r>
      <w:r w:rsidR="00585FAC">
        <w:t xml:space="preserve">seek to </w:t>
      </w:r>
      <w:r w:rsidR="00935F2D" w:rsidRPr="00935F2D">
        <w:t>derive from it</w:t>
      </w:r>
      <w:r w:rsidR="00585FAC">
        <w:t xml:space="preserve">. </w:t>
      </w:r>
    </w:p>
    <w:p w14:paraId="619643E9" w14:textId="77777777" w:rsidR="003A4983" w:rsidRDefault="003A4983" w:rsidP="00E23CFD"/>
    <w:p w14:paraId="3F9E66BB" w14:textId="4158FE40" w:rsidR="00AE0F5E" w:rsidRPr="00585FAC" w:rsidRDefault="00585FAC" w:rsidP="00AE0F5E">
      <w:pPr>
        <w:pStyle w:val="Heading3"/>
        <w:rPr>
          <w:i w:val="0"/>
          <w:iCs/>
        </w:rPr>
      </w:pPr>
      <w:r w:rsidRPr="00585FAC">
        <w:rPr>
          <w:i w:val="0"/>
          <w:iCs/>
        </w:rPr>
        <w:t>4.4.  Correlations</w:t>
      </w:r>
    </w:p>
    <w:p w14:paraId="43109145" w14:textId="6654AAB4" w:rsidR="00585FAC" w:rsidRPr="00585FAC" w:rsidRDefault="00585FAC" w:rsidP="005E36CD">
      <w:r w:rsidRPr="00585FAC">
        <w:t xml:space="preserve">Several statistically significant correlations emerge across the stochastic components of the outcome equations, confirming that the modeled dimensions are linked through shared unobserved factors. These correlations represent associations among unobserved propensities after accounting for the explanatory variables included in the model. </w:t>
      </w:r>
      <w:r w:rsidR="00F56CDD" w:rsidRPr="00F56CDD">
        <w:t>Their significance provides strong support for the joint estimation framework, suggesting that estimating these dimensions independently would overlook important relationships and provide a less complete representation of the behavioral processes underlying work arrangements, telework motivations, and commute behavior.</w:t>
      </w:r>
    </w:p>
    <w:p w14:paraId="6DA1D80F" w14:textId="2AD5915E" w:rsidR="00585FAC" w:rsidRPr="00585FAC" w:rsidRDefault="00791B95" w:rsidP="00791B95">
      <w:pPr>
        <w:ind w:firstLine="720"/>
      </w:pPr>
      <w:r>
        <w:t xml:space="preserve">The scales and correlations corresponding to the work arrangement nominal variable refer to the differentiated error covariance matrix. As such, they are not interpretable, except if one makes the “non-unreasonable” assumptions that (1) the scale of utility for the fully in-person work </w:t>
      </w:r>
      <w:r>
        <w:lastRenderedPageBreak/>
        <w:t xml:space="preserve">arrangement is negligible relative to the scales of the three telework arrangements, and (2) there are no unobserved factors that generate a correlation between the utilities of the fully in-person work arrangement and the utility of the teleworking arrangements. With these assumptions, the positive and strong correlations between the telework arrangements </w:t>
      </w:r>
      <w:r w:rsidR="00585FAC" w:rsidRPr="00585FAC">
        <w:t>suggest that workers possess underlying orientations toward remote work that are not fully captured by observed socio-economic, household, built</w:t>
      </w:r>
      <w:r w:rsidR="00903DB2">
        <w:t xml:space="preserve"> </w:t>
      </w:r>
      <w:r w:rsidR="00585FAC" w:rsidRPr="00585FAC">
        <w:t>environment, and employment characteristics. Such factors may include preferences for autonomy, comfort with remote collaboration, or attitudes toward workplace attendance.</w:t>
      </w:r>
      <w:r>
        <w:t xml:space="preserve"> The scale ordering (see the row labeled “Scales” in Table 3) indicate</w:t>
      </w:r>
      <w:r w:rsidR="00B53C37">
        <w:t>s</w:t>
      </w:r>
      <w:r>
        <w:t xml:space="preserve"> the presence of much more unobserved variation in the utilities ascribed to hybrid and fully remote TLB arrangements relative to fully remote HB telework. </w:t>
      </w:r>
    </w:p>
    <w:p w14:paraId="34AB6164" w14:textId="2CF7FF7F" w:rsidR="00585FAC" w:rsidRPr="00585FAC" w:rsidRDefault="00585FAC" w:rsidP="00F56CDD">
      <w:pPr>
        <w:ind w:firstLine="720"/>
      </w:pPr>
      <w:r w:rsidRPr="00585FAC">
        <w:t xml:space="preserve">The </w:t>
      </w:r>
      <w:r w:rsidR="005F6420">
        <w:rPr>
          <w:rFonts w:eastAsia="Calibri"/>
        </w:rPr>
        <w:t>work-from-home</w:t>
      </w:r>
      <w:r w:rsidR="005F6420" w:rsidRPr="00A321F3">
        <w:rPr>
          <w:rFonts w:eastAsia="Calibri"/>
        </w:rPr>
        <w:t xml:space="preserve"> </w:t>
      </w:r>
      <w:r w:rsidRPr="00585FAC">
        <w:t>motivations also exhibit meaningful interdependence.</w:t>
      </w:r>
      <w:r w:rsidR="00F56CDD">
        <w:t xml:space="preserve"> </w:t>
      </w:r>
      <w:r w:rsidRPr="00585FAC">
        <w:t xml:space="preserve">The propensity to work from home to save time is positively correlated with the propensity to save money, reflecting the close connection between the temporal and financial burdens of commuting. Both motivations are positively correlated with work-life balance. Unobserved circumstances that make commute time or cost especially burdensome may also heighten the value of flexibility in managing personal and household responsibilities. These findings reinforce the notion that </w:t>
      </w:r>
      <w:r w:rsidR="005F6420">
        <w:rPr>
          <w:rFonts w:eastAsia="Calibri"/>
        </w:rPr>
        <w:t>work-from-home</w:t>
      </w:r>
      <w:r w:rsidR="005F6420" w:rsidRPr="00A321F3">
        <w:rPr>
          <w:rFonts w:eastAsia="Calibri"/>
        </w:rPr>
        <w:t xml:space="preserve"> </w:t>
      </w:r>
      <w:r w:rsidRPr="00585FAC">
        <w:t>motivations operate as a bundle rather than as isolated considerations.</w:t>
      </w:r>
      <w:r w:rsidR="00F56CDD">
        <w:t xml:space="preserve"> </w:t>
      </w:r>
      <w:r w:rsidRPr="00585FAC">
        <w:t xml:space="preserve">Negative correlations are observed between the propensity to adopt hybrid work and the motivation to obtain a better work environment, and between fully remote </w:t>
      </w:r>
      <w:r w:rsidR="00320D34">
        <w:t>HB</w:t>
      </w:r>
      <w:r w:rsidRPr="00585FAC">
        <w:t xml:space="preserve"> work and the same motivation. The first result may reflect an underlying preference among some hybrid workers for elements of the conventional workplace, including in-person interaction and separation between work and home life (Dale 2024; </w:t>
      </w:r>
      <w:proofErr w:type="spellStart"/>
      <w:r w:rsidRPr="00585FAC">
        <w:t>Kotýnková</w:t>
      </w:r>
      <w:proofErr w:type="spellEnd"/>
      <w:r w:rsidRPr="00585FAC">
        <w:t xml:space="preserve"> </w:t>
      </w:r>
      <w:proofErr w:type="spellStart"/>
      <w:r w:rsidRPr="00585FAC">
        <w:t>Krotká</w:t>
      </w:r>
      <w:proofErr w:type="spellEnd"/>
      <w:r w:rsidRPr="00585FAC">
        <w:t xml:space="preserve"> 2025). For fully remote </w:t>
      </w:r>
      <w:r w:rsidR="00320D34">
        <w:t>HB</w:t>
      </w:r>
      <w:r w:rsidRPr="00585FAC">
        <w:t xml:space="preserve"> workers, work environment may simply be less salient as a stated motivation because home already</w:t>
      </w:r>
      <w:r w:rsidR="00F56CDD">
        <w:t xml:space="preserve"> serves as</w:t>
      </w:r>
      <w:r w:rsidRPr="00585FAC">
        <w:t xml:space="preserve"> their established place of work.</w:t>
      </w:r>
      <w:r w:rsidR="00F56CDD">
        <w:t xml:space="preserve"> </w:t>
      </w:r>
      <w:r w:rsidRPr="00585FAC">
        <w:t xml:space="preserve">A positive correlation between saving time and seeking a better work environment is also present. This pattern suggests that some workers may view the elimination of the commute and the ability to work in a preferred setting as complementary benefits. By contrast, commute frequency does not exhibit statistically meaningful correlations with the other outcome dimensions after </w:t>
      </w:r>
      <w:r w:rsidR="00903DB2">
        <w:t xml:space="preserve">accounting for </w:t>
      </w:r>
      <w:r w:rsidRPr="00585FAC">
        <w:t>observed characteristics</w:t>
      </w:r>
      <w:r w:rsidR="00903DB2">
        <w:t>.</w:t>
      </w:r>
    </w:p>
    <w:p w14:paraId="069C9267" w14:textId="77777777" w:rsidR="00CD4FC6" w:rsidRDefault="00CD4FC6" w:rsidP="00903DB2"/>
    <w:p w14:paraId="1B77ED62" w14:textId="7123F731" w:rsidR="00CD4FC6" w:rsidRPr="003A657E" w:rsidRDefault="00CD4FC6" w:rsidP="00CD4FC6">
      <w:pPr>
        <w:pStyle w:val="Heading2"/>
      </w:pPr>
      <w:r>
        <w:t>4</w:t>
      </w:r>
      <w:r w:rsidR="00D068C0">
        <w:t>.</w:t>
      </w:r>
      <w:r w:rsidR="00001919">
        <w:t>5</w:t>
      </w:r>
      <w:r w:rsidR="00D068C0">
        <w:t xml:space="preserve">. </w:t>
      </w:r>
      <w:r w:rsidR="00D068C0" w:rsidRPr="003A657E">
        <w:t>Model Fit</w:t>
      </w:r>
    </w:p>
    <w:p w14:paraId="4B923478" w14:textId="16919A92" w:rsidR="00EF779F" w:rsidRPr="006221E8" w:rsidRDefault="007F557A" w:rsidP="00813CDE">
      <w:r>
        <w:t xml:space="preserve">To </w:t>
      </w:r>
      <w:r w:rsidR="00AD677F">
        <w:t>assess</w:t>
      </w:r>
      <w:r>
        <w:t xml:space="preserve"> the performance of the</w:t>
      </w:r>
      <w:r w:rsidR="00AD677F">
        <w:t xml:space="preserve"> proposed</w:t>
      </w:r>
      <w:r>
        <w:t xml:space="preserve"> joint model, it </w:t>
      </w:r>
      <w:r w:rsidR="00AD677F">
        <w:t>is</w:t>
      </w:r>
      <w:r>
        <w:t xml:space="preserve"> compared with an independent </w:t>
      </w:r>
      <w:r w:rsidR="00AD677F">
        <w:t>specification</w:t>
      </w:r>
      <w:r>
        <w:t xml:space="preserve"> </w:t>
      </w:r>
      <w:r w:rsidR="00AD677F">
        <w:t xml:space="preserve">that </w:t>
      </w:r>
      <w:r w:rsidR="00AD677F" w:rsidRPr="006221E8">
        <w:t xml:space="preserve">does not account for correlations across outcome dimensions. </w:t>
      </w:r>
      <w:r w:rsidR="005528B9" w:rsidRPr="006221E8">
        <w:t>Goodness-of-fit measures for both of these model formulations are</w:t>
      </w:r>
      <w:r w:rsidR="00D068C0" w:rsidRPr="006221E8">
        <w:t xml:space="preserve"> presented in the bottom portion of Table 3</w:t>
      </w:r>
      <w:r w:rsidR="00952C90" w:rsidRPr="006221E8">
        <w:t xml:space="preserve">. </w:t>
      </w:r>
      <w:r w:rsidR="00813CDE" w:rsidRPr="006221E8">
        <w:t xml:space="preserve">Specifically, we compute the log likelihood at convergence, </w:t>
      </w:r>
      <w:r w:rsidR="00813CDE" w:rsidRPr="006221E8">
        <w:rPr>
          <w:position w:val="-10"/>
        </w:rPr>
        <w:object w:dxaOrig="580" w:dyaOrig="380" w14:anchorId="54D5C688">
          <v:shape id="_x0000_i1127" type="#_x0000_t75" style="width:29.15pt;height:19.3pt" o:ole="">
            <v:imagedata r:id="rId216" o:title=""/>
          </v:shape>
          <o:OLEObject Type="Embed" ProgID="Equation.DSMT4" ShapeID="_x0000_i1127" DrawAspect="Content" ObjectID="_1847354409" r:id="rId217"/>
        </w:object>
      </w:r>
      <w:r w:rsidR="00813CDE" w:rsidRPr="006221E8">
        <w:t xml:space="preserve">for both specifications, as well as the log-likelihood of </w:t>
      </w:r>
      <w:r w:rsidR="00AD677F" w:rsidRPr="006221E8">
        <w:t>a</w:t>
      </w:r>
      <w:r w:rsidR="00813CDE" w:rsidRPr="006221E8">
        <w:t xml:space="preserve"> constants only </w:t>
      </w:r>
      <w:r w:rsidR="00AD677F" w:rsidRPr="006221E8">
        <w:t>specification</w:t>
      </w:r>
      <w:r w:rsidR="00813CDE" w:rsidRPr="006221E8">
        <w:t xml:space="preserve">, </w:t>
      </w:r>
      <w:r w:rsidR="00813CDE" w:rsidRPr="006221E8">
        <w:rPr>
          <w:position w:val="-10"/>
        </w:rPr>
        <w:object w:dxaOrig="499" w:dyaOrig="320" w14:anchorId="282E4532">
          <v:shape id="_x0000_i1128" type="#_x0000_t75" style="width:24.85pt;height:16.3pt" o:ole="">
            <v:imagedata r:id="rId218" o:title=""/>
          </v:shape>
          <o:OLEObject Type="Embed" ProgID="Equation.DSMT4" ShapeID="_x0000_i1128" DrawAspect="Content" ObjectID="_1847354410" r:id="rId219"/>
        </w:object>
      </w:r>
      <w:r w:rsidR="00813CDE" w:rsidRPr="006221E8">
        <w:t xml:space="preserve"> which includes </w:t>
      </w:r>
      <w:r w:rsidR="00AD677F" w:rsidRPr="006221E8">
        <w:t>only the constants for the nominal work arrangement outcome and the threshold parameters for the remaining outcome dimensions.</w:t>
      </w:r>
      <w:r w:rsidR="00813CDE" w:rsidRPr="006221E8">
        <w:t xml:space="preserve"> </w:t>
      </w:r>
      <w:r w:rsidR="00AD677F" w:rsidRPr="006221E8">
        <w:t xml:space="preserve">These values are then used to calculate the </w:t>
      </w:r>
      <w:r w:rsidR="005528B9" w:rsidRPr="006221E8">
        <w:t>Bayesian information criterion (BIC)</w:t>
      </w:r>
      <w:r w:rsidR="003F2385" w:rsidRPr="006221E8">
        <w:t>:</w:t>
      </w:r>
    </w:p>
    <w:p w14:paraId="41ABA04F" w14:textId="08C2127F" w:rsidR="004A4D87" w:rsidRPr="006221E8" w:rsidRDefault="005528B9" w:rsidP="00813CDE">
      <w:pPr>
        <w:pStyle w:val="MTDisplayEquation"/>
        <w:spacing w:before="120" w:after="120"/>
      </w:pPr>
      <w:r w:rsidRPr="006221E8">
        <w:rPr>
          <w:position w:val="-10"/>
        </w:rPr>
        <w:object w:dxaOrig="5899" w:dyaOrig="380" w14:anchorId="3E4CE968">
          <v:shape id="_x0000_i1129" type="#_x0000_t75" style="width:295.7pt;height:18.85pt" o:ole="" o:preferrelative="f">
            <v:imagedata r:id="rId220" o:title=""/>
            <o:lock v:ext="edit" aspectratio="f"/>
          </v:shape>
          <o:OLEObject Type="Embed" ProgID="Equation.DSMT4" ShapeID="_x0000_i1129" DrawAspect="Content" ObjectID="_1847354411" r:id="rId221"/>
        </w:object>
      </w:r>
      <w:r w:rsidR="004A4D87" w:rsidRPr="006221E8">
        <w:tab/>
      </w:r>
      <w:r w:rsidR="004A4D87" w:rsidRPr="006221E8">
        <w:fldChar w:fldCharType="begin"/>
      </w:r>
      <w:r w:rsidR="004A4D87" w:rsidRPr="006221E8">
        <w:instrText xml:space="preserve"> MACROBUTTON MTPlaceRef \* MERGEFORMAT </w:instrText>
      </w:r>
      <w:r w:rsidR="004A4D87" w:rsidRPr="006221E8">
        <w:fldChar w:fldCharType="begin"/>
      </w:r>
      <w:r w:rsidR="004A4D87" w:rsidRPr="006221E8">
        <w:instrText xml:space="preserve"> SEQ MTEqn \h \* MERGEFORMAT </w:instrText>
      </w:r>
      <w:r w:rsidR="004A4D87" w:rsidRPr="006221E8">
        <w:fldChar w:fldCharType="end"/>
      </w:r>
      <w:r w:rsidR="004A4D87" w:rsidRPr="006221E8">
        <w:instrText>(</w:instrText>
      </w:r>
      <w:r w:rsidR="003D6D39">
        <w:fldChar w:fldCharType="begin"/>
      </w:r>
      <w:r w:rsidR="003D6D39">
        <w:instrText xml:space="preserve"> SEQ MTEqn \c \* Arabic \* MERGEFORMAT </w:instrText>
      </w:r>
      <w:r w:rsidR="003D6D39">
        <w:fldChar w:fldCharType="separate"/>
      </w:r>
      <w:r w:rsidR="00474CC9">
        <w:rPr>
          <w:noProof/>
        </w:rPr>
        <w:instrText>4</w:instrText>
      </w:r>
      <w:r w:rsidR="003D6D39">
        <w:rPr>
          <w:noProof/>
        </w:rPr>
        <w:fldChar w:fldCharType="end"/>
      </w:r>
      <w:r w:rsidR="004A4D87" w:rsidRPr="006221E8">
        <w:instrText>)</w:instrText>
      </w:r>
      <w:r w:rsidR="004A4D87" w:rsidRPr="006221E8">
        <w:fldChar w:fldCharType="end"/>
      </w:r>
    </w:p>
    <w:p w14:paraId="7031D33C" w14:textId="526198D6" w:rsidR="004A4D87" w:rsidRPr="006221E8" w:rsidRDefault="003F2385" w:rsidP="00813CDE">
      <w:r w:rsidRPr="006221E8">
        <w:t>as well as</w:t>
      </w:r>
      <w:r w:rsidR="00813CDE" w:rsidRPr="006221E8">
        <w:t xml:space="preserve"> the </w:t>
      </w:r>
      <w:r w:rsidR="004A4D87" w:rsidRPr="006221E8">
        <w:t>adjusted likelihood ratio index</w:t>
      </w:r>
      <w:r w:rsidR="005528B9" w:rsidRPr="006221E8">
        <w:t>:</w:t>
      </w:r>
    </w:p>
    <w:p w14:paraId="42818B26" w14:textId="7D52555A" w:rsidR="004A4D87" w:rsidRPr="006221E8" w:rsidRDefault="004A4D87" w:rsidP="00813CDE">
      <w:pPr>
        <w:pStyle w:val="MTDisplayEquation"/>
        <w:spacing w:before="120" w:after="120"/>
      </w:pPr>
      <w:r w:rsidRPr="006221E8">
        <w:rPr>
          <w:position w:val="-28"/>
        </w:rPr>
        <w:object w:dxaOrig="1800" w:dyaOrig="720" w14:anchorId="27A2FF0B">
          <v:shape id="_x0000_i1130" type="#_x0000_t75" style="width:90pt;height:36.45pt" o:ole="">
            <v:imagedata r:id="rId222" o:title=""/>
          </v:shape>
          <o:OLEObject Type="Embed" ProgID="Equation.DSMT4" ShapeID="_x0000_i1130" DrawAspect="Content" ObjectID="_1847354412" r:id="rId223"/>
        </w:object>
      </w:r>
      <w:r w:rsidRPr="006221E8">
        <w:tab/>
      </w:r>
      <w:r w:rsidRPr="006221E8">
        <w:tab/>
      </w:r>
      <w:r w:rsidRPr="006221E8">
        <w:fldChar w:fldCharType="begin"/>
      </w:r>
      <w:r w:rsidRPr="006221E8">
        <w:instrText xml:space="preserve"> MACROBUTTON MTPlaceRef \* MERGEFORMAT </w:instrText>
      </w:r>
      <w:r w:rsidRPr="006221E8">
        <w:fldChar w:fldCharType="begin"/>
      </w:r>
      <w:r w:rsidRPr="006221E8">
        <w:instrText xml:space="preserve"> SEQ MTEqn \h \* MERGEFORMAT </w:instrText>
      </w:r>
      <w:r w:rsidRPr="006221E8">
        <w:fldChar w:fldCharType="end"/>
      </w:r>
      <w:r w:rsidRPr="006221E8">
        <w:instrText>(</w:instrText>
      </w:r>
      <w:r w:rsidR="003D6D39">
        <w:fldChar w:fldCharType="begin"/>
      </w:r>
      <w:r w:rsidR="003D6D39">
        <w:instrText xml:space="preserve"> SEQ MTEqn \c \* Arabic \* MERGEFORMAT </w:instrText>
      </w:r>
      <w:r w:rsidR="003D6D39">
        <w:fldChar w:fldCharType="separate"/>
      </w:r>
      <w:r w:rsidR="00474CC9">
        <w:rPr>
          <w:noProof/>
        </w:rPr>
        <w:instrText>5</w:instrText>
      </w:r>
      <w:r w:rsidR="003D6D39">
        <w:rPr>
          <w:noProof/>
        </w:rPr>
        <w:fldChar w:fldCharType="end"/>
      </w:r>
      <w:r w:rsidRPr="006221E8">
        <w:instrText>)</w:instrText>
      </w:r>
      <w:r w:rsidRPr="006221E8">
        <w:fldChar w:fldCharType="end"/>
      </w:r>
    </w:p>
    <w:p w14:paraId="55827470" w14:textId="3E8D8F05" w:rsidR="003F2385" w:rsidRPr="006221E8" w:rsidRDefault="004A4D87" w:rsidP="003F2385">
      <w:r w:rsidRPr="006221E8">
        <w:t>where</w:t>
      </w:r>
      <w:r w:rsidRPr="006221E8">
        <w:rPr>
          <w:position w:val="-4"/>
        </w:rPr>
        <w:object w:dxaOrig="320" w:dyaOrig="260" w14:anchorId="331F0EAE">
          <v:shape id="_x0000_i1131" type="#_x0000_t75" style="width:17.55pt;height:14.15pt" o:ole="">
            <v:imagedata r:id="rId224" o:title=""/>
          </v:shape>
          <o:OLEObject Type="Embed" ProgID="Equation.DSMT4" ShapeID="_x0000_i1131" DrawAspect="Content" ObjectID="_1847354413" r:id="rId225"/>
        </w:object>
      </w:r>
      <w:r w:rsidRPr="006221E8">
        <w:t>is the number of parameters</w:t>
      </w:r>
      <w:r w:rsidR="003F2385" w:rsidRPr="006221E8">
        <w:t xml:space="preserve"> estimated in the model</w:t>
      </w:r>
      <w:r w:rsidRPr="006221E8">
        <w:t xml:space="preserve"> (excluding constants</w:t>
      </w:r>
      <w:r w:rsidR="00813CDE" w:rsidRPr="006221E8">
        <w:t>/thresholds</w:t>
      </w:r>
      <w:proofErr w:type="gramStart"/>
      <w:r w:rsidRPr="006221E8">
        <w:t>)</w:t>
      </w:r>
      <w:r w:rsidR="005528B9" w:rsidRPr="006221E8">
        <w:t>.</w:t>
      </w:r>
      <w:proofErr w:type="gramEnd"/>
      <w:r w:rsidR="005528B9" w:rsidRPr="006221E8">
        <w:t xml:space="preserve"> </w:t>
      </w:r>
      <w:r w:rsidR="003F2385" w:rsidRPr="006221E8">
        <w:t xml:space="preserve">The goodness-of-fit measures </w:t>
      </w:r>
      <w:r w:rsidR="00F56CDD">
        <w:t xml:space="preserve">further </w:t>
      </w:r>
      <w:r w:rsidR="003F2385" w:rsidRPr="006221E8">
        <w:t xml:space="preserve">support the inclusion of correlations within the proposed </w:t>
      </w:r>
      <w:r w:rsidR="003F2385" w:rsidRPr="006221E8">
        <w:lastRenderedPageBreak/>
        <w:t xml:space="preserve">joint framework, as the joint model exhibits a lower BIC and a higher adjusted likelihood ratio index than the independent model. </w:t>
      </w:r>
      <w:r w:rsidR="005528B9" w:rsidRPr="006221E8">
        <w:t xml:space="preserve">Additionally, </w:t>
      </w:r>
      <w:r w:rsidR="003F2385" w:rsidRPr="006221E8">
        <w:t>because</w:t>
      </w:r>
      <w:r w:rsidR="005528B9" w:rsidRPr="006221E8">
        <w:t xml:space="preserve"> the independent model is nested within the joint model, we perform a likelihood ratio test</w:t>
      </w:r>
      <w:r w:rsidR="003F2385" w:rsidRPr="006221E8">
        <w:t>. The test statistic, reported in Table 3, is calculated as:</w:t>
      </w:r>
    </w:p>
    <w:p w14:paraId="5E6DBCCD" w14:textId="57191050" w:rsidR="004A4D87" w:rsidRDefault="003F2385" w:rsidP="005E36CD">
      <w:pPr>
        <w:spacing w:before="120" w:after="120"/>
      </w:pPr>
      <w:r w:rsidRPr="006221E8">
        <w:t xml:space="preserve"> </w:t>
      </w:r>
      <w:r w:rsidR="005E36CD" w:rsidRPr="006221E8">
        <w:rPr>
          <w:position w:val="-18"/>
        </w:rPr>
        <w:object w:dxaOrig="2720" w:dyaOrig="480" w14:anchorId="49830034">
          <v:shape id="_x0000_i1132" type="#_x0000_t75" style="width:136.3pt;height:24pt" o:ole="" o:preferrelative="f">
            <v:imagedata r:id="rId226" o:title=""/>
            <o:lock v:ext="edit" aspectratio="f"/>
          </v:shape>
          <o:OLEObject Type="Embed" ProgID="Equation.DSMT4" ShapeID="_x0000_i1132" DrawAspect="Content" ObjectID="_1847354414" r:id="rId227"/>
        </w:object>
      </w:r>
      <w:r w:rsidR="004A4D87" w:rsidRPr="006221E8">
        <w:t>.</w:t>
      </w:r>
      <w:r w:rsidR="004A4D87" w:rsidRPr="006221E8">
        <w:tab/>
      </w:r>
      <w:r w:rsidR="004A4D87" w:rsidRPr="006221E8">
        <w:tab/>
      </w:r>
      <w:r w:rsidRPr="006221E8">
        <w:tab/>
      </w:r>
      <w:r w:rsidRPr="006221E8">
        <w:tab/>
      </w:r>
      <w:r w:rsidRPr="006221E8">
        <w:tab/>
      </w:r>
      <w:r w:rsidRPr="006221E8">
        <w:tab/>
        <w:t xml:space="preserve">     </w:t>
      </w:r>
      <w:r w:rsidRPr="006221E8">
        <w:tab/>
      </w:r>
      <w:r w:rsidRPr="006221E8">
        <w:tab/>
        <w:t xml:space="preserve">       </w:t>
      </w:r>
      <w:r w:rsidR="00474CC9">
        <w:tab/>
        <w:t xml:space="preserve">       </w:t>
      </w:r>
      <w:r w:rsidR="004A4D87" w:rsidRPr="006221E8">
        <w:fldChar w:fldCharType="begin"/>
      </w:r>
      <w:r w:rsidR="004A4D87" w:rsidRPr="006221E8">
        <w:instrText xml:space="preserve"> MACROBUTTON MTPlaceRef \* MERGEFORMAT </w:instrText>
      </w:r>
      <w:r w:rsidR="004A4D87" w:rsidRPr="006221E8">
        <w:fldChar w:fldCharType="begin"/>
      </w:r>
      <w:r w:rsidR="004A4D87" w:rsidRPr="006221E8">
        <w:instrText xml:space="preserve"> SEQ MTEqn \h \* MERGEFORMAT </w:instrText>
      </w:r>
      <w:r w:rsidR="004A4D87" w:rsidRPr="006221E8">
        <w:fldChar w:fldCharType="end"/>
      </w:r>
      <w:r w:rsidR="004A4D87" w:rsidRPr="006221E8">
        <w:instrText>(</w:instrText>
      </w:r>
      <w:r w:rsidR="003D6D39">
        <w:fldChar w:fldCharType="begin"/>
      </w:r>
      <w:r w:rsidR="003D6D39">
        <w:instrText xml:space="preserve"> SEQ MTEqn \c \* Arabic \* MERGEFORMAT </w:instrText>
      </w:r>
      <w:r w:rsidR="003D6D39">
        <w:fldChar w:fldCharType="separate"/>
      </w:r>
      <w:r w:rsidR="00474CC9">
        <w:rPr>
          <w:noProof/>
        </w:rPr>
        <w:instrText>6</w:instrText>
      </w:r>
      <w:r w:rsidR="003D6D39">
        <w:rPr>
          <w:noProof/>
        </w:rPr>
        <w:fldChar w:fldCharType="end"/>
      </w:r>
      <w:r w:rsidR="004A4D87" w:rsidRPr="006221E8">
        <w:instrText>)</w:instrText>
      </w:r>
      <w:r w:rsidR="004A4D87" w:rsidRPr="006221E8">
        <w:fldChar w:fldCharType="end"/>
      </w:r>
    </w:p>
    <w:p w14:paraId="48C122C2" w14:textId="428F8F1B" w:rsidR="005528B9" w:rsidRPr="000310AE" w:rsidRDefault="003F2385" w:rsidP="00813CDE">
      <w:pPr>
        <w:sectPr w:rsidR="005528B9" w:rsidRPr="000310AE" w:rsidSect="005E36CD">
          <w:footerReference w:type="default" r:id="rId228"/>
          <w:pgSz w:w="12240" w:h="15840"/>
          <w:pgMar w:top="1440" w:right="1440" w:bottom="1440" w:left="1440" w:header="720" w:footer="720" w:gutter="0"/>
          <w:pgNumType w:start="1"/>
          <w:cols w:space="720"/>
          <w:docGrid w:linePitch="360"/>
        </w:sectPr>
      </w:pPr>
      <w:r w:rsidRPr="003F2385">
        <w:t xml:space="preserve">The resulting test statistic of 105.72 exceeds the critical chi-squared value </w:t>
      </w:r>
      <w:r>
        <w:t xml:space="preserve">for the </w:t>
      </w:r>
      <w:r w:rsidRPr="003F2385">
        <w:t>associated degrees of freedom, indicating that the inclusion of the correlation parameters produces a statistically significant improvement in model fit.</w:t>
      </w:r>
      <w:r>
        <w:t xml:space="preserve"> </w:t>
      </w:r>
      <w:r w:rsidR="00813CDE">
        <w:t>Finally,</w:t>
      </w:r>
      <w:r w:rsidR="00AD677F">
        <w:t xml:space="preserve"> to provide an intuitive measure of predictive </w:t>
      </w:r>
      <w:r>
        <w:t>performance</w:t>
      </w:r>
      <w:r w:rsidR="00AD677F">
        <w:t>,</w:t>
      </w:r>
      <w:r w:rsidR="00813CDE">
        <w:t xml:space="preserve"> we compute the average probability of corre</w:t>
      </w:r>
      <w:r w:rsidR="00AD677F">
        <w:t xml:space="preserve">ct prediction for each model specification. </w:t>
      </w:r>
      <w:r w:rsidR="006221E8">
        <w:t>F</w:t>
      </w:r>
      <w:r w:rsidRPr="003F2385">
        <w:t xml:space="preserve">or every respondent, the probability associated with the observed work arrangement outcome, including hybrid commute </w:t>
      </w:r>
      <w:r w:rsidR="006221E8" w:rsidRPr="003F2385">
        <w:t xml:space="preserve">frequency </w:t>
      </w:r>
      <w:r w:rsidR="006221E8">
        <w:t>and</w:t>
      </w:r>
      <w:r w:rsidRPr="003F2385">
        <w:t xml:space="preserve"> the observed </w:t>
      </w:r>
      <w:r w:rsidR="006221E8">
        <w:t>work</w:t>
      </w:r>
      <w:r w:rsidR="00691A10">
        <w:t>-</w:t>
      </w:r>
      <w:r w:rsidR="006221E8">
        <w:t>from</w:t>
      </w:r>
      <w:r w:rsidR="00691A10">
        <w:t>-</w:t>
      </w:r>
      <w:r w:rsidR="006221E8">
        <w:t>home</w:t>
      </w:r>
      <w:r w:rsidRPr="003F2385">
        <w:t xml:space="preserve"> motivation outcomes</w:t>
      </w:r>
      <w:r w:rsidR="006221E8">
        <w:t xml:space="preserve"> </w:t>
      </w:r>
      <w:r w:rsidRPr="003F2385">
        <w:t>is estimated</w:t>
      </w:r>
      <w:r>
        <w:t>.</w:t>
      </w:r>
      <w:r w:rsidR="006221E8">
        <w:t xml:space="preserve"> These probabilities are then averaged across individuals</w:t>
      </w:r>
      <w:r w:rsidR="00AD677F">
        <w:t xml:space="preserve"> to quantify the probability of correct prediction. </w:t>
      </w:r>
      <w:r w:rsidRPr="003F2385">
        <w:t xml:space="preserve">As shown in Table 3, the joint model </w:t>
      </w:r>
      <w:r w:rsidR="006221E8">
        <w:t>corresponds to</w:t>
      </w:r>
      <w:r w:rsidRPr="003F2385">
        <w:t xml:space="preserve"> a higher average probability of correct prediction than the independent specification. Taken together, </w:t>
      </w:r>
      <w:r w:rsidR="006221E8">
        <w:t>these disaggregate</w:t>
      </w:r>
      <w:r w:rsidRPr="003F2385">
        <w:t xml:space="preserve"> fit </w:t>
      </w:r>
      <w:r w:rsidR="006221E8" w:rsidRPr="003F2385">
        <w:t>measures</w:t>
      </w:r>
      <w:r w:rsidRPr="003F2385">
        <w:t xml:space="preserve"> provide </w:t>
      </w:r>
      <w:r w:rsidR="006221E8">
        <w:t>statistical</w:t>
      </w:r>
      <w:r w:rsidRPr="003F2385">
        <w:t xml:space="preserve"> support for the proposed joint modeling framework</w:t>
      </w:r>
      <w:r w:rsidR="006221E8">
        <w:t>.</w:t>
      </w:r>
    </w:p>
    <w:p w14:paraId="0CB8E0FE" w14:textId="18E0F8A1" w:rsidR="00DC51C5" w:rsidRPr="00F20213" w:rsidRDefault="00F20213" w:rsidP="00DC51C5">
      <w:pPr>
        <w:rPr>
          <w:b/>
          <w:bCs/>
          <w:color w:val="000000" w:themeColor="text1"/>
          <w:sz w:val="22"/>
          <w:szCs w:val="22"/>
        </w:rPr>
      </w:pPr>
      <w:r w:rsidRPr="00F20213">
        <w:rPr>
          <w:b/>
          <w:bCs/>
          <w:color w:val="000000" w:themeColor="text1"/>
          <w:sz w:val="22"/>
          <w:szCs w:val="20"/>
        </w:rPr>
        <w:lastRenderedPageBreak/>
        <w:t xml:space="preserve">TABLE </w:t>
      </w:r>
      <w:r w:rsidRPr="00F20213">
        <w:rPr>
          <w:b/>
          <w:bCs/>
          <w:i/>
          <w:color w:val="000000" w:themeColor="text1"/>
          <w:sz w:val="22"/>
          <w:szCs w:val="20"/>
        </w:rPr>
        <w:fldChar w:fldCharType="begin"/>
      </w:r>
      <w:r w:rsidRPr="00F20213">
        <w:rPr>
          <w:b/>
          <w:bCs/>
          <w:color w:val="000000" w:themeColor="text1"/>
          <w:sz w:val="22"/>
          <w:szCs w:val="20"/>
        </w:rPr>
        <w:instrText xml:space="preserve"> SEQ Table \* ARABIC </w:instrText>
      </w:r>
      <w:r w:rsidRPr="00F20213">
        <w:rPr>
          <w:b/>
          <w:bCs/>
          <w:i/>
          <w:color w:val="000000" w:themeColor="text1"/>
          <w:sz w:val="22"/>
          <w:szCs w:val="20"/>
        </w:rPr>
        <w:fldChar w:fldCharType="separate"/>
      </w:r>
      <w:r w:rsidR="00474CC9">
        <w:rPr>
          <w:b/>
          <w:bCs/>
          <w:noProof/>
          <w:color w:val="000000" w:themeColor="text1"/>
          <w:sz w:val="22"/>
          <w:szCs w:val="20"/>
        </w:rPr>
        <w:t>3</w:t>
      </w:r>
      <w:r w:rsidRPr="00F20213">
        <w:rPr>
          <w:b/>
          <w:bCs/>
          <w:i/>
          <w:color w:val="000000" w:themeColor="text1"/>
          <w:sz w:val="22"/>
          <w:szCs w:val="20"/>
        </w:rPr>
        <w:fldChar w:fldCharType="end"/>
      </w:r>
      <w:r w:rsidRPr="00F20213">
        <w:rPr>
          <w:b/>
          <w:bCs/>
          <w:i/>
          <w:color w:val="000000" w:themeColor="text1"/>
          <w:sz w:val="22"/>
          <w:szCs w:val="20"/>
        </w:rPr>
        <w:t xml:space="preserve"> </w:t>
      </w:r>
      <w:r>
        <w:rPr>
          <w:b/>
          <w:bCs/>
          <w:iCs/>
          <w:color w:val="000000" w:themeColor="text1"/>
          <w:sz w:val="22"/>
          <w:szCs w:val="20"/>
        </w:rPr>
        <w:t xml:space="preserve">Model </w:t>
      </w:r>
      <w:r w:rsidR="00DC51C5" w:rsidRPr="00F20213">
        <w:rPr>
          <w:b/>
          <w:bCs/>
          <w:color w:val="000000" w:themeColor="text1"/>
          <w:sz w:val="22"/>
          <w:szCs w:val="22"/>
        </w:rPr>
        <w:t xml:space="preserve">Estimation Results </w:t>
      </w:r>
    </w:p>
    <w:tbl>
      <w:tblPr>
        <w:tblStyle w:val="TableGrid"/>
        <w:tblW w:w="5000" w:type="pct"/>
        <w:tblBorders>
          <w:top w:val="single" w:sz="18" w:space="0" w:color="auto"/>
          <w:left w:val="single" w:sz="18" w:space="0" w:color="auto"/>
          <w:bottom w:val="single" w:sz="18" w:space="0" w:color="auto"/>
          <w:right w:val="single" w:sz="18" w:space="0" w:color="auto"/>
        </w:tblBorders>
        <w:tblLayout w:type="fixed"/>
        <w:tblCellMar>
          <w:left w:w="14" w:type="dxa"/>
          <w:right w:w="14" w:type="dxa"/>
        </w:tblCellMar>
        <w:tblLook w:val="04A0" w:firstRow="1" w:lastRow="0" w:firstColumn="1" w:lastColumn="0" w:noHBand="0" w:noVBand="1"/>
      </w:tblPr>
      <w:tblGrid>
        <w:gridCol w:w="3474"/>
        <w:gridCol w:w="545"/>
        <w:gridCol w:w="478"/>
        <w:gridCol w:w="641"/>
        <w:gridCol w:w="527"/>
        <w:gridCol w:w="796"/>
        <w:gridCol w:w="625"/>
        <w:gridCol w:w="617"/>
        <w:gridCol w:w="491"/>
        <w:gridCol w:w="80"/>
        <w:gridCol w:w="617"/>
        <w:gridCol w:w="522"/>
        <w:gridCol w:w="617"/>
        <w:gridCol w:w="527"/>
        <w:gridCol w:w="617"/>
        <w:gridCol w:w="560"/>
        <w:gridCol w:w="692"/>
        <w:gridCol w:w="488"/>
      </w:tblGrid>
      <w:tr w:rsidR="00DA5183" w:rsidRPr="00480C56" w14:paraId="0094B2BB" w14:textId="77777777" w:rsidTr="00691A10">
        <w:trPr>
          <w:trHeight w:val="144"/>
          <w:tblHeader/>
        </w:trPr>
        <w:tc>
          <w:tcPr>
            <w:tcW w:w="1345" w:type="pct"/>
            <w:vMerge w:val="restart"/>
            <w:tcBorders>
              <w:top w:val="single" w:sz="18" w:space="0" w:color="auto"/>
              <w:bottom w:val="single" w:sz="4" w:space="0" w:color="auto"/>
              <w:right w:val="single" w:sz="18" w:space="0" w:color="auto"/>
            </w:tcBorders>
            <w:vAlign w:val="center"/>
          </w:tcPr>
          <w:p w14:paraId="2B9C2CBE" w14:textId="77777777" w:rsidR="00DA5183" w:rsidRPr="00480C56" w:rsidRDefault="00DA5183" w:rsidP="00DA5183">
            <w:pPr>
              <w:jc w:val="left"/>
              <w:rPr>
                <w:rFonts w:cstheme="minorHAnsi"/>
                <w:b/>
                <w:bCs/>
                <w:sz w:val="20"/>
                <w:szCs w:val="20"/>
              </w:rPr>
            </w:pPr>
            <w:r w:rsidRPr="00480C56">
              <w:rPr>
                <w:rFonts w:cstheme="minorHAnsi"/>
                <w:b/>
                <w:bCs/>
                <w:sz w:val="20"/>
                <w:szCs w:val="20"/>
              </w:rPr>
              <w:t>Explanatory Variable (base category)</w:t>
            </w:r>
          </w:p>
        </w:tc>
        <w:tc>
          <w:tcPr>
            <w:tcW w:w="1398" w:type="pct"/>
            <w:gridSpan w:val="6"/>
            <w:tcBorders>
              <w:top w:val="single" w:sz="18" w:space="0" w:color="auto"/>
              <w:left w:val="single" w:sz="18" w:space="0" w:color="auto"/>
              <w:bottom w:val="single" w:sz="8" w:space="0" w:color="auto"/>
              <w:right w:val="single" w:sz="18" w:space="0" w:color="auto"/>
            </w:tcBorders>
            <w:vAlign w:val="center"/>
          </w:tcPr>
          <w:p w14:paraId="216D3EE8" w14:textId="77777777" w:rsidR="00DA5183" w:rsidRPr="00480C56" w:rsidRDefault="00DA5183" w:rsidP="00DA5183">
            <w:pPr>
              <w:jc w:val="center"/>
              <w:rPr>
                <w:rFonts w:cstheme="minorHAnsi"/>
                <w:b/>
                <w:bCs/>
                <w:sz w:val="20"/>
                <w:szCs w:val="20"/>
              </w:rPr>
            </w:pPr>
            <w:r w:rsidRPr="00480C56">
              <w:rPr>
                <w:rFonts w:cstheme="minorHAnsi"/>
                <w:b/>
                <w:bCs/>
                <w:sz w:val="20"/>
                <w:szCs w:val="20"/>
              </w:rPr>
              <w:t>Work Arrangement</w:t>
            </w:r>
          </w:p>
        </w:tc>
        <w:tc>
          <w:tcPr>
            <w:tcW w:w="460" w:type="pct"/>
            <w:gridSpan w:val="3"/>
            <w:vMerge w:val="restart"/>
            <w:tcBorders>
              <w:top w:val="single" w:sz="18" w:space="0" w:color="auto"/>
              <w:left w:val="single" w:sz="18" w:space="0" w:color="auto"/>
              <w:bottom w:val="single" w:sz="8" w:space="0" w:color="auto"/>
              <w:right w:val="single" w:sz="18" w:space="0" w:color="auto"/>
            </w:tcBorders>
            <w:vAlign w:val="center"/>
          </w:tcPr>
          <w:p w14:paraId="22F04F14" w14:textId="77777777" w:rsidR="00DA5183" w:rsidRPr="00480C56" w:rsidRDefault="00DA5183" w:rsidP="00DA5183">
            <w:pPr>
              <w:jc w:val="center"/>
              <w:rPr>
                <w:rFonts w:cstheme="minorHAnsi"/>
                <w:b/>
                <w:bCs/>
                <w:sz w:val="20"/>
                <w:szCs w:val="20"/>
              </w:rPr>
            </w:pPr>
            <w:r w:rsidRPr="00480C56">
              <w:rPr>
                <w:rFonts w:cstheme="minorHAnsi"/>
                <w:b/>
                <w:bCs/>
                <w:sz w:val="20"/>
                <w:szCs w:val="20"/>
              </w:rPr>
              <w:t>Commute Frequency</w:t>
            </w:r>
          </w:p>
          <w:p w14:paraId="77130180" w14:textId="781671F4" w:rsidR="00DA5183" w:rsidRPr="00480C56" w:rsidRDefault="00DA5183" w:rsidP="00DA5183">
            <w:pPr>
              <w:jc w:val="center"/>
              <w:rPr>
                <w:rFonts w:cstheme="minorHAnsi"/>
                <w:b/>
                <w:bCs/>
                <w:sz w:val="20"/>
                <w:szCs w:val="20"/>
              </w:rPr>
            </w:pPr>
            <w:r w:rsidRPr="00480C56">
              <w:rPr>
                <w:rFonts w:cstheme="minorHAnsi"/>
                <w:i/>
                <w:iCs/>
                <w:sz w:val="20"/>
                <w:szCs w:val="20"/>
              </w:rPr>
              <w:t>Ordinal: 1-4 days</w:t>
            </w:r>
          </w:p>
        </w:tc>
        <w:tc>
          <w:tcPr>
            <w:tcW w:w="1796" w:type="pct"/>
            <w:gridSpan w:val="8"/>
            <w:tcBorders>
              <w:top w:val="single" w:sz="18" w:space="0" w:color="auto"/>
              <w:left w:val="single" w:sz="18" w:space="0" w:color="auto"/>
              <w:bottom w:val="single" w:sz="8" w:space="0" w:color="auto"/>
            </w:tcBorders>
            <w:vAlign w:val="center"/>
          </w:tcPr>
          <w:p w14:paraId="2F2D86AF" w14:textId="7A7F84F4" w:rsidR="00DA5183" w:rsidRPr="00691A10" w:rsidRDefault="00DA5183" w:rsidP="00DA5183">
            <w:pPr>
              <w:jc w:val="center"/>
              <w:rPr>
                <w:rFonts w:cstheme="minorHAnsi"/>
                <w:b/>
                <w:bCs/>
                <w:sz w:val="20"/>
                <w:szCs w:val="20"/>
              </w:rPr>
            </w:pPr>
            <w:r w:rsidRPr="00691A10">
              <w:rPr>
                <w:rFonts w:cstheme="minorHAnsi"/>
                <w:b/>
                <w:bCs/>
                <w:sz w:val="20"/>
                <w:szCs w:val="20"/>
              </w:rPr>
              <w:t>Work</w:t>
            </w:r>
            <w:r w:rsidR="00691A10" w:rsidRPr="00691A10">
              <w:rPr>
                <w:rFonts w:cstheme="minorHAnsi"/>
                <w:b/>
                <w:bCs/>
                <w:sz w:val="20"/>
                <w:szCs w:val="20"/>
              </w:rPr>
              <w:t>-</w:t>
            </w:r>
            <w:r w:rsidRPr="00691A10">
              <w:rPr>
                <w:rFonts w:cstheme="minorHAnsi"/>
                <w:b/>
                <w:bCs/>
                <w:sz w:val="20"/>
                <w:szCs w:val="20"/>
              </w:rPr>
              <w:t>From</w:t>
            </w:r>
            <w:r w:rsidR="00691A10" w:rsidRPr="00691A10">
              <w:rPr>
                <w:rFonts w:cstheme="minorHAnsi"/>
                <w:b/>
                <w:bCs/>
                <w:sz w:val="20"/>
                <w:szCs w:val="20"/>
              </w:rPr>
              <w:t>-</w:t>
            </w:r>
            <w:r w:rsidRPr="00691A10">
              <w:rPr>
                <w:rFonts w:cstheme="minorHAnsi"/>
                <w:b/>
                <w:bCs/>
                <w:sz w:val="20"/>
                <w:szCs w:val="20"/>
              </w:rPr>
              <w:t>Home Motivations</w:t>
            </w:r>
          </w:p>
        </w:tc>
      </w:tr>
      <w:tr w:rsidR="00DA5183" w:rsidRPr="00480C56" w14:paraId="49DAD17E" w14:textId="77777777" w:rsidTr="00691A10">
        <w:trPr>
          <w:trHeight w:val="144"/>
          <w:tblHeader/>
        </w:trPr>
        <w:tc>
          <w:tcPr>
            <w:tcW w:w="1345" w:type="pct"/>
            <w:vMerge/>
            <w:tcBorders>
              <w:top w:val="single" w:sz="4" w:space="0" w:color="auto"/>
              <w:bottom w:val="single" w:sz="4" w:space="0" w:color="auto"/>
              <w:right w:val="single" w:sz="18" w:space="0" w:color="auto"/>
            </w:tcBorders>
            <w:vAlign w:val="center"/>
          </w:tcPr>
          <w:p w14:paraId="63996A87" w14:textId="77777777" w:rsidR="00DA5183" w:rsidRPr="00480C56" w:rsidRDefault="00DA5183" w:rsidP="00DA5183">
            <w:pPr>
              <w:jc w:val="left"/>
              <w:rPr>
                <w:rFonts w:cstheme="minorHAnsi"/>
                <w:sz w:val="20"/>
                <w:szCs w:val="20"/>
              </w:rPr>
            </w:pPr>
          </w:p>
        </w:tc>
        <w:tc>
          <w:tcPr>
            <w:tcW w:w="396" w:type="pct"/>
            <w:gridSpan w:val="2"/>
            <w:tcBorders>
              <w:top w:val="single" w:sz="8" w:space="0" w:color="auto"/>
              <w:left w:val="single" w:sz="18" w:space="0" w:color="auto"/>
              <w:bottom w:val="single" w:sz="8" w:space="0" w:color="auto"/>
            </w:tcBorders>
            <w:vAlign w:val="center"/>
          </w:tcPr>
          <w:p w14:paraId="0F989889" w14:textId="77777777" w:rsidR="00DA5183" w:rsidRPr="00480C56" w:rsidRDefault="00DA5183" w:rsidP="00DA5183">
            <w:pPr>
              <w:jc w:val="center"/>
              <w:rPr>
                <w:rFonts w:cstheme="minorHAnsi"/>
                <w:b/>
                <w:bCs/>
                <w:i/>
                <w:iCs/>
                <w:sz w:val="20"/>
                <w:szCs w:val="20"/>
              </w:rPr>
            </w:pPr>
            <w:r w:rsidRPr="00480C56">
              <w:rPr>
                <w:rFonts w:cstheme="minorHAnsi"/>
                <w:b/>
                <w:bCs/>
                <w:i/>
                <w:iCs/>
                <w:sz w:val="20"/>
                <w:szCs w:val="20"/>
              </w:rPr>
              <w:t>Hybrid</w:t>
            </w:r>
          </w:p>
        </w:tc>
        <w:tc>
          <w:tcPr>
            <w:tcW w:w="452" w:type="pct"/>
            <w:gridSpan w:val="2"/>
            <w:tcBorders>
              <w:top w:val="single" w:sz="8" w:space="0" w:color="auto"/>
              <w:bottom w:val="single" w:sz="8" w:space="0" w:color="auto"/>
            </w:tcBorders>
            <w:vAlign w:val="center"/>
          </w:tcPr>
          <w:p w14:paraId="6C207664" w14:textId="6C5FCCA7" w:rsidR="00DA5183" w:rsidRPr="00480C56" w:rsidRDefault="00DA5183" w:rsidP="00DA5183">
            <w:pPr>
              <w:jc w:val="center"/>
              <w:rPr>
                <w:rFonts w:cstheme="minorHAnsi"/>
                <w:b/>
                <w:bCs/>
                <w:i/>
                <w:iCs/>
                <w:sz w:val="20"/>
                <w:szCs w:val="20"/>
              </w:rPr>
            </w:pPr>
            <w:r w:rsidRPr="00480C56">
              <w:rPr>
                <w:rFonts w:cstheme="minorHAnsi"/>
                <w:b/>
                <w:bCs/>
                <w:i/>
                <w:iCs/>
                <w:sz w:val="20"/>
                <w:szCs w:val="20"/>
              </w:rPr>
              <w:t xml:space="preserve">Fully Remote </w:t>
            </w:r>
            <w:r w:rsidR="00C67AB3">
              <w:rPr>
                <w:rFonts w:cstheme="minorHAnsi"/>
                <w:b/>
                <w:bCs/>
                <w:i/>
                <w:iCs/>
                <w:sz w:val="20"/>
                <w:szCs w:val="20"/>
              </w:rPr>
              <w:t>H</w:t>
            </w:r>
            <w:r w:rsidR="00320D34">
              <w:rPr>
                <w:rFonts w:cstheme="minorHAnsi"/>
                <w:b/>
                <w:bCs/>
                <w:i/>
                <w:iCs/>
                <w:sz w:val="20"/>
                <w:szCs w:val="20"/>
              </w:rPr>
              <w:t>B</w:t>
            </w:r>
          </w:p>
        </w:tc>
        <w:tc>
          <w:tcPr>
            <w:tcW w:w="550" w:type="pct"/>
            <w:gridSpan w:val="2"/>
            <w:tcBorders>
              <w:top w:val="single" w:sz="8" w:space="0" w:color="auto"/>
              <w:bottom w:val="single" w:sz="8" w:space="0" w:color="auto"/>
              <w:right w:val="single" w:sz="18" w:space="0" w:color="auto"/>
            </w:tcBorders>
            <w:vAlign w:val="center"/>
          </w:tcPr>
          <w:p w14:paraId="346AC421" w14:textId="3A3CE80C" w:rsidR="00DA5183" w:rsidRPr="00480C56" w:rsidRDefault="00DA5183" w:rsidP="00DA5183">
            <w:pPr>
              <w:jc w:val="center"/>
              <w:rPr>
                <w:rFonts w:cstheme="minorHAnsi"/>
                <w:b/>
                <w:bCs/>
                <w:i/>
                <w:iCs/>
                <w:sz w:val="20"/>
                <w:szCs w:val="20"/>
              </w:rPr>
            </w:pPr>
            <w:r w:rsidRPr="00480C56">
              <w:rPr>
                <w:rFonts w:cstheme="minorHAnsi"/>
                <w:b/>
                <w:bCs/>
                <w:i/>
                <w:iCs/>
                <w:sz w:val="20"/>
                <w:szCs w:val="20"/>
              </w:rPr>
              <w:t xml:space="preserve">Fully Remote </w:t>
            </w:r>
            <w:r w:rsidR="00C67AB3">
              <w:rPr>
                <w:rFonts w:cstheme="minorHAnsi"/>
                <w:b/>
                <w:bCs/>
                <w:i/>
                <w:iCs/>
                <w:sz w:val="20"/>
                <w:szCs w:val="20"/>
              </w:rPr>
              <w:t>TLB</w:t>
            </w:r>
          </w:p>
        </w:tc>
        <w:tc>
          <w:tcPr>
            <w:tcW w:w="460" w:type="pct"/>
            <w:gridSpan w:val="3"/>
            <w:vMerge/>
            <w:tcBorders>
              <w:top w:val="single" w:sz="8" w:space="0" w:color="auto"/>
              <w:left w:val="single" w:sz="18" w:space="0" w:color="auto"/>
              <w:bottom w:val="single" w:sz="8" w:space="0" w:color="auto"/>
              <w:right w:val="single" w:sz="18" w:space="0" w:color="auto"/>
            </w:tcBorders>
            <w:vAlign w:val="center"/>
          </w:tcPr>
          <w:p w14:paraId="7EF2EBBE" w14:textId="432FFC56" w:rsidR="00DA5183" w:rsidRPr="00480C56" w:rsidRDefault="00DA5183" w:rsidP="00DA5183">
            <w:pPr>
              <w:jc w:val="center"/>
              <w:rPr>
                <w:rFonts w:cstheme="minorHAnsi"/>
                <w:b/>
                <w:bCs/>
                <w:sz w:val="20"/>
                <w:szCs w:val="20"/>
              </w:rPr>
            </w:pPr>
          </w:p>
        </w:tc>
        <w:tc>
          <w:tcPr>
            <w:tcW w:w="441" w:type="pct"/>
            <w:gridSpan w:val="2"/>
            <w:tcBorders>
              <w:top w:val="single" w:sz="8" w:space="0" w:color="auto"/>
              <w:left w:val="single" w:sz="18" w:space="0" w:color="auto"/>
              <w:bottom w:val="single" w:sz="8" w:space="0" w:color="auto"/>
              <w:right w:val="single" w:sz="8" w:space="0" w:color="auto"/>
            </w:tcBorders>
            <w:vAlign w:val="center"/>
          </w:tcPr>
          <w:p w14:paraId="484ADC59" w14:textId="77777777" w:rsidR="00DA5183" w:rsidRPr="00691A10" w:rsidRDefault="00DA5183" w:rsidP="00DA5183">
            <w:pPr>
              <w:jc w:val="center"/>
              <w:rPr>
                <w:rFonts w:cstheme="minorHAnsi"/>
                <w:b/>
                <w:bCs/>
                <w:i/>
                <w:iCs/>
                <w:sz w:val="20"/>
                <w:szCs w:val="20"/>
              </w:rPr>
            </w:pPr>
            <w:r w:rsidRPr="00691A10">
              <w:rPr>
                <w:rFonts w:cstheme="minorHAnsi"/>
                <w:b/>
                <w:bCs/>
                <w:i/>
                <w:iCs/>
                <w:sz w:val="20"/>
                <w:szCs w:val="20"/>
              </w:rPr>
              <w:t>Save Time</w:t>
            </w:r>
          </w:p>
        </w:tc>
        <w:tc>
          <w:tcPr>
            <w:tcW w:w="443" w:type="pct"/>
            <w:gridSpan w:val="2"/>
            <w:tcBorders>
              <w:top w:val="single" w:sz="8" w:space="0" w:color="auto"/>
              <w:left w:val="single" w:sz="8" w:space="0" w:color="auto"/>
              <w:bottom w:val="single" w:sz="8" w:space="0" w:color="auto"/>
              <w:right w:val="single" w:sz="8" w:space="0" w:color="auto"/>
            </w:tcBorders>
            <w:vAlign w:val="center"/>
          </w:tcPr>
          <w:p w14:paraId="7AF413C7" w14:textId="77777777" w:rsidR="00DA5183" w:rsidRPr="00691A10" w:rsidRDefault="00DA5183" w:rsidP="00DA5183">
            <w:pPr>
              <w:jc w:val="center"/>
              <w:rPr>
                <w:rFonts w:cstheme="minorHAnsi"/>
                <w:b/>
                <w:bCs/>
                <w:i/>
                <w:iCs/>
                <w:sz w:val="20"/>
                <w:szCs w:val="20"/>
              </w:rPr>
            </w:pPr>
            <w:r w:rsidRPr="00691A10">
              <w:rPr>
                <w:rFonts w:cstheme="minorHAnsi"/>
                <w:b/>
                <w:bCs/>
                <w:i/>
                <w:iCs/>
                <w:sz w:val="20"/>
                <w:szCs w:val="20"/>
              </w:rPr>
              <w:t>Save Money</w:t>
            </w:r>
          </w:p>
        </w:tc>
        <w:tc>
          <w:tcPr>
            <w:tcW w:w="456" w:type="pct"/>
            <w:gridSpan w:val="2"/>
            <w:tcBorders>
              <w:top w:val="single" w:sz="8" w:space="0" w:color="auto"/>
              <w:left w:val="single" w:sz="8" w:space="0" w:color="auto"/>
              <w:bottom w:val="single" w:sz="8" w:space="0" w:color="auto"/>
              <w:right w:val="single" w:sz="8" w:space="0" w:color="auto"/>
            </w:tcBorders>
            <w:vAlign w:val="center"/>
          </w:tcPr>
          <w:p w14:paraId="00A7A425" w14:textId="77777777" w:rsidR="00DA5183" w:rsidRPr="00691A10" w:rsidRDefault="00DA5183" w:rsidP="00DA5183">
            <w:pPr>
              <w:jc w:val="center"/>
              <w:rPr>
                <w:rFonts w:cstheme="minorHAnsi"/>
                <w:b/>
                <w:bCs/>
                <w:i/>
                <w:iCs/>
                <w:sz w:val="20"/>
                <w:szCs w:val="20"/>
              </w:rPr>
            </w:pPr>
            <w:r w:rsidRPr="00691A10">
              <w:rPr>
                <w:rFonts w:cstheme="minorHAnsi"/>
                <w:b/>
                <w:bCs/>
                <w:i/>
                <w:iCs/>
                <w:sz w:val="20"/>
                <w:szCs w:val="20"/>
              </w:rPr>
              <w:t>Work-Life Balance</w:t>
            </w:r>
          </w:p>
        </w:tc>
        <w:tc>
          <w:tcPr>
            <w:tcW w:w="457" w:type="pct"/>
            <w:gridSpan w:val="2"/>
            <w:tcBorders>
              <w:top w:val="single" w:sz="8" w:space="0" w:color="auto"/>
              <w:left w:val="single" w:sz="8" w:space="0" w:color="auto"/>
              <w:bottom w:val="single" w:sz="8" w:space="0" w:color="auto"/>
            </w:tcBorders>
            <w:vAlign w:val="center"/>
          </w:tcPr>
          <w:p w14:paraId="3A50D3D1" w14:textId="77777777" w:rsidR="00DA5183" w:rsidRPr="00691A10" w:rsidRDefault="00DA5183" w:rsidP="00DA5183">
            <w:pPr>
              <w:jc w:val="center"/>
              <w:rPr>
                <w:rFonts w:cstheme="minorHAnsi"/>
                <w:b/>
                <w:bCs/>
                <w:i/>
                <w:iCs/>
                <w:sz w:val="20"/>
                <w:szCs w:val="20"/>
              </w:rPr>
            </w:pPr>
            <w:r w:rsidRPr="00691A10">
              <w:rPr>
                <w:rFonts w:cstheme="minorHAnsi"/>
                <w:b/>
                <w:bCs/>
                <w:i/>
                <w:iCs/>
                <w:sz w:val="20"/>
                <w:szCs w:val="20"/>
              </w:rPr>
              <w:t>Work Environment</w:t>
            </w:r>
          </w:p>
        </w:tc>
      </w:tr>
      <w:tr w:rsidR="00DA5183" w:rsidRPr="00480C56" w14:paraId="1C474A82" w14:textId="77777777" w:rsidTr="002D67AE">
        <w:trPr>
          <w:trHeight w:val="144"/>
          <w:tblHeader/>
        </w:trPr>
        <w:tc>
          <w:tcPr>
            <w:tcW w:w="1345" w:type="pct"/>
            <w:vMerge/>
            <w:tcBorders>
              <w:top w:val="single" w:sz="4" w:space="0" w:color="auto"/>
              <w:bottom w:val="single" w:sz="4" w:space="0" w:color="auto"/>
              <w:right w:val="single" w:sz="18" w:space="0" w:color="auto"/>
            </w:tcBorders>
            <w:vAlign w:val="center"/>
          </w:tcPr>
          <w:p w14:paraId="6AA3A889" w14:textId="77777777" w:rsidR="00DA5183" w:rsidRPr="00480C56" w:rsidRDefault="00DA5183" w:rsidP="00DA5183">
            <w:pPr>
              <w:jc w:val="left"/>
              <w:rPr>
                <w:rFonts w:cstheme="minorHAnsi"/>
                <w:sz w:val="20"/>
                <w:szCs w:val="20"/>
              </w:rPr>
            </w:pPr>
          </w:p>
        </w:tc>
        <w:tc>
          <w:tcPr>
            <w:tcW w:w="1398" w:type="pct"/>
            <w:gridSpan w:val="6"/>
            <w:tcBorders>
              <w:top w:val="single" w:sz="8" w:space="0" w:color="auto"/>
              <w:left w:val="single" w:sz="18" w:space="0" w:color="auto"/>
              <w:bottom w:val="single" w:sz="18" w:space="0" w:color="auto"/>
              <w:right w:val="single" w:sz="18" w:space="0" w:color="auto"/>
            </w:tcBorders>
            <w:vAlign w:val="center"/>
          </w:tcPr>
          <w:p w14:paraId="238580D7" w14:textId="697340F2" w:rsidR="00DA5183" w:rsidRPr="00480C56" w:rsidRDefault="00DA5183" w:rsidP="00DA5183">
            <w:pPr>
              <w:jc w:val="center"/>
              <w:rPr>
                <w:rFonts w:cstheme="minorHAnsi"/>
                <w:i/>
                <w:iCs/>
                <w:sz w:val="20"/>
                <w:szCs w:val="20"/>
              </w:rPr>
            </w:pPr>
            <w:r w:rsidRPr="00480C56">
              <w:rPr>
                <w:rFonts w:cstheme="minorHAnsi"/>
                <w:i/>
                <w:iCs/>
                <w:sz w:val="20"/>
                <w:szCs w:val="20"/>
              </w:rPr>
              <w:t xml:space="preserve">Nominal: </w:t>
            </w:r>
            <w:r w:rsidR="006D50B1">
              <w:rPr>
                <w:rFonts w:cstheme="minorHAnsi"/>
                <w:i/>
                <w:iCs/>
                <w:sz w:val="20"/>
                <w:szCs w:val="20"/>
              </w:rPr>
              <w:t xml:space="preserve">Fully </w:t>
            </w:r>
            <w:r w:rsidRPr="00480C56">
              <w:rPr>
                <w:rFonts w:cstheme="minorHAnsi"/>
                <w:i/>
                <w:iCs/>
                <w:sz w:val="20"/>
                <w:szCs w:val="20"/>
              </w:rPr>
              <w:t>In</w:t>
            </w:r>
            <w:r w:rsidR="004B3F8F">
              <w:rPr>
                <w:rFonts w:cstheme="minorHAnsi"/>
                <w:i/>
                <w:iCs/>
                <w:sz w:val="20"/>
                <w:szCs w:val="20"/>
              </w:rPr>
              <w:t>-</w:t>
            </w:r>
            <w:r w:rsidR="006D50B1">
              <w:rPr>
                <w:rFonts w:cstheme="minorHAnsi"/>
                <w:i/>
                <w:iCs/>
                <w:sz w:val="20"/>
                <w:szCs w:val="20"/>
              </w:rPr>
              <w:t>P</w:t>
            </w:r>
            <w:r w:rsidRPr="00480C56">
              <w:rPr>
                <w:rFonts w:cstheme="minorHAnsi"/>
                <w:i/>
                <w:iCs/>
                <w:sz w:val="20"/>
                <w:szCs w:val="20"/>
              </w:rPr>
              <w:t>erson (base)</w:t>
            </w:r>
          </w:p>
        </w:tc>
        <w:tc>
          <w:tcPr>
            <w:tcW w:w="460" w:type="pct"/>
            <w:gridSpan w:val="3"/>
            <w:vMerge/>
            <w:tcBorders>
              <w:top w:val="single" w:sz="8" w:space="0" w:color="auto"/>
              <w:left w:val="single" w:sz="18" w:space="0" w:color="auto"/>
              <w:bottom w:val="single" w:sz="18" w:space="0" w:color="auto"/>
              <w:right w:val="single" w:sz="18" w:space="0" w:color="auto"/>
            </w:tcBorders>
            <w:vAlign w:val="center"/>
          </w:tcPr>
          <w:p w14:paraId="53AC6F40" w14:textId="2AEC06B9" w:rsidR="00DA5183" w:rsidRPr="00480C56" w:rsidRDefault="00DA5183" w:rsidP="00DA5183">
            <w:pPr>
              <w:jc w:val="center"/>
              <w:rPr>
                <w:rFonts w:cstheme="minorHAnsi"/>
                <w:i/>
                <w:iCs/>
                <w:sz w:val="20"/>
                <w:szCs w:val="20"/>
              </w:rPr>
            </w:pPr>
          </w:p>
        </w:tc>
        <w:tc>
          <w:tcPr>
            <w:tcW w:w="1796" w:type="pct"/>
            <w:gridSpan w:val="8"/>
            <w:tcBorders>
              <w:top w:val="single" w:sz="8" w:space="0" w:color="auto"/>
              <w:left w:val="single" w:sz="18" w:space="0" w:color="auto"/>
              <w:bottom w:val="single" w:sz="18" w:space="0" w:color="auto"/>
            </w:tcBorders>
            <w:vAlign w:val="center"/>
          </w:tcPr>
          <w:p w14:paraId="1934DE77" w14:textId="1574246A" w:rsidR="00DA5183" w:rsidRPr="00480C56" w:rsidRDefault="00474CC9" w:rsidP="00DA5183">
            <w:pPr>
              <w:jc w:val="center"/>
              <w:rPr>
                <w:rFonts w:cstheme="minorHAnsi"/>
                <w:i/>
                <w:iCs/>
                <w:sz w:val="20"/>
                <w:szCs w:val="20"/>
              </w:rPr>
            </w:pPr>
            <w:r>
              <w:rPr>
                <w:rFonts w:cstheme="minorHAnsi"/>
                <w:i/>
                <w:iCs/>
                <w:sz w:val="20"/>
                <w:szCs w:val="20"/>
              </w:rPr>
              <w:t>Ordinal</w:t>
            </w:r>
            <w:r w:rsidR="00DA5183" w:rsidRPr="00480C56">
              <w:rPr>
                <w:rFonts w:cstheme="minorHAnsi"/>
                <w:i/>
                <w:iCs/>
                <w:sz w:val="20"/>
                <w:szCs w:val="20"/>
              </w:rPr>
              <w:t>:</w:t>
            </w:r>
            <w:r w:rsidR="006D50B1">
              <w:rPr>
                <w:rFonts w:cstheme="minorHAnsi"/>
                <w:i/>
                <w:iCs/>
                <w:sz w:val="20"/>
                <w:szCs w:val="20"/>
              </w:rPr>
              <w:t xml:space="preserve"> </w:t>
            </w:r>
            <w:r>
              <w:rPr>
                <w:rFonts w:cstheme="minorHAnsi"/>
                <w:i/>
                <w:iCs/>
                <w:sz w:val="20"/>
                <w:szCs w:val="20"/>
              </w:rPr>
              <w:t>1 (No), 2 (Yes)</w:t>
            </w:r>
          </w:p>
        </w:tc>
      </w:tr>
      <w:tr w:rsidR="00DC51C5" w:rsidRPr="00480C56" w14:paraId="485256A7" w14:textId="77777777" w:rsidTr="002D67AE">
        <w:trPr>
          <w:trHeight w:val="144"/>
          <w:tblHeader/>
        </w:trPr>
        <w:tc>
          <w:tcPr>
            <w:tcW w:w="1345" w:type="pct"/>
            <w:vMerge/>
            <w:tcBorders>
              <w:top w:val="single" w:sz="4" w:space="0" w:color="auto"/>
              <w:bottom w:val="single" w:sz="18" w:space="0" w:color="auto"/>
              <w:right w:val="single" w:sz="18" w:space="0" w:color="auto"/>
            </w:tcBorders>
            <w:vAlign w:val="center"/>
          </w:tcPr>
          <w:p w14:paraId="76021771" w14:textId="77777777" w:rsidR="00DC51C5" w:rsidRPr="00480C56" w:rsidRDefault="00DC51C5" w:rsidP="00DA5183">
            <w:pPr>
              <w:jc w:val="left"/>
              <w:rPr>
                <w:rFonts w:cstheme="minorHAnsi"/>
                <w:sz w:val="20"/>
                <w:szCs w:val="20"/>
              </w:rPr>
            </w:pPr>
          </w:p>
        </w:tc>
        <w:tc>
          <w:tcPr>
            <w:tcW w:w="211" w:type="pct"/>
            <w:tcBorders>
              <w:top w:val="single" w:sz="18" w:space="0" w:color="auto"/>
              <w:left w:val="single" w:sz="18" w:space="0" w:color="auto"/>
              <w:bottom w:val="single" w:sz="18" w:space="0" w:color="auto"/>
            </w:tcBorders>
            <w:vAlign w:val="center"/>
          </w:tcPr>
          <w:p w14:paraId="494A4F6C"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185" w:type="pct"/>
            <w:tcBorders>
              <w:top w:val="single" w:sz="18" w:space="0" w:color="auto"/>
              <w:bottom w:val="single" w:sz="18" w:space="0" w:color="auto"/>
            </w:tcBorders>
            <w:vAlign w:val="center"/>
          </w:tcPr>
          <w:p w14:paraId="42D5C85D"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48" w:type="pct"/>
            <w:tcBorders>
              <w:top w:val="single" w:sz="18" w:space="0" w:color="auto"/>
              <w:bottom w:val="single" w:sz="18" w:space="0" w:color="auto"/>
            </w:tcBorders>
            <w:vAlign w:val="center"/>
          </w:tcPr>
          <w:p w14:paraId="1E74615E"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04" w:type="pct"/>
            <w:tcBorders>
              <w:top w:val="single" w:sz="18" w:space="0" w:color="auto"/>
              <w:bottom w:val="single" w:sz="18" w:space="0" w:color="auto"/>
            </w:tcBorders>
            <w:vAlign w:val="center"/>
          </w:tcPr>
          <w:p w14:paraId="71C814DC"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308" w:type="pct"/>
            <w:tcBorders>
              <w:top w:val="single" w:sz="18" w:space="0" w:color="auto"/>
              <w:bottom w:val="single" w:sz="18" w:space="0" w:color="auto"/>
            </w:tcBorders>
            <w:vAlign w:val="center"/>
          </w:tcPr>
          <w:p w14:paraId="23D5213A"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42" w:type="pct"/>
            <w:tcBorders>
              <w:top w:val="single" w:sz="18" w:space="0" w:color="auto"/>
              <w:bottom w:val="single" w:sz="18" w:space="0" w:color="auto"/>
              <w:right w:val="single" w:sz="18" w:space="0" w:color="auto"/>
            </w:tcBorders>
            <w:vAlign w:val="center"/>
          </w:tcPr>
          <w:p w14:paraId="426877BA"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39" w:type="pct"/>
            <w:tcBorders>
              <w:top w:val="single" w:sz="18" w:space="0" w:color="auto"/>
              <w:left w:val="single" w:sz="18" w:space="0" w:color="auto"/>
              <w:bottom w:val="single" w:sz="18" w:space="0" w:color="auto"/>
            </w:tcBorders>
            <w:vAlign w:val="center"/>
          </w:tcPr>
          <w:p w14:paraId="3CC5E340"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21" w:type="pct"/>
            <w:gridSpan w:val="2"/>
            <w:tcBorders>
              <w:top w:val="single" w:sz="18" w:space="0" w:color="auto"/>
              <w:bottom w:val="single" w:sz="18" w:space="0" w:color="auto"/>
              <w:right w:val="single" w:sz="18" w:space="0" w:color="auto"/>
            </w:tcBorders>
            <w:vAlign w:val="center"/>
          </w:tcPr>
          <w:p w14:paraId="0EABEF6F"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39" w:type="pct"/>
            <w:tcBorders>
              <w:top w:val="single" w:sz="18" w:space="0" w:color="auto"/>
              <w:left w:val="single" w:sz="18" w:space="0" w:color="auto"/>
              <w:bottom w:val="single" w:sz="18" w:space="0" w:color="auto"/>
            </w:tcBorders>
            <w:vAlign w:val="center"/>
          </w:tcPr>
          <w:p w14:paraId="750D3F5A"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02" w:type="pct"/>
            <w:tcBorders>
              <w:top w:val="single" w:sz="18" w:space="0" w:color="auto"/>
              <w:bottom w:val="single" w:sz="18" w:space="0" w:color="auto"/>
              <w:right w:val="single" w:sz="18" w:space="0" w:color="auto"/>
            </w:tcBorders>
            <w:vAlign w:val="center"/>
          </w:tcPr>
          <w:p w14:paraId="18444B38"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39" w:type="pct"/>
            <w:tcBorders>
              <w:top w:val="single" w:sz="18" w:space="0" w:color="auto"/>
              <w:left w:val="single" w:sz="18" w:space="0" w:color="auto"/>
              <w:bottom w:val="single" w:sz="18" w:space="0" w:color="auto"/>
            </w:tcBorders>
            <w:vAlign w:val="center"/>
          </w:tcPr>
          <w:p w14:paraId="0F067000"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04" w:type="pct"/>
            <w:tcBorders>
              <w:top w:val="single" w:sz="18" w:space="0" w:color="auto"/>
              <w:bottom w:val="single" w:sz="18" w:space="0" w:color="auto"/>
              <w:right w:val="single" w:sz="18" w:space="0" w:color="auto"/>
            </w:tcBorders>
            <w:vAlign w:val="center"/>
          </w:tcPr>
          <w:p w14:paraId="05035C83"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39" w:type="pct"/>
            <w:tcBorders>
              <w:top w:val="single" w:sz="18" w:space="0" w:color="auto"/>
              <w:left w:val="single" w:sz="18" w:space="0" w:color="auto"/>
              <w:bottom w:val="single" w:sz="18" w:space="0" w:color="auto"/>
            </w:tcBorders>
            <w:vAlign w:val="center"/>
          </w:tcPr>
          <w:p w14:paraId="6D00BD04"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217" w:type="pct"/>
            <w:tcBorders>
              <w:top w:val="single" w:sz="18" w:space="0" w:color="auto"/>
              <w:bottom w:val="single" w:sz="18" w:space="0" w:color="auto"/>
              <w:right w:val="single" w:sz="18" w:space="0" w:color="auto"/>
            </w:tcBorders>
            <w:vAlign w:val="center"/>
          </w:tcPr>
          <w:p w14:paraId="506041D5" w14:textId="77777777" w:rsidR="00DC51C5" w:rsidRPr="00480C56" w:rsidRDefault="00DC51C5" w:rsidP="00DA5183">
            <w:pPr>
              <w:jc w:val="center"/>
              <w:rPr>
                <w:rFonts w:cstheme="minorHAnsi"/>
                <w:sz w:val="20"/>
                <w:szCs w:val="20"/>
              </w:rPr>
            </w:pPr>
            <w:r w:rsidRPr="00480C56">
              <w:rPr>
                <w:rFonts w:cstheme="minorHAnsi"/>
                <w:sz w:val="20"/>
                <w:szCs w:val="20"/>
              </w:rPr>
              <w:t>t-stat</w:t>
            </w:r>
          </w:p>
        </w:tc>
        <w:tc>
          <w:tcPr>
            <w:tcW w:w="268" w:type="pct"/>
            <w:tcBorders>
              <w:top w:val="single" w:sz="18" w:space="0" w:color="auto"/>
              <w:left w:val="single" w:sz="18" w:space="0" w:color="auto"/>
              <w:bottom w:val="single" w:sz="18" w:space="0" w:color="auto"/>
            </w:tcBorders>
            <w:vAlign w:val="center"/>
          </w:tcPr>
          <w:p w14:paraId="17CA5A21" w14:textId="77777777" w:rsidR="00DC51C5" w:rsidRPr="00480C56" w:rsidRDefault="00DC51C5" w:rsidP="00DA5183">
            <w:pPr>
              <w:jc w:val="center"/>
              <w:rPr>
                <w:rFonts w:cstheme="minorHAnsi"/>
                <w:sz w:val="20"/>
                <w:szCs w:val="20"/>
              </w:rPr>
            </w:pPr>
            <w:r w:rsidRPr="00480C56">
              <w:rPr>
                <w:rFonts w:cstheme="minorHAnsi"/>
                <w:sz w:val="20"/>
                <w:szCs w:val="20"/>
              </w:rPr>
              <w:t>Coef.</w:t>
            </w:r>
          </w:p>
        </w:tc>
        <w:tc>
          <w:tcPr>
            <w:tcW w:w="189" w:type="pct"/>
            <w:tcBorders>
              <w:top w:val="single" w:sz="18" w:space="0" w:color="auto"/>
              <w:bottom w:val="single" w:sz="18" w:space="0" w:color="auto"/>
            </w:tcBorders>
            <w:vAlign w:val="center"/>
          </w:tcPr>
          <w:p w14:paraId="48F05DFC" w14:textId="77777777" w:rsidR="00DC51C5" w:rsidRPr="00480C56" w:rsidRDefault="00DC51C5" w:rsidP="00DA5183">
            <w:pPr>
              <w:jc w:val="center"/>
              <w:rPr>
                <w:rFonts w:cstheme="minorHAnsi"/>
                <w:sz w:val="20"/>
                <w:szCs w:val="20"/>
              </w:rPr>
            </w:pPr>
            <w:r w:rsidRPr="00480C56">
              <w:rPr>
                <w:rFonts w:cstheme="minorHAnsi"/>
                <w:sz w:val="20"/>
                <w:szCs w:val="20"/>
              </w:rPr>
              <w:t>t-stat</w:t>
            </w:r>
          </w:p>
        </w:tc>
      </w:tr>
      <w:tr w:rsidR="00DC51C5" w:rsidRPr="00480C56" w14:paraId="4290A30D" w14:textId="77777777" w:rsidTr="002D67AE">
        <w:trPr>
          <w:trHeight w:val="144"/>
        </w:trPr>
        <w:tc>
          <w:tcPr>
            <w:tcW w:w="5000" w:type="pct"/>
            <w:gridSpan w:val="18"/>
            <w:tcBorders>
              <w:top w:val="single" w:sz="18" w:space="0" w:color="auto"/>
              <w:bottom w:val="single" w:sz="4" w:space="0" w:color="auto"/>
            </w:tcBorders>
            <w:vAlign w:val="center"/>
          </w:tcPr>
          <w:p w14:paraId="080F0071" w14:textId="1B6599E5" w:rsidR="00DC51C5" w:rsidRPr="00480C56" w:rsidRDefault="006D50B1" w:rsidP="00DA5183">
            <w:pPr>
              <w:tabs>
                <w:tab w:val="decimal" w:pos="188"/>
                <w:tab w:val="decimal" w:pos="202"/>
                <w:tab w:val="decimal" w:pos="231"/>
              </w:tabs>
              <w:jc w:val="left"/>
              <w:rPr>
                <w:rFonts w:cstheme="minorHAnsi"/>
                <w:sz w:val="20"/>
                <w:szCs w:val="20"/>
              </w:rPr>
            </w:pPr>
            <w:r>
              <w:rPr>
                <w:rFonts w:cstheme="minorHAnsi"/>
                <w:b/>
                <w:bCs/>
                <w:sz w:val="20"/>
                <w:szCs w:val="20"/>
              </w:rPr>
              <w:t>Individual Characteristics</w:t>
            </w:r>
          </w:p>
        </w:tc>
      </w:tr>
      <w:tr w:rsidR="00DC51C5" w:rsidRPr="00480C56" w14:paraId="2C2DCD93"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41CC05CF" w14:textId="026E73EC" w:rsidR="00DC51C5" w:rsidRPr="00480C56" w:rsidRDefault="0057588D" w:rsidP="00DA5183">
            <w:pPr>
              <w:jc w:val="left"/>
              <w:rPr>
                <w:rFonts w:cstheme="minorHAnsi"/>
                <w:sz w:val="20"/>
                <w:szCs w:val="20"/>
              </w:rPr>
            </w:pPr>
            <w:r w:rsidRPr="00480C56">
              <w:rPr>
                <w:rFonts w:cstheme="minorHAnsi"/>
                <w:sz w:val="20"/>
                <w:szCs w:val="20"/>
              </w:rPr>
              <w:t>Age 25-54 (18-24 | 55+)</w:t>
            </w:r>
          </w:p>
        </w:tc>
        <w:tc>
          <w:tcPr>
            <w:tcW w:w="211" w:type="pct"/>
            <w:tcBorders>
              <w:top w:val="single" w:sz="4" w:space="0" w:color="auto"/>
              <w:left w:val="single" w:sz="18" w:space="0" w:color="auto"/>
              <w:bottom w:val="single" w:sz="4" w:space="0" w:color="auto"/>
            </w:tcBorders>
            <w:vAlign w:val="center"/>
          </w:tcPr>
          <w:p w14:paraId="4B07B91B" w14:textId="77777777" w:rsidR="00DC51C5" w:rsidRPr="00480C56" w:rsidRDefault="00DC51C5" w:rsidP="00DA5183">
            <w:pPr>
              <w:tabs>
                <w:tab w:val="decimal" w:pos="167"/>
              </w:tabs>
              <w:jc w:val="center"/>
              <w:rPr>
                <w:rFonts w:cstheme="minorHAnsi"/>
                <w:sz w:val="20"/>
                <w:szCs w:val="20"/>
              </w:rPr>
            </w:pPr>
            <w:r w:rsidRPr="00480C56">
              <w:rPr>
                <w:rFonts w:cstheme="minorHAnsi"/>
                <w:sz w:val="20"/>
                <w:szCs w:val="20"/>
              </w:rPr>
              <w:t>0.124</w:t>
            </w:r>
          </w:p>
        </w:tc>
        <w:tc>
          <w:tcPr>
            <w:tcW w:w="185" w:type="pct"/>
            <w:tcBorders>
              <w:top w:val="single" w:sz="4" w:space="0" w:color="auto"/>
              <w:bottom w:val="single" w:sz="4" w:space="0" w:color="auto"/>
            </w:tcBorders>
            <w:vAlign w:val="center"/>
          </w:tcPr>
          <w:p w14:paraId="025511A9" w14:textId="0159DAB4" w:rsidR="00DC51C5" w:rsidRPr="00480C56" w:rsidRDefault="00DC51C5" w:rsidP="00DA5183">
            <w:pPr>
              <w:tabs>
                <w:tab w:val="decimal" w:pos="196"/>
              </w:tabs>
              <w:jc w:val="center"/>
              <w:rPr>
                <w:rFonts w:cstheme="minorHAnsi"/>
                <w:sz w:val="20"/>
                <w:szCs w:val="20"/>
              </w:rPr>
            </w:pPr>
            <w:r w:rsidRPr="00480C56">
              <w:rPr>
                <w:rFonts w:cstheme="minorHAnsi"/>
                <w:sz w:val="20"/>
                <w:szCs w:val="20"/>
              </w:rPr>
              <w:t>2.42</w:t>
            </w:r>
          </w:p>
        </w:tc>
        <w:tc>
          <w:tcPr>
            <w:tcW w:w="248" w:type="pct"/>
            <w:tcBorders>
              <w:top w:val="single" w:sz="4" w:space="0" w:color="auto"/>
              <w:bottom w:val="single" w:sz="4" w:space="0" w:color="auto"/>
            </w:tcBorders>
            <w:vAlign w:val="center"/>
          </w:tcPr>
          <w:p w14:paraId="14933380" w14:textId="7B0998C3"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6E2B6454"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1B4EF84" w14:textId="560B9FC6" w:rsidR="00DC51C5" w:rsidRPr="00480C56" w:rsidRDefault="00EF779F" w:rsidP="00DA5183">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65555E50"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7100838" w14:textId="0ECC1482"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5D18080F"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DFA1EBB" w14:textId="72169046"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7F79F2BA"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461C116" w14:textId="1B56B0C5"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353911AE"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9680BE3" w14:textId="084DD4F8"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579CEED6"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3A836CBF" w14:textId="09BBCF11"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5EEFAF88" w14:textId="77777777" w:rsidR="00DC51C5" w:rsidRPr="00480C56" w:rsidRDefault="00DC51C5" w:rsidP="00DA5183">
            <w:pPr>
              <w:tabs>
                <w:tab w:val="decimal" w:pos="188"/>
              </w:tabs>
              <w:jc w:val="center"/>
              <w:rPr>
                <w:rFonts w:cstheme="minorHAnsi"/>
                <w:sz w:val="20"/>
                <w:szCs w:val="20"/>
              </w:rPr>
            </w:pPr>
          </w:p>
        </w:tc>
      </w:tr>
      <w:tr w:rsidR="00DC51C5" w:rsidRPr="00480C56" w14:paraId="4FE7669C"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43439B8" w14:textId="5F1D9C60" w:rsidR="00DC51C5" w:rsidRPr="00480C56" w:rsidRDefault="0057588D" w:rsidP="00DA5183">
            <w:pPr>
              <w:jc w:val="left"/>
              <w:rPr>
                <w:rFonts w:cstheme="minorHAnsi"/>
                <w:sz w:val="20"/>
                <w:szCs w:val="20"/>
              </w:rPr>
            </w:pPr>
            <w:r w:rsidRPr="00480C56">
              <w:rPr>
                <w:rFonts w:cstheme="minorHAnsi"/>
                <w:sz w:val="20"/>
                <w:szCs w:val="20"/>
              </w:rPr>
              <w:t>Age 35-54 (18-24 | 55+)</w:t>
            </w:r>
          </w:p>
        </w:tc>
        <w:tc>
          <w:tcPr>
            <w:tcW w:w="211" w:type="pct"/>
            <w:tcBorders>
              <w:top w:val="single" w:sz="4" w:space="0" w:color="auto"/>
              <w:left w:val="single" w:sz="18" w:space="0" w:color="auto"/>
              <w:bottom w:val="single" w:sz="4" w:space="0" w:color="auto"/>
            </w:tcBorders>
            <w:vAlign w:val="center"/>
          </w:tcPr>
          <w:p w14:paraId="12974653" w14:textId="72EA4476"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5071A901"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336D76D0" w14:textId="7DC54F08"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0973CF2D"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3ADF9B02" w14:textId="77777777" w:rsidR="00DC51C5" w:rsidRPr="00480C56" w:rsidRDefault="00DC51C5" w:rsidP="00DA5183">
            <w:pPr>
              <w:tabs>
                <w:tab w:val="decimal" w:pos="202"/>
              </w:tabs>
              <w:jc w:val="center"/>
              <w:rPr>
                <w:rFonts w:cstheme="minorHAnsi"/>
                <w:sz w:val="20"/>
                <w:szCs w:val="20"/>
              </w:rPr>
            </w:pPr>
            <w:r w:rsidRPr="00480C56">
              <w:rPr>
                <w:rFonts w:cstheme="minorHAnsi"/>
                <w:sz w:val="20"/>
                <w:szCs w:val="20"/>
              </w:rPr>
              <w:t>0.112</w:t>
            </w:r>
          </w:p>
        </w:tc>
        <w:tc>
          <w:tcPr>
            <w:tcW w:w="242" w:type="pct"/>
            <w:tcBorders>
              <w:top w:val="single" w:sz="4" w:space="0" w:color="auto"/>
              <w:bottom w:val="single" w:sz="4" w:space="0" w:color="auto"/>
              <w:right w:val="single" w:sz="18" w:space="0" w:color="auto"/>
            </w:tcBorders>
            <w:vAlign w:val="center"/>
          </w:tcPr>
          <w:p w14:paraId="2F4A7544" w14:textId="4BF1479D" w:rsidR="00DC51C5" w:rsidRPr="00480C56" w:rsidRDefault="00DC51C5" w:rsidP="00DA5183">
            <w:pPr>
              <w:tabs>
                <w:tab w:val="decimal" w:pos="231"/>
              </w:tabs>
              <w:jc w:val="center"/>
              <w:rPr>
                <w:rFonts w:cstheme="minorHAnsi"/>
                <w:sz w:val="20"/>
                <w:szCs w:val="20"/>
              </w:rPr>
            </w:pPr>
            <w:r w:rsidRPr="00480C56">
              <w:rPr>
                <w:rFonts w:cstheme="minorHAnsi"/>
                <w:sz w:val="20"/>
                <w:szCs w:val="20"/>
              </w:rPr>
              <w:t>2.03</w:t>
            </w:r>
          </w:p>
        </w:tc>
        <w:tc>
          <w:tcPr>
            <w:tcW w:w="239" w:type="pct"/>
            <w:tcBorders>
              <w:top w:val="single" w:sz="4" w:space="0" w:color="auto"/>
              <w:left w:val="single" w:sz="18" w:space="0" w:color="auto"/>
              <w:bottom w:val="single" w:sz="4" w:space="0" w:color="auto"/>
            </w:tcBorders>
            <w:vAlign w:val="center"/>
          </w:tcPr>
          <w:p w14:paraId="56818DDD" w14:textId="65F59E55"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432C4129"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3CC8EA0" w14:textId="07FCF093"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2988439A"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B963C9D" w14:textId="33CE4D47"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7DA052C9"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A94DDB0" w14:textId="5DD2993D"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0C095560"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5D1CEC56" w14:textId="03748883"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9A37C61" w14:textId="77777777" w:rsidR="00DC51C5" w:rsidRPr="00480C56" w:rsidRDefault="00DC51C5" w:rsidP="00DA5183">
            <w:pPr>
              <w:tabs>
                <w:tab w:val="decimal" w:pos="188"/>
              </w:tabs>
              <w:jc w:val="center"/>
              <w:rPr>
                <w:rFonts w:cstheme="minorHAnsi"/>
                <w:sz w:val="20"/>
                <w:szCs w:val="20"/>
              </w:rPr>
            </w:pPr>
          </w:p>
        </w:tc>
      </w:tr>
      <w:tr w:rsidR="00DC51C5" w:rsidRPr="00480C56" w14:paraId="484E0644"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B58528C" w14:textId="74B849A7" w:rsidR="00DC51C5" w:rsidRPr="00480C56" w:rsidRDefault="0057588D" w:rsidP="00DA5183">
            <w:pPr>
              <w:jc w:val="left"/>
              <w:rPr>
                <w:rFonts w:cstheme="minorHAnsi"/>
                <w:sz w:val="20"/>
                <w:szCs w:val="20"/>
              </w:rPr>
            </w:pPr>
            <w:r w:rsidRPr="00480C56">
              <w:rPr>
                <w:rFonts w:cstheme="minorHAnsi"/>
                <w:sz w:val="20"/>
                <w:szCs w:val="20"/>
              </w:rPr>
              <w:t>Age 65+ (&lt;</w:t>
            </w:r>
            <w:r w:rsidR="000334B8">
              <w:rPr>
                <w:rFonts w:cstheme="minorHAnsi"/>
                <w:sz w:val="20"/>
                <w:szCs w:val="20"/>
              </w:rPr>
              <w:t xml:space="preserve"> </w:t>
            </w:r>
            <w:r w:rsidRPr="00480C56">
              <w:rPr>
                <w:rFonts w:cstheme="minorHAnsi"/>
                <w:sz w:val="20"/>
                <w:szCs w:val="20"/>
              </w:rPr>
              <w:t>6</w:t>
            </w:r>
            <w:r w:rsidR="00B25E0A">
              <w:rPr>
                <w:rFonts w:cstheme="minorHAnsi"/>
                <w:sz w:val="20"/>
                <w:szCs w:val="20"/>
              </w:rPr>
              <w:t>5</w:t>
            </w:r>
            <w:r w:rsidRPr="00480C56">
              <w:rPr>
                <w:rFonts w:cstheme="minorHAnsi"/>
                <w:sz w:val="20"/>
                <w:szCs w:val="20"/>
              </w:rPr>
              <w:t xml:space="preserve"> years)</w:t>
            </w:r>
          </w:p>
        </w:tc>
        <w:tc>
          <w:tcPr>
            <w:tcW w:w="211" w:type="pct"/>
            <w:tcBorders>
              <w:top w:val="single" w:sz="4" w:space="0" w:color="auto"/>
              <w:left w:val="single" w:sz="18" w:space="0" w:color="auto"/>
              <w:bottom w:val="single" w:sz="4" w:space="0" w:color="auto"/>
            </w:tcBorders>
            <w:vAlign w:val="center"/>
          </w:tcPr>
          <w:p w14:paraId="0663C9F0" w14:textId="76CF23D0"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3D46A014"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5977F954" w14:textId="5B5C0796"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6AA4F217"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54E84FBE" w14:textId="1CFE5898" w:rsidR="00DC51C5" w:rsidRPr="00480C56" w:rsidRDefault="00EF779F" w:rsidP="00DA5183">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6F4821BC"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D4310D9" w14:textId="6F4D5743"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50EA2FDF"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33B4C16" w14:textId="69366843" w:rsidR="00DC51C5" w:rsidRPr="00480C56" w:rsidRDefault="00DC51C5" w:rsidP="00DA5183">
            <w:pPr>
              <w:tabs>
                <w:tab w:val="decimal" w:pos="239"/>
              </w:tabs>
              <w:jc w:val="center"/>
              <w:rPr>
                <w:rFonts w:cstheme="minorHAnsi"/>
                <w:sz w:val="20"/>
                <w:szCs w:val="20"/>
              </w:rPr>
            </w:pPr>
            <w:r w:rsidRPr="00480C56">
              <w:rPr>
                <w:rFonts w:cstheme="minorHAnsi"/>
                <w:sz w:val="20"/>
                <w:szCs w:val="20"/>
              </w:rPr>
              <w:t>-0.5</w:t>
            </w:r>
            <w:r w:rsidR="00FB5B3D">
              <w:rPr>
                <w:rFonts w:cstheme="minorHAnsi"/>
                <w:sz w:val="20"/>
                <w:szCs w:val="20"/>
              </w:rPr>
              <w:t>53</w:t>
            </w:r>
          </w:p>
        </w:tc>
        <w:tc>
          <w:tcPr>
            <w:tcW w:w="202" w:type="pct"/>
            <w:tcBorders>
              <w:top w:val="single" w:sz="4" w:space="0" w:color="auto"/>
              <w:bottom w:val="single" w:sz="4" w:space="0" w:color="auto"/>
              <w:right w:val="single" w:sz="18" w:space="0" w:color="auto"/>
            </w:tcBorders>
            <w:vAlign w:val="center"/>
          </w:tcPr>
          <w:p w14:paraId="54E2CC2C" w14:textId="09917AD0" w:rsidR="00DC51C5" w:rsidRPr="00480C56" w:rsidRDefault="00DC51C5" w:rsidP="00DA5183">
            <w:pPr>
              <w:tabs>
                <w:tab w:val="decimal" w:pos="181"/>
              </w:tabs>
              <w:jc w:val="center"/>
              <w:rPr>
                <w:rFonts w:cstheme="minorHAnsi"/>
                <w:sz w:val="20"/>
                <w:szCs w:val="20"/>
              </w:rPr>
            </w:pPr>
            <w:r w:rsidRPr="00480C56">
              <w:rPr>
                <w:rFonts w:cstheme="minorHAnsi"/>
                <w:sz w:val="20"/>
                <w:szCs w:val="20"/>
              </w:rPr>
              <w:t>-2.0</w:t>
            </w:r>
            <w:r w:rsidR="00480C56" w:rsidRPr="00480C56">
              <w:rPr>
                <w:rFonts w:cstheme="minorHAnsi"/>
                <w:sz w:val="20"/>
                <w:szCs w:val="20"/>
              </w:rPr>
              <w:t>6</w:t>
            </w:r>
          </w:p>
        </w:tc>
        <w:tc>
          <w:tcPr>
            <w:tcW w:w="239" w:type="pct"/>
            <w:tcBorders>
              <w:top w:val="single" w:sz="4" w:space="0" w:color="auto"/>
              <w:left w:val="single" w:sz="18" w:space="0" w:color="auto"/>
              <w:bottom w:val="single" w:sz="4" w:space="0" w:color="auto"/>
            </w:tcBorders>
            <w:vAlign w:val="center"/>
          </w:tcPr>
          <w:p w14:paraId="1BBF8835" w14:textId="42D6E3EB"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DD91307"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BBBA8BE" w14:textId="77777777" w:rsidR="00DC51C5" w:rsidRPr="00480C56" w:rsidRDefault="00DC51C5" w:rsidP="00DA5183">
            <w:pPr>
              <w:tabs>
                <w:tab w:val="decimal" w:pos="195"/>
              </w:tabs>
              <w:jc w:val="center"/>
              <w:rPr>
                <w:rFonts w:cstheme="minorHAnsi"/>
                <w:sz w:val="20"/>
                <w:szCs w:val="20"/>
              </w:rPr>
            </w:pPr>
            <w:r w:rsidRPr="00480C56">
              <w:rPr>
                <w:rFonts w:cstheme="minorHAnsi"/>
                <w:sz w:val="20"/>
                <w:szCs w:val="20"/>
              </w:rPr>
              <w:t>-0.531</w:t>
            </w:r>
          </w:p>
        </w:tc>
        <w:tc>
          <w:tcPr>
            <w:tcW w:w="217" w:type="pct"/>
            <w:tcBorders>
              <w:top w:val="single" w:sz="4" w:space="0" w:color="auto"/>
              <w:bottom w:val="single" w:sz="4" w:space="0" w:color="auto"/>
              <w:right w:val="single" w:sz="18" w:space="0" w:color="auto"/>
            </w:tcBorders>
            <w:vAlign w:val="center"/>
          </w:tcPr>
          <w:p w14:paraId="59455983" w14:textId="54F6F328" w:rsidR="00DC51C5" w:rsidRPr="00480C56" w:rsidRDefault="00DC51C5" w:rsidP="00DA5183">
            <w:pPr>
              <w:tabs>
                <w:tab w:val="decimal" w:pos="181"/>
              </w:tabs>
              <w:jc w:val="center"/>
              <w:rPr>
                <w:rFonts w:cstheme="minorHAnsi"/>
                <w:sz w:val="20"/>
                <w:szCs w:val="20"/>
              </w:rPr>
            </w:pPr>
            <w:r w:rsidRPr="00480C56">
              <w:rPr>
                <w:rFonts w:cstheme="minorHAnsi"/>
                <w:sz w:val="20"/>
                <w:szCs w:val="20"/>
              </w:rPr>
              <w:t>-2.0</w:t>
            </w:r>
            <w:r w:rsidR="00480C56" w:rsidRPr="00480C56">
              <w:rPr>
                <w:rFonts w:cstheme="minorHAnsi"/>
                <w:sz w:val="20"/>
                <w:szCs w:val="20"/>
              </w:rPr>
              <w:t>6</w:t>
            </w:r>
          </w:p>
        </w:tc>
        <w:tc>
          <w:tcPr>
            <w:tcW w:w="268" w:type="pct"/>
            <w:tcBorders>
              <w:top w:val="single" w:sz="4" w:space="0" w:color="auto"/>
              <w:left w:val="single" w:sz="18" w:space="0" w:color="auto"/>
              <w:bottom w:val="single" w:sz="4" w:space="0" w:color="auto"/>
            </w:tcBorders>
            <w:vAlign w:val="center"/>
          </w:tcPr>
          <w:p w14:paraId="5487E449" w14:textId="19A2C556"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7C4D9B5C" w14:textId="77777777" w:rsidR="00DC51C5" w:rsidRPr="00480C56" w:rsidRDefault="00DC51C5" w:rsidP="00DA5183">
            <w:pPr>
              <w:tabs>
                <w:tab w:val="decimal" w:pos="188"/>
              </w:tabs>
              <w:jc w:val="center"/>
              <w:rPr>
                <w:rFonts w:cstheme="minorHAnsi"/>
                <w:sz w:val="20"/>
                <w:szCs w:val="20"/>
              </w:rPr>
            </w:pPr>
          </w:p>
        </w:tc>
      </w:tr>
      <w:tr w:rsidR="00DC51C5" w:rsidRPr="00480C56" w14:paraId="21928413"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45343A1" w14:textId="35A36DB8" w:rsidR="00DC51C5" w:rsidRPr="00480C56" w:rsidRDefault="004C0B0B" w:rsidP="00DA5183">
            <w:pPr>
              <w:jc w:val="left"/>
              <w:rPr>
                <w:rFonts w:cstheme="minorHAnsi"/>
                <w:sz w:val="20"/>
                <w:szCs w:val="20"/>
              </w:rPr>
            </w:pPr>
            <w:r>
              <w:rPr>
                <w:rFonts w:cstheme="minorHAnsi"/>
                <w:sz w:val="20"/>
                <w:szCs w:val="20"/>
              </w:rPr>
              <w:t xml:space="preserve">Formal education </w:t>
            </w:r>
            <w:r w:rsidR="0057588D" w:rsidRPr="00480C56">
              <w:rPr>
                <w:rFonts w:cstheme="minorHAnsi"/>
                <w:sz w:val="20"/>
                <w:szCs w:val="20"/>
              </w:rPr>
              <w:t>(</w:t>
            </w:r>
            <w:r w:rsidR="002D67AE">
              <w:rPr>
                <w:rFonts w:cstheme="minorHAnsi"/>
                <w:sz w:val="20"/>
                <w:szCs w:val="20"/>
              </w:rPr>
              <w:t>&lt; bachelor’s degree</w:t>
            </w:r>
            <w:r w:rsidR="0057588D" w:rsidRPr="00480C56">
              <w:rPr>
                <w:rFonts w:cstheme="minorHAnsi"/>
                <w:sz w:val="20"/>
                <w:szCs w:val="20"/>
              </w:rPr>
              <w:t>)</w:t>
            </w:r>
          </w:p>
        </w:tc>
        <w:tc>
          <w:tcPr>
            <w:tcW w:w="211" w:type="pct"/>
            <w:tcBorders>
              <w:top w:val="single" w:sz="4" w:space="0" w:color="auto"/>
              <w:left w:val="single" w:sz="18" w:space="0" w:color="auto"/>
              <w:bottom w:val="single" w:sz="4" w:space="0" w:color="auto"/>
            </w:tcBorders>
            <w:vAlign w:val="center"/>
          </w:tcPr>
          <w:p w14:paraId="39566B07" w14:textId="0AA1853B"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4354C8FB"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26AF0C11" w14:textId="77777777" w:rsidR="00DC51C5" w:rsidRPr="00480C56" w:rsidRDefault="00DC51C5" w:rsidP="00DA5183">
            <w:pPr>
              <w:tabs>
                <w:tab w:val="decimal" w:pos="170"/>
              </w:tabs>
              <w:jc w:val="center"/>
              <w:rPr>
                <w:rFonts w:cstheme="minorHAnsi"/>
                <w:sz w:val="20"/>
                <w:szCs w:val="20"/>
              </w:rPr>
            </w:pPr>
            <w:r w:rsidRPr="00480C56">
              <w:rPr>
                <w:rFonts w:cstheme="minorHAnsi"/>
                <w:sz w:val="20"/>
                <w:szCs w:val="20"/>
              </w:rPr>
              <w:t>-0.203</w:t>
            </w:r>
          </w:p>
        </w:tc>
        <w:tc>
          <w:tcPr>
            <w:tcW w:w="204" w:type="pct"/>
            <w:tcBorders>
              <w:top w:val="single" w:sz="4" w:space="0" w:color="auto"/>
              <w:bottom w:val="single" w:sz="4" w:space="0" w:color="auto"/>
            </w:tcBorders>
            <w:vAlign w:val="center"/>
          </w:tcPr>
          <w:p w14:paraId="246EBB93" w14:textId="228735BD" w:rsidR="00DC51C5" w:rsidRPr="00480C56" w:rsidRDefault="00DC51C5" w:rsidP="00DA5183">
            <w:pPr>
              <w:tabs>
                <w:tab w:val="decimal" w:pos="239"/>
              </w:tabs>
              <w:jc w:val="center"/>
              <w:rPr>
                <w:rFonts w:cstheme="minorHAnsi"/>
                <w:sz w:val="20"/>
                <w:szCs w:val="20"/>
              </w:rPr>
            </w:pPr>
            <w:r w:rsidRPr="00480C56">
              <w:rPr>
                <w:rFonts w:cstheme="minorHAnsi"/>
                <w:sz w:val="20"/>
                <w:szCs w:val="20"/>
              </w:rPr>
              <w:t>-2.53</w:t>
            </w:r>
          </w:p>
        </w:tc>
        <w:tc>
          <w:tcPr>
            <w:tcW w:w="308" w:type="pct"/>
            <w:tcBorders>
              <w:top w:val="single" w:sz="4" w:space="0" w:color="auto"/>
              <w:bottom w:val="single" w:sz="4" w:space="0" w:color="auto"/>
            </w:tcBorders>
            <w:vAlign w:val="center"/>
          </w:tcPr>
          <w:p w14:paraId="471EB03F" w14:textId="77777777" w:rsidR="00DC51C5" w:rsidRPr="00480C56" w:rsidRDefault="00DC51C5" w:rsidP="00DA5183">
            <w:pPr>
              <w:tabs>
                <w:tab w:val="decimal" w:pos="202"/>
              </w:tabs>
              <w:jc w:val="center"/>
              <w:rPr>
                <w:rFonts w:cstheme="minorHAnsi"/>
                <w:sz w:val="20"/>
                <w:szCs w:val="20"/>
              </w:rPr>
            </w:pPr>
            <w:r w:rsidRPr="00480C56">
              <w:rPr>
                <w:rFonts w:cstheme="minorHAnsi"/>
                <w:sz w:val="20"/>
                <w:szCs w:val="20"/>
              </w:rPr>
              <w:t>-0.203</w:t>
            </w:r>
          </w:p>
        </w:tc>
        <w:tc>
          <w:tcPr>
            <w:tcW w:w="242" w:type="pct"/>
            <w:tcBorders>
              <w:top w:val="single" w:sz="4" w:space="0" w:color="auto"/>
              <w:bottom w:val="single" w:sz="4" w:space="0" w:color="auto"/>
              <w:right w:val="single" w:sz="18" w:space="0" w:color="auto"/>
            </w:tcBorders>
            <w:vAlign w:val="center"/>
          </w:tcPr>
          <w:p w14:paraId="7F5C436A" w14:textId="02552177" w:rsidR="00DC51C5" w:rsidRPr="00480C56" w:rsidRDefault="00DC51C5" w:rsidP="00DA5183">
            <w:pPr>
              <w:tabs>
                <w:tab w:val="decimal" w:pos="231"/>
              </w:tabs>
              <w:jc w:val="center"/>
              <w:rPr>
                <w:rFonts w:cstheme="minorHAnsi"/>
                <w:sz w:val="20"/>
                <w:szCs w:val="20"/>
              </w:rPr>
            </w:pPr>
            <w:r w:rsidRPr="00480C56">
              <w:rPr>
                <w:rFonts w:cstheme="minorHAnsi"/>
                <w:sz w:val="20"/>
                <w:szCs w:val="20"/>
              </w:rPr>
              <w:t>-2.53</w:t>
            </w:r>
          </w:p>
        </w:tc>
        <w:tc>
          <w:tcPr>
            <w:tcW w:w="239" w:type="pct"/>
            <w:tcBorders>
              <w:top w:val="single" w:sz="4" w:space="0" w:color="auto"/>
              <w:left w:val="single" w:sz="18" w:space="0" w:color="auto"/>
              <w:bottom w:val="single" w:sz="4" w:space="0" w:color="auto"/>
            </w:tcBorders>
            <w:vAlign w:val="center"/>
          </w:tcPr>
          <w:p w14:paraId="1193343E" w14:textId="76B5347F"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5747F661"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EC3C87E" w14:textId="7C6330B2"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37EF8123"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A39DCD3" w14:textId="11BAD39A"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8D984F0"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BCDAF72" w14:textId="0D1A170A"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4CD09476"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78DC4A01" w14:textId="40CF7382"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6101215" w14:textId="77777777" w:rsidR="00DC51C5" w:rsidRPr="00480C56" w:rsidRDefault="00DC51C5" w:rsidP="00DA5183">
            <w:pPr>
              <w:tabs>
                <w:tab w:val="decimal" w:pos="188"/>
              </w:tabs>
              <w:jc w:val="center"/>
              <w:rPr>
                <w:rFonts w:cstheme="minorHAnsi"/>
                <w:sz w:val="20"/>
                <w:szCs w:val="20"/>
              </w:rPr>
            </w:pPr>
          </w:p>
        </w:tc>
      </w:tr>
      <w:tr w:rsidR="00DC51C5" w:rsidRPr="00480C56" w14:paraId="15721EDA"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0CE19B95" w14:textId="4DDF6F84" w:rsidR="00DC51C5" w:rsidRPr="00480C56" w:rsidRDefault="0057588D" w:rsidP="00DA5183">
            <w:pPr>
              <w:jc w:val="left"/>
              <w:rPr>
                <w:rFonts w:cstheme="minorHAnsi"/>
                <w:sz w:val="20"/>
                <w:szCs w:val="20"/>
              </w:rPr>
            </w:pPr>
            <w:r w:rsidRPr="00480C56">
              <w:rPr>
                <w:rFonts w:cstheme="minorHAnsi"/>
                <w:sz w:val="20"/>
                <w:szCs w:val="20"/>
              </w:rPr>
              <w:t>Black (</w:t>
            </w:r>
            <w:r w:rsidR="004C0B0B">
              <w:rPr>
                <w:rFonts w:cstheme="minorHAnsi"/>
                <w:sz w:val="20"/>
                <w:szCs w:val="20"/>
              </w:rPr>
              <w:t>White | Asian | Other</w:t>
            </w:r>
            <w:r w:rsidRPr="00480C56">
              <w:rPr>
                <w:rFonts w:cstheme="minorHAnsi"/>
                <w:sz w:val="20"/>
                <w:szCs w:val="20"/>
              </w:rPr>
              <w:t>)</w:t>
            </w:r>
          </w:p>
        </w:tc>
        <w:tc>
          <w:tcPr>
            <w:tcW w:w="211" w:type="pct"/>
            <w:tcBorders>
              <w:top w:val="single" w:sz="4" w:space="0" w:color="auto"/>
              <w:left w:val="single" w:sz="18" w:space="0" w:color="auto"/>
              <w:bottom w:val="single" w:sz="4" w:space="0" w:color="auto"/>
            </w:tcBorders>
            <w:vAlign w:val="center"/>
          </w:tcPr>
          <w:p w14:paraId="461A4BF7" w14:textId="189F3C16"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79E11C57"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4C093F19" w14:textId="78E3C336"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19C687EA"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7058C9B6" w14:textId="1EFCE337" w:rsidR="00DC51C5" w:rsidRPr="00480C56" w:rsidRDefault="00EF779F" w:rsidP="00DA5183">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193F43AE"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B1427BB" w14:textId="74E12870"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3F44E948"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1B63969" w14:textId="77777777" w:rsidR="00DC51C5" w:rsidRPr="00480C56" w:rsidRDefault="00DC51C5" w:rsidP="00DA5183">
            <w:pPr>
              <w:tabs>
                <w:tab w:val="decimal" w:pos="239"/>
              </w:tabs>
              <w:jc w:val="center"/>
              <w:rPr>
                <w:rFonts w:cstheme="minorHAnsi"/>
                <w:sz w:val="20"/>
                <w:szCs w:val="20"/>
              </w:rPr>
            </w:pPr>
            <w:r w:rsidRPr="00480C56">
              <w:rPr>
                <w:rFonts w:cstheme="minorHAnsi"/>
                <w:sz w:val="20"/>
                <w:szCs w:val="20"/>
              </w:rPr>
              <w:t>-0.231</w:t>
            </w:r>
          </w:p>
        </w:tc>
        <w:tc>
          <w:tcPr>
            <w:tcW w:w="202" w:type="pct"/>
            <w:tcBorders>
              <w:top w:val="single" w:sz="4" w:space="0" w:color="auto"/>
              <w:bottom w:val="single" w:sz="4" w:space="0" w:color="auto"/>
              <w:right w:val="single" w:sz="18" w:space="0" w:color="auto"/>
            </w:tcBorders>
            <w:vAlign w:val="center"/>
          </w:tcPr>
          <w:p w14:paraId="56C54B35" w14:textId="2D212247" w:rsidR="00DC51C5" w:rsidRPr="00480C56" w:rsidRDefault="00DC51C5" w:rsidP="00DA5183">
            <w:pPr>
              <w:tabs>
                <w:tab w:val="decimal" w:pos="181"/>
              </w:tabs>
              <w:jc w:val="center"/>
              <w:rPr>
                <w:rFonts w:cstheme="minorHAnsi"/>
                <w:sz w:val="20"/>
                <w:szCs w:val="20"/>
              </w:rPr>
            </w:pPr>
            <w:r w:rsidRPr="00480C56">
              <w:rPr>
                <w:rFonts w:cstheme="minorHAnsi"/>
                <w:sz w:val="20"/>
                <w:szCs w:val="20"/>
              </w:rPr>
              <w:t>-1.78</w:t>
            </w:r>
          </w:p>
        </w:tc>
        <w:tc>
          <w:tcPr>
            <w:tcW w:w="239" w:type="pct"/>
            <w:tcBorders>
              <w:top w:val="single" w:sz="4" w:space="0" w:color="auto"/>
              <w:left w:val="single" w:sz="18" w:space="0" w:color="auto"/>
              <w:bottom w:val="single" w:sz="4" w:space="0" w:color="auto"/>
            </w:tcBorders>
            <w:vAlign w:val="center"/>
          </w:tcPr>
          <w:p w14:paraId="69E316D4" w14:textId="35C5063D"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47EFB668"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2358321" w14:textId="593A7792"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69F47089"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618E3905" w14:textId="24B995E8"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282E5B52" w14:textId="77777777" w:rsidR="00DC51C5" w:rsidRPr="00480C56" w:rsidRDefault="00DC51C5" w:rsidP="00DA5183">
            <w:pPr>
              <w:tabs>
                <w:tab w:val="decimal" w:pos="188"/>
              </w:tabs>
              <w:jc w:val="center"/>
              <w:rPr>
                <w:rFonts w:cstheme="minorHAnsi"/>
                <w:sz w:val="20"/>
                <w:szCs w:val="20"/>
              </w:rPr>
            </w:pPr>
          </w:p>
        </w:tc>
      </w:tr>
      <w:tr w:rsidR="00DC51C5" w:rsidRPr="00480C56" w14:paraId="55836C0C"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6163E4D" w14:textId="39B65C03" w:rsidR="00DC51C5" w:rsidRPr="00480C56" w:rsidRDefault="0057588D" w:rsidP="00DA5183">
            <w:pPr>
              <w:jc w:val="left"/>
              <w:rPr>
                <w:rFonts w:cstheme="minorHAnsi"/>
                <w:sz w:val="20"/>
                <w:szCs w:val="20"/>
              </w:rPr>
            </w:pPr>
            <w:r w:rsidRPr="00480C56">
              <w:rPr>
                <w:rFonts w:cstheme="minorHAnsi"/>
                <w:sz w:val="20"/>
                <w:szCs w:val="20"/>
              </w:rPr>
              <w:t>White (</w:t>
            </w:r>
            <w:r w:rsidR="004C0B0B">
              <w:rPr>
                <w:rFonts w:cstheme="minorHAnsi"/>
                <w:sz w:val="20"/>
                <w:szCs w:val="20"/>
              </w:rPr>
              <w:t>Black | Asian | Other</w:t>
            </w:r>
            <w:r w:rsidRPr="00480C56">
              <w:rPr>
                <w:rFonts w:cstheme="minorHAnsi"/>
                <w:sz w:val="20"/>
                <w:szCs w:val="20"/>
              </w:rPr>
              <w:t>)</w:t>
            </w:r>
          </w:p>
        </w:tc>
        <w:tc>
          <w:tcPr>
            <w:tcW w:w="211" w:type="pct"/>
            <w:tcBorders>
              <w:top w:val="single" w:sz="4" w:space="0" w:color="auto"/>
              <w:left w:val="single" w:sz="18" w:space="0" w:color="auto"/>
              <w:bottom w:val="single" w:sz="4" w:space="0" w:color="auto"/>
            </w:tcBorders>
            <w:vAlign w:val="center"/>
          </w:tcPr>
          <w:p w14:paraId="2E60F726" w14:textId="0CF10352"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58F64B37"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7BB051B9" w14:textId="0047AE11"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363C10C2"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395BA158" w14:textId="2796A70D" w:rsidR="00DC51C5" w:rsidRPr="00480C56" w:rsidRDefault="00EF779F" w:rsidP="00DA5183">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0B496FA9"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B4D4CD6" w14:textId="07EEB18B"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7F89682F"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56EC6FD" w14:textId="70FEF775"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5D4B1C1"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BB3E46D" w14:textId="376DF15E"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5F4EDC9F"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F72B459" w14:textId="735E6E56"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1E7DAC73"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564D83D4" w14:textId="77777777" w:rsidR="00DC51C5" w:rsidRPr="00480C56" w:rsidRDefault="00DC51C5" w:rsidP="00DA5183">
            <w:pPr>
              <w:tabs>
                <w:tab w:val="decimal" w:pos="189"/>
              </w:tabs>
              <w:jc w:val="center"/>
              <w:rPr>
                <w:rFonts w:cstheme="minorHAnsi"/>
                <w:sz w:val="20"/>
                <w:szCs w:val="20"/>
              </w:rPr>
            </w:pPr>
            <w:r w:rsidRPr="00480C56">
              <w:rPr>
                <w:rFonts w:cstheme="minorHAnsi"/>
                <w:sz w:val="20"/>
                <w:szCs w:val="20"/>
              </w:rPr>
              <w:t>0.330</w:t>
            </w:r>
          </w:p>
        </w:tc>
        <w:tc>
          <w:tcPr>
            <w:tcW w:w="189" w:type="pct"/>
            <w:tcBorders>
              <w:top w:val="single" w:sz="4" w:space="0" w:color="auto"/>
              <w:bottom w:val="single" w:sz="4" w:space="0" w:color="auto"/>
            </w:tcBorders>
            <w:vAlign w:val="center"/>
          </w:tcPr>
          <w:p w14:paraId="76C743DD" w14:textId="0E9B539B" w:rsidR="00DC51C5" w:rsidRPr="00480C56" w:rsidRDefault="00DC51C5" w:rsidP="00DA5183">
            <w:pPr>
              <w:tabs>
                <w:tab w:val="decimal" w:pos="188"/>
              </w:tabs>
              <w:jc w:val="center"/>
              <w:rPr>
                <w:rFonts w:cstheme="minorHAnsi"/>
                <w:sz w:val="20"/>
                <w:szCs w:val="20"/>
              </w:rPr>
            </w:pPr>
            <w:r w:rsidRPr="00480C56">
              <w:rPr>
                <w:rFonts w:cstheme="minorHAnsi"/>
                <w:sz w:val="20"/>
                <w:szCs w:val="20"/>
              </w:rPr>
              <w:t>3.1</w:t>
            </w:r>
            <w:r w:rsidR="00480C56" w:rsidRPr="00480C56">
              <w:rPr>
                <w:rFonts w:cstheme="minorHAnsi"/>
                <w:sz w:val="20"/>
                <w:szCs w:val="20"/>
              </w:rPr>
              <w:t>2</w:t>
            </w:r>
          </w:p>
        </w:tc>
      </w:tr>
      <w:tr w:rsidR="00DC51C5" w:rsidRPr="00480C56" w14:paraId="21E49825"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DD4DE74" w14:textId="2D2F281F" w:rsidR="00DC51C5" w:rsidRPr="00480C56" w:rsidRDefault="0057588D" w:rsidP="00DA5183">
            <w:pPr>
              <w:jc w:val="left"/>
              <w:rPr>
                <w:rFonts w:cstheme="minorHAnsi"/>
                <w:sz w:val="20"/>
                <w:szCs w:val="20"/>
              </w:rPr>
            </w:pPr>
            <w:r w:rsidRPr="00480C56">
              <w:rPr>
                <w:rFonts w:cstheme="minorHAnsi"/>
                <w:sz w:val="20"/>
                <w:szCs w:val="20"/>
              </w:rPr>
              <w:t xml:space="preserve">Asian </w:t>
            </w:r>
            <w:r w:rsidR="008A44E1" w:rsidRPr="00480C56">
              <w:rPr>
                <w:rFonts w:cstheme="minorHAnsi"/>
                <w:noProof/>
                <w:position w:val="-4"/>
                <w:sz w:val="20"/>
                <w:szCs w:val="20"/>
              </w:rPr>
              <w:object w:dxaOrig="180" w:dyaOrig="200" w14:anchorId="2E8ADCCE">
                <v:shape id="_x0000_i1133" type="#_x0000_t75" alt="" style="width:9pt;height:9pt;mso-width-percent:0;mso-height-percent:0;mso-width-percent:0;mso-height-percent:0" o:ole="">
                  <v:imagedata r:id="rId229" o:title=""/>
                </v:shape>
                <o:OLEObject Type="Embed" ProgID="Equation.DSMT4" ShapeID="_x0000_i1133" DrawAspect="Content" ObjectID="_1847354415" r:id="rId230"/>
              </w:object>
            </w:r>
            <w:r w:rsidRPr="00480C56">
              <w:rPr>
                <w:rFonts w:cstheme="minorHAnsi"/>
                <w:sz w:val="20"/>
                <w:szCs w:val="20"/>
              </w:rPr>
              <w:t xml:space="preserve"> </w:t>
            </w:r>
            <w:r>
              <w:rPr>
                <w:rFonts w:cstheme="minorHAnsi"/>
                <w:sz w:val="20"/>
                <w:szCs w:val="20"/>
              </w:rPr>
              <w:t>M</w:t>
            </w:r>
            <w:r w:rsidRPr="00480C56">
              <w:rPr>
                <w:rFonts w:cstheme="minorHAnsi"/>
                <w:sz w:val="20"/>
                <w:szCs w:val="20"/>
              </w:rPr>
              <w:t>an</w:t>
            </w:r>
            <w:r w:rsidR="000334B8">
              <w:rPr>
                <w:rFonts w:cstheme="minorHAnsi"/>
                <w:sz w:val="20"/>
                <w:szCs w:val="20"/>
              </w:rPr>
              <w:t xml:space="preserve"> (*)</w:t>
            </w:r>
          </w:p>
        </w:tc>
        <w:tc>
          <w:tcPr>
            <w:tcW w:w="211" w:type="pct"/>
            <w:tcBorders>
              <w:top w:val="single" w:sz="4" w:space="0" w:color="auto"/>
              <w:left w:val="single" w:sz="18" w:space="0" w:color="auto"/>
              <w:bottom w:val="single" w:sz="4" w:space="0" w:color="auto"/>
            </w:tcBorders>
            <w:vAlign w:val="center"/>
          </w:tcPr>
          <w:p w14:paraId="5A66D6AA" w14:textId="26D73B84" w:rsidR="00DC51C5" w:rsidRPr="00480C56" w:rsidRDefault="00EF779F" w:rsidP="00DA5183">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36461F62" w14:textId="77777777" w:rsidR="00DC51C5" w:rsidRPr="00480C56" w:rsidRDefault="00DC51C5" w:rsidP="00DA5183">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3B2ED475" w14:textId="333F698E" w:rsidR="00DC51C5" w:rsidRPr="00480C56" w:rsidRDefault="00EF779F" w:rsidP="00DA5183">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0E996EE3" w14:textId="77777777" w:rsidR="00DC51C5" w:rsidRPr="00480C56" w:rsidRDefault="00DC51C5" w:rsidP="00DA5183">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2F3FC0E6" w14:textId="6B5E7947" w:rsidR="00DC51C5" w:rsidRPr="00480C56" w:rsidRDefault="00EF779F" w:rsidP="00DA5183">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BD80781"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9A4B26F" w14:textId="44920D98"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6E5E2C9B"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DE21FCF" w14:textId="1D42ED99"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56EB1872"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415BBDD" w14:textId="7A625577"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20D4B6B9"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B729BD8" w14:textId="24492D9F" w:rsidR="00DC51C5" w:rsidRPr="00480C56" w:rsidRDefault="00EF779F" w:rsidP="00DA5183">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16D16FA2" w14:textId="77777777" w:rsidR="00DC51C5" w:rsidRPr="00480C56" w:rsidRDefault="00DC51C5" w:rsidP="00DA5183">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7BB45C3C" w14:textId="77777777" w:rsidR="00DC51C5" w:rsidRPr="00480C56" w:rsidRDefault="00DC51C5" w:rsidP="00DA5183">
            <w:pPr>
              <w:tabs>
                <w:tab w:val="decimal" w:pos="189"/>
              </w:tabs>
              <w:jc w:val="center"/>
              <w:rPr>
                <w:rFonts w:cstheme="minorHAnsi"/>
                <w:sz w:val="20"/>
                <w:szCs w:val="20"/>
              </w:rPr>
            </w:pPr>
            <w:r w:rsidRPr="00480C56">
              <w:rPr>
                <w:rFonts w:cstheme="minorHAnsi"/>
                <w:sz w:val="20"/>
                <w:szCs w:val="20"/>
              </w:rPr>
              <w:t>0.460</w:t>
            </w:r>
          </w:p>
        </w:tc>
        <w:tc>
          <w:tcPr>
            <w:tcW w:w="189" w:type="pct"/>
            <w:tcBorders>
              <w:top w:val="single" w:sz="4" w:space="0" w:color="auto"/>
              <w:bottom w:val="single" w:sz="4" w:space="0" w:color="auto"/>
            </w:tcBorders>
            <w:vAlign w:val="center"/>
          </w:tcPr>
          <w:p w14:paraId="51436773" w14:textId="3352E0CB" w:rsidR="00DC51C5" w:rsidRPr="00480C56" w:rsidRDefault="00DC51C5" w:rsidP="00DA5183">
            <w:pPr>
              <w:tabs>
                <w:tab w:val="decimal" w:pos="188"/>
              </w:tabs>
              <w:jc w:val="center"/>
              <w:rPr>
                <w:rFonts w:cstheme="minorHAnsi"/>
                <w:sz w:val="20"/>
                <w:szCs w:val="20"/>
              </w:rPr>
            </w:pPr>
            <w:r w:rsidRPr="00480C56">
              <w:rPr>
                <w:rFonts w:cstheme="minorHAnsi"/>
                <w:sz w:val="20"/>
                <w:szCs w:val="20"/>
              </w:rPr>
              <w:t>1.8</w:t>
            </w:r>
            <w:r w:rsidR="00480C56" w:rsidRPr="00480C56">
              <w:rPr>
                <w:rFonts w:cstheme="minorHAnsi"/>
                <w:sz w:val="20"/>
                <w:szCs w:val="20"/>
              </w:rPr>
              <w:t>5</w:t>
            </w:r>
          </w:p>
        </w:tc>
      </w:tr>
      <w:tr w:rsidR="00DC51C5" w:rsidRPr="00480C56" w14:paraId="752C7A87"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9AD9676" w14:textId="7B7FAC8E" w:rsidR="00DC51C5" w:rsidRPr="00480C56" w:rsidRDefault="000334B8" w:rsidP="00DA5183">
            <w:pPr>
              <w:jc w:val="left"/>
              <w:rPr>
                <w:rFonts w:cstheme="minorHAnsi"/>
                <w:sz w:val="20"/>
                <w:szCs w:val="20"/>
              </w:rPr>
            </w:pPr>
            <w:r>
              <w:rPr>
                <w:rFonts w:cstheme="minorHAnsi"/>
                <w:sz w:val="20"/>
                <w:szCs w:val="20"/>
              </w:rPr>
              <w:t>Ha</w:t>
            </w:r>
            <w:r w:rsidR="002D67AE">
              <w:rPr>
                <w:rFonts w:cstheme="minorHAnsi"/>
                <w:sz w:val="20"/>
                <w:szCs w:val="20"/>
              </w:rPr>
              <w:t>ve</w:t>
            </w:r>
            <w:r>
              <w:rPr>
                <w:rFonts w:cstheme="minorHAnsi"/>
                <w:sz w:val="20"/>
                <w:szCs w:val="20"/>
              </w:rPr>
              <w:t xml:space="preserve"> m</w:t>
            </w:r>
            <w:r w:rsidR="0057588D" w:rsidRPr="00480C56">
              <w:rPr>
                <w:rFonts w:cstheme="minorHAnsi"/>
                <w:sz w:val="20"/>
                <w:szCs w:val="20"/>
              </w:rPr>
              <w:t>obility challenges (no</w:t>
            </w:r>
            <w:r>
              <w:rPr>
                <w:rFonts w:cstheme="minorHAnsi"/>
                <w:sz w:val="20"/>
                <w:szCs w:val="20"/>
              </w:rPr>
              <w:t>ne</w:t>
            </w:r>
            <w:r w:rsidR="0057588D" w:rsidRPr="00480C56">
              <w:rPr>
                <w:rFonts w:cstheme="minorHAnsi"/>
                <w:sz w:val="20"/>
                <w:szCs w:val="20"/>
              </w:rPr>
              <w:t>)</w:t>
            </w:r>
          </w:p>
        </w:tc>
        <w:tc>
          <w:tcPr>
            <w:tcW w:w="211" w:type="pct"/>
            <w:tcBorders>
              <w:top w:val="single" w:sz="4" w:space="0" w:color="auto"/>
              <w:left w:val="single" w:sz="18" w:space="0" w:color="auto"/>
              <w:bottom w:val="single" w:sz="4" w:space="0" w:color="auto"/>
            </w:tcBorders>
            <w:vAlign w:val="center"/>
          </w:tcPr>
          <w:p w14:paraId="73721098" w14:textId="77777777" w:rsidR="00DC51C5" w:rsidRPr="00480C56" w:rsidRDefault="00DC51C5" w:rsidP="00DA5183">
            <w:pPr>
              <w:tabs>
                <w:tab w:val="decimal" w:pos="167"/>
              </w:tabs>
              <w:jc w:val="center"/>
              <w:rPr>
                <w:rFonts w:cstheme="minorHAnsi"/>
                <w:sz w:val="20"/>
                <w:szCs w:val="20"/>
              </w:rPr>
            </w:pPr>
            <w:r w:rsidRPr="00480C56">
              <w:rPr>
                <w:rFonts w:cstheme="minorHAnsi"/>
                <w:sz w:val="20"/>
                <w:szCs w:val="20"/>
              </w:rPr>
              <w:t>0.240</w:t>
            </w:r>
          </w:p>
        </w:tc>
        <w:tc>
          <w:tcPr>
            <w:tcW w:w="185" w:type="pct"/>
            <w:tcBorders>
              <w:top w:val="single" w:sz="4" w:space="0" w:color="auto"/>
              <w:bottom w:val="single" w:sz="4" w:space="0" w:color="auto"/>
            </w:tcBorders>
            <w:vAlign w:val="center"/>
          </w:tcPr>
          <w:p w14:paraId="79F38E5A" w14:textId="54D9AB9E" w:rsidR="00DC51C5" w:rsidRPr="00480C56" w:rsidRDefault="00DC51C5" w:rsidP="00DA5183">
            <w:pPr>
              <w:tabs>
                <w:tab w:val="decimal" w:pos="196"/>
              </w:tabs>
              <w:jc w:val="center"/>
              <w:rPr>
                <w:rFonts w:cstheme="minorHAnsi"/>
                <w:sz w:val="20"/>
                <w:szCs w:val="20"/>
              </w:rPr>
            </w:pPr>
            <w:r w:rsidRPr="00480C56">
              <w:rPr>
                <w:rFonts w:cstheme="minorHAnsi"/>
                <w:sz w:val="20"/>
                <w:szCs w:val="20"/>
              </w:rPr>
              <w:t>4.0</w:t>
            </w:r>
            <w:r w:rsidR="00480C56" w:rsidRPr="00480C56">
              <w:rPr>
                <w:rFonts w:cstheme="minorHAnsi"/>
                <w:sz w:val="20"/>
                <w:szCs w:val="20"/>
              </w:rPr>
              <w:t>1</w:t>
            </w:r>
          </w:p>
        </w:tc>
        <w:tc>
          <w:tcPr>
            <w:tcW w:w="248" w:type="pct"/>
            <w:tcBorders>
              <w:top w:val="single" w:sz="4" w:space="0" w:color="auto"/>
              <w:bottom w:val="single" w:sz="4" w:space="0" w:color="auto"/>
            </w:tcBorders>
            <w:vAlign w:val="center"/>
          </w:tcPr>
          <w:p w14:paraId="0FA90BB5" w14:textId="77777777" w:rsidR="00DC51C5" w:rsidRPr="00480C56" w:rsidRDefault="00DC51C5" w:rsidP="00DA5183">
            <w:pPr>
              <w:tabs>
                <w:tab w:val="decimal" w:pos="170"/>
              </w:tabs>
              <w:jc w:val="center"/>
              <w:rPr>
                <w:rFonts w:cstheme="minorHAnsi"/>
                <w:sz w:val="20"/>
                <w:szCs w:val="20"/>
              </w:rPr>
            </w:pPr>
            <w:r w:rsidRPr="00480C56">
              <w:rPr>
                <w:rFonts w:cstheme="minorHAnsi"/>
                <w:sz w:val="20"/>
                <w:szCs w:val="20"/>
              </w:rPr>
              <w:t>0.181</w:t>
            </w:r>
          </w:p>
        </w:tc>
        <w:tc>
          <w:tcPr>
            <w:tcW w:w="204" w:type="pct"/>
            <w:tcBorders>
              <w:top w:val="single" w:sz="4" w:space="0" w:color="auto"/>
              <w:bottom w:val="single" w:sz="4" w:space="0" w:color="auto"/>
            </w:tcBorders>
            <w:vAlign w:val="center"/>
          </w:tcPr>
          <w:p w14:paraId="6332DFB7" w14:textId="57A2FB15" w:rsidR="00DC51C5" w:rsidRPr="00480C56" w:rsidRDefault="00DC51C5" w:rsidP="00DA5183">
            <w:pPr>
              <w:tabs>
                <w:tab w:val="decimal" w:pos="239"/>
              </w:tabs>
              <w:jc w:val="center"/>
              <w:rPr>
                <w:rFonts w:cstheme="minorHAnsi"/>
                <w:sz w:val="20"/>
                <w:szCs w:val="20"/>
              </w:rPr>
            </w:pPr>
            <w:r w:rsidRPr="00480C56">
              <w:rPr>
                <w:rFonts w:cstheme="minorHAnsi"/>
                <w:sz w:val="20"/>
                <w:szCs w:val="20"/>
              </w:rPr>
              <w:t>2.2</w:t>
            </w:r>
            <w:r w:rsidR="00480C56" w:rsidRPr="00480C56">
              <w:rPr>
                <w:rFonts w:cstheme="minorHAnsi"/>
                <w:sz w:val="20"/>
                <w:szCs w:val="20"/>
              </w:rPr>
              <w:t>9</w:t>
            </w:r>
          </w:p>
        </w:tc>
        <w:tc>
          <w:tcPr>
            <w:tcW w:w="308" w:type="pct"/>
            <w:tcBorders>
              <w:top w:val="single" w:sz="4" w:space="0" w:color="auto"/>
              <w:bottom w:val="single" w:sz="4" w:space="0" w:color="auto"/>
            </w:tcBorders>
            <w:vAlign w:val="center"/>
          </w:tcPr>
          <w:p w14:paraId="31BD5BD4" w14:textId="77777777" w:rsidR="00DC51C5" w:rsidRPr="00480C56" w:rsidRDefault="00DC51C5" w:rsidP="00DA5183">
            <w:pPr>
              <w:tabs>
                <w:tab w:val="decimal" w:pos="202"/>
              </w:tabs>
              <w:jc w:val="center"/>
              <w:rPr>
                <w:rFonts w:cstheme="minorHAnsi"/>
                <w:sz w:val="20"/>
                <w:szCs w:val="20"/>
              </w:rPr>
            </w:pPr>
            <w:r w:rsidRPr="00480C56">
              <w:rPr>
                <w:rFonts w:cstheme="minorHAnsi"/>
                <w:sz w:val="20"/>
                <w:szCs w:val="20"/>
              </w:rPr>
              <w:t>0.261</w:t>
            </w:r>
          </w:p>
        </w:tc>
        <w:tc>
          <w:tcPr>
            <w:tcW w:w="242" w:type="pct"/>
            <w:tcBorders>
              <w:top w:val="single" w:sz="4" w:space="0" w:color="auto"/>
              <w:bottom w:val="single" w:sz="4" w:space="0" w:color="auto"/>
              <w:right w:val="single" w:sz="18" w:space="0" w:color="auto"/>
            </w:tcBorders>
            <w:vAlign w:val="center"/>
          </w:tcPr>
          <w:p w14:paraId="4878A084" w14:textId="16F17407" w:rsidR="00DC51C5" w:rsidRPr="00480C56" w:rsidRDefault="00DC51C5" w:rsidP="00DA5183">
            <w:pPr>
              <w:tabs>
                <w:tab w:val="decimal" w:pos="231"/>
              </w:tabs>
              <w:jc w:val="center"/>
              <w:rPr>
                <w:rFonts w:cstheme="minorHAnsi"/>
                <w:sz w:val="20"/>
                <w:szCs w:val="20"/>
              </w:rPr>
            </w:pPr>
            <w:r w:rsidRPr="00480C56">
              <w:rPr>
                <w:rFonts w:cstheme="minorHAnsi"/>
                <w:sz w:val="20"/>
                <w:szCs w:val="20"/>
              </w:rPr>
              <w:t>3.16</w:t>
            </w:r>
          </w:p>
        </w:tc>
        <w:tc>
          <w:tcPr>
            <w:tcW w:w="239" w:type="pct"/>
            <w:tcBorders>
              <w:top w:val="single" w:sz="4" w:space="0" w:color="auto"/>
              <w:left w:val="single" w:sz="18" w:space="0" w:color="auto"/>
              <w:bottom w:val="single" w:sz="4" w:space="0" w:color="auto"/>
            </w:tcBorders>
            <w:vAlign w:val="center"/>
          </w:tcPr>
          <w:p w14:paraId="56B2D340" w14:textId="77777777" w:rsidR="00DC51C5" w:rsidRPr="00480C56" w:rsidRDefault="00DC51C5" w:rsidP="00DA5183">
            <w:pPr>
              <w:tabs>
                <w:tab w:val="decimal" w:pos="238"/>
              </w:tabs>
              <w:jc w:val="center"/>
              <w:rPr>
                <w:rFonts w:cstheme="minorHAnsi"/>
                <w:sz w:val="20"/>
                <w:szCs w:val="20"/>
              </w:rPr>
            </w:pPr>
            <w:r w:rsidRPr="00480C56">
              <w:rPr>
                <w:rFonts w:cstheme="minorHAnsi"/>
                <w:sz w:val="20"/>
                <w:szCs w:val="20"/>
              </w:rPr>
              <w:t>-0.167</w:t>
            </w:r>
          </w:p>
        </w:tc>
        <w:tc>
          <w:tcPr>
            <w:tcW w:w="221" w:type="pct"/>
            <w:gridSpan w:val="2"/>
            <w:tcBorders>
              <w:top w:val="single" w:sz="4" w:space="0" w:color="auto"/>
              <w:bottom w:val="single" w:sz="4" w:space="0" w:color="auto"/>
              <w:right w:val="single" w:sz="18" w:space="0" w:color="auto"/>
            </w:tcBorders>
            <w:vAlign w:val="center"/>
          </w:tcPr>
          <w:p w14:paraId="255F1C49" w14:textId="1FCC4CDB" w:rsidR="00DC51C5" w:rsidRPr="00480C56" w:rsidRDefault="00DC51C5" w:rsidP="00DA5183">
            <w:pPr>
              <w:tabs>
                <w:tab w:val="decimal" w:pos="181"/>
              </w:tabs>
              <w:jc w:val="center"/>
              <w:rPr>
                <w:rFonts w:cstheme="minorHAnsi"/>
                <w:sz w:val="20"/>
                <w:szCs w:val="20"/>
              </w:rPr>
            </w:pPr>
            <w:r w:rsidRPr="00480C56">
              <w:rPr>
                <w:rFonts w:cstheme="minorHAnsi"/>
                <w:sz w:val="20"/>
                <w:szCs w:val="20"/>
              </w:rPr>
              <w:t>-1.7</w:t>
            </w:r>
            <w:r w:rsidR="00480C56" w:rsidRPr="00480C56">
              <w:rPr>
                <w:rFonts w:cstheme="minorHAnsi"/>
                <w:sz w:val="20"/>
                <w:szCs w:val="20"/>
              </w:rPr>
              <w:t>5</w:t>
            </w:r>
          </w:p>
        </w:tc>
        <w:tc>
          <w:tcPr>
            <w:tcW w:w="239" w:type="pct"/>
            <w:tcBorders>
              <w:top w:val="single" w:sz="4" w:space="0" w:color="auto"/>
              <w:left w:val="single" w:sz="18" w:space="0" w:color="auto"/>
              <w:bottom w:val="single" w:sz="4" w:space="0" w:color="auto"/>
            </w:tcBorders>
            <w:vAlign w:val="center"/>
          </w:tcPr>
          <w:p w14:paraId="4CCCF4C9" w14:textId="7D794EA5" w:rsidR="00DC51C5" w:rsidRPr="00480C56" w:rsidRDefault="00EF779F" w:rsidP="00DA5183">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DD79BCF" w14:textId="77777777" w:rsidR="00DC51C5" w:rsidRPr="00480C56" w:rsidRDefault="00DC51C5" w:rsidP="00DA5183">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3813769" w14:textId="52FE323B" w:rsidR="00DC51C5" w:rsidRPr="00480C56" w:rsidRDefault="00EF779F" w:rsidP="00DA5183">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0F375724" w14:textId="77777777" w:rsidR="00DC51C5" w:rsidRPr="00480C56" w:rsidRDefault="00DC51C5" w:rsidP="00DA5183">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916C90F" w14:textId="77777777" w:rsidR="00DC51C5" w:rsidRPr="00480C56" w:rsidRDefault="00DC51C5" w:rsidP="00DA5183">
            <w:pPr>
              <w:tabs>
                <w:tab w:val="decimal" w:pos="195"/>
              </w:tabs>
              <w:jc w:val="center"/>
              <w:rPr>
                <w:rFonts w:cstheme="minorHAnsi"/>
                <w:sz w:val="20"/>
                <w:szCs w:val="20"/>
              </w:rPr>
            </w:pPr>
            <w:r w:rsidRPr="00480C56">
              <w:rPr>
                <w:rFonts w:cstheme="minorHAnsi"/>
                <w:sz w:val="20"/>
                <w:szCs w:val="20"/>
              </w:rPr>
              <w:t>0.195</w:t>
            </w:r>
          </w:p>
        </w:tc>
        <w:tc>
          <w:tcPr>
            <w:tcW w:w="217" w:type="pct"/>
            <w:tcBorders>
              <w:top w:val="single" w:sz="4" w:space="0" w:color="auto"/>
              <w:bottom w:val="single" w:sz="4" w:space="0" w:color="auto"/>
              <w:right w:val="single" w:sz="18" w:space="0" w:color="auto"/>
            </w:tcBorders>
            <w:vAlign w:val="center"/>
          </w:tcPr>
          <w:p w14:paraId="5A2C1B24" w14:textId="796C3A27" w:rsidR="00DC51C5" w:rsidRPr="00480C56" w:rsidRDefault="00DC51C5" w:rsidP="00DA5183">
            <w:pPr>
              <w:tabs>
                <w:tab w:val="decimal" w:pos="181"/>
              </w:tabs>
              <w:jc w:val="center"/>
              <w:rPr>
                <w:rFonts w:cstheme="minorHAnsi"/>
                <w:sz w:val="20"/>
                <w:szCs w:val="20"/>
              </w:rPr>
            </w:pPr>
            <w:r w:rsidRPr="00480C56">
              <w:rPr>
                <w:rFonts w:cstheme="minorHAnsi"/>
                <w:sz w:val="20"/>
                <w:szCs w:val="20"/>
              </w:rPr>
              <w:t>1.7</w:t>
            </w:r>
            <w:r w:rsidR="00480C56" w:rsidRPr="00480C56">
              <w:rPr>
                <w:rFonts w:cstheme="minorHAnsi"/>
                <w:sz w:val="20"/>
                <w:szCs w:val="20"/>
              </w:rPr>
              <w:t>1</w:t>
            </w:r>
          </w:p>
        </w:tc>
        <w:tc>
          <w:tcPr>
            <w:tcW w:w="268" w:type="pct"/>
            <w:tcBorders>
              <w:top w:val="single" w:sz="4" w:space="0" w:color="auto"/>
              <w:left w:val="single" w:sz="18" w:space="0" w:color="auto"/>
              <w:bottom w:val="single" w:sz="4" w:space="0" w:color="auto"/>
            </w:tcBorders>
            <w:vAlign w:val="center"/>
          </w:tcPr>
          <w:p w14:paraId="691A13FC" w14:textId="4BB28A21" w:rsidR="00DC51C5" w:rsidRPr="00480C56" w:rsidRDefault="00EF779F" w:rsidP="00DA5183">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287D9792" w14:textId="77777777" w:rsidR="00DC51C5" w:rsidRPr="00480C56" w:rsidRDefault="00DC51C5" w:rsidP="00DA5183">
            <w:pPr>
              <w:tabs>
                <w:tab w:val="decimal" w:pos="188"/>
              </w:tabs>
              <w:jc w:val="center"/>
              <w:rPr>
                <w:rFonts w:cstheme="minorHAnsi"/>
                <w:sz w:val="20"/>
                <w:szCs w:val="20"/>
              </w:rPr>
            </w:pPr>
          </w:p>
        </w:tc>
      </w:tr>
      <w:tr w:rsidR="006D50B1" w:rsidRPr="00480C56" w14:paraId="7854BC2D" w14:textId="77777777" w:rsidTr="002D67AE">
        <w:trPr>
          <w:trHeight w:val="144"/>
        </w:trPr>
        <w:tc>
          <w:tcPr>
            <w:tcW w:w="5000" w:type="pct"/>
            <w:gridSpan w:val="18"/>
            <w:tcBorders>
              <w:top w:val="single" w:sz="4" w:space="0" w:color="auto"/>
              <w:bottom w:val="single" w:sz="4" w:space="0" w:color="auto"/>
            </w:tcBorders>
            <w:vAlign w:val="center"/>
          </w:tcPr>
          <w:p w14:paraId="64B7C02F" w14:textId="21CF23D2" w:rsidR="006D50B1" w:rsidRPr="00480C56" w:rsidRDefault="006D50B1" w:rsidP="006D50B1">
            <w:pPr>
              <w:tabs>
                <w:tab w:val="decimal" w:pos="188"/>
              </w:tabs>
              <w:jc w:val="left"/>
              <w:rPr>
                <w:rFonts w:cstheme="minorHAnsi"/>
                <w:sz w:val="20"/>
                <w:szCs w:val="20"/>
              </w:rPr>
            </w:pPr>
            <w:r w:rsidRPr="006D50B1">
              <w:rPr>
                <w:rFonts w:cstheme="minorHAnsi"/>
                <w:b/>
                <w:bCs/>
                <w:sz w:val="20"/>
                <w:szCs w:val="20"/>
              </w:rPr>
              <w:t xml:space="preserve">Household </w:t>
            </w:r>
            <w:r>
              <w:rPr>
                <w:rFonts w:cstheme="minorHAnsi"/>
                <w:b/>
                <w:bCs/>
                <w:sz w:val="20"/>
                <w:szCs w:val="20"/>
              </w:rPr>
              <w:t>C</w:t>
            </w:r>
            <w:r w:rsidRPr="006D50B1">
              <w:rPr>
                <w:rFonts w:cstheme="minorHAnsi"/>
                <w:b/>
                <w:bCs/>
                <w:sz w:val="20"/>
                <w:szCs w:val="20"/>
              </w:rPr>
              <w:t>haracteristics</w:t>
            </w:r>
          </w:p>
        </w:tc>
      </w:tr>
      <w:tr w:rsidR="004C0B0B" w:rsidRPr="00480C56" w14:paraId="26F101A0"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5C61C88" w14:textId="11143579" w:rsidR="004C0B0B" w:rsidRPr="00480C56" w:rsidRDefault="004C0B0B" w:rsidP="004C0B0B">
            <w:pPr>
              <w:jc w:val="left"/>
              <w:rPr>
                <w:rFonts w:cstheme="minorHAnsi"/>
                <w:sz w:val="20"/>
                <w:szCs w:val="20"/>
              </w:rPr>
            </w:pPr>
            <w:r>
              <w:rPr>
                <w:rFonts w:cstheme="minorHAnsi"/>
                <w:sz w:val="20"/>
                <w:szCs w:val="20"/>
              </w:rPr>
              <w:t>Less than $25,000</w:t>
            </w:r>
          </w:p>
        </w:tc>
        <w:tc>
          <w:tcPr>
            <w:tcW w:w="211" w:type="pct"/>
            <w:tcBorders>
              <w:top w:val="single" w:sz="4" w:space="0" w:color="auto"/>
              <w:left w:val="single" w:sz="18" w:space="0" w:color="auto"/>
              <w:bottom w:val="single" w:sz="4" w:space="0" w:color="auto"/>
            </w:tcBorders>
            <w:vAlign w:val="center"/>
          </w:tcPr>
          <w:p w14:paraId="7C416B96" w14:textId="0C690143" w:rsidR="004C0B0B"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74C9660E"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6D5D1DFF" w14:textId="2E632984"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854A3AB"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52179D7A" w14:textId="79D00050"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6F0140A9"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E1A9074" w14:textId="7E80992B" w:rsidR="004C0B0B" w:rsidRPr="00480C56" w:rsidRDefault="004C0B0B" w:rsidP="004C0B0B">
            <w:pPr>
              <w:tabs>
                <w:tab w:val="decimal" w:pos="238"/>
              </w:tabs>
              <w:jc w:val="center"/>
              <w:rPr>
                <w:rFonts w:cstheme="minorHAnsi"/>
                <w:sz w:val="20"/>
                <w:szCs w:val="20"/>
              </w:rPr>
            </w:pPr>
            <w:r w:rsidRPr="00480C56">
              <w:rPr>
                <w:rFonts w:cstheme="minorHAnsi"/>
                <w:sz w:val="20"/>
                <w:szCs w:val="20"/>
              </w:rPr>
              <w:t>0.259</w:t>
            </w:r>
          </w:p>
        </w:tc>
        <w:tc>
          <w:tcPr>
            <w:tcW w:w="221" w:type="pct"/>
            <w:gridSpan w:val="2"/>
            <w:tcBorders>
              <w:top w:val="single" w:sz="4" w:space="0" w:color="auto"/>
              <w:bottom w:val="single" w:sz="4" w:space="0" w:color="auto"/>
              <w:right w:val="single" w:sz="18" w:space="0" w:color="auto"/>
            </w:tcBorders>
            <w:vAlign w:val="center"/>
          </w:tcPr>
          <w:p w14:paraId="7C246BC2" w14:textId="2680FFB5" w:rsidR="004C0B0B" w:rsidRPr="00480C56" w:rsidRDefault="004C0B0B" w:rsidP="004C0B0B">
            <w:pPr>
              <w:tabs>
                <w:tab w:val="decimal" w:pos="181"/>
              </w:tabs>
              <w:jc w:val="center"/>
              <w:rPr>
                <w:rFonts w:cstheme="minorHAnsi"/>
                <w:sz w:val="20"/>
                <w:szCs w:val="20"/>
              </w:rPr>
            </w:pPr>
            <w:r w:rsidRPr="00480C56">
              <w:rPr>
                <w:rFonts w:cstheme="minorHAnsi"/>
                <w:sz w:val="20"/>
                <w:szCs w:val="20"/>
              </w:rPr>
              <w:t>1.66</w:t>
            </w:r>
          </w:p>
        </w:tc>
        <w:tc>
          <w:tcPr>
            <w:tcW w:w="239" w:type="pct"/>
            <w:tcBorders>
              <w:top w:val="single" w:sz="4" w:space="0" w:color="auto"/>
              <w:left w:val="single" w:sz="18" w:space="0" w:color="auto"/>
              <w:bottom w:val="single" w:sz="4" w:space="0" w:color="auto"/>
            </w:tcBorders>
            <w:vAlign w:val="center"/>
          </w:tcPr>
          <w:p w14:paraId="1C46E578" w14:textId="4E93DB16" w:rsidR="004C0B0B"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6DDE6F6"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9F25850" w14:textId="431B476D"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132D2F3"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5D37E9B" w14:textId="04E2E47A" w:rsidR="004C0B0B"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7DACE156"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6C4DA90F" w14:textId="2C7DA55F"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7A5B985C" w14:textId="77777777" w:rsidR="004C0B0B" w:rsidRPr="00480C56" w:rsidRDefault="004C0B0B" w:rsidP="004C0B0B">
            <w:pPr>
              <w:tabs>
                <w:tab w:val="decimal" w:pos="188"/>
              </w:tabs>
              <w:jc w:val="center"/>
              <w:rPr>
                <w:rFonts w:cstheme="minorHAnsi"/>
                <w:sz w:val="20"/>
                <w:szCs w:val="20"/>
              </w:rPr>
            </w:pPr>
          </w:p>
        </w:tc>
      </w:tr>
      <w:tr w:rsidR="004C0B0B" w:rsidRPr="00480C56" w14:paraId="6004F21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06D828E0" w14:textId="6E7E7E71" w:rsidR="004C0B0B" w:rsidRPr="00480C56" w:rsidRDefault="004C0B0B" w:rsidP="004C0B0B">
            <w:pPr>
              <w:jc w:val="left"/>
              <w:rPr>
                <w:rFonts w:cstheme="minorHAnsi"/>
                <w:sz w:val="20"/>
                <w:szCs w:val="20"/>
              </w:rPr>
            </w:pPr>
            <w:r w:rsidRPr="000A4B11">
              <w:rPr>
                <w:rFonts w:cstheme="minorHAnsi"/>
                <w:sz w:val="20"/>
                <w:szCs w:val="20"/>
              </w:rPr>
              <w:t>$25,000 to $49,999</w:t>
            </w:r>
          </w:p>
        </w:tc>
        <w:tc>
          <w:tcPr>
            <w:tcW w:w="211" w:type="pct"/>
            <w:tcBorders>
              <w:top w:val="single" w:sz="4" w:space="0" w:color="auto"/>
              <w:left w:val="single" w:sz="18" w:space="0" w:color="auto"/>
              <w:bottom w:val="single" w:sz="4" w:space="0" w:color="auto"/>
            </w:tcBorders>
            <w:vAlign w:val="center"/>
          </w:tcPr>
          <w:p w14:paraId="2DA4D35F" w14:textId="58DEB4B0" w:rsidR="004C0B0B" w:rsidRDefault="004C0B0B" w:rsidP="004C0B0B">
            <w:pPr>
              <w:tabs>
                <w:tab w:val="decimal" w:pos="167"/>
              </w:tabs>
              <w:jc w:val="center"/>
              <w:rPr>
                <w:rFonts w:cstheme="minorHAnsi"/>
                <w:sz w:val="20"/>
                <w:szCs w:val="20"/>
              </w:rPr>
            </w:pPr>
            <w:r w:rsidRPr="00480C56">
              <w:rPr>
                <w:rFonts w:cstheme="minorHAnsi"/>
                <w:sz w:val="20"/>
                <w:szCs w:val="20"/>
              </w:rPr>
              <w:t>-0.229</w:t>
            </w:r>
          </w:p>
        </w:tc>
        <w:tc>
          <w:tcPr>
            <w:tcW w:w="185" w:type="pct"/>
            <w:tcBorders>
              <w:top w:val="single" w:sz="4" w:space="0" w:color="auto"/>
              <w:bottom w:val="single" w:sz="4" w:space="0" w:color="auto"/>
            </w:tcBorders>
            <w:vAlign w:val="center"/>
          </w:tcPr>
          <w:p w14:paraId="274DAD9E" w14:textId="72C6B36E" w:rsidR="004C0B0B" w:rsidRPr="00480C56" w:rsidRDefault="004C0B0B" w:rsidP="004C0B0B">
            <w:pPr>
              <w:tabs>
                <w:tab w:val="decimal" w:pos="196"/>
              </w:tabs>
              <w:jc w:val="center"/>
              <w:rPr>
                <w:rFonts w:cstheme="minorHAnsi"/>
                <w:sz w:val="20"/>
                <w:szCs w:val="20"/>
              </w:rPr>
            </w:pPr>
            <w:r w:rsidRPr="00480C56">
              <w:rPr>
                <w:rFonts w:cstheme="minorHAnsi"/>
                <w:sz w:val="20"/>
                <w:szCs w:val="20"/>
              </w:rPr>
              <w:t>-3.54</w:t>
            </w:r>
          </w:p>
        </w:tc>
        <w:tc>
          <w:tcPr>
            <w:tcW w:w="248" w:type="pct"/>
            <w:tcBorders>
              <w:top w:val="single" w:sz="4" w:space="0" w:color="auto"/>
              <w:bottom w:val="single" w:sz="4" w:space="0" w:color="auto"/>
            </w:tcBorders>
            <w:vAlign w:val="center"/>
          </w:tcPr>
          <w:p w14:paraId="6A0A5286" w14:textId="2D3C7137"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90CCD80"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6B3473C6" w14:textId="3BA8E6C9"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564A6FAF"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0AB770D" w14:textId="3DDE8A9C" w:rsidR="004C0B0B" w:rsidRPr="00480C56" w:rsidRDefault="004C0B0B" w:rsidP="004C0B0B">
            <w:pPr>
              <w:tabs>
                <w:tab w:val="decimal" w:pos="238"/>
              </w:tabs>
              <w:jc w:val="center"/>
              <w:rPr>
                <w:rFonts w:cstheme="minorHAnsi"/>
                <w:sz w:val="20"/>
                <w:szCs w:val="20"/>
              </w:rPr>
            </w:pPr>
            <w:r w:rsidRPr="00480C56">
              <w:rPr>
                <w:rFonts w:cstheme="minorHAnsi"/>
                <w:sz w:val="20"/>
                <w:szCs w:val="20"/>
              </w:rPr>
              <w:t>0.259</w:t>
            </w:r>
          </w:p>
        </w:tc>
        <w:tc>
          <w:tcPr>
            <w:tcW w:w="221" w:type="pct"/>
            <w:gridSpan w:val="2"/>
            <w:tcBorders>
              <w:top w:val="single" w:sz="4" w:space="0" w:color="auto"/>
              <w:bottom w:val="single" w:sz="4" w:space="0" w:color="auto"/>
              <w:right w:val="single" w:sz="18" w:space="0" w:color="auto"/>
            </w:tcBorders>
            <w:vAlign w:val="center"/>
          </w:tcPr>
          <w:p w14:paraId="4D02E578" w14:textId="1D7863EE" w:rsidR="004C0B0B" w:rsidRPr="00480C56" w:rsidRDefault="004C0B0B" w:rsidP="004C0B0B">
            <w:pPr>
              <w:tabs>
                <w:tab w:val="decimal" w:pos="181"/>
              </w:tabs>
              <w:jc w:val="center"/>
              <w:rPr>
                <w:rFonts w:cstheme="minorHAnsi"/>
                <w:sz w:val="20"/>
                <w:szCs w:val="20"/>
              </w:rPr>
            </w:pPr>
            <w:r w:rsidRPr="00480C56">
              <w:rPr>
                <w:rFonts w:cstheme="minorHAnsi"/>
                <w:sz w:val="20"/>
                <w:szCs w:val="20"/>
              </w:rPr>
              <w:t>1.66</w:t>
            </w:r>
          </w:p>
        </w:tc>
        <w:tc>
          <w:tcPr>
            <w:tcW w:w="239" w:type="pct"/>
            <w:tcBorders>
              <w:top w:val="single" w:sz="4" w:space="0" w:color="auto"/>
              <w:left w:val="single" w:sz="18" w:space="0" w:color="auto"/>
              <w:bottom w:val="single" w:sz="4" w:space="0" w:color="auto"/>
            </w:tcBorders>
            <w:vAlign w:val="center"/>
          </w:tcPr>
          <w:p w14:paraId="032A0BD5" w14:textId="1948B1FD" w:rsidR="004C0B0B"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7F14A425"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5EA215E" w14:textId="0A604162" w:rsidR="004C0B0B" w:rsidRPr="00480C56" w:rsidRDefault="004C0B0B" w:rsidP="004C0B0B">
            <w:pPr>
              <w:tabs>
                <w:tab w:val="decimal" w:pos="238"/>
              </w:tabs>
              <w:jc w:val="center"/>
              <w:rPr>
                <w:rFonts w:cstheme="minorHAnsi"/>
                <w:sz w:val="20"/>
                <w:szCs w:val="20"/>
              </w:rPr>
            </w:pPr>
            <w:r w:rsidRPr="00480C56">
              <w:rPr>
                <w:rFonts w:cstheme="minorHAnsi"/>
                <w:sz w:val="20"/>
                <w:szCs w:val="20"/>
              </w:rPr>
              <w:t>0.444</w:t>
            </w:r>
          </w:p>
        </w:tc>
        <w:tc>
          <w:tcPr>
            <w:tcW w:w="204" w:type="pct"/>
            <w:tcBorders>
              <w:top w:val="single" w:sz="4" w:space="0" w:color="auto"/>
              <w:bottom w:val="single" w:sz="4" w:space="0" w:color="auto"/>
              <w:right w:val="single" w:sz="18" w:space="0" w:color="auto"/>
            </w:tcBorders>
            <w:vAlign w:val="center"/>
          </w:tcPr>
          <w:p w14:paraId="120F02B8" w14:textId="29B9107D" w:rsidR="004C0B0B" w:rsidRPr="00480C56" w:rsidRDefault="004C0B0B" w:rsidP="004C0B0B">
            <w:pPr>
              <w:tabs>
                <w:tab w:val="decimal" w:pos="231"/>
              </w:tabs>
              <w:jc w:val="center"/>
              <w:rPr>
                <w:rFonts w:cstheme="minorHAnsi"/>
                <w:sz w:val="20"/>
                <w:szCs w:val="20"/>
              </w:rPr>
            </w:pPr>
            <w:r w:rsidRPr="00480C56">
              <w:rPr>
                <w:rFonts w:cstheme="minorHAnsi"/>
                <w:sz w:val="20"/>
                <w:szCs w:val="20"/>
              </w:rPr>
              <w:t>2.36</w:t>
            </w:r>
          </w:p>
        </w:tc>
        <w:tc>
          <w:tcPr>
            <w:tcW w:w="239" w:type="pct"/>
            <w:tcBorders>
              <w:top w:val="single" w:sz="4" w:space="0" w:color="auto"/>
              <w:left w:val="single" w:sz="18" w:space="0" w:color="auto"/>
              <w:bottom w:val="single" w:sz="4" w:space="0" w:color="auto"/>
            </w:tcBorders>
            <w:vAlign w:val="center"/>
          </w:tcPr>
          <w:p w14:paraId="64E81213" w14:textId="0F63D75E" w:rsidR="004C0B0B"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360A5CD0"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46975F58" w14:textId="6B3DFDAF"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8318D42" w14:textId="77777777" w:rsidR="004C0B0B" w:rsidRPr="00480C56" w:rsidRDefault="004C0B0B" w:rsidP="004C0B0B">
            <w:pPr>
              <w:tabs>
                <w:tab w:val="decimal" w:pos="188"/>
              </w:tabs>
              <w:jc w:val="center"/>
              <w:rPr>
                <w:rFonts w:cstheme="minorHAnsi"/>
                <w:sz w:val="20"/>
                <w:szCs w:val="20"/>
              </w:rPr>
            </w:pPr>
          </w:p>
        </w:tc>
      </w:tr>
      <w:tr w:rsidR="004C0B0B" w:rsidRPr="00480C56" w14:paraId="51F27EAE"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38C869BF" w14:textId="05C5B03D" w:rsidR="004C0B0B" w:rsidRPr="00480C56" w:rsidRDefault="004C0B0B" w:rsidP="004C0B0B">
            <w:pPr>
              <w:jc w:val="left"/>
              <w:rPr>
                <w:rFonts w:cstheme="minorHAnsi"/>
                <w:sz w:val="20"/>
                <w:szCs w:val="20"/>
              </w:rPr>
            </w:pPr>
            <w:r w:rsidRPr="000A4B11">
              <w:rPr>
                <w:rFonts w:cstheme="minorHAnsi"/>
                <w:sz w:val="20"/>
                <w:szCs w:val="20"/>
              </w:rPr>
              <w:t>$50,000 to $99,999</w:t>
            </w:r>
          </w:p>
        </w:tc>
        <w:tc>
          <w:tcPr>
            <w:tcW w:w="211" w:type="pct"/>
            <w:tcBorders>
              <w:top w:val="single" w:sz="4" w:space="0" w:color="auto"/>
              <w:left w:val="single" w:sz="18" w:space="0" w:color="auto"/>
              <w:bottom w:val="single" w:sz="4" w:space="0" w:color="auto"/>
            </w:tcBorders>
            <w:vAlign w:val="center"/>
          </w:tcPr>
          <w:p w14:paraId="7B8D94DB" w14:textId="4BDE6797" w:rsidR="004C0B0B" w:rsidRDefault="004C0B0B" w:rsidP="004C0B0B">
            <w:pPr>
              <w:tabs>
                <w:tab w:val="decimal" w:pos="167"/>
              </w:tabs>
              <w:jc w:val="center"/>
              <w:rPr>
                <w:rFonts w:cstheme="minorHAnsi"/>
                <w:sz w:val="20"/>
                <w:szCs w:val="20"/>
              </w:rPr>
            </w:pPr>
            <w:r w:rsidRPr="00480C56">
              <w:rPr>
                <w:rFonts w:cstheme="minorHAnsi"/>
                <w:sz w:val="20"/>
                <w:szCs w:val="20"/>
              </w:rPr>
              <w:t>-0.229</w:t>
            </w:r>
          </w:p>
        </w:tc>
        <w:tc>
          <w:tcPr>
            <w:tcW w:w="185" w:type="pct"/>
            <w:tcBorders>
              <w:top w:val="single" w:sz="4" w:space="0" w:color="auto"/>
              <w:bottom w:val="single" w:sz="4" w:space="0" w:color="auto"/>
            </w:tcBorders>
            <w:vAlign w:val="center"/>
          </w:tcPr>
          <w:p w14:paraId="019498E9" w14:textId="2E38E399" w:rsidR="004C0B0B" w:rsidRPr="00480C56" w:rsidRDefault="004C0B0B" w:rsidP="004C0B0B">
            <w:pPr>
              <w:tabs>
                <w:tab w:val="decimal" w:pos="196"/>
              </w:tabs>
              <w:jc w:val="center"/>
              <w:rPr>
                <w:rFonts w:cstheme="minorHAnsi"/>
                <w:sz w:val="20"/>
                <w:szCs w:val="20"/>
              </w:rPr>
            </w:pPr>
            <w:r w:rsidRPr="00480C56">
              <w:rPr>
                <w:rFonts w:cstheme="minorHAnsi"/>
                <w:sz w:val="20"/>
                <w:szCs w:val="20"/>
              </w:rPr>
              <w:t>-3.54</w:t>
            </w:r>
          </w:p>
        </w:tc>
        <w:tc>
          <w:tcPr>
            <w:tcW w:w="248" w:type="pct"/>
            <w:tcBorders>
              <w:top w:val="single" w:sz="4" w:space="0" w:color="auto"/>
              <w:bottom w:val="single" w:sz="4" w:space="0" w:color="auto"/>
            </w:tcBorders>
            <w:vAlign w:val="center"/>
          </w:tcPr>
          <w:p w14:paraId="3CBAE628" w14:textId="02D010AB"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691C5942"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7F991E47" w14:textId="59AA923F"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02B79D0"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EECE952" w14:textId="67C69F6D"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31BFB094"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1E5E3AD" w14:textId="14E0E5F8" w:rsidR="004C0B0B"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0B5C2962"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9AC5DA8" w14:textId="3BBA549E" w:rsidR="004C0B0B" w:rsidRPr="00480C56" w:rsidRDefault="004C0B0B" w:rsidP="004C0B0B">
            <w:pPr>
              <w:tabs>
                <w:tab w:val="decimal" w:pos="238"/>
              </w:tabs>
              <w:jc w:val="center"/>
              <w:rPr>
                <w:rFonts w:cstheme="minorHAnsi"/>
                <w:sz w:val="20"/>
                <w:szCs w:val="20"/>
              </w:rPr>
            </w:pPr>
            <w:r w:rsidRPr="00480C56">
              <w:rPr>
                <w:rFonts w:cstheme="minorHAnsi"/>
                <w:sz w:val="20"/>
                <w:szCs w:val="20"/>
              </w:rPr>
              <w:t>0.444</w:t>
            </w:r>
          </w:p>
        </w:tc>
        <w:tc>
          <w:tcPr>
            <w:tcW w:w="204" w:type="pct"/>
            <w:tcBorders>
              <w:top w:val="single" w:sz="4" w:space="0" w:color="auto"/>
              <w:bottom w:val="single" w:sz="4" w:space="0" w:color="auto"/>
              <w:right w:val="single" w:sz="18" w:space="0" w:color="auto"/>
            </w:tcBorders>
            <w:vAlign w:val="center"/>
          </w:tcPr>
          <w:p w14:paraId="1491D3B2" w14:textId="764CF6A1" w:rsidR="004C0B0B" w:rsidRPr="00480C56" w:rsidRDefault="004C0B0B" w:rsidP="004C0B0B">
            <w:pPr>
              <w:tabs>
                <w:tab w:val="decimal" w:pos="231"/>
              </w:tabs>
              <w:jc w:val="center"/>
              <w:rPr>
                <w:rFonts w:cstheme="minorHAnsi"/>
                <w:sz w:val="20"/>
                <w:szCs w:val="20"/>
              </w:rPr>
            </w:pPr>
            <w:r w:rsidRPr="00480C56">
              <w:rPr>
                <w:rFonts w:cstheme="minorHAnsi"/>
                <w:sz w:val="20"/>
                <w:szCs w:val="20"/>
              </w:rPr>
              <w:t>2.36</w:t>
            </w:r>
          </w:p>
        </w:tc>
        <w:tc>
          <w:tcPr>
            <w:tcW w:w="239" w:type="pct"/>
            <w:tcBorders>
              <w:top w:val="single" w:sz="4" w:space="0" w:color="auto"/>
              <w:left w:val="single" w:sz="18" w:space="0" w:color="auto"/>
              <w:bottom w:val="single" w:sz="4" w:space="0" w:color="auto"/>
            </w:tcBorders>
            <w:vAlign w:val="center"/>
          </w:tcPr>
          <w:p w14:paraId="39730917" w14:textId="0449E9B9" w:rsidR="004C0B0B"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0D307E64"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186D7D4D" w14:textId="443A0A0D"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B6CA493" w14:textId="77777777" w:rsidR="004C0B0B" w:rsidRPr="00480C56" w:rsidRDefault="004C0B0B" w:rsidP="004C0B0B">
            <w:pPr>
              <w:tabs>
                <w:tab w:val="decimal" w:pos="188"/>
              </w:tabs>
              <w:jc w:val="center"/>
              <w:rPr>
                <w:rFonts w:cstheme="minorHAnsi"/>
                <w:sz w:val="20"/>
                <w:szCs w:val="20"/>
              </w:rPr>
            </w:pPr>
          </w:p>
        </w:tc>
      </w:tr>
      <w:tr w:rsidR="004C0B0B" w:rsidRPr="00480C56" w14:paraId="624AA242"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EF2CCE6" w14:textId="0C06B8F4" w:rsidR="004C0B0B" w:rsidRPr="00480C56" w:rsidRDefault="004C0B0B" w:rsidP="004C0B0B">
            <w:pPr>
              <w:jc w:val="left"/>
              <w:rPr>
                <w:rFonts w:cstheme="minorHAnsi"/>
                <w:sz w:val="20"/>
                <w:szCs w:val="20"/>
              </w:rPr>
            </w:pPr>
            <w:r w:rsidRPr="000A4B11">
              <w:rPr>
                <w:rFonts w:cstheme="minorHAnsi"/>
                <w:sz w:val="20"/>
                <w:szCs w:val="20"/>
              </w:rPr>
              <w:t>$100,000 to $149,999</w:t>
            </w:r>
          </w:p>
        </w:tc>
        <w:tc>
          <w:tcPr>
            <w:tcW w:w="211" w:type="pct"/>
            <w:tcBorders>
              <w:top w:val="single" w:sz="4" w:space="0" w:color="auto"/>
              <w:left w:val="single" w:sz="18" w:space="0" w:color="auto"/>
              <w:bottom w:val="single" w:sz="4" w:space="0" w:color="auto"/>
            </w:tcBorders>
            <w:vAlign w:val="center"/>
          </w:tcPr>
          <w:p w14:paraId="23AB7EC7" w14:textId="3C6022E6" w:rsidR="004C0B0B"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052B6F5D"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6E5BF8CE" w14:textId="031C20C1"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5964F59D"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12F6EC4" w14:textId="7FB963EF"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63B909CD"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CB9EAF1" w14:textId="49DF029F"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137707DB"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8750A0A" w14:textId="12E31145" w:rsidR="004C0B0B"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D0F054A"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44AB1AF" w14:textId="2384FC4E" w:rsidR="004C0B0B" w:rsidRPr="00480C56" w:rsidRDefault="004C0B0B" w:rsidP="004C0B0B">
            <w:pPr>
              <w:tabs>
                <w:tab w:val="decimal" w:pos="238"/>
              </w:tabs>
              <w:jc w:val="center"/>
              <w:rPr>
                <w:rFonts w:cstheme="minorHAnsi"/>
                <w:sz w:val="20"/>
                <w:szCs w:val="20"/>
              </w:rPr>
            </w:pPr>
            <w:r w:rsidRPr="00480C56">
              <w:rPr>
                <w:rFonts w:cstheme="minorHAnsi"/>
                <w:sz w:val="20"/>
                <w:szCs w:val="20"/>
              </w:rPr>
              <w:t>0.307</w:t>
            </w:r>
          </w:p>
        </w:tc>
        <w:tc>
          <w:tcPr>
            <w:tcW w:w="204" w:type="pct"/>
            <w:tcBorders>
              <w:top w:val="single" w:sz="4" w:space="0" w:color="auto"/>
              <w:bottom w:val="single" w:sz="4" w:space="0" w:color="auto"/>
              <w:right w:val="single" w:sz="18" w:space="0" w:color="auto"/>
            </w:tcBorders>
            <w:vAlign w:val="center"/>
          </w:tcPr>
          <w:p w14:paraId="208F838F" w14:textId="3FCFF5BB" w:rsidR="004C0B0B" w:rsidRPr="00480C56" w:rsidRDefault="004C0B0B" w:rsidP="004C0B0B">
            <w:pPr>
              <w:tabs>
                <w:tab w:val="decimal" w:pos="231"/>
              </w:tabs>
              <w:jc w:val="center"/>
              <w:rPr>
                <w:rFonts w:cstheme="minorHAnsi"/>
                <w:sz w:val="20"/>
                <w:szCs w:val="20"/>
              </w:rPr>
            </w:pPr>
            <w:r w:rsidRPr="00480C56">
              <w:rPr>
                <w:rFonts w:cstheme="minorHAnsi"/>
                <w:sz w:val="20"/>
                <w:szCs w:val="20"/>
              </w:rPr>
              <w:t>1.83</w:t>
            </w:r>
          </w:p>
        </w:tc>
        <w:tc>
          <w:tcPr>
            <w:tcW w:w="239" w:type="pct"/>
            <w:tcBorders>
              <w:top w:val="single" w:sz="4" w:space="0" w:color="auto"/>
              <w:left w:val="single" w:sz="18" w:space="0" w:color="auto"/>
              <w:bottom w:val="single" w:sz="4" w:space="0" w:color="auto"/>
            </w:tcBorders>
            <w:vAlign w:val="center"/>
          </w:tcPr>
          <w:p w14:paraId="3CB6B787" w14:textId="2AC068BB" w:rsidR="004C0B0B" w:rsidRDefault="004C0B0B" w:rsidP="004C0B0B">
            <w:pPr>
              <w:tabs>
                <w:tab w:val="decimal" w:pos="195"/>
              </w:tabs>
              <w:jc w:val="center"/>
              <w:rPr>
                <w:rFonts w:cstheme="minorHAnsi"/>
                <w:sz w:val="20"/>
                <w:szCs w:val="20"/>
              </w:rPr>
            </w:pPr>
            <w:r w:rsidRPr="00480C56">
              <w:rPr>
                <w:rFonts w:cstheme="minorHAnsi"/>
                <w:sz w:val="20"/>
                <w:szCs w:val="20"/>
              </w:rPr>
              <w:t>0.249</w:t>
            </w:r>
          </w:p>
        </w:tc>
        <w:tc>
          <w:tcPr>
            <w:tcW w:w="217" w:type="pct"/>
            <w:tcBorders>
              <w:top w:val="single" w:sz="4" w:space="0" w:color="auto"/>
              <w:bottom w:val="single" w:sz="4" w:space="0" w:color="auto"/>
              <w:right w:val="single" w:sz="18" w:space="0" w:color="auto"/>
            </w:tcBorders>
            <w:vAlign w:val="center"/>
          </w:tcPr>
          <w:p w14:paraId="48AB80D2" w14:textId="327E8F7F" w:rsidR="004C0B0B" w:rsidRPr="00480C56" w:rsidRDefault="004C0B0B" w:rsidP="004C0B0B">
            <w:pPr>
              <w:tabs>
                <w:tab w:val="decimal" w:pos="181"/>
              </w:tabs>
              <w:jc w:val="center"/>
              <w:rPr>
                <w:rFonts w:cstheme="minorHAnsi"/>
                <w:sz w:val="20"/>
                <w:szCs w:val="20"/>
              </w:rPr>
            </w:pPr>
            <w:r w:rsidRPr="00480C56">
              <w:rPr>
                <w:rFonts w:cstheme="minorHAnsi"/>
                <w:sz w:val="20"/>
                <w:szCs w:val="20"/>
              </w:rPr>
              <w:t>1.97</w:t>
            </w:r>
          </w:p>
        </w:tc>
        <w:tc>
          <w:tcPr>
            <w:tcW w:w="268" w:type="pct"/>
            <w:tcBorders>
              <w:top w:val="single" w:sz="4" w:space="0" w:color="auto"/>
              <w:left w:val="single" w:sz="18" w:space="0" w:color="auto"/>
              <w:bottom w:val="single" w:sz="4" w:space="0" w:color="auto"/>
            </w:tcBorders>
            <w:vAlign w:val="center"/>
          </w:tcPr>
          <w:p w14:paraId="7679DCC4" w14:textId="01A068B9"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C173B4C" w14:textId="77777777" w:rsidR="004C0B0B" w:rsidRPr="00480C56" w:rsidRDefault="004C0B0B" w:rsidP="004C0B0B">
            <w:pPr>
              <w:tabs>
                <w:tab w:val="decimal" w:pos="188"/>
              </w:tabs>
              <w:jc w:val="center"/>
              <w:rPr>
                <w:rFonts w:cstheme="minorHAnsi"/>
                <w:sz w:val="20"/>
                <w:szCs w:val="20"/>
              </w:rPr>
            </w:pPr>
          </w:p>
        </w:tc>
      </w:tr>
      <w:tr w:rsidR="004C0B0B" w:rsidRPr="00480C56" w14:paraId="2B0AE463"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43F9B09" w14:textId="78F2233B" w:rsidR="004C0B0B" w:rsidRPr="00480C56" w:rsidRDefault="004C0B0B" w:rsidP="004C0B0B">
            <w:pPr>
              <w:jc w:val="left"/>
              <w:rPr>
                <w:rFonts w:cstheme="minorHAnsi"/>
                <w:sz w:val="20"/>
                <w:szCs w:val="20"/>
              </w:rPr>
            </w:pPr>
            <w:r w:rsidRPr="000A4B11">
              <w:rPr>
                <w:rFonts w:cstheme="minorHAnsi"/>
                <w:sz w:val="20"/>
                <w:szCs w:val="20"/>
              </w:rPr>
              <w:t>$150,000 to $199,999</w:t>
            </w:r>
          </w:p>
        </w:tc>
        <w:tc>
          <w:tcPr>
            <w:tcW w:w="211" w:type="pct"/>
            <w:tcBorders>
              <w:top w:val="single" w:sz="4" w:space="0" w:color="auto"/>
              <w:left w:val="single" w:sz="18" w:space="0" w:color="auto"/>
              <w:bottom w:val="single" w:sz="4" w:space="0" w:color="auto"/>
            </w:tcBorders>
            <w:vAlign w:val="center"/>
          </w:tcPr>
          <w:p w14:paraId="772B9909" w14:textId="4F27A77F" w:rsidR="004C0B0B"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5E9AD645"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751AF366" w14:textId="69213B2B"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5F88432"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49F43A9F" w14:textId="063BBAFE"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979B20A"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CB00007" w14:textId="0B74686E"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56FDD094"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23794E8" w14:textId="171B37AE" w:rsidR="004C0B0B" w:rsidRDefault="004C0B0B" w:rsidP="004C0B0B">
            <w:pPr>
              <w:tabs>
                <w:tab w:val="decimal" w:pos="239"/>
              </w:tabs>
              <w:jc w:val="center"/>
              <w:rPr>
                <w:rFonts w:cstheme="minorHAnsi"/>
                <w:sz w:val="20"/>
                <w:szCs w:val="20"/>
              </w:rPr>
            </w:pPr>
            <w:r w:rsidRPr="00480C56">
              <w:rPr>
                <w:rFonts w:cstheme="minorHAnsi"/>
                <w:sz w:val="20"/>
                <w:szCs w:val="20"/>
              </w:rPr>
              <w:t>0.227</w:t>
            </w:r>
          </w:p>
        </w:tc>
        <w:tc>
          <w:tcPr>
            <w:tcW w:w="202" w:type="pct"/>
            <w:tcBorders>
              <w:top w:val="single" w:sz="4" w:space="0" w:color="auto"/>
              <w:bottom w:val="single" w:sz="4" w:space="0" w:color="auto"/>
              <w:right w:val="single" w:sz="18" w:space="0" w:color="auto"/>
            </w:tcBorders>
            <w:vAlign w:val="center"/>
          </w:tcPr>
          <w:p w14:paraId="09586BA4" w14:textId="0A33BB06" w:rsidR="004C0B0B" w:rsidRPr="00480C56" w:rsidRDefault="004C0B0B" w:rsidP="004C0B0B">
            <w:pPr>
              <w:tabs>
                <w:tab w:val="decimal" w:pos="181"/>
              </w:tabs>
              <w:jc w:val="center"/>
              <w:rPr>
                <w:rFonts w:cstheme="minorHAnsi"/>
                <w:sz w:val="20"/>
                <w:szCs w:val="20"/>
              </w:rPr>
            </w:pPr>
            <w:r w:rsidRPr="00480C56">
              <w:rPr>
                <w:rFonts w:cstheme="minorHAnsi"/>
                <w:sz w:val="20"/>
                <w:szCs w:val="20"/>
              </w:rPr>
              <w:t>2.09</w:t>
            </w:r>
          </w:p>
        </w:tc>
        <w:tc>
          <w:tcPr>
            <w:tcW w:w="239" w:type="pct"/>
            <w:tcBorders>
              <w:top w:val="single" w:sz="4" w:space="0" w:color="auto"/>
              <w:left w:val="single" w:sz="18" w:space="0" w:color="auto"/>
              <w:bottom w:val="single" w:sz="4" w:space="0" w:color="auto"/>
            </w:tcBorders>
            <w:vAlign w:val="center"/>
          </w:tcPr>
          <w:p w14:paraId="20262083" w14:textId="2812E605" w:rsidR="004C0B0B" w:rsidRPr="00480C56" w:rsidRDefault="004C0B0B" w:rsidP="004C0B0B">
            <w:pPr>
              <w:tabs>
                <w:tab w:val="decimal" w:pos="238"/>
              </w:tabs>
              <w:jc w:val="center"/>
              <w:rPr>
                <w:rFonts w:cstheme="minorHAnsi"/>
                <w:sz w:val="20"/>
                <w:szCs w:val="20"/>
              </w:rPr>
            </w:pPr>
            <w:r w:rsidRPr="00480C56">
              <w:rPr>
                <w:rFonts w:cstheme="minorHAnsi"/>
                <w:sz w:val="20"/>
                <w:szCs w:val="20"/>
              </w:rPr>
              <w:t>0.307</w:t>
            </w:r>
          </w:p>
        </w:tc>
        <w:tc>
          <w:tcPr>
            <w:tcW w:w="204" w:type="pct"/>
            <w:tcBorders>
              <w:top w:val="single" w:sz="4" w:space="0" w:color="auto"/>
              <w:bottom w:val="single" w:sz="4" w:space="0" w:color="auto"/>
              <w:right w:val="single" w:sz="18" w:space="0" w:color="auto"/>
            </w:tcBorders>
            <w:vAlign w:val="center"/>
          </w:tcPr>
          <w:p w14:paraId="71BA0253" w14:textId="780F148C" w:rsidR="004C0B0B" w:rsidRPr="00480C56" w:rsidRDefault="004C0B0B" w:rsidP="004C0B0B">
            <w:pPr>
              <w:tabs>
                <w:tab w:val="decimal" w:pos="231"/>
              </w:tabs>
              <w:jc w:val="center"/>
              <w:rPr>
                <w:rFonts w:cstheme="minorHAnsi"/>
                <w:sz w:val="20"/>
                <w:szCs w:val="20"/>
              </w:rPr>
            </w:pPr>
            <w:r w:rsidRPr="00480C56">
              <w:rPr>
                <w:rFonts w:cstheme="minorHAnsi"/>
                <w:sz w:val="20"/>
                <w:szCs w:val="20"/>
              </w:rPr>
              <w:t>1.83</w:t>
            </w:r>
          </w:p>
        </w:tc>
        <w:tc>
          <w:tcPr>
            <w:tcW w:w="239" w:type="pct"/>
            <w:tcBorders>
              <w:top w:val="single" w:sz="4" w:space="0" w:color="auto"/>
              <w:left w:val="single" w:sz="18" w:space="0" w:color="auto"/>
              <w:bottom w:val="single" w:sz="4" w:space="0" w:color="auto"/>
            </w:tcBorders>
            <w:vAlign w:val="center"/>
          </w:tcPr>
          <w:p w14:paraId="07F827F6" w14:textId="3C53D281" w:rsidR="004C0B0B" w:rsidRDefault="004C0B0B" w:rsidP="004C0B0B">
            <w:pPr>
              <w:tabs>
                <w:tab w:val="decimal" w:pos="195"/>
              </w:tabs>
              <w:jc w:val="center"/>
              <w:rPr>
                <w:rFonts w:cstheme="minorHAnsi"/>
                <w:sz w:val="20"/>
                <w:szCs w:val="20"/>
              </w:rPr>
            </w:pPr>
            <w:r w:rsidRPr="00480C56">
              <w:rPr>
                <w:rFonts w:cstheme="minorHAnsi"/>
                <w:sz w:val="20"/>
                <w:szCs w:val="20"/>
              </w:rPr>
              <w:t>0.249</w:t>
            </w:r>
          </w:p>
        </w:tc>
        <w:tc>
          <w:tcPr>
            <w:tcW w:w="217" w:type="pct"/>
            <w:tcBorders>
              <w:top w:val="single" w:sz="4" w:space="0" w:color="auto"/>
              <w:bottom w:val="single" w:sz="4" w:space="0" w:color="auto"/>
              <w:right w:val="single" w:sz="18" w:space="0" w:color="auto"/>
            </w:tcBorders>
            <w:vAlign w:val="center"/>
          </w:tcPr>
          <w:p w14:paraId="5621BAF1" w14:textId="76BF70C2" w:rsidR="004C0B0B" w:rsidRPr="00480C56" w:rsidRDefault="004C0B0B" w:rsidP="004C0B0B">
            <w:pPr>
              <w:tabs>
                <w:tab w:val="decimal" w:pos="181"/>
              </w:tabs>
              <w:jc w:val="center"/>
              <w:rPr>
                <w:rFonts w:cstheme="minorHAnsi"/>
                <w:sz w:val="20"/>
                <w:szCs w:val="20"/>
              </w:rPr>
            </w:pPr>
            <w:r w:rsidRPr="00480C56">
              <w:rPr>
                <w:rFonts w:cstheme="minorHAnsi"/>
                <w:sz w:val="20"/>
                <w:szCs w:val="20"/>
              </w:rPr>
              <w:t>1.97</w:t>
            </w:r>
          </w:p>
        </w:tc>
        <w:tc>
          <w:tcPr>
            <w:tcW w:w="268" w:type="pct"/>
            <w:tcBorders>
              <w:top w:val="single" w:sz="4" w:space="0" w:color="auto"/>
              <w:left w:val="single" w:sz="18" w:space="0" w:color="auto"/>
              <w:bottom w:val="single" w:sz="4" w:space="0" w:color="auto"/>
            </w:tcBorders>
            <w:vAlign w:val="center"/>
          </w:tcPr>
          <w:p w14:paraId="670DA0B1" w14:textId="01DE2613"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10DA8AC8" w14:textId="77777777" w:rsidR="004C0B0B" w:rsidRPr="00480C56" w:rsidRDefault="004C0B0B" w:rsidP="004C0B0B">
            <w:pPr>
              <w:tabs>
                <w:tab w:val="decimal" w:pos="188"/>
              </w:tabs>
              <w:jc w:val="center"/>
              <w:rPr>
                <w:rFonts w:cstheme="minorHAnsi"/>
                <w:sz w:val="20"/>
                <w:szCs w:val="20"/>
              </w:rPr>
            </w:pPr>
          </w:p>
        </w:tc>
      </w:tr>
      <w:tr w:rsidR="004C0B0B" w:rsidRPr="00480C56" w14:paraId="7D7EF970"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44D2A1E3" w14:textId="2822C71B" w:rsidR="004C0B0B" w:rsidRPr="000A4B11" w:rsidRDefault="004C0B0B" w:rsidP="004C0B0B">
            <w:pPr>
              <w:jc w:val="left"/>
              <w:rPr>
                <w:rFonts w:cstheme="minorHAnsi"/>
                <w:sz w:val="20"/>
                <w:szCs w:val="20"/>
              </w:rPr>
            </w:pPr>
            <w:r w:rsidRPr="000A4B11">
              <w:rPr>
                <w:rFonts w:cstheme="minorHAnsi"/>
                <w:sz w:val="20"/>
                <w:szCs w:val="20"/>
              </w:rPr>
              <w:t>$200,000 or more</w:t>
            </w:r>
          </w:p>
        </w:tc>
        <w:tc>
          <w:tcPr>
            <w:tcW w:w="211" w:type="pct"/>
            <w:tcBorders>
              <w:top w:val="single" w:sz="4" w:space="0" w:color="auto"/>
              <w:left w:val="single" w:sz="18" w:space="0" w:color="auto"/>
              <w:bottom w:val="single" w:sz="4" w:space="0" w:color="auto"/>
            </w:tcBorders>
            <w:vAlign w:val="center"/>
          </w:tcPr>
          <w:p w14:paraId="5F994A85" w14:textId="3F519A17" w:rsidR="004C0B0B"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16CCADFB"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453B2B9C" w14:textId="3AE7D428" w:rsidR="004C0B0B"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0A04C6B5"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7447C8B8" w14:textId="3C815CCB" w:rsidR="004C0B0B"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00EC392D"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15A306B" w14:textId="0BD6EF33"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7C002DC5"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DE8CD0C" w14:textId="7D9A7A1E" w:rsidR="004C0B0B" w:rsidRDefault="004C0B0B" w:rsidP="004C0B0B">
            <w:pPr>
              <w:tabs>
                <w:tab w:val="decimal" w:pos="239"/>
              </w:tabs>
              <w:jc w:val="center"/>
              <w:rPr>
                <w:rFonts w:cstheme="minorHAnsi"/>
                <w:sz w:val="20"/>
                <w:szCs w:val="20"/>
              </w:rPr>
            </w:pPr>
            <w:r w:rsidRPr="00480C56">
              <w:rPr>
                <w:rFonts w:cstheme="minorHAnsi"/>
                <w:sz w:val="20"/>
                <w:szCs w:val="20"/>
              </w:rPr>
              <w:t>0.227</w:t>
            </w:r>
          </w:p>
        </w:tc>
        <w:tc>
          <w:tcPr>
            <w:tcW w:w="202" w:type="pct"/>
            <w:tcBorders>
              <w:top w:val="single" w:sz="4" w:space="0" w:color="auto"/>
              <w:bottom w:val="single" w:sz="4" w:space="0" w:color="auto"/>
              <w:right w:val="single" w:sz="18" w:space="0" w:color="auto"/>
            </w:tcBorders>
            <w:vAlign w:val="center"/>
          </w:tcPr>
          <w:p w14:paraId="570F14DB" w14:textId="2A4BBFCB" w:rsidR="004C0B0B" w:rsidRPr="00480C56" w:rsidRDefault="004C0B0B" w:rsidP="004C0B0B">
            <w:pPr>
              <w:tabs>
                <w:tab w:val="decimal" w:pos="181"/>
              </w:tabs>
              <w:jc w:val="center"/>
              <w:rPr>
                <w:rFonts w:cstheme="minorHAnsi"/>
                <w:sz w:val="20"/>
                <w:szCs w:val="20"/>
              </w:rPr>
            </w:pPr>
            <w:r w:rsidRPr="00480C56">
              <w:rPr>
                <w:rFonts w:cstheme="minorHAnsi"/>
                <w:sz w:val="20"/>
                <w:szCs w:val="20"/>
              </w:rPr>
              <w:t>2.09</w:t>
            </w:r>
          </w:p>
        </w:tc>
        <w:tc>
          <w:tcPr>
            <w:tcW w:w="239" w:type="pct"/>
            <w:tcBorders>
              <w:top w:val="single" w:sz="4" w:space="0" w:color="auto"/>
              <w:left w:val="single" w:sz="18" w:space="0" w:color="auto"/>
              <w:bottom w:val="single" w:sz="4" w:space="0" w:color="auto"/>
            </w:tcBorders>
            <w:vAlign w:val="center"/>
          </w:tcPr>
          <w:p w14:paraId="78A00B0B" w14:textId="699A793D"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2ED49E02"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DBE73B1" w14:textId="2955B0C6" w:rsidR="004C0B0B" w:rsidRDefault="004C0B0B" w:rsidP="004C0B0B">
            <w:pPr>
              <w:tabs>
                <w:tab w:val="decimal" w:pos="195"/>
              </w:tabs>
              <w:jc w:val="center"/>
              <w:rPr>
                <w:rFonts w:cstheme="minorHAnsi"/>
                <w:sz w:val="20"/>
                <w:szCs w:val="20"/>
              </w:rPr>
            </w:pPr>
            <w:r w:rsidRPr="00480C56">
              <w:rPr>
                <w:rFonts w:cstheme="minorHAnsi"/>
                <w:sz w:val="20"/>
                <w:szCs w:val="20"/>
              </w:rPr>
              <w:t>0.249</w:t>
            </w:r>
          </w:p>
        </w:tc>
        <w:tc>
          <w:tcPr>
            <w:tcW w:w="217" w:type="pct"/>
            <w:tcBorders>
              <w:top w:val="single" w:sz="4" w:space="0" w:color="auto"/>
              <w:bottom w:val="single" w:sz="4" w:space="0" w:color="auto"/>
              <w:right w:val="single" w:sz="18" w:space="0" w:color="auto"/>
            </w:tcBorders>
            <w:vAlign w:val="center"/>
          </w:tcPr>
          <w:p w14:paraId="7E691348" w14:textId="576B5DCA" w:rsidR="004C0B0B" w:rsidRPr="00480C56" w:rsidRDefault="004C0B0B" w:rsidP="004C0B0B">
            <w:pPr>
              <w:tabs>
                <w:tab w:val="decimal" w:pos="181"/>
              </w:tabs>
              <w:jc w:val="center"/>
              <w:rPr>
                <w:rFonts w:cstheme="minorHAnsi"/>
                <w:sz w:val="20"/>
                <w:szCs w:val="20"/>
              </w:rPr>
            </w:pPr>
            <w:r w:rsidRPr="00480C56">
              <w:rPr>
                <w:rFonts w:cstheme="minorHAnsi"/>
                <w:sz w:val="20"/>
                <w:szCs w:val="20"/>
              </w:rPr>
              <w:t>1.97</w:t>
            </w:r>
          </w:p>
        </w:tc>
        <w:tc>
          <w:tcPr>
            <w:tcW w:w="268" w:type="pct"/>
            <w:tcBorders>
              <w:top w:val="single" w:sz="4" w:space="0" w:color="auto"/>
              <w:left w:val="single" w:sz="18" w:space="0" w:color="auto"/>
              <w:bottom w:val="single" w:sz="4" w:space="0" w:color="auto"/>
            </w:tcBorders>
            <w:vAlign w:val="center"/>
          </w:tcPr>
          <w:p w14:paraId="2015A406" w14:textId="42676877" w:rsidR="004C0B0B"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79423F2F" w14:textId="77777777" w:rsidR="004C0B0B" w:rsidRPr="00480C56" w:rsidRDefault="004C0B0B" w:rsidP="004C0B0B">
            <w:pPr>
              <w:tabs>
                <w:tab w:val="decimal" w:pos="188"/>
              </w:tabs>
              <w:jc w:val="center"/>
              <w:rPr>
                <w:rFonts w:cstheme="minorHAnsi"/>
                <w:sz w:val="20"/>
                <w:szCs w:val="20"/>
              </w:rPr>
            </w:pPr>
          </w:p>
        </w:tc>
      </w:tr>
      <w:tr w:rsidR="004C0B0B" w:rsidRPr="00480C56" w14:paraId="4E669FF5"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5E13196" w14:textId="401B46E6" w:rsidR="004C0B0B" w:rsidRPr="00480C56" w:rsidRDefault="004C0B0B" w:rsidP="004C0B0B">
            <w:pPr>
              <w:jc w:val="left"/>
              <w:rPr>
                <w:rFonts w:cstheme="minorHAnsi"/>
                <w:sz w:val="20"/>
                <w:szCs w:val="20"/>
              </w:rPr>
            </w:pPr>
            <w:r w:rsidRPr="00480C56">
              <w:rPr>
                <w:rFonts w:cstheme="minorHAnsi"/>
                <w:sz w:val="20"/>
                <w:szCs w:val="20"/>
              </w:rPr>
              <w:t>Nuclear family</w:t>
            </w:r>
            <w:r>
              <w:rPr>
                <w:rFonts w:cstheme="minorHAnsi"/>
                <w:sz w:val="20"/>
                <w:szCs w:val="20"/>
              </w:rPr>
              <w:t xml:space="preserve"> (all others)</w:t>
            </w:r>
          </w:p>
        </w:tc>
        <w:tc>
          <w:tcPr>
            <w:tcW w:w="211" w:type="pct"/>
            <w:tcBorders>
              <w:top w:val="single" w:sz="4" w:space="0" w:color="auto"/>
              <w:left w:val="single" w:sz="18" w:space="0" w:color="auto"/>
              <w:bottom w:val="single" w:sz="4" w:space="0" w:color="auto"/>
            </w:tcBorders>
            <w:vAlign w:val="center"/>
          </w:tcPr>
          <w:p w14:paraId="4B381EDC" w14:textId="1B7A86D3" w:rsidR="004C0B0B" w:rsidRPr="00480C56"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4304AFD2"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25D9D339" w14:textId="12C60927" w:rsidR="004C0B0B" w:rsidRPr="00480C56"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3088F392"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0F4F4EB" w14:textId="5A753DCF" w:rsidR="004C0B0B" w:rsidRPr="00480C56"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20649CC9"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EDF9473" w14:textId="77777777" w:rsidR="004C0B0B" w:rsidRPr="00480C56" w:rsidRDefault="004C0B0B" w:rsidP="004C0B0B">
            <w:pPr>
              <w:tabs>
                <w:tab w:val="decimal" w:pos="238"/>
              </w:tabs>
              <w:jc w:val="center"/>
              <w:rPr>
                <w:rFonts w:cstheme="minorHAnsi"/>
                <w:sz w:val="20"/>
                <w:szCs w:val="20"/>
              </w:rPr>
            </w:pPr>
            <w:r w:rsidRPr="00480C56">
              <w:rPr>
                <w:rFonts w:cstheme="minorHAnsi"/>
                <w:sz w:val="20"/>
                <w:szCs w:val="20"/>
              </w:rPr>
              <w:t>0.395</w:t>
            </w:r>
          </w:p>
        </w:tc>
        <w:tc>
          <w:tcPr>
            <w:tcW w:w="221" w:type="pct"/>
            <w:gridSpan w:val="2"/>
            <w:tcBorders>
              <w:top w:val="single" w:sz="4" w:space="0" w:color="auto"/>
              <w:bottom w:val="single" w:sz="4" w:space="0" w:color="auto"/>
              <w:right w:val="single" w:sz="18" w:space="0" w:color="auto"/>
            </w:tcBorders>
            <w:vAlign w:val="center"/>
          </w:tcPr>
          <w:p w14:paraId="724ED9EA" w14:textId="3B748C78" w:rsidR="004C0B0B" w:rsidRPr="00480C56" w:rsidRDefault="004C0B0B" w:rsidP="004C0B0B">
            <w:pPr>
              <w:tabs>
                <w:tab w:val="decimal" w:pos="181"/>
              </w:tabs>
              <w:jc w:val="center"/>
              <w:rPr>
                <w:rFonts w:cstheme="minorHAnsi"/>
                <w:sz w:val="20"/>
                <w:szCs w:val="20"/>
              </w:rPr>
            </w:pPr>
            <w:r w:rsidRPr="00480C56">
              <w:rPr>
                <w:rFonts w:cstheme="minorHAnsi"/>
                <w:sz w:val="20"/>
                <w:szCs w:val="20"/>
              </w:rPr>
              <w:t>3.51</w:t>
            </w:r>
          </w:p>
        </w:tc>
        <w:tc>
          <w:tcPr>
            <w:tcW w:w="239" w:type="pct"/>
            <w:tcBorders>
              <w:top w:val="single" w:sz="4" w:space="0" w:color="auto"/>
              <w:left w:val="single" w:sz="18" w:space="0" w:color="auto"/>
              <w:bottom w:val="single" w:sz="4" w:space="0" w:color="auto"/>
            </w:tcBorders>
            <w:vAlign w:val="center"/>
          </w:tcPr>
          <w:p w14:paraId="560AD38D" w14:textId="18DCE361" w:rsidR="004C0B0B" w:rsidRPr="00480C56"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7862B7A3"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E2BEC3C" w14:textId="7616D859"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7612BC18"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7C6E020" w14:textId="16299A32" w:rsidR="004C0B0B" w:rsidRPr="00480C56"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33910BC2"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5E7CED0A" w14:textId="77AC5340" w:rsidR="004C0B0B" w:rsidRPr="00480C56"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799E711F" w14:textId="77777777" w:rsidR="004C0B0B" w:rsidRPr="00480C56" w:rsidRDefault="004C0B0B" w:rsidP="004C0B0B">
            <w:pPr>
              <w:tabs>
                <w:tab w:val="decimal" w:pos="188"/>
              </w:tabs>
              <w:jc w:val="center"/>
              <w:rPr>
                <w:rFonts w:cstheme="minorHAnsi"/>
                <w:sz w:val="20"/>
                <w:szCs w:val="20"/>
              </w:rPr>
            </w:pPr>
          </w:p>
        </w:tc>
      </w:tr>
      <w:tr w:rsidR="004C0B0B" w:rsidRPr="00480C56" w14:paraId="5B401502"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21350D8" w14:textId="52A32CA1" w:rsidR="004C0B0B" w:rsidRPr="00480C56" w:rsidRDefault="004C0B0B" w:rsidP="004C0B0B">
            <w:pPr>
              <w:jc w:val="left"/>
              <w:rPr>
                <w:rFonts w:cstheme="minorHAnsi"/>
                <w:sz w:val="20"/>
                <w:szCs w:val="20"/>
              </w:rPr>
            </w:pPr>
            <w:r w:rsidRPr="00480C56">
              <w:rPr>
                <w:rFonts w:cstheme="minorHAnsi"/>
                <w:sz w:val="20"/>
                <w:szCs w:val="20"/>
              </w:rPr>
              <w:t>Household size 4+</w:t>
            </w:r>
            <w:r>
              <w:rPr>
                <w:rFonts w:cstheme="minorHAnsi"/>
                <w:sz w:val="20"/>
                <w:szCs w:val="20"/>
              </w:rPr>
              <w:t xml:space="preserve"> (&lt; 4 members)</w:t>
            </w:r>
          </w:p>
        </w:tc>
        <w:tc>
          <w:tcPr>
            <w:tcW w:w="211" w:type="pct"/>
            <w:tcBorders>
              <w:top w:val="single" w:sz="4" w:space="0" w:color="auto"/>
              <w:left w:val="single" w:sz="18" w:space="0" w:color="auto"/>
              <w:bottom w:val="single" w:sz="4" w:space="0" w:color="auto"/>
            </w:tcBorders>
            <w:vAlign w:val="center"/>
          </w:tcPr>
          <w:p w14:paraId="4A115C50" w14:textId="68F25E3A" w:rsidR="004C0B0B" w:rsidRPr="00480C56"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170F4DD8"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412A16B5" w14:textId="215810F5" w:rsidR="004C0B0B" w:rsidRPr="00480C56"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06B60349"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0FA8BFB8" w14:textId="77AE8538" w:rsidR="004C0B0B" w:rsidRPr="00480C56"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57CFB229"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5F2B133" w14:textId="77777777" w:rsidR="004C0B0B" w:rsidRPr="00480C56" w:rsidRDefault="004C0B0B" w:rsidP="004C0B0B">
            <w:pPr>
              <w:tabs>
                <w:tab w:val="decimal" w:pos="238"/>
              </w:tabs>
              <w:jc w:val="center"/>
              <w:rPr>
                <w:rFonts w:cstheme="minorHAnsi"/>
                <w:sz w:val="20"/>
                <w:szCs w:val="20"/>
              </w:rPr>
            </w:pPr>
            <w:r w:rsidRPr="00480C56">
              <w:rPr>
                <w:rFonts w:cstheme="minorHAnsi"/>
                <w:sz w:val="20"/>
                <w:szCs w:val="20"/>
              </w:rPr>
              <w:t>0.289</w:t>
            </w:r>
          </w:p>
        </w:tc>
        <w:tc>
          <w:tcPr>
            <w:tcW w:w="221" w:type="pct"/>
            <w:gridSpan w:val="2"/>
            <w:tcBorders>
              <w:top w:val="single" w:sz="4" w:space="0" w:color="auto"/>
              <w:bottom w:val="single" w:sz="4" w:space="0" w:color="auto"/>
              <w:right w:val="single" w:sz="18" w:space="0" w:color="auto"/>
            </w:tcBorders>
            <w:vAlign w:val="center"/>
          </w:tcPr>
          <w:p w14:paraId="5A84D75B" w14:textId="013DA7D9" w:rsidR="004C0B0B" w:rsidRPr="00480C56" w:rsidRDefault="004C0B0B" w:rsidP="004C0B0B">
            <w:pPr>
              <w:tabs>
                <w:tab w:val="decimal" w:pos="181"/>
              </w:tabs>
              <w:jc w:val="center"/>
              <w:rPr>
                <w:rFonts w:cstheme="minorHAnsi"/>
                <w:sz w:val="20"/>
                <w:szCs w:val="20"/>
              </w:rPr>
            </w:pPr>
            <w:r w:rsidRPr="00480C56">
              <w:rPr>
                <w:rFonts w:cstheme="minorHAnsi"/>
                <w:sz w:val="20"/>
                <w:szCs w:val="20"/>
              </w:rPr>
              <w:t>2.90</w:t>
            </w:r>
          </w:p>
        </w:tc>
        <w:tc>
          <w:tcPr>
            <w:tcW w:w="239" w:type="pct"/>
            <w:tcBorders>
              <w:top w:val="single" w:sz="4" w:space="0" w:color="auto"/>
              <w:left w:val="single" w:sz="18" w:space="0" w:color="auto"/>
              <w:bottom w:val="single" w:sz="4" w:space="0" w:color="auto"/>
            </w:tcBorders>
            <w:vAlign w:val="center"/>
          </w:tcPr>
          <w:p w14:paraId="35469221" w14:textId="2713CEEB" w:rsidR="004C0B0B" w:rsidRPr="00480C56"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F60CE2F"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FD2C4E0" w14:textId="1D7A56E1"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03D7C37C"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7731423" w14:textId="0028AB9B" w:rsidR="004C0B0B" w:rsidRPr="00480C56"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64D83D02"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56A95BB4" w14:textId="04856FE0" w:rsidR="004C0B0B" w:rsidRPr="00480C56"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A2FEA66" w14:textId="77777777" w:rsidR="004C0B0B" w:rsidRPr="00480C56" w:rsidRDefault="004C0B0B" w:rsidP="004C0B0B">
            <w:pPr>
              <w:tabs>
                <w:tab w:val="decimal" w:pos="188"/>
              </w:tabs>
              <w:jc w:val="center"/>
              <w:rPr>
                <w:rFonts w:cstheme="minorHAnsi"/>
                <w:sz w:val="20"/>
                <w:szCs w:val="20"/>
              </w:rPr>
            </w:pPr>
          </w:p>
        </w:tc>
      </w:tr>
      <w:tr w:rsidR="004C0B0B" w:rsidRPr="00480C56" w14:paraId="47BB5C20"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A1283D1" w14:textId="5658CF6A" w:rsidR="004C0B0B" w:rsidRPr="00480C56" w:rsidRDefault="004C0B0B" w:rsidP="004C0B0B">
            <w:pPr>
              <w:jc w:val="left"/>
              <w:rPr>
                <w:rFonts w:cstheme="minorHAnsi"/>
                <w:sz w:val="20"/>
                <w:szCs w:val="20"/>
              </w:rPr>
            </w:pPr>
            <w:r>
              <w:rPr>
                <w:rFonts w:cstheme="minorHAnsi"/>
                <w:sz w:val="20"/>
                <w:szCs w:val="20"/>
              </w:rPr>
              <w:t>Child present (not present)</w:t>
            </w:r>
          </w:p>
        </w:tc>
        <w:tc>
          <w:tcPr>
            <w:tcW w:w="211" w:type="pct"/>
            <w:tcBorders>
              <w:top w:val="single" w:sz="4" w:space="0" w:color="auto"/>
              <w:left w:val="single" w:sz="18" w:space="0" w:color="auto"/>
              <w:bottom w:val="single" w:sz="4" w:space="0" w:color="auto"/>
            </w:tcBorders>
            <w:vAlign w:val="center"/>
          </w:tcPr>
          <w:p w14:paraId="1357C2D8" w14:textId="77777777" w:rsidR="004C0B0B" w:rsidRPr="00480C56" w:rsidRDefault="004C0B0B" w:rsidP="004C0B0B">
            <w:pPr>
              <w:tabs>
                <w:tab w:val="decimal" w:pos="167"/>
              </w:tabs>
              <w:jc w:val="center"/>
              <w:rPr>
                <w:rFonts w:cstheme="minorHAnsi"/>
                <w:sz w:val="20"/>
                <w:szCs w:val="20"/>
              </w:rPr>
            </w:pPr>
            <w:r w:rsidRPr="00480C56">
              <w:rPr>
                <w:rFonts w:cstheme="minorHAnsi"/>
                <w:sz w:val="20"/>
                <w:szCs w:val="20"/>
              </w:rPr>
              <w:t>0.250</w:t>
            </w:r>
          </w:p>
        </w:tc>
        <w:tc>
          <w:tcPr>
            <w:tcW w:w="185" w:type="pct"/>
            <w:tcBorders>
              <w:top w:val="single" w:sz="4" w:space="0" w:color="auto"/>
              <w:bottom w:val="single" w:sz="4" w:space="0" w:color="auto"/>
            </w:tcBorders>
            <w:vAlign w:val="center"/>
          </w:tcPr>
          <w:p w14:paraId="28DA8ABF" w14:textId="4D85018F" w:rsidR="004C0B0B" w:rsidRPr="00480C56" w:rsidRDefault="004C0B0B" w:rsidP="004C0B0B">
            <w:pPr>
              <w:tabs>
                <w:tab w:val="decimal" w:pos="196"/>
              </w:tabs>
              <w:jc w:val="center"/>
              <w:rPr>
                <w:rFonts w:cstheme="minorHAnsi"/>
                <w:sz w:val="20"/>
                <w:szCs w:val="20"/>
              </w:rPr>
            </w:pPr>
            <w:r w:rsidRPr="00480C56">
              <w:rPr>
                <w:rFonts w:cstheme="minorHAnsi"/>
                <w:sz w:val="20"/>
                <w:szCs w:val="20"/>
              </w:rPr>
              <w:t>3.51</w:t>
            </w:r>
          </w:p>
        </w:tc>
        <w:tc>
          <w:tcPr>
            <w:tcW w:w="248" w:type="pct"/>
            <w:tcBorders>
              <w:top w:val="single" w:sz="4" w:space="0" w:color="auto"/>
              <w:bottom w:val="single" w:sz="4" w:space="0" w:color="auto"/>
            </w:tcBorders>
            <w:vAlign w:val="center"/>
          </w:tcPr>
          <w:p w14:paraId="630996A7" w14:textId="1EEC9CBF" w:rsidR="004C0B0B" w:rsidRPr="00480C56"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01E579A3"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5B780415" w14:textId="7B56FC04" w:rsidR="004C0B0B" w:rsidRPr="00480C56"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2641775E"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88D248B" w14:textId="0660F893"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19BFC8B5"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D8383EB" w14:textId="425D53FC" w:rsidR="004C0B0B" w:rsidRPr="00480C56" w:rsidRDefault="004C0B0B" w:rsidP="004C0B0B">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968C91A"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3F7D8A9" w14:textId="6DB04344"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063FD305"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98F1199" w14:textId="77777777" w:rsidR="004C0B0B" w:rsidRPr="00480C56" w:rsidRDefault="004C0B0B" w:rsidP="004C0B0B">
            <w:pPr>
              <w:tabs>
                <w:tab w:val="decimal" w:pos="195"/>
              </w:tabs>
              <w:jc w:val="center"/>
              <w:rPr>
                <w:rFonts w:cstheme="minorHAnsi"/>
                <w:sz w:val="20"/>
                <w:szCs w:val="20"/>
              </w:rPr>
            </w:pPr>
            <w:r w:rsidRPr="00480C56">
              <w:rPr>
                <w:rFonts w:cstheme="minorHAnsi"/>
                <w:sz w:val="20"/>
                <w:szCs w:val="20"/>
              </w:rPr>
              <w:t>0.272</w:t>
            </w:r>
          </w:p>
        </w:tc>
        <w:tc>
          <w:tcPr>
            <w:tcW w:w="217" w:type="pct"/>
            <w:tcBorders>
              <w:top w:val="single" w:sz="4" w:space="0" w:color="auto"/>
              <w:bottom w:val="single" w:sz="4" w:space="0" w:color="auto"/>
              <w:right w:val="single" w:sz="18" w:space="0" w:color="auto"/>
            </w:tcBorders>
            <w:vAlign w:val="center"/>
          </w:tcPr>
          <w:p w14:paraId="60A30FEB" w14:textId="3A6A5E26" w:rsidR="004C0B0B" w:rsidRPr="00480C56" w:rsidRDefault="004C0B0B" w:rsidP="004C0B0B">
            <w:pPr>
              <w:tabs>
                <w:tab w:val="decimal" w:pos="181"/>
              </w:tabs>
              <w:jc w:val="center"/>
              <w:rPr>
                <w:rFonts w:cstheme="minorHAnsi"/>
                <w:sz w:val="20"/>
                <w:szCs w:val="20"/>
              </w:rPr>
            </w:pPr>
            <w:r w:rsidRPr="00480C56">
              <w:rPr>
                <w:rFonts w:cstheme="minorHAnsi"/>
                <w:sz w:val="20"/>
                <w:szCs w:val="20"/>
              </w:rPr>
              <w:t>2.05</w:t>
            </w:r>
          </w:p>
        </w:tc>
        <w:tc>
          <w:tcPr>
            <w:tcW w:w="268" w:type="pct"/>
            <w:tcBorders>
              <w:top w:val="single" w:sz="4" w:space="0" w:color="auto"/>
              <w:left w:val="single" w:sz="18" w:space="0" w:color="auto"/>
              <w:bottom w:val="single" w:sz="4" w:space="0" w:color="auto"/>
            </w:tcBorders>
            <w:vAlign w:val="center"/>
          </w:tcPr>
          <w:p w14:paraId="6AA69571" w14:textId="1DB7EDB9" w:rsidR="004C0B0B" w:rsidRPr="00480C56"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13BFFF8C" w14:textId="77777777" w:rsidR="004C0B0B" w:rsidRPr="00480C56" w:rsidRDefault="004C0B0B" w:rsidP="004C0B0B">
            <w:pPr>
              <w:tabs>
                <w:tab w:val="decimal" w:pos="188"/>
              </w:tabs>
              <w:jc w:val="center"/>
              <w:rPr>
                <w:rFonts w:cstheme="minorHAnsi"/>
                <w:sz w:val="20"/>
                <w:szCs w:val="20"/>
              </w:rPr>
            </w:pPr>
          </w:p>
        </w:tc>
      </w:tr>
      <w:tr w:rsidR="004C0B0B" w:rsidRPr="00480C56" w14:paraId="13AFD304"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9CA0F4A" w14:textId="42F34DDB" w:rsidR="004C0B0B" w:rsidRPr="00480C56" w:rsidRDefault="004C0B0B" w:rsidP="004C0B0B">
            <w:pPr>
              <w:jc w:val="left"/>
              <w:rPr>
                <w:rFonts w:cstheme="minorHAnsi"/>
                <w:sz w:val="20"/>
                <w:szCs w:val="20"/>
              </w:rPr>
            </w:pPr>
            <w:r>
              <w:rPr>
                <w:rFonts w:cstheme="minorHAnsi"/>
                <w:noProof/>
                <w:sz w:val="20"/>
                <w:szCs w:val="20"/>
              </w:rPr>
              <w:t xml:space="preserve">Child present </w:t>
            </w:r>
            <w:r w:rsidRPr="00480C56">
              <w:rPr>
                <w:rFonts w:cstheme="minorHAnsi"/>
                <w:noProof/>
                <w:position w:val="-4"/>
                <w:sz w:val="20"/>
                <w:szCs w:val="20"/>
              </w:rPr>
              <w:object w:dxaOrig="180" w:dyaOrig="200" w14:anchorId="5BC6036D">
                <v:shape id="_x0000_i1134" type="#_x0000_t75" alt="" style="width:9pt;height:9pt;mso-width-percent:0;mso-height-percent:0;mso-width-percent:0;mso-height-percent:0" o:ole="">
                  <v:imagedata r:id="rId231" o:title=""/>
                </v:shape>
                <o:OLEObject Type="Embed" ProgID="Equation.DSMT4" ShapeID="_x0000_i1134" DrawAspect="Content" ObjectID="_1847354416" r:id="rId232"/>
              </w:object>
            </w:r>
            <w:r w:rsidRPr="00480C56">
              <w:rPr>
                <w:rFonts w:cstheme="minorHAnsi"/>
                <w:sz w:val="20"/>
                <w:szCs w:val="20"/>
              </w:rPr>
              <w:t xml:space="preserve"> </w:t>
            </w:r>
            <w:r>
              <w:rPr>
                <w:rFonts w:cstheme="minorHAnsi"/>
                <w:sz w:val="20"/>
                <w:szCs w:val="20"/>
              </w:rPr>
              <w:t>Woman (*)</w:t>
            </w:r>
          </w:p>
        </w:tc>
        <w:tc>
          <w:tcPr>
            <w:tcW w:w="211" w:type="pct"/>
            <w:tcBorders>
              <w:top w:val="single" w:sz="4" w:space="0" w:color="auto"/>
              <w:left w:val="single" w:sz="18" w:space="0" w:color="auto"/>
              <w:bottom w:val="single" w:sz="4" w:space="0" w:color="auto"/>
            </w:tcBorders>
            <w:vAlign w:val="center"/>
          </w:tcPr>
          <w:p w14:paraId="57B977A7" w14:textId="6D9EE0F5" w:rsidR="004C0B0B" w:rsidRPr="00480C56" w:rsidRDefault="004C0B0B" w:rsidP="004C0B0B">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01301F8F" w14:textId="77777777" w:rsidR="004C0B0B" w:rsidRPr="00480C56" w:rsidRDefault="004C0B0B" w:rsidP="004C0B0B">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2E3754EB" w14:textId="5686AACD" w:rsidR="004C0B0B" w:rsidRPr="00480C56" w:rsidRDefault="004C0B0B" w:rsidP="004C0B0B">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1BC1760B" w14:textId="77777777" w:rsidR="004C0B0B" w:rsidRPr="00480C56" w:rsidRDefault="004C0B0B" w:rsidP="004C0B0B">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67DA4B97" w14:textId="245A7848" w:rsidR="004C0B0B" w:rsidRPr="00480C56" w:rsidRDefault="004C0B0B" w:rsidP="004C0B0B">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C92BBE8"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43F7F8E" w14:textId="4E4BA8F8"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730D6757" w14:textId="77777777" w:rsidR="004C0B0B" w:rsidRPr="00480C56" w:rsidRDefault="004C0B0B" w:rsidP="004C0B0B">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4425F00" w14:textId="77777777" w:rsidR="004C0B0B" w:rsidRPr="00480C56" w:rsidRDefault="004C0B0B" w:rsidP="004C0B0B">
            <w:pPr>
              <w:tabs>
                <w:tab w:val="decimal" w:pos="239"/>
              </w:tabs>
              <w:jc w:val="center"/>
              <w:rPr>
                <w:rFonts w:cstheme="minorHAnsi"/>
                <w:sz w:val="20"/>
                <w:szCs w:val="20"/>
              </w:rPr>
            </w:pPr>
            <w:r w:rsidRPr="00480C56">
              <w:rPr>
                <w:rFonts w:cstheme="minorHAnsi"/>
                <w:sz w:val="20"/>
                <w:szCs w:val="20"/>
              </w:rPr>
              <w:t>-0.205</w:t>
            </w:r>
          </w:p>
        </w:tc>
        <w:tc>
          <w:tcPr>
            <w:tcW w:w="202" w:type="pct"/>
            <w:tcBorders>
              <w:top w:val="single" w:sz="4" w:space="0" w:color="auto"/>
              <w:bottom w:val="single" w:sz="4" w:space="0" w:color="auto"/>
              <w:right w:val="single" w:sz="18" w:space="0" w:color="auto"/>
            </w:tcBorders>
            <w:vAlign w:val="center"/>
          </w:tcPr>
          <w:p w14:paraId="61438081" w14:textId="4FA2A22B" w:rsidR="004C0B0B" w:rsidRPr="00480C56" w:rsidRDefault="004C0B0B" w:rsidP="004C0B0B">
            <w:pPr>
              <w:tabs>
                <w:tab w:val="decimal" w:pos="181"/>
              </w:tabs>
              <w:jc w:val="center"/>
              <w:rPr>
                <w:rFonts w:cstheme="minorHAnsi"/>
                <w:sz w:val="20"/>
                <w:szCs w:val="20"/>
              </w:rPr>
            </w:pPr>
            <w:r w:rsidRPr="00480C56">
              <w:rPr>
                <w:rFonts w:cstheme="minorHAnsi"/>
                <w:sz w:val="20"/>
                <w:szCs w:val="20"/>
              </w:rPr>
              <w:t>-1.76</w:t>
            </w:r>
          </w:p>
        </w:tc>
        <w:tc>
          <w:tcPr>
            <w:tcW w:w="239" w:type="pct"/>
            <w:tcBorders>
              <w:top w:val="single" w:sz="4" w:space="0" w:color="auto"/>
              <w:left w:val="single" w:sz="18" w:space="0" w:color="auto"/>
              <w:bottom w:val="single" w:sz="4" w:space="0" w:color="auto"/>
            </w:tcBorders>
            <w:vAlign w:val="center"/>
          </w:tcPr>
          <w:p w14:paraId="75A5B837" w14:textId="169B51B9" w:rsidR="004C0B0B" w:rsidRPr="00480C56" w:rsidRDefault="004C0B0B" w:rsidP="004C0B0B">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719910A3" w14:textId="77777777" w:rsidR="004C0B0B" w:rsidRPr="00480C56" w:rsidRDefault="004C0B0B" w:rsidP="004C0B0B">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8202465" w14:textId="51F16801" w:rsidR="004C0B0B" w:rsidRPr="00480C56" w:rsidRDefault="004C0B0B" w:rsidP="004C0B0B">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2420EED1" w14:textId="77777777" w:rsidR="004C0B0B" w:rsidRPr="00480C56" w:rsidRDefault="004C0B0B" w:rsidP="004C0B0B">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1E767D47" w14:textId="079E67DB" w:rsidR="004C0B0B" w:rsidRPr="00480C56" w:rsidRDefault="004C0B0B" w:rsidP="004C0B0B">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42B0CCDB" w14:textId="77777777" w:rsidR="004C0B0B" w:rsidRPr="00480C56" w:rsidRDefault="004C0B0B" w:rsidP="004C0B0B">
            <w:pPr>
              <w:tabs>
                <w:tab w:val="decimal" w:pos="188"/>
              </w:tabs>
              <w:jc w:val="center"/>
              <w:rPr>
                <w:rFonts w:cstheme="minorHAnsi"/>
                <w:sz w:val="20"/>
                <w:szCs w:val="20"/>
              </w:rPr>
            </w:pPr>
          </w:p>
        </w:tc>
      </w:tr>
      <w:tr w:rsidR="003C41E1" w:rsidRPr="00480C56" w14:paraId="6C8BBA16"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72C50C5" w14:textId="60D1CB68" w:rsidR="003C41E1" w:rsidRDefault="003C41E1" w:rsidP="003C41E1">
            <w:pPr>
              <w:jc w:val="left"/>
              <w:rPr>
                <w:rFonts w:cstheme="minorHAnsi"/>
                <w:noProof/>
                <w:sz w:val="20"/>
                <w:szCs w:val="20"/>
              </w:rPr>
            </w:pPr>
            <w:r w:rsidRPr="00480C56">
              <w:rPr>
                <w:rFonts w:cstheme="minorHAnsi"/>
                <w:sz w:val="20"/>
                <w:szCs w:val="20"/>
              </w:rPr>
              <w:t>Single-worker household</w:t>
            </w:r>
            <w:r>
              <w:rPr>
                <w:rFonts w:cstheme="minorHAnsi"/>
                <w:sz w:val="20"/>
                <w:szCs w:val="20"/>
              </w:rPr>
              <w:t xml:space="preserve"> (all others)</w:t>
            </w:r>
          </w:p>
        </w:tc>
        <w:tc>
          <w:tcPr>
            <w:tcW w:w="211" w:type="pct"/>
            <w:tcBorders>
              <w:top w:val="single" w:sz="4" w:space="0" w:color="auto"/>
              <w:left w:val="single" w:sz="18" w:space="0" w:color="auto"/>
              <w:bottom w:val="single" w:sz="4" w:space="0" w:color="auto"/>
            </w:tcBorders>
            <w:vAlign w:val="center"/>
          </w:tcPr>
          <w:p w14:paraId="7A239D68" w14:textId="6B753F67" w:rsidR="003C41E1"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435AAB1F"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0863A659" w14:textId="0C0E3E78" w:rsidR="003C41E1"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71F14EE3"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516C6143" w14:textId="197F3260" w:rsidR="003C41E1"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45DC187D"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7A44263" w14:textId="3FBC49DE" w:rsidR="003C41E1"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639394AC"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FBB79FB" w14:textId="356A9DF2"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46435073"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F722372" w14:textId="563A0DA7" w:rsidR="003C41E1" w:rsidRDefault="003C41E1" w:rsidP="003C41E1">
            <w:pPr>
              <w:tabs>
                <w:tab w:val="decimal" w:pos="238"/>
              </w:tabs>
              <w:jc w:val="center"/>
              <w:rPr>
                <w:rFonts w:cstheme="minorHAnsi"/>
                <w:sz w:val="20"/>
                <w:szCs w:val="20"/>
              </w:rPr>
            </w:pPr>
            <w:r w:rsidRPr="00480C56">
              <w:rPr>
                <w:rFonts w:cstheme="minorHAnsi"/>
                <w:sz w:val="20"/>
                <w:szCs w:val="20"/>
              </w:rPr>
              <w:t>0.303</w:t>
            </w:r>
          </w:p>
        </w:tc>
        <w:tc>
          <w:tcPr>
            <w:tcW w:w="204" w:type="pct"/>
            <w:tcBorders>
              <w:top w:val="single" w:sz="4" w:space="0" w:color="auto"/>
              <w:bottom w:val="single" w:sz="4" w:space="0" w:color="auto"/>
              <w:right w:val="single" w:sz="18" w:space="0" w:color="auto"/>
            </w:tcBorders>
            <w:vAlign w:val="center"/>
          </w:tcPr>
          <w:p w14:paraId="78C693D1" w14:textId="0C2A971D" w:rsidR="003C41E1" w:rsidRPr="00480C56" w:rsidRDefault="003C41E1" w:rsidP="003C41E1">
            <w:pPr>
              <w:tabs>
                <w:tab w:val="decimal" w:pos="231"/>
              </w:tabs>
              <w:jc w:val="center"/>
              <w:rPr>
                <w:rFonts w:cstheme="minorHAnsi"/>
                <w:sz w:val="20"/>
                <w:szCs w:val="20"/>
              </w:rPr>
            </w:pPr>
            <w:r w:rsidRPr="00480C56">
              <w:rPr>
                <w:rFonts w:cstheme="minorHAnsi"/>
                <w:sz w:val="20"/>
                <w:szCs w:val="20"/>
              </w:rPr>
              <w:t>2.99</w:t>
            </w:r>
          </w:p>
        </w:tc>
        <w:tc>
          <w:tcPr>
            <w:tcW w:w="239" w:type="pct"/>
            <w:tcBorders>
              <w:top w:val="single" w:sz="4" w:space="0" w:color="auto"/>
              <w:left w:val="single" w:sz="18" w:space="0" w:color="auto"/>
              <w:bottom w:val="single" w:sz="4" w:space="0" w:color="auto"/>
            </w:tcBorders>
            <w:vAlign w:val="center"/>
          </w:tcPr>
          <w:p w14:paraId="7521BD19" w14:textId="58F3E609" w:rsidR="003C41E1"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2A6051CF"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4C2F3110" w14:textId="1FCCD172" w:rsidR="003C41E1"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497A1BDD" w14:textId="77777777" w:rsidR="003C41E1" w:rsidRPr="00480C56" w:rsidRDefault="003C41E1" w:rsidP="003C41E1">
            <w:pPr>
              <w:tabs>
                <w:tab w:val="decimal" w:pos="188"/>
              </w:tabs>
              <w:jc w:val="center"/>
              <w:rPr>
                <w:rFonts w:cstheme="minorHAnsi"/>
                <w:sz w:val="20"/>
                <w:szCs w:val="20"/>
              </w:rPr>
            </w:pPr>
          </w:p>
        </w:tc>
      </w:tr>
      <w:tr w:rsidR="003C41E1" w:rsidRPr="00480C56" w14:paraId="4296B3E2"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B3EF1AE" w14:textId="1AAA8521" w:rsidR="003C41E1" w:rsidRPr="00480C56" w:rsidRDefault="003C41E1" w:rsidP="003C41E1">
            <w:pPr>
              <w:jc w:val="left"/>
              <w:rPr>
                <w:rFonts w:cstheme="minorHAnsi"/>
                <w:sz w:val="20"/>
                <w:szCs w:val="20"/>
              </w:rPr>
            </w:pPr>
            <w:r w:rsidRPr="00480C56">
              <w:rPr>
                <w:rFonts w:cstheme="minorHAnsi"/>
                <w:sz w:val="20"/>
                <w:szCs w:val="20"/>
              </w:rPr>
              <w:t>Homeowner</w:t>
            </w:r>
            <w:r>
              <w:rPr>
                <w:rFonts w:cstheme="minorHAnsi"/>
                <w:sz w:val="20"/>
                <w:szCs w:val="20"/>
              </w:rPr>
              <w:t xml:space="preserve"> (rent | other)</w:t>
            </w:r>
          </w:p>
        </w:tc>
        <w:tc>
          <w:tcPr>
            <w:tcW w:w="211" w:type="pct"/>
            <w:tcBorders>
              <w:top w:val="single" w:sz="4" w:space="0" w:color="auto"/>
              <w:left w:val="single" w:sz="18" w:space="0" w:color="auto"/>
              <w:bottom w:val="single" w:sz="4" w:space="0" w:color="auto"/>
            </w:tcBorders>
            <w:vAlign w:val="center"/>
          </w:tcPr>
          <w:p w14:paraId="18CA8704"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0.099</w:t>
            </w:r>
          </w:p>
        </w:tc>
        <w:tc>
          <w:tcPr>
            <w:tcW w:w="185" w:type="pct"/>
            <w:tcBorders>
              <w:top w:val="single" w:sz="4" w:space="0" w:color="auto"/>
              <w:bottom w:val="single" w:sz="4" w:space="0" w:color="auto"/>
            </w:tcBorders>
            <w:vAlign w:val="center"/>
          </w:tcPr>
          <w:p w14:paraId="2CAA6006" w14:textId="37468249" w:rsidR="003C41E1" w:rsidRPr="00480C56" w:rsidRDefault="003C41E1" w:rsidP="003C41E1">
            <w:pPr>
              <w:tabs>
                <w:tab w:val="decimal" w:pos="196"/>
              </w:tabs>
              <w:jc w:val="center"/>
              <w:rPr>
                <w:rFonts w:cstheme="minorHAnsi"/>
                <w:sz w:val="20"/>
                <w:szCs w:val="20"/>
              </w:rPr>
            </w:pPr>
            <w:r w:rsidRPr="00480C56">
              <w:rPr>
                <w:rFonts w:cstheme="minorHAnsi"/>
                <w:sz w:val="20"/>
                <w:szCs w:val="20"/>
              </w:rPr>
              <w:t>2.13</w:t>
            </w:r>
          </w:p>
        </w:tc>
        <w:tc>
          <w:tcPr>
            <w:tcW w:w="248" w:type="pct"/>
            <w:tcBorders>
              <w:top w:val="single" w:sz="4" w:space="0" w:color="auto"/>
              <w:bottom w:val="single" w:sz="4" w:space="0" w:color="auto"/>
            </w:tcBorders>
            <w:vAlign w:val="center"/>
          </w:tcPr>
          <w:p w14:paraId="1F32892B"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0.099</w:t>
            </w:r>
          </w:p>
        </w:tc>
        <w:tc>
          <w:tcPr>
            <w:tcW w:w="204" w:type="pct"/>
            <w:tcBorders>
              <w:top w:val="single" w:sz="4" w:space="0" w:color="auto"/>
              <w:bottom w:val="single" w:sz="4" w:space="0" w:color="auto"/>
            </w:tcBorders>
            <w:vAlign w:val="center"/>
          </w:tcPr>
          <w:p w14:paraId="70C4F8EE" w14:textId="3DD69015" w:rsidR="003C41E1" w:rsidRPr="00480C56" w:rsidRDefault="003C41E1" w:rsidP="003C41E1">
            <w:pPr>
              <w:tabs>
                <w:tab w:val="decimal" w:pos="239"/>
              </w:tabs>
              <w:jc w:val="center"/>
              <w:rPr>
                <w:rFonts w:cstheme="minorHAnsi"/>
                <w:sz w:val="20"/>
                <w:szCs w:val="20"/>
              </w:rPr>
            </w:pPr>
            <w:r w:rsidRPr="00480C56">
              <w:rPr>
                <w:rFonts w:cstheme="minorHAnsi"/>
                <w:sz w:val="20"/>
                <w:szCs w:val="20"/>
              </w:rPr>
              <w:t>2.13</w:t>
            </w:r>
          </w:p>
        </w:tc>
        <w:tc>
          <w:tcPr>
            <w:tcW w:w="308" w:type="pct"/>
            <w:tcBorders>
              <w:top w:val="single" w:sz="4" w:space="0" w:color="auto"/>
              <w:bottom w:val="single" w:sz="4" w:space="0" w:color="auto"/>
            </w:tcBorders>
            <w:vAlign w:val="center"/>
          </w:tcPr>
          <w:p w14:paraId="4F8EB926" w14:textId="038E51A2"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161B5DB"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C8A5E3D" w14:textId="41A48260"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334E0F2C"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4A8C9A0"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0.333</w:t>
            </w:r>
          </w:p>
        </w:tc>
        <w:tc>
          <w:tcPr>
            <w:tcW w:w="202" w:type="pct"/>
            <w:tcBorders>
              <w:top w:val="single" w:sz="4" w:space="0" w:color="auto"/>
              <w:bottom w:val="single" w:sz="4" w:space="0" w:color="auto"/>
              <w:right w:val="single" w:sz="18" w:space="0" w:color="auto"/>
            </w:tcBorders>
            <w:vAlign w:val="center"/>
          </w:tcPr>
          <w:p w14:paraId="6A4BD344" w14:textId="2D3436D8" w:rsidR="003C41E1" w:rsidRPr="00480C56" w:rsidRDefault="003C41E1" w:rsidP="003C41E1">
            <w:pPr>
              <w:tabs>
                <w:tab w:val="decimal" w:pos="181"/>
              </w:tabs>
              <w:jc w:val="center"/>
              <w:rPr>
                <w:rFonts w:cstheme="minorHAnsi"/>
                <w:sz w:val="20"/>
                <w:szCs w:val="20"/>
              </w:rPr>
            </w:pPr>
            <w:r w:rsidRPr="00480C56">
              <w:rPr>
                <w:rFonts w:cstheme="minorHAnsi"/>
                <w:sz w:val="20"/>
                <w:szCs w:val="20"/>
              </w:rPr>
              <w:t>2.26</w:t>
            </w:r>
          </w:p>
        </w:tc>
        <w:tc>
          <w:tcPr>
            <w:tcW w:w="239" w:type="pct"/>
            <w:tcBorders>
              <w:top w:val="single" w:sz="4" w:space="0" w:color="auto"/>
              <w:left w:val="single" w:sz="18" w:space="0" w:color="auto"/>
              <w:bottom w:val="single" w:sz="4" w:space="0" w:color="auto"/>
            </w:tcBorders>
            <w:vAlign w:val="center"/>
          </w:tcPr>
          <w:p w14:paraId="79F4D73A" w14:textId="7B3B9A99"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40F1D21E"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816A118"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0.368</w:t>
            </w:r>
          </w:p>
        </w:tc>
        <w:tc>
          <w:tcPr>
            <w:tcW w:w="217" w:type="pct"/>
            <w:tcBorders>
              <w:top w:val="single" w:sz="4" w:space="0" w:color="auto"/>
              <w:bottom w:val="single" w:sz="4" w:space="0" w:color="auto"/>
              <w:right w:val="single" w:sz="18" w:space="0" w:color="auto"/>
            </w:tcBorders>
            <w:vAlign w:val="center"/>
          </w:tcPr>
          <w:p w14:paraId="372EC12E" w14:textId="7745E09E" w:rsidR="003C41E1" w:rsidRPr="00480C56" w:rsidRDefault="003C41E1" w:rsidP="003C41E1">
            <w:pPr>
              <w:tabs>
                <w:tab w:val="decimal" w:pos="181"/>
              </w:tabs>
              <w:jc w:val="center"/>
              <w:rPr>
                <w:rFonts w:cstheme="minorHAnsi"/>
                <w:sz w:val="20"/>
                <w:szCs w:val="20"/>
              </w:rPr>
            </w:pPr>
            <w:r w:rsidRPr="00480C56">
              <w:rPr>
                <w:rFonts w:cstheme="minorHAnsi"/>
                <w:sz w:val="20"/>
                <w:szCs w:val="20"/>
              </w:rPr>
              <w:t>2.65</w:t>
            </w:r>
          </w:p>
        </w:tc>
        <w:tc>
          <w:tcPr>
            <w:tcW w:w="268" w:type="pct"/>
            <w:tcBorders>
              <w:top w:val="single" w:sz="4" w:space="0" w:color="auto"/>
              <w:left w:val="single" w:sz="18" w:space="0" w:color="auto"/>
              <w:bottom w:val="single" w:sz="4" w:space="0" w:color="auto"/>
            </w:tcBorders>
            <w:vAlign w:val="center"/>
          </w:tcPr>
          <w:p w14:paraId="17B5C2AD" w14:textId="732947AE"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2FA2CD5" w14:textId="77777777" w:rsidR="003C41E1" w:rsidRPr="00480C56" w:rsidRDefault="003C41E1" w:rsidP="003C41E1">
            <w:pPr>
              <w:tabs>
                <w:tab w:val="decimal" w:pos="188"/>
              </w:tabs>
              <w:jc w:val="center"/>
              <w:rPr>
                <w:rFonts w:cstheme="minorHAnsi"/>
                <w:sz w:val="20"/>
                <w:szCs w:val="20"/>
              </w:rPr>
            </w:pPr>
          </w:p>
        </w:tc>
      </w:tr>
      <w:tr w:rsidR="003C41E1" w:rsidRPr="00480C56" w14:paraId="6C41CBB0"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A7FAA0A" w14:textId="33911A80" w:rsidR="003C41E1" w:rsidRPr="00480C56" w:rsidRDefault="003C41E1" w:rsidP="003C41E1">
            <w:pPr>
              <w:jc w:val="left"/>
              <w:rPr>
                <w:rFonts w:cstheme="minorHAnsi"/>
                <w:sz w:val="20"/>
                <w:szCs w:val="20"/>
              </w:rPr>
            </w:pPr>
            <w:r>
              <w:rPr>
                <w:rFonts w:cstheme="minorHAnsi"/>
                <w:sz w:val="20"/>
                <w:szCs w:val="20"/>
              </w:rPr>
              <w:t>Vehicle deficient (vehicle sufficient)</w:t>
            </w:r>
          </w:p>
        </w:tc>
        <w:tc>
          <w:tcPr>
            <w:tcW w:w="211" w:type="pct"/>
            <w:tcBorders>
              <w:top w:val="single" w:sz="4" w:space="0" w:color="auto"/>
              <w:left w:val="single" w:sz="18" w:space="0" w:color="auto"/>
              <w:bottom w:val="single" w:sz="4" w:space="0" w:color="auto"/>
            </w:tcBorders>
            <w:vAlign w:val="center"/>
          </w:tcPr>
          <w:p w14:paraId="7EAAF94D"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0.119</w:t>
            </w:r>
          </w:p>
        </w:tc>
        <w:tc>
          <w:tcPr>
            <w:tcW w:w="185" w:type="pct"/>
            <w:tcBorders>
              <w:top w:val="single" w:sz="4" w:space="0" w:color="auto"/>
              <w:bottom w:val="single" w:sz="4" w:space="0" w:color="auto"/>
            </w:tcBorders>
            <w:vAlign w:val="center"/>
          </w:tcPr>
          <w:p w14:paraId="002AFD9B" w14:textId="2702A078" w:rsidR="003C41E1" w:rsidRPr="00480C56" w:rsidRDefault="003C41E1" w:rsidP="003C41E1">
            <w:pPr>
              <w:tabs>
                <w:tab w:val="decimal" w:pos="196"/>
              </w:tabs>
              <w:jc w:val="center"/>
              <w:rPr>
                <w:rFonts w:cstheme="minorHAnsi"/>
                <w:sz w:val="20"/>
                <w:szCs w:val="20"/>
              </w:rPr>
            </w:pPr>
            <w:r w:rsidRPr="00480C56">
              <w:rPr>
                <w:rFonts w:cstheme="minorHAnsi"/>
                <w:sz w:val="20"/>
                <w:szCs w:val="20"/>
              </w:rPr>
              <w:t>2.34</w:t>
            </w:r>
          </w:p>
        </w:tc>
        <w:tc>
          <w:tcPr>
            <w:tcW w:w="248" w:type="pct"/>
            <w:tcBorders>
              <w:top w:val="single" w:sz="4" w:space="0" w:color="auto"/>
              <w:bottom w:val="single" w:sz="4" w:space="0" w:color="auto"/>
            </w:tcBorders>
            <w:vAlign w:val="center"/>
          </w:tcPr>
          <w:p w14:paraId="0C4FD5E4"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0.119</w:t>
            </w:r>
          </w:p>
        </w:tc>
        <w:tc>
          <w:tcPr>
            <w:tcW w:w="204" w:type="pct"/>
            <w:tcBorders>
              <w:top w:val="single" w:sz="4" w:space="0" w:color="auto"/>
              <w:bottom w:val="single" w:sz="4" w:space="0" w:color="auto"/>
            </w:tcBorders>
            <w:vAlign w:val="center"/>
          </w:tcPr>
          <w:p w14:paraId="6DCD303E" w14:textId="2F75BFC3" w:rsidR="003C41E1" w:rsidRPr="00480C56" w:rsidRDefault="003C41E1" w:rsidP="003C41E1">
            <w:pPr>
              <w:tabs>
                <w:tab w:val="decimal" w:pos="239"/>
              </w:tabs>
              <w:jc w:val="center"/>
              <w:rPr>
                <w:rFonts w:cstheme="minorHAnsi"/>
                <w:sz w:val="20"/>
                <w:szCs w:val="20"/>
              </w:rPr>
            </w:pPr>
            <w:r w:rsidRPr="00480C56">
              <w:rPr>
                <w:rFonts w:cstheme="minorHAnsi"/>
                <w:sz w:val="20"/>
                <w:szCs w:val="20"/>
              </w:rPr>
              <w:t>2.34</w:t>
            </w:r>
          </w:p>
        </w:tc>
        <w:tc>
          <w:tcPr>
            <w:tcW w:w="308" w:type="pct"/>
            <w:tcBorders>
              <w:top w:val="single" w:sz="4" w:space="0" w:color="auto"/>
              <w:bottom w:val="single" w:sz="4" w:space="0" w:color="auto"/>
            </w:tcBorders>
            <w:vAlign w:val="center"/>
          </w:tcPr>
          <w:p w14:paraId="73C0AD60"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0.119</w:t>
            </w:r>
          </w:p>
        </w:tc>
        <w:tc>
          <w:tcPr>
            <w:tcW w:w="242" w:type="pct"/>
            <w:tcBorders>
              <w:top w:val="single" w:sz="4" w:space="0" w:color="auto"/>
              <w:bottom w:val="single" w:sz="4" w:space="0" w:color="auto"/>
              <w:right w:val="single" w:sz="18" w:space="0" w:color="auto"/>
            </w:tcBorders>
            <w:vAlign w:val="center"/>
          </w:tcPr>
          <w:p w14:paraId="41C83E53" w14:textId="22A1C895" w:rsidR="003C41E1" w:rsidRPr="00480C56" w:rsidRDefault="003C41E1" w:rsidP="003C41E1">
            <w:pPr>
              <w:tabs>
                <w:tab w:val="decimal" w:pos="231"/>
              </w:tabs>
              <w:jc w:val="center"/>
              <w:rPr>
                <w:rFonts w:cstheme="minorHAnsi"/>
                <w:sz w:val="20"/>
                <w:szCs w:val="20"/>
              </w:rPr>
            </w:pPr>
            <w:r w:rsidRPr="00480C56">
              <w:rPr>
                <w:rFonts w:cstheme="minorHAnsi"/>
                <w:sz w:val="20"/>
                <w:szCs w:val="20"/>
              </w:rPr>
              <w:t>2.34</w:t>
            </w:r>
          </w:p>
        </w:tc>
        <w:tc>
          <w:tcPr>
            <w:tcW w:w="239" w:type="pct"/>
            <w:tcBorders>
              <w:top w:val="single" w:sz="4" w:space="0" w:color="auto"/>
              <w:left w:val="single" w:sz="18" w:space="0" w:color="auto"/>
              <w:bottom w:val="single" w:sz="4" w:space="0" w:color="auto"/>
            </w:tcBorders>
            <w:vAlign w:val="center"/>
          </w:tcPr>
          <w:p w14:paraId="3A0BD922" w14:textId="214DCD31"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7395C52A"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3B9D7F7" w14:textId="78EB55DC"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B9EF460"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C11D1F4" w14:textId="67D649E3"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2B057A2"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21E9B1A" w14:textId="2802B647"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3B30DF3B"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5CF0A968" w14:textId="2130C4C1"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179FE5DB" w14:textId="77777777" w:rsidR="003C41E1" w:rsidRPr="00480C56" w:rsidRDefault="003C41E1" w:rsidP="003C41E1">
            <w:pPr>
              <w:tabs>
                <w:tab w:val="decimal" w:pos="188"/>
              </w:tabs>
              <w:jc w:val="center"/>
              <w:rPr>
                <w:rFonts w:cstheme="minorHAnsi"/>
                <w:sz w:val="20"/>
                <w:szCs w:val="20"/>
              </w:rPr>
            </w:pPr>
          </w:p>
        </w:tc>
      </w:tr>
      <w:tr w:rsidR="003C41E1" w:rsidRPr="00480C56" w14:paraId="5405A96A" w14:textId="77777777" w:rsidTr="002D67AE">
        <w:trPr>
          <w:trHeight w:val="144"/>
        </w:trPr>
        <w:tc>
          <w:tcPr>
            <w:tcW w:w="5000" w:type="pct"/>
            <w:gridSpan w:val="18"/>
            <w:tcBorders>
              <w:top w:val="single" w:sz="4" w:space="0" w:color="auto"/>
              <w:bottom w:val="single" w:sz="4" w:space="0" w:color="auto"/>
            </w:tcBorders>
            <w:vAlign w:val="center"/>
          </w:tcPr>
          <w:p w14:paraId="33300391" w14:textId="209E0D25" w:rsidR="003C41E1" w:rsidRPr="00480C56" w:rsidRDefault="003C41E1" w:rsidP="003C41E1">
            <w:pPr>
              <w:tabs>
                <w:tab w:val="decimal" w:pos="188"/>
                <w:tab w:val="decimal" w:pos="202"/>
                <w:tab w:val="decimal" w:pos="231"/>
              </w:tabs>
              <w:jc w:val="left"/>
              <w:rPr>
                <w:rFonts w:cstheme="minorHAnsi"/>
                <w:sz w:val="20"/>
                <w:szCs w:val="20"/>
              </w:rPr>
            </w:pPr>
            <w:r>
              <w:rPr>
                <w:rFonts w:cstheme="minorHAnsi"/>
                <w:b/>
                <w:bCs/>
                <w:sz w:val="20"/>
                <w:szCs w:val="20"/>
              </w:rPr>
              <w:t xml:space="preserve">Built-Environment </w:t>
            </w:r>
            <w:r w:rsidR="001B5A54">
              <w:rPr>
                <w:rFonts w:cstheme="minorHAnsi"/>
                <w:b/>
                <w:bCs/>
                <w:sz w:val="20"/>
                <w:szCs w:val="20"/>
              </w:rPr>
              <w:t>Attributes</w:t>
            </w:r>
            <w:r>
              <w:rPr>
                <w:rFonts w:cstheme="minorHAnsi"/>
                <w:b/>
                <w:bCs/>
                <w:sz w:val="20"/>
                <w:szCs w:val="20"/>
              </w:rPr>
              <w:t xml:space="preserve"> (^)</w:t>
            </w:r>
          </w:p>
        </w:tc>
      </w:tr>
      <w:tr w:rsidR="003C41E1" w:rsidRPr="00480C56" w14:paraId="6848C042"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8413C3E" w14:textId="4080F207" w:rsidR="003C41E1" w:rsidRPr="00480C56" w:rsidRDefault="003C41E1" w:rsidP="003C41E1">
            <w:pPr>
              <w:jc w:val="left"/>
              <w:rPr>
                <w:rFonts w:cstheme="minorHAnsi"/>
                <w:sz w:val="20"/>
                <w:szCs w:val="20"/>
              </w:rPr>
            </w:pPr>
            <w:r w:rsidRPr="00480C56">
              <w:rPr>
                <w:rFonts w:cstheme="minorHAnsi"/>
                <w:sz w:val="20"/>
                <w:szCs w:val="20"/>
              </w:rPr>
              <w:t>High pop</w:t>
            </w:r>
            <w:r>
              <w:rPr>
                <w:rFonts w:cstheme="minorHAnsi"/>
                <w:sz w:val="20"/>
                <w:szCs w:val="20"/>
              </w:rPr>
              <w:t>.</w:t>
            </w:r>
            <w:r w:rsidRPr="00480C56">
              <w:rPr>
                <w:rFonts w:cstheme="minorHAnsi"/>
                <w:sz w:val="20"/>
                <w:szCs w:val="20"/>
              </w:rPr>
              <w:t xml:space="preserve"> density (</w:t>
            </w:r>
            <w:r>
              <w:rPr>
                <w:rFonts w:cstheme="minorHAnsi"/>
                <w:sz w:val="20"/>
                <w:szCs w:val="20"/>
              </w:rPr>
              <w:t>&lt;</w:t>
            </w:r>
            <w:r w:rsidRPr="00480C56">
              <w:rPr>
                <w:rFonts w:cstheme="minorHAnsi"/>
                <w:sz w:val="20"/>
                <w:szCs w:val="20"/>
              </w:rPr>
              <w:t>30 person/acre)</w:t>
            </w:r>
          </w:p>
        </w:tc>
        <w:tc>
          <w:tcPr>
            <w:tcW w:w="211" w:type="pct"/>
            <w:tcBorders>
              <w:top w:val="single" w:sz="4" w:space="0" w:color="auto"/>
              <w:left w:val="single" w:sz="18" w:space="0" w:color="auto"/>
              <w:bottom w:val="single" w:sz="4" w:space="0" w:color="auto"/>
            </w:tcBorders>
            <w:vAlign w:val="center"/>
          </w:tcPr>
          <w:p w14:paraId="79B11693" w14:textId="746107F0"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19BBEF94"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59E2C313" w14:textId="7856F133"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6B62A696"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429DBDE8" w14:textId="7956B0F6"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88B3909"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017DA3F"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0.351</w:t>
            </w:r>
          </w:p>
        </w:tc>
        <w:tc>
          <w:tcPr>
            <w:tcW w:w="221" w:type="pct"/>
            <w:gridSpan w:val="2"/>
            <w:tcBorders>
              <w:top w:val="single" w:sz="4" w:space="0" w:color="auto"/>
              <w:bottom w:val="single" w:sz="4" w:space="0" w:color="auto"/>
              <w:right w:val="single" w:sz="18" w:space="0" w:color="auto"/>
            </w:tcBorders>
            <w:vAlign w:val="center"/>
          </w:tcPr>
          <w:p w14:paraId="3E1C83C5" w14:textId="5B555C50" w:rsidR="003C41E1" w:rsidRPr="00480C56" w:rsidRDefault="003C41E1" w:rsidP="003C41E1">
            <w:pPr>
              <w:tabs>
                <w:tab w:val="decimal" w:pos="181"/>
              </w:tabs>
              <w:jc w:val="center"/>
              <w:rPr>
                <w:rFonts w:cstheme="minorHAnsi"/>
                <w:sz w:val="20"/>
                <w:szCs w:val="20"/>
              </w:rPr>
            </w:pPr>
            <w:r w:rsidRPr="00480C56">
              <w:rPr>
                <w:rFonts w:cstheme="minorHAnsi"/>
                <w:sz w:val="20"/>
                <w:szCs w:val="20"/>
              </w:rPr>
              <w:t>2.51</w:t>
            </w:r>
          </w:p>
        </w:tc>
        <w:tc>
          <w:tcPr>
            <w:tcW w:w="239" w:type="pct"/>
            <w:tcBorders>
              <w:top w:val="single" w:sz="4" w:space="0" w:color="auto"/>
              <w:left w:val="single" w:sz="18" w:space="0" w:color="auto"/>
              <w:bottom w:val="single" w:sz="4" w:space="0" w:color="auto"/>
            </w:tcBorders>
            <w:vAlign w:val="center"/>
          </w:tcPr>
          <w:p w14:paraId="66F7F115" w14:textId="7719D6DA"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50E8AEA2"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9806E4C" w14:textId="7F628225"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F140D3D"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F4C9667" w14:textId="6CCAC8CA"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1832E4EE"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73854D6F" w14:textId="3B2FBC49"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5BF88665" w14:textId="77777777" w:rsidR="003C41E1" w:rsidRPr="00480C56" w:rsidRDefault="003C41E1" w:rsidP="003C41E1">
            <w:pPr>
              <w:tabs>
                <w:tab w:val="decimal" w:pos="188"/>
              </w:tabs>
              <w:jc w:val="center"/>
              <w:rPr>
                <w:rFonts w:cstheme="minorHAnsi"/>
                <w:sz w:val="20"/>
                <w:szCs w:val="20"/>
              </w:rPr>
            </w:pPr>
          </w:p>
        </w:tc>
      </w:tr>
      <w:tr w:rsidR="003C41E1" w:rsidRPr="00480C56" w14:paraId="75CE06C9"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4A048F93" w14:textId="5BFA159B" w:rsidR="003C41E1" w:rsidRPr="00480C56" w:rsidRDefault="003C41E1" w:rsidP="003C41E1">
            <w:pPr>
              <w:jc w:val="left"/>
              <w:rPr>
                <w:rFonts w:cstheme="minorHAnsi"/>
                <w:sz w:val="20"/>
                <w:szCs w:val="20"/>
              </w:rPr>
            </w:pPr>
            <w:r w:rsidRPr="00480C56">
              <w:rPr>
                <w:rFonts w:cstheme="minorHAnsi"/>
                <w:sz w:val="20"/>
                <w:szCs w:val="20"/>
              </w:rPr>
              <w:t xml:space="preserve">High </w:t>
            </w:r>
            <w:r>
              <w:rPr>
                <w:rFonts w:cstheme="minorHAnsi"/>
                <w:sz w:val="20"/>
                <w:szCs w:val="20"/>
              </w:rPr>
              <w:t>emp.</w:t>
            </w:r>
            <w:r w:rsidRPr="00480C56">
              <w:rPr>
                <w:rFonts w:cstheme="minorHAnsi"/>
                <w:sz w:val="20"/>
                <w:szCs w:val="20"/>
              </w:rPr>
              <w:t xml:space="preserve"> </w:t>
            </w:r>
            <w:r>
              <w:rPr>
                <w:rFonts w:cstheme="minorHAnsi"/>
                <w:sz w:val="20"/>
                <w:szCs w:val="20"/>
              </w:rPr>
              <w:t>d</w:t>
            </w:r>
            <w:r w:rsidRPr="00480C56">
              <w:rPr>
                <w:rFonts w:cstheme="minorHAnsi"/>
                <w:sz w:val="20"/>
                <w:szCs w:val="20"/>
              </w:rPr>
              <w:t>ensity</w:t>
            </w:r>
            <w:r>
              <w:rPr>
                <w:rFonts w:cstheme="minorHAnsi"/>
                <w:sz w:val="20"/>
                <w:szCs w:val="20"/>
              </w:rPr>
              <w:t xml:space="preserve"> </w:t>
            </w:r>
            <w:r w:rsidRPr="00797583">
              <w:rPr>
                <w:rFonts w:cstheme="minorHAnsi"/>
                <w:sz w:val="20"/>
                <w:szCs w:val="20"/>
              </w:rPr>
              <w:t>(</w:t>
            </w:r>
            <w:r>
              <w:rPr>
                <w:rFonts w:cstheme="minorHAnsi"/>
                <w:sz w:val="20"/>
                <w:szCs w:val="20"/>
              </w:rPr>
              <w:t xml:space="preserve">&lt;11 </w:t>
            </w:r>
            <w:r w:rsidRPr="00797583">
              <w:rPr>
                <w:rFonts w:cstheme="minorHAnsi"/>
                <w:sz w:val="20"/>
                <w:szCs w:val="20"/>
              </w:rPr>
              <w:t>jobs/acre)</w:t>
            </w:r>
          </w:p>
        </w:tc>
        <w:tc>
          <w:tcPr>
            <w:tcW w:w="211" w:type="pct"/>
            <w:tcBorders>
              <w:top w:val="single" w:sz="4" w:space="0" w:color="auto"/>
              <w:left w:val="single" w:sz="18" w:space="0" w:color="auto"/>
              <w:bottom w:val="single" w:sz="4" w:space="0" w:color="auto"/>
            </w:tcBorders>
            <w:vAlign w:val="center"/>
          </w:tcPr>
          <w:p w14:paraId="2C04CDF3" w14:textId="75F02E5B"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4F5DAB0F"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577838BD" w14:textId="25EA8C3B"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3A257FC8"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4BA3DC52" w14:textId="0716E96A"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68480643"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E251554"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-0.608</w:t>
            </w:r>
          </w:p>
        </w:tc>
        <w:tc>
          <w:tcPr>
            <w:tcW w:w="221" w:type="pct"/>
            <w:gridSpan w:val="2"/>
            <w:tcBorders>
              <w:top w:val="single" w:sz="4" w:space="0" w:color="auto"/>
              <w:bottom w:val="single" w:sz="4" w:space="0" w:color="auto"/>
              <w:right w:val="single" w:sz="18" w:space="0" w:color="auto"/>
            </w:tcBorders>
            <w:vAlign w:val="center"/>
          </w:tcPr>
          <w:p w14:paraId="5FAFFAF3" w14:textId="066D5A93" w:rsidR="003C41E1" w:rsidRPr="00480C56" w:rsidRDefault="003C41E1" w:rsidP="003C41E1">
            <w:pPr>
              <w:tabs>
                <w:tab w:val="decimal" w:pos="181"/>
              </w:tabs>
              <w:jc w:val="center"/>
              <w:rPr>
                <w:rFonts w:cstheme="minorHAnsi"/>
                <w:sz w:val="20"/>
                <w:szCs w:val="20"/>
              </w:rPr>
            </w:pPr>
            <w:r w:rsidRPr="00480C56">
              <w:rPr>
                <w:rFonts w:cstheme="minorHAnsi"/>
                <w:sz w:val="20"/>
                <w:szCs w:val="20"/>
              </w:rPr>
              <w:t>-3.56</w:t>
            </w:r>
          </w:p>
        </w:tc>
        <w:tc>
          <w:tcPr>
            <w:tcW w:w="239" w:type="pct"/>
            <w:tcBorders>
              <w:top w:val="single" w:sz="4" w:space="0" w:color="auto"/>
              <w:left w:val="single" w:sz="18" w:space="0" w:color="auto"/>
              <w:bottom w:val="single" w:sz="4" w:space="0" w:color="auto"/>
            </w:tcBorders>
            <w:vAlign w:val="center"/>
          </w:tcPr>
          <w:p w14:paraId="7D3B2865" w14:textId="06107793"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189AF03"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A0BFDE6"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0.405</w:t>
            </w:r>
          </w:p>
        </w:tc>
        <w:tc>
          <w:tcPr>
            <w:tcW w:w="204" w:type="pct"/>
            <w:tcBorders>
              <w:top w:val="single" w:sz="4" w:space="0" w:color="auto"/>
              <w:bottom w:val="single" w:sz="4" w:space="0" w:color="auto"/>
              <w:right w:val="single" w:sz="18" w:space="0" w:color="auto"/>
            </w:tcBorders>
            <w:vAlign w:val="center"/>
          </w:tcPr>
          <w:p w14:paraId="39184B67" w14:textId="2C17159C" w:rsidR="003C41E1" w:rsidRPr="00480C56" w:rsidRDefault="003C41E1" w:rsidP="003C41E1">
            <w:pPr>
              <w:tabs>
                <w:tab w:val="decimal" w:pos="231"/>
              </w:tabs>
              <w:jc w:val="center"/>
              <w:rPr>
                <w:rFonts w:cstheme="minorHAnsi"/>
                <w:sz w:val="20"/>
                <w:szCs w:val="20"/>
              </w:rPr>
            </w:pPr>
            <w:r w:rsidRPr="00480C56">
              <w:rPr>
                <w:rFonts w:cstheme="minorHAnsi"/>
                <w:sz w:val="20"/>
                <w:szCs w:val="20"/>
              </w:rPr>
              <w:t>2.53</w:t>
            </w:r>
          </w:p>
        </w:tc>
        <w:tc>
          <w:tcPr>
            <w:tcW w:w="239" w:type="pct"/>
            <w:tcBorders>
              <w:top w:val="single" w:sz="4" w:space="0" w:color="auto"/>
              <w:left w:val="single" w:sz="18" w:space="0" w:color="auto"/>
              <w:bottom w:val="single" w:sz="4" w:space="0" w:color="auto"/>
            </w:tcBorders>
            <w:vAlign w:val="center"/>
          </w:tcPr>
          <w:p w14:paraId="74118927" w14:textId="52222B0E"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5FC79C18"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07BC3989" w14:textId="76223FFA"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5AF7F710" w14:textId="77777777" w:rsidR="003C41E1" w:rsidRPr="00480C56" w:rsidRDefault="003C41E1" w:rsidP="003C41E1">
            <w:pPr>
              <w:tabs>
                <w:tab w:val="decimal" w:pos="188"/>
              </w:tabs>
              <w:jc w:val="center"/>
              <w:rPr>
                <w:rFonts w:cstheme="minorHAnsi"/>
                <w:sz w:val="20"/>
                <w:szCs w:val="20"/>
              </w:rPr>
            </w:pPr>
          </w:p>
        </w:tc>
      </w:tr>
      <w:tr w:rsidR="003C41E1" w:rsidRPr="00480C56" w14:paraId="755838C0"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7BE75563" w14:textId="7321ABD4" w:rsidR="003C41E1" w:rsidRPr="00480C56" w:rsidRDefault="003C41E1" w:rsidP="003C41E1">
            <w:pPr>
              <w:jc w:val="left"/>
              <w:rPr>
                <w:rFonts w:cstheme="minorHAnsi"/>
                <w:sz w:val="20"/>
                <w:szCs w:val="20"/>
              </w:rPr>
            </w:pPr>
            <w:r w:rsidRPr="00480C56">
              <w:rPr>
                <w:rFonts w:cstheme="minorHAnsi"/>
                <w:sz w:val="20"/>
                <w:szCs w:val="20"/>
              </w:rPr>
              <w:t xml:space="preserve">Medium </w:t>
            </w:r>
            <w:r>
              <w:rPr>
                <w:rFonts w:cstheme="minorHAnsi"/>
                <w:sz w:val="20"/>
                <w:szCs w:val="20"/>
              </w:rPr>
              <w:t>emp.</w:t>
            </w:r>
            <w:r w:rsidRPr="00480C56">
              <w:rPr>
                <w:rFonts w:cstheme="minorHAnsi"/>
                <w:sz w:val="20"/>
                <w:szCs w:val="20"/>
              </w:rPr>
              <w:t xml:space="preserve"> </w:t>
            </w:r>
            <w:r>
              <w:rPr>
                <w:rFonts w:cstheme="minorHAnsi"/>
                <w:sz w:val="20"/>
                <w:szCs w:val="20"/>
              </w:rPr>
              <w:t>d</w:t>
            </w:r>
            <w:r w:rsidRPr="00480C56">
              <w:rPr>
                <w:rFonts w:cstheme="minorHAnsi"/>
                <w:sz w:val="20"/>
                <w:szCs w:val="20"/>
              </w:rPr>
              <w:t>ensity</w:t>
            </w:r>
            <w:r>
              <w:rPr>
                <w:rFonts w:cstheme="minorHAnsi"/>
                <w:sz w:val="20"/>
                <w:szCs w:val="20"/>
              </w:rPr>
              <w:t xml:space="preserve"> </w:t>
            </w:r>
            <w:r w:rsidRPr="00797583">
              <w:rPr>
                <w:rFonts w:cstheme="minorHAnsi"/>
                <w:sz w:val="20"/>
                <w:szCs w:val="20"/>
              </w:rPr>
              <w:t>(</w:t>
            </w:r>
            <w:r>
              <w:rPr>
                <w:rFonts w:cstheme="minorHAnsi"/>
                <w:sz w:val="20"/>
                <w:szCs w:val="20"/>
              </w:rPr>
              <w:t xml:space="preserve">&lt;1 | ≥11 </w:t>
            </w:r>
            <w:r w:rsidRPr="00797583">
              <w:rPr>
                <w:rFonts w:cstheme="minorHAnsi"/>
                <w:sz w:val="20"/>
                <w:szCs w:val="20"/>
              </w:rPr>
              <w:t>jobs/acre)</w:t>
            </w:r>
          </w:p>
        </w:tc>
        <w:tc>
          <w:tcPr>
            <w:tcW w:w="211" w:type="pct"/>
            <w:tcBorders>
              <w:top w:val="single" w:sz="4" w:space="0" w:color="auto"/>
              <w:left w:val="single" w:sz="18" w:space="0" w:color="auto"/>
              <w:bottom w:val="single" w:sz="4" w:space="0" w:color="auto"/>
            </w:tcBorders>
            <w:vAlign w:val="center"/>
          </w:tcPr>
          <w:p w14:paraId="74C3A748" w14:textId="04FA83ED"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10F559CA"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2F824BC3" w14:textId="3DF63B07"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34A14637"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2A0F85AC" w14:textId="7620ABE6"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3087DB39"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6F1D4F9"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-0.378</w:t>
            </w:r>
          </w:p>
        </w:tc>
        <w:tc>
          <w:tcPr>
            <w:tcW w:w="221" w:type="pct"/>
            <w:gridSpan w:val="2"/>
            <w:tcBorders>
              <w:top w:val="single" w:sz="4" w:space="0" w:color="auto"/>
              <w:bottom w:val="single" w:sz="4" w:space="0" w:color="auto"/>
              <w:right w:val="single" w:sz="18" w:space="0" w:color="auto"/>
            </w:tcBorders>
            <w:vAlign w:val="center"/>
          </w:tcPr>
          <w:p w14:paraId="6684484B"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-3.595</w:t>
            </w:r>
          </w:p>
        </w:tc>
        <w:tc>
          <w:tcPr>
            <w:tcW w:w="239" w:type="pct"/>
            <w:tcBorders>
              <w:top w:val="single" w:sz="4" w:space="0" w:color="auto"/>
              <w:left w:val="single" w:sz="18" w:space="0" w:color="auto"/>
              <w:bottom w:val="single" w:sz="4" w:space="0" w:color="auto"/>
            </w:tcBorders>
            <w:vAlign w:val="center"/>
          </w:tcPr>
          <w:p w14:paraId="7BD65E67" w14:textId="768AA9BD"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9F08A9B"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C023972" w14:textId="24AA037B"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0C629BCA"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DFF51E6" w14:textId="1F35CAAA"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06F5C345"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1D50D1F6" w14:textId="115B92D3"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40937E11" w14:textId="77777777" w:rsidR="003C41E1" w:rsidRPr="00480C56" w:rsidRDefault="003C41E1" w:rsidP="003C41E1">
            <w:pPr>
              <w:tabs>
                <w:tab w:val="decimal" w:pos="188"/>
              </w:tabs>
              <w:jc w:val="center"/>
              <w:rPr>
                <w:rFonts w:cstheme="minorHAnsi"/>
                <w:sz w:val="20"/>
                <w:szCs w:val="20"/>
              </w:rPr>
            </w:pPr>
          </w:p>
        </w:tc>
      </w:tr>
      <w:tr w:rsidR="003C41E1" w:rsidRPr="00480C56" w14:paraId="34832839"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4861123" w14:textId="5B017AC3" w:rsidR="003C41E1" w:rsidRPr="00480C56" w:rsidRDefault="003C41E1" w:rsidP="003C41E1">
            <w:pPr>
              <w:jc w:val="left"/>
              <w:rPr>
                <w:rFonts w:cstheme="minorHAnsi"/>
                <w:sz w:val="20"/>
                <w:szCs w:val="20"/>
              </w:rPr>
            </w:pPr>
            <w:r w:rsidRPr="00480C56">
              <w:rPr>
                <w:rFonts w:cstheme="minorHAnsi"/>
                <w:sz w:val="20"/>
                <w:szCs w:val="20"/>
              </w:rPr>
              <w:t>High walk</w:t>
            </w:r>
            <w:r>
              <w:rPr>
                <w:rFonts w:cstheme="minorHAnsi"/>
                <w:sz w:val="20"/>
                <w:szCs w:val="20"/>
              </w:rPr>
              <w:t>ability (&lt;13)</w:t>
            </w:r>
          </w:p>
        </w:tc>
        <w:tc>
          <w:tcPr>
            <w:tcW w:w="211" w:type="pct"/>
            <w:tcBorders>
              <w:top w:val="single" w:sz="4" w:space="0" w:color="auto"/>
              <w:left w:val="single" w:sz="18" w:space="0" w:color="auto"/>
              <w:bottom w:val="single" w:sz="4" w:space="0" w:color="auto"/>
            </w:tcBorders>
            <w:vAlign w:val="center"/>
          </w:tcPr>
          <w:p w14:paraId="364C616E" w14:textId="37FBB02E"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2B427A26"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3054DEB2" w14:textId="71B69AE5"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42F012CE"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0F0E2EE6" w14:textId="7E2FB933"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2E29DAAA"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6B66C93" w14:textId="5513EF07"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6F6FFB72"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60E3F86" w14:textId="535A624D"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5BA7BBF0"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CE1D23C" w14:textId="5BEE2787"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0E4B1ECB"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2E900CC" w14:textId="794E8EA2"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6FD09502"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2FF15428"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0.206</w:t>
            </w:r>
          </w:p>
        </w:tc>
        <w:tc>
          <w:tcPr>
            <w:tcW w:w="189" w:type="pct"/>
            <w:tcBorders>
              <w:top w:val="single" w:sz="4" w:space="0" w:color="auto"/>
              <w:bottom w:val="single" w:sz="4" w:space="0" w:color="auto"/>
            </w:tcBorders>
            <w:vAlign w:val="center"/>
          </w:tcPr>
          <w:p w14:paraId="583641B2" w14:textId="0B346296" w:rsidR="003C41E1" w:rsidRPr="00480C56" w:rsidRDefault="003C41E1" w:rsidP="003C41E1">
            <w:pPr>
              <w:tabs>
                <w:tab w:val="decimal" w:pos="188"/>
              </w:tabs>
              <w:jc w:val="center"/>
              <w:rPr>
                <w:rFonts w:cstheme="minorHAnsi"/>
                <w:sz w:val="20"/>
                <w:szCs w:val="20"/>
              </w:rPr>
            </w:pPr>
            <w:r w:rsidRPr="00480C56">
              <w:rPr>
                <w:rFonts w:cstheme="minorHAnsi"/>
                <w:sz w:val="20"/>
                <w:szCs w:val="20"/>
              </w:rPr>
              <w:t>2.05</w:t>
            </w:r>
          </w:p>
        </w:tc>
      </w:tr>
      <w:tr w:rsidR="003C41E1" w:rsidRPr="00480C56" w14:paraId="72BB5007"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6AAF564" w14:textId="2754A268" w:rsidR="003C41E1" w:rsidRPr="00480C56" w:rsidRDefault="003C41E1" w:rsidP="003C41E1">
            <w:pPr>
              <w:jc w:val="left"/>
              <w:rPr>
                <w:rFonts w:cstheme="minorHAnsi"/>
                <w:sz w:val="20"/>
                <w:szCs w:val="20"/>
              </w:rPr>
            </w:pPr>
            <w:r w:rsidRPr="00480C56">
              <w:rPr>
                <w:rFonts w:cstheme="minorHAnsi"/>
                <w:sz w:val="20"/>
                <w:szCs w:val="20"/>
              </w:rPr>
              <w:t>Low transit access to emp</w:t>
            </w:r>
            <w:r>
              <w:rPr>
                <w:rFonts w:cstheme="minorHAnsi"/>
                <w:sz w:val="20"/>
                <w:szCs w:val="20"/>
              </w:rPr>
              <w:t>. (≥10%)</w:t>
            </w:r>
          </w:p>
        </w:tc>
        <w:tc>
          <w:tcPr>
            <w:tcW w:w="211" w:type="pct"/>
            <w:tcBorders>
              <w:top w:val="single" w:sz="4" w:space="0" w:color="auto"/>
              <w:left w:val="single" w:sz="18" w:space="0" w:color="auto"/>
              <w:bottom w:val="single" w:sz="4" w:space="0" w:color="auto"/>
            </w:tcBorders>
            <w:vAlign w:val="center"/>
          </w:tcPr>
          <w:p w14:paraId="0794B946" w14:textId="2D121194"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6F9471E4"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2CE23243" w14:textId="11EED822"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7CAF06AF"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61A05950" w14:textId="255D9DDB"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5F8F4813"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6CCDDF7" w14:textId="55230565"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4C6C1722"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9C05B5A" w14:textId="0A81C4F8"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37D6A08"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D5982AE"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0.395</w:t>
            </w:r>
          </w:p>
        </w:tc>
        <w:tc>
          <w:tcPr>
            <w:tcW w:w="204" w:type="pct"/>
            <w:tcBorders>
              <w:top w:val="single" w:sz="4" w:space="0" w:color="auto"/>
              <w:bottom w:val="single" w:sz="4" w:space="0" w:color="auto"/>
              <w:right w:val="single" w:sz="18" w:space="0" w:color="auto"/>
            </w:tcBorders>
            <w:vAlign w:val="center"/>
          </w:tcPr>
          <w:p w14:paraId="7DF73BE0" w14:textId="743ED6CF" w:rsidR="003C41E1" w:rsidRPr="00480C56" w:rsidRDefault="003C41E1" w:rsidP="003C41E1">
            <w:pPr>
              <w:tabs>
                <w:tab w:val="decimal" w:pos="231"/>
              </w:tabs>
              <w:jc w:val="center"/>
              <w:rPr>
                <w:rFonts w:cstheme="minorHAnsi"/>
                <w:sz w:val="20"/>
                <w:szCs w:val="20"/>
              </w:rPr>
            </w:pPr>
            <w:r w:rsidRPr="00480C56">
              <w:rPr>
                <w:rFonts w:cstheme="minorHAnsi"/>
                <w:sz w:val="20"/>
                <w:szCs w:val="20"/>
              </w:rPr>
              <w:t>3.16</w:t>
            </w:r>
          </w:p>
        </w:tc>
        <w:tc>
          <w:tcPr>
            <w:tcW w:w="239" w:type="pct"/>
            <w:tcBorders>
              <w:top w:val="single" w:sz="4" w:space="0" w:color="auto"/>
              <w:left w:val="single" w:sz="18" w:space="0" w:color="auto"/>
              <w:bottom w:val="single" w:sz="4" w:space="0" w:color="auto"/>
            </w:tcBorders>
            <w:vAlign w:val="center"/>
          </w:tcPr>
          <w:p w14:paraId="10C10B72" w14:textId="2D1ABA69"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58E0CCAF"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43193F39" w14:textId="1B9C7BC5"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A9B4BE4" w14:textId="77777777" w:rsidR="003C41E1" w:rsidRPr="00480C56" w:rsidRDefault="003C41E1" w:rsidP="003C41E1">
            <w:pPr>
              <w:tabs>
                <w:tab w:val="decimal" w:pos="188"/>
              </w:tabs>
              <w:jc w:val="center"/>
              <w:rPr>
                <w:rFonts w:cstheme="minorHAnsi"/>
                <w:sz w:val="20"/>
                <w:szCs w:val="20"/>
              </w:rPr>
            </w:pPr>
          </w:p>
        </w:tc>
      </w:tr>
      <w:tr w:rsidR="003C41E1" w:rsidRPr="00480C56" w14:paraId="12C92D2C" w14:textId="77777777" w:rsidTr="002D67AE">
        <w:trPr>
          <w:trHeight w:val="144"/>
        </w:trPr>
        <w:tc>
          <w:tcPr>
            <w:tcW w:w="5000" w:type="pct"/>
            <w:gridSpan w:val="18"/>
            <w:tcBorders>
              <w:top w:val="single" w:sz="4" w:space="0" w:color="auto"/>
              <w:bottom w:val="single" w:sz="4" w:space="0" w:color="auto"/>
            </w:tcBorders>
            <w:vAlign w:val="center"/>
          </w:tcPr>
          <w:p w14:paraId="16FA1375" w14:textId="05860CC8" w:rsidR="003C41E1" w:rsidRPr="00480C56" w:rsidRDefault="003C41E1" w:rsidP="003C41E1">
            <w:pPr>
              <w:tabs>
                <w:tab w:val="decimal" w:pos="188"/>
                <w:tab w:val="decimal" w:pos="202"/>
                <w:tab w:val="decimal" w:pos="231"/>
              </w:tabs>
              <w:jc w:val="left"/>
              <w:rPr>
                <w:rFonts w:cstheme="minorHAnsi"/>
                <w:sz w:val="20"/>
                <w:szCs w:val="20"/>
              </w:rPr>
            </w:pPr>
            <w:r>
              <w:rPr>
                <w:rFonts w:cstheme="minorHAnsi"/>
                <w:b/>
                <w:bCs/>
                <w:sz w:val="20"/>
                <w:szCs w:val="20"/>
              </w:rPr>
              <w:t>Work-Related Variables</w:t>
            </w:r>
          </w:p>
        </w:tc>
      </w:tr>
      <w:tr w:rsidR="003C41E1" w:rsidRPr="00480C56" w14:paraId="00F529FA"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321658D" w14:textId="651F6539" w:rsidR="003C41E1" w:rsidRPr="00480C56" w:rsidRDefault="003C41E1" w:rsidP="003C41E1">
            <w:pPr>
              <w:jc w:val="left"/>
              <w:rPr>
                <w:rFonts w:cstheme="minorHAnsi"/>
                <w:sz w:val="20"/>
                <w:szCs w:val="20"/>
              </w:rPr>
            </w:pPr>
            <w:r w:rsidRPr="00480C56">
              <w:rPr>
                <w:rFonts w:cstheme="minorHAnsi"/>
                <w:sz w:val="20"/>
                <w:szCs w:val="20"/>
              </w:rPr>
              <w:t>Some schedule control</w:t>
            </w:r>
            <w:r>
              <w:rPr>
                <w:rFonts w:cstheme="minorHAnsi"/>
                <w:sz w:val="20"/>
                <w:szCs w:val="20"/>
              </w:rPr>
              <w:t xml:space="preserve"> (no control)</w:t>
            </w:r>
          </w:p>
        </w:tc>
        <w:tc>
          <w:tcPr>
            <w:tcW w:w="211" w:type="pct"/>
            <w:tcBorders>
              <w:top w:val="single" w:sz="4" w:space="0" w:color="auto"/>
              <w:left w:val="single" w:sz="18" w:space="0" w:color="auto"/>
              <w:bottom w:val="single" w:sz="4" w:space="0" w:color="auto"/>
            </w:tcBorders>
            <w:vAlign w:val="center"/>
          </w:tcPr>
          <w:p w14:paraId="53419356" w14:textId="395CF788" w:rsidR="003C41E1" w:rsidRPr="00480C56" w:rsidRDefault="003C41E1" w:rsidP="003C41E1">
            <w:pPr>
              <w:tabs>
                <w:tab w:val="decimal" w:pos="167"/>
              </w:tabs>
              <w:jc w:val="center"/>
              <w:rPr>
                <w:rFonts w:cstheme="minorHAnsi"/>
                <w:sz w:val="20"/>
                <w:szCs w:val="20"/>
              </w:rPr>
            </w:pPr>
            <w:r>
              <w:rPr>
                <w:rFonts w:cstheme="minorHAnsi"/>
                <w:sz w:val="20"/>
                <w:szCs w:val="20"/>
              </w:rPr>
              <w:t>0.402</w:t>
            </w:r>
          </w:p>
        </w:tc>
        <w:tc>
          <w:tcPr>
            <w:tcW w:w="185" w:type="pct"/>
            <w:tcBorders>
              <w:top w:val="single" w:sz="4" w:space="0" w:color="auto"/>
              <w:bottom w:val="single" w:sz="4" w:space="0" w:color="auto"/>
            </w:tcBorders>
            <w:vAlign w:val="center"/>
          </w:tcPr>
          <w:p w14:paraId="15BE1E2A" w14:textId="215BA437" w:rsidR="003C41E1" w:rsidRPr="00480C56" w:rsidRDefault="003C41E1" w:rsidP="003C41E1">
            <w:pPr>
              <w:tabs>
                <w:tab w:val="decimal" w:pos="196"/>
              </w:tabs>
              <w:jc w:val="center"/>
              <w:rPr>
                <w:rFonts w:cstheme="minorHAnsi"/>
                <w:sz w:val="20"/>
                <w:szCs w:val="20"/>
              </w:rPr>
            </w:pPr>
            <w:r>
              <w:rPr>
                <w:rFonts w:cstheme="minorHAnsi"/>
                <w:sz w:val="20"/>
                <w:szCs w:val="20"/>
              </w:rPr>
              <w:t>5.76</w:t>
            </w:r>
          </w:p>
        </w:tc>
        <w:tc>
          <w:tcPr>
            <w:tcW w:w="248" w:type="pct"/>
            <w:tcBorders>
              <w:top w:val="single" w:sz="4" w:space="0" w:color="auto"/>
              <w:bottom w:val="single" w:sz="4" w:space="0" w:color="auto"/>
            </w:tcBorders>
            <w:vAlign w:val="center"/>
          </w:tcPr>
          <w:p w14:paraId="3997F585"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0.430</w:t>
            </w:r>
          </w:p>
        </w:tc>
        <w:tc>
          <w:tcPr>
            <w:tcW w:w="204" w:type="pct"/>
            <w:tcBorders>
              <w:top w:val="single" w:sz="4" w:space="0" w:color="auto"/>
              <w:bottom w:val="single" w:sz="4" w:space="0" w:color="auto"/>
            </w:tcBorders>
            <w:vAlign w:val="center"/>
          </w:tcPr>
          <w:p w14:paraId="15B2B501" w14:textId="226A1571" w:rsidR="003C41E1" w:rsidRPr="00480C56" w:rsidRDefault="003C41E1" w:rsidP="003C41E1">
            <w:pPr>
              <w:tabs>
                <w:tab w:val="decimal" w:pos="239"/>
              </w:tabs>
              <w:jc w:val="center"/>
              <w:rPr>
                <w:rFonts w:cstheme="minorHAnsi"/>
                <w:sz w:val="20"/>
                <w:szCs w:val="20"/>
              </w:rPr>
            </w:pPr>
            <w:r w:rsidRPr="00480C56">
              <w:rPr>
                <w:rFonts w:cstheme="minorHAnsi"/>
                <w:sz w:val="20"/>
                <w:szCs w:val="20"/>
              </w:rPr>
              <w:t>3.76</w:t>
            </w:r>
          </w:p>
        </w:tc>
        <w:tc>
          <w:tcPr>
            <w:tcW w:w="308" w:type="pct"/>
            <w:tcBorders>
              <w:top w:val="single" w:sz="4" w:space="0" w:color="auto"/>
              <w:bottom w:val="single" w:sz="4" w:space="0" w:color="auto"/>
            </w:tcBorders>
            <w:vAlign w:val="center"/>
          </w:tcPr>
          <w:p w14:paraId="03D697FF"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0.430</w:t>
            </w:r>
          </w:p>
        </w:tc>
        <w:tc>
          <w:tcPr>
            <w:tcW w:w="242" w:type="pct"/>
            <w:tcBorders>
              <w:top w:val="single" w:sz="4" w:space="0" w:color="auto"/>
              <w:bottom w:val="single" w:sz="4" w:space="0" w:color="auto"/>
              <w:right w:val="single" w:sz="18" w:space="0" w:color="auto"/>
            </w:tcBorders>
            <w:vAlign w:val="center"/>
          </w:tcPr>
          <w:p w14:paraId="5A91C0B1" w14:textId="6E8B89DD" w:rsidR="003C41E1" w:rsidRPr="00480C56" w:rsidRDefault="003C41E1" w:rsidP="003C41E1">
            <w:pPr>
              <w:tabs>
                <w:tab w:val="decimal" w:pos="231"/>
              </w:tabs>
              <w:jc w:val="center"/>
              <w:rPr>
                <w:rFonts w:cstheme="minorHAnsi"/>
                <w:sz w:val="20"/>
                <w:szCs w:val="20"/>
              </w:rPr>
            </w:pPr>
            <w:r w:rsidRPr="00480C56">
              <w:rPr>
                <w:rFonts w:cstheme="minorHAnsi"/>
                <w:sz w:val="20"/>
                <w:szCs w:val="20"/>
              </w:rPr>
              <w:t>3.76</w:t>
            </w:r>
          </w:p>
        </w:tc>
        <w:tc>
          <w:tcPr>
            <w:tcW w:w="239" w:type="pct"/>
            <w:tcBorders>
              <w:top w:val="single" w:sz="4" w:space="0" w:color="auto"/>
              <w:left w:val="single" w:sz="18" w:space="0" w:color="auto"/>
              <w:bottom w:val="single" w:sz="4" w:space="0" w:color="auto"/>
            </w:tcBorders>
            <w:vAlign w:val="center"/>
          </w:tcPr>
          <w:p w14:paraId="249A22D7" w14:textId="4AEDE490"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48375218"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D554135" w14:textId="2712AC2D"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AB3439B"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A35515F" w14:textId="208D5378"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A7F8EF8"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A9C7153" w14:textId="5A37AAFD"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4EB43D97"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73ABABC9" w14:textId="4A724088"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1BEA275F" w14:textId="77777777" w:rsidR="003C41E1" w:rsidRPr="00480C56" w:rsidRDefault="003C41E1" w:rsidP="003C41E1">
            <w:pPr>
              <w:tabs>
                <w:tab w:val="decimal" w:pos="188"/>
              </w:tabs>
              <w:jc w:val="center"/>
              <w:rPr>
                <w:rFonts w:cstheme="minorHAnsi"/>
                <w:sz w:val="20"/>
                <w:szCs w:val="20"/>
              </w:rPr>
            </w:pPr>
          </w:p>
        </w:tc>
      </w:tr>
      <w:tr w:rsidR="003C41E1" w:rsidRPr="00480C56" w14:paraId="076AEB55"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85813B7" w14:textId="0F966532" w:rsidR="003C41E1" w:rsidRPr="00480C56" w:rsidRDefault="003C41E1" w:rsidP="003C41E1">
            <w:pPr>
              <w:jc w:val="left"/>
              <w:rPr>
                <w:rFonts w:cstheme="minorHAnsi"/>
                <w:sz w:val="20"/>
                <w:szCs w:val="20"/>
              </w:rPr>
            </w:pPr>
            <w:r w:rsidRPr="00480C56">
              <w:rPr>
                <w:rFonts w:cstheme="minorHAnsi"/>
                <w:sz w:val="20"/>
                <w:szCs w:val="20"/>
              </w:rPr>
              <w:t>Full schedule control</w:t>
            </w:r>
            <w:r>
              <w:rPr>
                <w:rFonts w:cstheme="minorHAnsi"/>
                <w:sz w:val="20"/>
                <w:szCs w:val="20"/>
              </w:rPr>
              <w:t xml:space="preserve"> (no control)</w:t>
            </w:r>
          </w:p>
        </w:tc>
        <w:tc>
          <w:tcPr>
            <w:tcW w:w="211" w:type="pct"/>
            <w:tcBorders>
              <w:top w:val="single" w:sz="4" w:space="0" w:color="auto"/>
              <w:left w:val="single" w:sz="18" w:space="0" w:color="auto"/>
              <w:bottom w:val="single" w:sz="4" w:space="0" w:color="auto"/>
            </w:tcBorders>
            <w:vAlign w:val="center"/>
          </w:tcPr>
          <w:p w14:paraId="45F940A7" w14:textId="41BBEF2B" w:rsidR="003C41E1" w:rsidRPr="00480C56" w:rsidRDefault="003C41E1" w:rsidP="003C41E1">
            <w:pPr>
              <w:tabs>
                <w:tab w:val="decimal" w:pos="167"/>
              </w:tabs>
              <w:jc w:val="center"/>
              <w:rPr>
                <w:rFonts w:cstheme="minorHAnsi"/>
                <w:sz w:val="20"/>
                <w:szCs w:val="20"/>
              </w:rPr>
            </w:pPr>
            <w:r>
              <w:rPr>
                <w:rFonts w:cstheme="minorHAnsi"/>
                <w:sz w:val="20"/>
                <w:szCs w:val="20"/>
              </w:rPr>
              <w:t>0.402</w:t>
            </w:r>
          </w:p>
        </w:tc>
        <w:tc>
          <w:tcPr>
            <w:tcW w:w="185" w:type="pct"/>
            <w:tcBorders>
              <w:top w:val="single" w:sz="4" w:space="0" w:color="auto"/>
              <w:bottom w:val="single" w:sz="4" w:space="0" w:color="auto"/>
            </w:tcBorders>
            <w:vAlign w:val="center"/>
          </w:tcPr>
          <w:p w14:paraId="06321E90" w14:textId="53B7A7EC" w:rsidR="003C41E1" w:rsidRPr="00480C56" w:rsidRDefault="003C41E1" w:rsidP="003C41E1">
            <w:pPr>
              <w:tabs>
                <w:tab w:val="decimal" w:pos="196"/>
              </w:tabs>
              <w:jc w:val="center"/>
              <w:rPr>
                <w:rFonts w:cstheme="minorHAnsi"/>
                <w:sz w:val="20"/>
                <w:szCs w:val="20"/>
              </w:rPr>
            </w:pPr>
            <w:r>
              <w:rPr>
                <w:rFonts w:cstheme="minorHAnsi"/>
                <w:sz w:val="20"/>
                <w:szCs w:val="20"/>
              </w:rPr>
              <w:t>5.76</w:t>
            </w:r>
          </w:p>
        </w:tc>
        <w:tc>
          <w:tcPr>
            <w:tcW w:w="248" w:type="pct"/>
            <w:tcBorders>
              <w:top w:val="single" w:sz="4" w:space="0" w:color="auto"/>
              <w:bottom w:val="single" w:sz="4" w:space="0" w:color="auto"/>
            </w:tcBorders>
            <w:vAlign w:val="center"/>
          </w:tcPr>
          <w:p w14:paraId="4BCB3043"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0.473</w:t>
            </w:r>
          </w:p>
        </w:tc>
        <w:tc>
          <w:tcPr>
            <w:tcW w:w="204" w:type="pct"/>
            <w:tcBorders>
              <w:top w:val="single" w:sz="4" w:space="0" w:color="auto"/>
              <w:bottom w:val="single" w:sz="4" w:space="0" w:color="auto"/>
            </w:tcBorders>
            <w:vAlign w:val="center"/>
          </w:tcPr>
          <w:p w14:paraId="4D074BC9" w14:textId="5AC5641E" w:rsidR="003C41E1" w:rsidRPr="00480C56" w:rsidRDefault="003C41E1" w:rsidP="003C41E1">
            <w:pPr>
              <w:tabs>
                <w:tab w:val="decimal" w:pos="239"/>
              </w:tabs>
              <w:jc w:val="center"/>
              <w:rPr>
                <w:rFonts w:cstheme="minorHAnsi"/>
                <w:sz w:val="20"/>
                <w:szCs w:val="20"/>
              </w:rPr>
            </w:pPr>
            <w:r w:rsidRPr="00480C56">
              <w:rPr>
                <w:rFonts w:cstheme="minorHAnsi"/>
                <w:sz w:val="20"/>
                <w:szCs w:val="20"/>
              </w:rPr>
              <w:t>3.64</w:t>
            </w:r>
          </w:p>
        </w:tc>
        <w:tc>
          <w:tcPr>
            <w:tcW w:w="308" w:type="pct"/>
            <w:tcBorders>
              <w:top w:val="single" w:sz="4" w:space="0" w:color="auto"/>
              <w:bottom w:val="single" w:sz="4" w:space="0" w:color="auto"/>
            </w:tcBorders>
            <w:vAlign w:val="center"/>
          </w:tcPr>
          <w:p w14:paraId="2BF348DE"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0.473</w:t>
            </w:r>
          </w:p>
        </w:tc>
        <w:tc>
          <w:tcPr>
            <w:tcW w:w="242" w:type="pct"/>
            <w:tcBorders>
              <w:top w:val="single" w:sz="4" w:space="0" w:color="auto"/>
              <w:bottom w:val="single" w:sz="4" w:space="0" w:color="auto"/>
              <w:right w:val="single" w:sz="18" w:space="0" w:color="auto"/>
            </w:tcBorders>
            <w:vAlign w:val="center"/>
          </w:tcPr>
          <w:p w14:paraId="2F3F473D" w14:textId="7A34D83F" w:rsidR="003C41E1" w:rsidRPr="00480C56" w:rsidRDefault="003C41E1" w:rsidP="003C41E1">
            <w:pPr>
              <w:tabs>
                <w:tab w:val="decimal" w:pos="231"/>
              </w:tabs>
              <w:jc w:val="center"/>
              <w:rPr>
                <w:rFonts w:cstheme="minorHAnsi"/>
                <w:sz w:val="20"/>
                <w:szCs w:val="20"/>
              </w:rPr>
            </w:pPr>
            <w:r w:rsidRPr="00480C56">
              <w:rPr>
                <w:rFonts w:cstheme="minorHAnsi"/>
                <w:sz w:val="20"/>
                <w:szCs w:val="20"/>
              </w:rPr>
              <w:t>3.64</w:t>
            </w:r>
          </w:p>
        </w:tc>
        <w:tc>
          <w:tcPr>
            <w:tcW w:w="239" w:type="pct"/>
            <w:tcBorders>
              <w:top w:val="single" w:sz="4" w:space="0" w:color="auto"/>
              <w:left w:val="single" w:sz="18" w:space="0" w:color="auto"/>
              <w:bottom w:val="single" w:sz="4" w:space="0" w:color="auto"/>
            </w:tcBorders>
            <w:vAlign w:val="center"/>
          </w:tcPr>
          <w:p w14:paraId="299CB9CA" w14:textId="3B89B90C"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7C9050EC"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77D6612" w14:textId="10B09A78"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30C18F97"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CAE5F89" w14:textId="65F45C6D"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893CFC8"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996EA4B" w14:textId="628E0874"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2DA739C1"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035F7A5B" w14:textId="28B7F635"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00E5B55A" w14:textId="77777777" w:rsidR="003C41E1" w:rsidRPr="00480C56" w:rsidRDefault="003C41E1" w:rsidP="003C41E1">
            <w:pPr>
              <w:tabs>
                <w:tab w:val="decimal" w:pos="188"/>
              </w:tabs>
              <w:jc w:val="center"/>
              <w:rPr>
                <w:rFonts w:cstheme="minorHAnsi"/>
                <w:sz w:val="20"/>
                <w:szCs w:val="20"/>
              </w:rPr>
            </w:pPr>
          </w:p>
        </w:tc>
      </w:tr>
      <w:tr w:rsidR="003C41E1" w:rsidRPr="00480C56" w14:paraId="2950577E"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2BD2C0BF" w14:textId="275367B5" w:rsidR="003C41E1" w:rsidRPr="00480C56" w:rsidRDefault="003C41E1" w:rsidP="003C41E1">
            <w:pPr>
              <w:jc w:val="left"/>
              <w:rPr>
                <w:rFonts w:cstheme="minorHAnsi"/>
                <w:sz w:val="20"/>
                <w:szCs w:val="20"/>
              </w:rPr>
            </w:pPr>
            <w:r w:rsidRPr="00480C56">
              <w:rPr>
                <w:rFonts w:cstheme="minorHAnsi"/>
                <w:sz w:val="20"/>
                <w:szCs w:val="20"/>
              </w:rPr>
              <w:lastRenderedPageBreak/>
              <w:t>Some location control</w:t>
            </w:r>
            <w:r>
              <w:rPr>
                <w:rFonts w:cstheme="minorHAnsi"/>
                <w:sz w:val="20"/>
                <w:szCs w:val="20"/>
              </w:rPr>
              <w:t xml:space="preserve"> (no control)</w:t>
            </w:r>
          </w:p>
        </w:tc>
        <w:tc>
          <w:tcPr>
            <w:tcW w:w="211" w:type="pct"/>
            <w:tcBorders>
              <w:top w:val="single" w:sz="4" w:space="0" w:color="auto"/>
              <w:left w:val="single" w:sz="18" w:space="0" w:color="auto"/>
              <w:bottom w:val="single" w:sz="4" w:space="0" w:color="auto"/>
            </w:tcBorders>
            <w:vAlign w:val="center"/>
          </w:tcPr>
          <w:p w14:paraId="4F392C73"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1.101</w:t>
            </w:r>
          </w:p>
        </w:tc>
        <w:tc>
          <w:tcPr>
            <w:tcW w:w="185" w:type="pct"/>
            <w:tcBorders>
              <w:top w:val="single" w:sz="4" w:space="0" w:color="auto"/>
              <w:bottom w:val="single" w:sz="4" w:space="0" w:color="auto"/>
            </w:tcBorders>
            <w:vAlign w:val="center"/>
          </w:tcPr>
          <w:p w14:paraId="5F6B1DCA" w14:textId="46302D2A" w:rsidR="003C41E1" w:rsidRPr="00480C56" w:rsidRDefault="003C41E1" w:rsidP="003C41E1">
            <w:pPr>
              <w:tabs>
                <w:tab w:val="decimal" w:pos="196"/>
              </w:tabs>
              <w:jc w:val="center"/>
              <w:rPr>
                <w:rFonts w:cstheme="minorHAnsi"/>
                <w:sz w:val="20"/>
                <w:szCs w:val="20"/>
              </w:rPr>
            </w:pPr>
            <w:r w:rsidRPr="00480C56">
              <w:rPr>
                <w:rFonts w:cstheme="minorHAnsi"/>
                <w:sz w:val="20"/>
                <w:szCs w:val="20"/>
              </w:rPr>
              <w:t>13.11</w:t>
            </w:r>
          </w:p>
        </w:tc>
        <w:tc>
          <w:tcPr>
            <w:tcW w:w="248" w:type="pct"/>
            <w:tcBorders>
              <w:top w:val="single" w:sz="4" w:space="0" w:color="auto"/>
              <w:bottom w:val="single" w:sz="4" w:space="0" w:color="auto"/>
            </w:tcBorders>
            <w:vAlign w:val="center"/>
          </w:tcPr>
          <w:p w14:paraId="2B62C705"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0.465</w:t>
            </w:r>
          </w:p>
        </w:tc>
        <w:tc>
          <w:tcPr>
            <w:tcW w:w="204" w:type="pct"/>
            <w:tcBorders>
              <w:top w:val="single" w:sz="4" w:space="0" w:color="auto"/>
              <w:bottom w:val="single" w:sz="4" w:space="0" w:color="auto"/>
            </w:tcBorders>
            <w:vAlign w:val="center"/>
          </w:tcPr>
          <w:p w14:paraId="0779CF3B" w14:textId="619ECB75" w:rsidR="003C41E1" w:rsidRPr="00480C56" w:rsidRDefault="003C41E1" w:rsidP="003C41E1">
            <w:pPr>
              <w:tabs>
                <w:tab w:val="decimal" w:pos="239"/>
              </w:tabs>
              <w:jc w:val="center"/>
              <w:rPr>
                <w:rFonts w:cstheme="minorHAnsi"/>
                <w:sz w:val="20"/>
                <w:szCs w:val="20"/>
              </w:rPr>
            </w:pPr>
            <w:r w:rsidRPr="00480C56">
              <w:rPr>
                <w:rFonts w:cstheme="minorHAnsi"/>
                <w:sz w:val="20"/>
                <w:szCs w:val="20"/>
              </w:rPr>
              <w:t>3.30</w:t>
            </w:r>
          </w:p>
        </w:tc>
        <w:tc>
          <w:tcPr>
            <w:tcW w:w="308" w:type="pct"/>
            <w:tcBorders>
              <w:top w:val="single" w:sz="4" w:space="0" w:color="auto"/>
              <w:bottom w:val="single" w:sz="4" w:space="0" w:color="auto"/>
            </w:tcBorders>
            <w:vAlign w:val="center"/>
          </w:tcPr>
          <w:p w14:paraId="670FB7B0"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0.465</w:t>
            </w:r>
          </w:p>
        </w:tc>
        <w:tc>
          <w:tcPr>
            <w:tcW w:w="242" w:type="pct"/>
            <w:tcBorders>
              <w:top w:val="single" w:sz="4" w:space="0" w:color="auto"/>
              <w:bottom w:val="single" w:sz="4" w:space="0" w:color="auto"/>
              <w:right w:val="single" w:sz="18" w:space="0" w:color="auto"/>
            </w:tcBorders>
            <w:vAlign w:val="center"/>
          </w:tcPr>
          <w:p w14:paraId="6106D00C" w14:textId="5858D78E" w:rsidR="003C41E1" w:rsidRPr="00480C56" w:rsidRDefault="003C41E1" w:rsidP="003C41E1">
            <w:pPr>
              <w:tabs>
                <w:tab w:val="decimal" w:pos="231"/>
              </w:tabs>
              <w:jc w:val="center"/>
              <w:rPr>
                <w:rFonts w:cstheme="minorHAnsi"/>
                <w:sz w:val="20"/>
                <w:szCs w:val="20"/>
              </w:rPr>
            </w:pPr>
            <w:r w:rsidRPr="00480C56">
              <w:rPr>
                <w:rFonts w:cstheme="minorHAnsi"/>
                <w:sz w:val="20"/>
                <w:szCs w:val="20"/>
              </w:rPr>
              <w:t>3.30</w:t>
            </w:r>
          </w:p>
        </w:tc>
        <w:tc>
          <w:tcPr>
            <w:tcW w:w="239" w:type="pct"/>
            <w:tcBorders>
              <w:top w:val="single" w:sz="4" w:space="0" w:color="auto"/>
              <w:left w:val="single" w:sz="18" w:space="0" w:color="auto"/>
              <w:bottom w:val="single" w:sz="4" w:space="0" w:color="auto"/>
            </w:tcBorders>
            <w:vAlign w:val="center"/>
          </w:tcPr>
          <w:p w14:paraId="5D6858E4" w14:textId="5AC2CFE8"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0726F853"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D11454A" w14:textId="16008843"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1A9C307B"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4FC9740" w14:textId="754F9498"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194377C6"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C56B4C8" w14:textId="0E5440C3"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35622BEE"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123C2A0C" w14:textId="64B0DD62"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2925C702" w14:textId="77777777" w:rsidR="003C41E1" w:rsidRPr="00480C56" w:rsidRDefault="003C41E1" w:rsidP="003C41E1">
            <w:pPr>
              <w:tabs>
                <w:tab w:val="decimal" w:pos="188"/>
              </w:tabs>
              <w:jc w:val="center"/>
              <w:rPr>
                <w:rFonts w:cstheme="minorHAnsi"/>
                <w:sz w:val="20"/>
                <w:szCs w:val="20"/>
              </w:rPr>
            </w:pPr>
          </w:p>
        </w:tc>
      </w:tr>
      <w:tr w:rsidR="003C41E1" w:rsidRPr="00480C56" w14:paraId="0A90A1D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0A39465B" w14:textId="280B90B8" w:rsidR="003C41E1" w:rsidRPr="00480C56" w:rsidRDefault="003C41E1" w:rsidP="003C41E1">
            <w:pPr>
              <w:jc w:val="left"/>
              <w:rPr>
                <w:rFonts w:cstheme="minorHAnsi"/>
                <w:sz w:val="20"/>
                <w:szCs w:val="20"/>
              </w:rPr>
            </w:pPr>
            <w:r w:rsidRPr="00480C56">
              <w:rPr>
                <w:rFonts w:cstheme="minorHAnsi"/>
                <w:sz w:val="20"/>
                <w:szCs w:val="20"/>
              </w:rPr>
              <w:t>Full location control</w:t>
            </w:r>
            <w:r>
              <w:rPr>
                <w:rFonts w:cstheme="minorHAnsi"/>
                <w:sz w:val="20"/>
                <w:szCs w:val="20"/>
              </w:rPr>
              <w:t xml:space="preserve"> (no control)</w:t>
            </w:r>
          </w:p>
        </w:tc>
        <w:tc>
          <w:tcPr>
            <w:tcW w:w="211" w:type="pct"/>
            <w:tcBorders>
              <w:top w:val="single" w:sz="4" w:space="0" w:color="auto"/>
              <w:left w:val="single" w:sz="18" w:space="0" w:color="auto"/>
              <w:bottom w:val="single" w:sz="4" w:space="0" w:color="auto"/>
            </w:tcBorders>
            <w:vAlign w:val="center"/>
          </w:tcPr>
          <w:p w14:paraId="524CD2C5"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0.589</w:t>
            </w:r>
          </w:p>
        </w:tc>
        <w:tc>
          <w:tcPr>
            <w:tcW w:w="185" w:type="pct"/>
            <w:tcBorders>
              <w:top w:val="single" w:sz="4" w:space="0" w:color="auto"/>
              <w:bottom w:val="single" w:sz="4" w:space="0" w:color="auto"/>
            </w:tcBorders>
            <w:vAlign w:val="center"/>
          </w:tcPr>
          <w:p w14:paraId="683EB4DE" w14:textId="4C53CEC5" w:rsidR="003C41E1" w:rsidRPr="00480C56" w:rsidRDefault="003C41E1" w:rsidP="003C41E1">
            <w:pPr>
              <w:tabs>
                <w:tab w:val="decimal" w:pos="196"/>
              </w:tabs>
              <w:jc w:val="center"/>
              <w:rPr>
                <w:rFonts w:cstheme="minorHAnsi"/>
                <w:sz w:val="20"/>
                <w:szCs w:val="20"/>
              </w:rPr>
            </w:pPr>
            <w:r w:rsidRPr="00480C56">
              <w:rPr>
                <w:rFonts w:cstheme="minorHAnsi"/>
                <w:sz w:val="20"/>
                <w:szCs w:val="20"/>
              </w:rPr>
              <w:t>5.74</w:t>
            </w:r>
          </w:p>
        </w:tc>
        <w:tc>
          <w:tcPr>
            <w:tcW w:w="248" w:type="pct"/>
            <w:tcBorders>
              <w:top w:val="single" w:sz="4" w:space="0" w:color="auto"/>
              <w:bottom w:val="single" w:sz="4" w:space="0" w:color="auto"/>
            </w:tcBorders>
            <w:vAlign w:val="center"/>
          </w:tcPr>
          <w:p w14:paraId="48AD98AB"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0.451</w:t>
            </w:r>
          </w:p>
        </w:tc>
        <w:tc>
          <w:tcPr>
            <w:tcW w:w="204" w:type="pct"/>
            <w:tcBorders>
              <w:top w:val="single" w:sz="4" w:space="0" w:color="auto"/>
              <w:bottom w:val="single" w:sz="4" w:space="0" w:color="auto"/>
            </w:tcBorders>
            <w:vAlign w:val="center"/>
          </w:tcPr>
          <w:p w14:paraId="46C6A0CD" w14:textId="3939B66D" w:rsidR="003C41E1" w:rsidRPr="00480C56" w:rsidRDefault="003C41E1" w:rsidP="003C41E1">
            <w:pPr>
              <w:tabs>
                <w:tab w:val="decimal" w:pos="239"/>
              </w:tabs>
              <w:jc w:val="center"/>
              <w:rPr>
                <w:rFonts w:cstheme="minorHAnsi"/>
                <w:sz w:val="20"/>
                <w:szCs w:val="20"/>
              </w:rPr>
            </w:pPr>
            <w:r w:rsidRPr="00480C56">
              <w:rPr>
                <w:rFonts w:cstheme="minorHAnsi"/>
                <w:sz w:val="20"/>
                <w:szCs w:val="20"/>
              </w:rPr>
              <w:t>3.38</w:t>
            </w:r>
          </w:p>
        </w:tc>
        <w:tc>
          <w:tcPr>
            <w:tcW w:w="308" w:type="pct"/>
            <w:tcBorders>
              <w:top w:val="single" w:sz="4" w:space="0" w:color="auto"/>
              <w:bottom w:val="single" w:sz="4" w:space="0" w:color="auto"/>
            </w:tcBorders>
            <w:vAlign w:val="center"/>
          </w:tcPr>
          <w:p w14:paraId="4D13B9A7"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0.451</w:t>
            </w:r>
          </w:p>
        </w:tc>
        <w:tc>
          <w:tcPr>
            <w:tcW w:w="242" w:type="pct"/>
            <w:tcBorders>
              <w:top w:val="single" w:sz="4" w:space="0" w:color="auto"/>
              <w:bottom w:val="single" w:sz="4" w:space="0" w:color="auto"/>
              <w:right w:val="single" w:sz="18" w:space="0" w:color="auto"/>
            </w:tcBorders>
            <w:vAlign w:val="center"/>
          </w:tcPr>
          <w:p w14:paraId="08C62C10" w14:textId="227DDB7F" w:rsidR="003C41E1" w:rsidRPr="00480C56" w:rsidRDefault="003C41E1" w:rsidP="003C41E1">
            <w:pPr>
              <w:tabs>
                <w:tab w:val="decimal" w:pos="231"/>
              </w:tabs>
              <w:jc w:val="center"/>
              <w:rPr>
                <w:rFonts w:cstheme="minorHAnsi"/>
                <w:sz w:val="20"/>
                <w:szCs w:val="20"/>
              </w:rPr>
            </w:pPr>
            <w:r w:rsidRPr="00480C56">
              <w:rPr>
                <w:rFonts w:cstheme="minorHAnsi"/>
                <w:sz w:val="20"/>
                <w:szCs w:val="20"/>
              </w:rPr>
              <w:t>3.38</w:t>
            </w:r>
          </w:p>
        </w:tc>
        <w:tc>
          <w:tcPr>
            <w:tcW w:w="239" w:type="pct"/>
            <w:tcBorders>
              <w:top w:val="single" w:sz="4" w:space="0" w:color="auto"/>
              <w:left w:val="single" w:sz="18" w:space="0" w:color="auto"/>
              <w:bottom w:val="single" w:sz="4" w:space="0" w:color="auto"/>
            </w:tcBorders>
            <w:vAlign w:val="center"/>
          </w:tcPr>
          <w:p w14:paraId="359526F9"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-0.296</w:t>
            </w:r>
          </w:p>
        </w:tc>
        <w:tc>
          <w:tcPr>
            <w:tcW w:w="221" w:type="pct"/>
            <w:gridSpan w:val="2"/>
            <w:tcBorders>
              <w:top w:val="single" w:sz="4" w:space="0" w:color="auto"/>
              <w:bottom w:val="single" w:sz="4" w:space="0" w:color="auto"/>
              <w:right w:val="single" w:sz="18" w:space="0" w:color="auto"/>
            </w:tcBorders>
            <w:vAlign w:val="center"/>
          </w:tcPr>
          <w:p w14:paraId="3604EB09" w14:textId="7C79FA7D" w:rsidR="003C41E1" w:rsidRPr="00480C56" w:rsidRDefault="003C41E1" w:rsidP="003C41E1">
            <w:pPr>
              <w:tabs>
                <w:tab w:val="decimal" w:pos="181"/>
              </w:tabs>
              <w:jc w:val="center"/>
              <w:rPr>
                <w:rFonts w:cstheme="minorHAnsi"/>
                <w:sz w:val="20"/>
                <w:szCs w:val="20"/>
              </w:rPr>
            </w:pPr>
            <w:r w:rsidRPr="00480C56">
              <w:rPr>
                <w:rFonts w:cstheme="minorHAnsi"/>
                <w:sz w:val="20"/>
                <w:szCs w:val="20"/>
              </w:rPr>
              <w:t>-1.89</w:t>
            </w:r>
          </w:p>
        </w:tc>
        <w:tc>
          <w:tcPr>
            <w:tcW w:w="239" w:type="pct"/>
            <w:tcBorders>
              <w:top w:val="single" w:sz="4" w:space="0" w:color="auto"/>
              <w:left w:val="single" w:sz="18" w:space="0" w:color="auto"/>
              <w:bottom w:val="single" w:sz="4" w:space="0" w:color="auto"/>
            </w:tcBorders>
            <w:vAlign w:val="center"/>
          </w:tcPr>
          <w:p w14:paraId="75B9842B" w14:textId="10979DEC"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691065E5"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5220132" w14:textId="390F83C1"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7494B06E"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74160EE" w14:textId="2744F38F"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72302C67"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3D24501F" w14:textId="164571F9"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352293E6" w14:textId="77777777" w:rsidR="003C41E1" w:rsidRPr="00480C56" w:rsidRDefault="003C41E1" w:rsidP="003C41E1">
            <w:pPr>
              <w:tabs>
                <w:tab w:val="decimal" w:pos="188"/>
              </w:tabs>
              <w:jc w:val="center"/>
              <w:rPr>
                <w:rFonts w:cstheme="minorHAnsi"/>
                <w:sz w:val="20"/>
                <w:szCs w:val="20"/>
              </w:rPr>
            </w:pPr>
          </w:p>
        </w:tc>
      </w:tr>
      <w:tr w:rsidR="003C41E1" w:rsidRPr="00480C56" w14:paraId="761909AC"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99D934A" w14:textId="17FF4C9C" w:rsidR="003C41E1" w:rsidRPr="00480C56" w:rsidRDefault="003C41E1" w:rsidP="003C41E1">
            <w:pPr>
              <w:jc w:val="left"/>
              <w:rPr>
                <w:rFonts w:cstheme="minorHAnsi"/>
                <w:sz w:val="20"/>
                <w:szCs w:val="20"/>
              </w:rPr>
            </w:pPr>
            <w:r w:rsidRPr="00480C56">
              <w:rPr>
                <w:rFonts w:cstheme="minorHAnsi"/>
                <w:sz w:val="20"/>
                <w:szCs w:val="20"/>
              </w:rPr>
              <w:t>Commute</w:t>
            </w:r>
            <w:r>
              <w:rPr>
                <w:rFonts w:cstheme="minorHAnsi"/>
                <w:sz w:val="20"/>
                <w:szCs w:val="20"/>
              </w:rPr>
              <w:t xml:space="preserve"> distance</w:t>
            </w:r>
            <w:r w:rsidRPr="00480C56">
              <w:rPr>
                <w:rFonts w:cstheme="minorHAnsi"/>
                <w:sz w:val="20"/>
                <w:szCs w:val="20"/>
              </w:rPr>
              <w:t xml:space="preserve"> </w:t>
            </w:r>
            <w:r>
              <w:rPr>
                <w:rFonts w:cstheme="minorHAnsi"/>
                <w:sz w:val="20"/>
                <w:szCs w:val="20"/>
              </w:rPr>
              <w:t xml:space="preserve">≥ </w:t>
            </w:r>
            <w:r w:rsidRPr="00480C56">
              <w:rPr>
                <w:rFonts w:cstheme="minorHAnsi"/>
                <w:sz w:val="20"/>
                <w:szCs w:val="20"/>
              </w:rPr>
              <w:t>5 mi</w:t>
            </w:r>
          </w:p>
        </w:tc>
        <w:tc>
          <w:tcPr>
            <w:tcW w:w="211" w:type="pct"/>
            <w:tcBorders>
              <w:top w:val="single" w:sz="4" w:space="0" w:color="auto"/>
              <w:left w:val="single" w:sz="18" w:space="0" w:color="auto"/>
              <w:bottom w:val="single" w:sz="4" w:space="0" w:color="auto"/>
            </w:tcBorders>
            <w:vAlign w:val="center"/>
          </w:tcPr>
          <w:p w14:paraId="5D286415"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0.119</w:t>
            </w:r>
          </w:p>
        </w:tc>
        <w:tc>
          <w:tcPr>
            <w:tcW w:w="185" w:type="pct"/>
            <w:tcBorders>
              <w:top w:val="single" w:sz="4" w:space="0" w:color="auto"/>
              <w:bottom w:val="single" w:sz="4" w:space="0" w:color="auto"/>
            </w:tcBorders>
            <w:vAlign w:val="center"/>
          </w:tcPr>
          <w:p w14:paraId="7194708A" w14:textId="5609CA6A" w:rsidR="003C41E1" w:rsidRPr="00480C56" w:rsidRDefault="003C41E1" w:rsidP="003C41E1">
            <w:pPr>
              <w:tabs>
                <w:tab w:val="decimal" w:pos="196"/>
              </w:tabs>
              <w:jc w:val="center"/>
              <w:rPr>
                <w:rFonts w:cstheme="minorHAnsi"/>
                <w:sz w:val="20"/>
                <w:szCs w:val="20"/>
              </w:rPr>
            </w:pPr>
            <w:r w:rsidRPr="00480C56">
              <w:rPr>
                <w:rFonts w:cstheme="minorHAnsi"/>
                <w:sz w:val="20"/>
                <w:szCs w:val="20"/>
              </w:rPr>
              <w:t>1.99</w:t>
            </w:r>
          </w:p>
        </w:tc>
        <w:tc>
          <w:tcPr>
            <w:tcW w:w="248" w:type="pct"/>
            <w:tcBorders>
              <w:top w:val="single" w:sz="4" w:space="0" w:color="auto"/>
              <w:bottom w:val="single" w:sz="4" w:space="0" w:color="auto"/>
            </w:tcBorders>
            <w:vAlign w:val="center"/>
          </w:tcPr>
          <w:p w14:paraId="66AE4216"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0.119</w:t>
            </w:r>
          </w:p>
        </w:tc>
        <w:tc>
          <w:tcPr>
            <w:tcW w:w="204" w:type="pct"/>
            <w:tcBorders>
              <w:top w:val="single" w:sz="4" w:space="0" w:color="auto"/>
              <w:bottom w:val="single" w:sz="4" w:space="0" w:color="auto"/>
            </w:tcBorders>
            <w:vAlign w:val="center"/>
          </w:tcPr>
          <w:p w14:paraId="462A2BD2" w14:textId="76184D49" w:rsidR="003C41E1" w:rsidRPr="00480C56" w:rsidRDefault="003C41E1" w:rsidP="003C41E1">
            <w:pPr>
              <w:tabs>
                <w:tab w:val="decimal" w:pos="239"/>
              </w:tabs>
              <w:jc w:val="center"/>
              <w:rPr>
                <w:rFonts w:cstheme="minorHAnsi"/>
                <w:sz w:val="20"/>
                <w:szCs w:val="20"/>
              </w:rPr>
            </w:pPr>
            <w:r w:rsidRPr="00480C56">
              <w:rPr>
                <w:rFonts w:cstheme="minorHAnsi"/>
                <w:sz w:val="20"/>
                <w:szCs w:val="20"/>
              </w:rPr>
              <w:t>1.99</w:t>
            </w:r>
          </w:p>
        </w:tc>
        <w:tc>
          <w:tcPr>
            <w:tcW w:w="308" w:type="pct"/>
            <w:tcBorders>
              <w:top w:val="single" w:sz="4" w:space="0" w:color="auto"/>
              <w:bottom w:val="single" w:sz="4" w:space="0" w:color="auto"/>
            </w:tcBorders>
            <w:vAlign w:val="center"/>
          </w:tcPr>
          <w:p w14:paraId="5ADFEB5B"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0.119</w:t>
            </w:r>
          </w:p>
        </w:tc>
        <w:tc>
          <w:tcPr>
            <w:tcW w:w="242" w:type="pct"/>
            <w:tcBorders>
              <w:top w:val="single" w:sz="4" w:space="0" w:color="auto"/>
              <w:bottom w:val="single" w:sz="4" w:space="0" w:color="auto"/>
              <w:right w:val="single" w:sz="18" w:space="0" w:color="auto"/>
            </w:tcBorders>
            <w:vAlign w:val="center"/>
          </w:tcPr>
          <w:p w14:paraId="5B54FA9E" w14:textId="515A4F55" w:rsidR="003C41E1" w:rsidRPr="00480C56" w:rsidRDefault="003C41E1" w:rsidP="003C41E1">
            <w:pPr>
              <w:tabs>
                <w:tab w:val="decimal" w:pos="231"/>
              </w:tabs>
              <w:jc w:val="center"/>
              <w:rPr>
                <w:rFonts w:cstheme="minorHAnsi"/>
                <w:sz w:val="20"/>
                <w:szCs w:val="20"/>
              </w:rPr>
            </w:pPr>
            <w:r w:rsidRPr="00480C56">
              <w:rPr>
                <w:rFonts w:cstheme="minorHAnsi"/>
                <w:sz w:val="20"/>
                <w:szCs w:val="20"/>
              </w:rPr>
              <w:t>1.99</w:t>
            </w:r>
          </w:p>
        </w:tc>
        <w:tc>
          <w:tcPr>
            <w:tcW w:w="239" w:type="pct"/>
            <w:tcBorders>
              <w:top w:val="single" w:sz="4" w:space="0" w:color="auto"/>
              <w:left w:val="single" w:sz="18" w:space="0" w:color="auto"/>
              <w:bottom w:val="single" w:sz="4" w:space="0" w:color="auto"/>
            </w:tcBorders>
            <w:vAlign w:val="center"/>
          </w:tcPr>
          <w:p w14:paraId="661F6333" w14:textId="7927EDD6"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5D2D99A1"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96BAA3A" w14:textId="191A9B2F"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726E4CC2"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C839894" w14:textId="619AABF3"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2F812109"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7DD23C0" w14:textId="365C0970"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49B1292F"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2C85BEE6" w14:textId="329C9A6F"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21F95AB1" w14:textId="77777777" w:rsidR="003C41E1" w:rsidRPr="00480C56" w:rsidRDefault="003C41E1" w:rsidP="003C41E1">
            <w:pPr>
              <w:tabs>
                <w:tab w:val="decimal" w:pos="188"/>
              </w:tabs>
              <w:jc w:val="center"/>
              <w:rPr>
                <w:rFonts w:cstheme="minorHAnsi"/>
                <w:sz w:val="20"/>
                <w:szCs w:val="20"/>
              </w:rPr>
            </w:pPr>
          </w:p>
        </w:tc>
      </w:tr>
      <w:tr w:rsidR="003C41E1" w:rsidRPr="00480C56" w14:paraId="45F1507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3994EF5D" w14:textId="2918A259" w:rsidR="003C41E1" w:rsidRPr="00480C56" w:rsidRDefault="003C41E1" w:rsidP="003C41E1">
            <w:pPr>
              <w:jc w:val="left"/>
              <w:rPr>
                <w:rFonts w:cstheme="minorHAnsi"/>
                <w:sz w:val="20"/>
                <w:szCs w:val="20"/>
              </w:rPr>
            </w:pPr>
            <w:r w:rsidRPr="00480C56">
              <w:rPr>
                <w:rFonts w:cstheme="minorHAnsi"/>
                <w:sz w:val="20"/>
                <w:szCs w:val="20"/>
              </w:rPr>
              <w:t>Commute</w:t>
            </w:r>
            <w:r>
              <w:rPr>
                <w:rFonts w:cstheme="minorHAnsi"/>
                <w:sz w:val="20"/>
                <w:szCs w:val="20"/>
              </w:rPr>
              <w:t xml:space="preserve"> distance</w:t>
            </w:r>
            <w:r w:rsidRPr="00480C56">
              <w:rPr>
                <w:rFonts w:cstheme="minorHAnsi"/>
                <w:sz w:val="20"/>
                <w:szCs w:val="20"/>
              </w:rPr>
              <w:t xml:space="preserve"> </w:t>
            </w:r>
            <w:r>
              <w:rPr>
                <w:rFonts w:cstheme="minorHAnsi"/>
                <w:sz w:val="20"/>
                <w:szCs w:val="20"/>
              </w:rPr>
              <w:t xml:space="preserve">≥ </w:t>
            </w:r>
            <w:r w:rsidRPr="00480C56">
              <w:rPr>
                <w:rFonts w:cstheme="minorHAnsi"/>
                <w:sz w:val="20"/>
                <w:szCs w:val="20"/>
              </w:rPr>
              <w:t>10 mi</w:t>
            </w:r>
          </w:p>
        </w:tc>
        <w:tc>
          <w:tcPr>
            <w:tcW w:w="211" w:type="pct"/>
            <w:tcBorders>
              <w:top w:val="single" w:sz="4" w:space="0" w:color="auto"/>
              <w:left w:val="single" w:sz="18" w:space="0" w:color="auto"/>
              <w:bottom w:val="single" w:sz="4" w:space="0" w:color="auto"/>
            </w:tcBorders>
            <w:vAlign w:val="center"/>
          </w:tcPr>
          <w:p w14:paraId="21AFA192" w14:textId="117FA4FB"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69D62F42"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58DFF348" w14:textId="4CD1F3F3"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284F81C"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622F13AD" w14:textId="6B36A518"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4312B4F4"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3FB4DE11" w14:textId="0366C3C4"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bottom w:val="single" w:sz="4" w:space="0" w:color="auto"/>
              <w:right w:val="single" w:sz="18" w:space="0" w:color="auto"/>
            </w:tcBorders>
            <w:vAlign w:val="center"/>
          </w:tcPr>
          <w:p w14:paraId="18B7FB75"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53683B4" w14:textId="3C3AC6FB"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7767862D"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9935ADE"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0.228</w:t>
            </w:r>
          </w:p>
        </w:tc>
        <w:tc>
          <w:tcPr>
            <w:tcW w:w="204" w:type="pct"/>
            <w:tcBorders>
              <w:top w:val="single" w:sz="4" w:space="0" w:color="auto"/>
              <w:bottom w:val="single" w:sz="4" w:space="0" w:color="auto"/>
              <w:right w:val="single" w:sz="18" w:space="0" w:color="auto"/>
            </w:tcBorders>
            <w:vAlign w:val="center"/>
          </w:tcPr>
          <w:p w14:paraId="0511CD7F" w14:textId="3024E3AC" w:rsidR="003C41E1" w:rsidRPr="00480C56" w:rsidRDefault="003C41E1" w:rsidP="003C41E1">
            <w:pPr>
              <w:tabs>
                <w:tab w:val="decimal" w:pos="231"/>
              </w:tabs>
              <w:jc w:val="center"/>
              <w:rPr>
                <w:rFonts w:cstheme="minorHAnsi"/>
                <w:sz w:val="20"/>
                <w:szCs w:val="20"/>
              </w:rPr>
            </w:pPr>
            <w:r w:rsidRPr="00480C56">
              <w:rPr>
                <w:rFonts w:cstheme="minorHAnsi"/>
                <w:sz w:val="20"/>
                <w:szCs w:val="20"/>
              </w:rPr>
              <w:t>2.23</w:t>
            </w:r>
          </w:p>
        </w:tc>
        <w:tc>
          <w:tcPr>
            <w:tcW w:w="239" w:type="pct"/>
            <w:tcBorders>
              <w:top w:val="single" w:sz="4" w:space="0" w:color="auto"/>
              <w:left w:val="single" w:sz="18" w:space="0" w:color="auto"/>
              <w:bottom w:val="single" w:sz="4" w:space="0" w:color="auto"/>
            </w:tcBorders>
            <w:vAlign w:val="center"/>
          </w:tcPr>
          <w:p w14:paraId="17052242" w14:textId="63493E60"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3AFFFC64"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09826DEF" w14:textId="49E34524"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6BC028FD" w14:textId="77777777" w:rsidR="003C41E1" w:rsidRPr="00480C56" w:rsidRDefault="003C41E1" w:rsidP="003C41E1">
            <w:pPr>
              <w:tabs>
                <w:tab w:val="decimal" w:pos="188"/>
              </w:tabs>
              <w:jc w:val="center"/>
              <w:rPr>
                <w:rFonts w:cstheme="minorHAnsi"/>
                <w:sz w:val="20"/>
                <w:szCs w:val="20"/>
              </w:rPr>
            </w:pPr>
          </w:p>
        </w:tc>
      </w:tr>
      <w:tr w:rsidR="003C41E1" w:rsidRPr="00480C56" w14:paraId="6A2EF207" w14:textId="77777777" w:rsidTr="002D67AE">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55A8EE6C" w14:textId="585460F3" w:rsidR="003C41E1" w:rsidRPr="00480C56" w:rsidRDefault="003C41E1" w:rsidP="003C41E1">
            <w:pPr>
              <w:jc w:val="left"/>
              <w:rPr>
                <w:rFonts w:cstheme="minorHAnsi"/>
                <w:sz w:val="20"/>
                <w:szCs w:val="20"/>
              </w:rPr>
            </w:pPr>
            <w:r w:rsidRPr="00480C56">
              <w:rPr>
                <w:rFonts w:cstheme="minorHAnsi"/>
                <w:sz w:val="20"/>
                <w:szCs w:val="20"/>
              </w:rPr>
              <w:t>Com</w:t>
            </w:r>
            <w:r>
              <w:rPr>
                <w:rFonts w:cstheme="minorHAnsi"/>
                <w:sz w:val="20"/>
                <w:szCs w:val="20"/>
              </w:rPr>
              <w:t>. dist.</w:t>
            </w:r>
            <w:r w:rsidRPr="00480C56">
              <w:rPr>
                <w:rFonts w:cstheme="minorHAnsi"/>
                <w:sz w:val="20"/>
                <w:szCs w:val="20"/>
              </w:rPr>
              <w:t xml:space="preserve"> </w:t>
            </w:r>
            <w:r>
              <w:rPr>
                <w:rFonts w:cstheme="minorHAnsi"/>
                <w:sz w:val="20"/>
                <w:szCs w:val="20"/>
              </w:rPr>
              <w:t>&lt;</w:t>
            </w:r>
            <w:r w:rsidRPr="00480C56">
              <w:rPr>
                <w:rFonts w:cstheme="minorHAnsi"/>
                <w:sz w:val="20"/>
                <w:szCs w:val="20"/>
              </w:rPr>
              <w:t xml:space="preserve"> 5 mi </w:t>
            </w:r>
            <w:r w:rsidRPr="00480C56">
              <w:rPr>
                <w:rFonts w:cstheme="minorHAnsi"/>
                <w:noProof/>
                <w:position w:val="-4"/>
                <w:sz w:val="20"/>
                <w:szCs w:val="20"/>
              </w:rPr>
              <w:object w:dxaOrig="180" w:dyaOrig="200" w14:anchorId="230A88FC">
                <v:shape id="_x0000_i1135" type="#_x0000_t75" alt="" style="width:9pt;height:9pt;mso-width-percent:0;mso-height-percent:0;mso-width-percent:0;mso-height-percent:0" o:ole="">
                  <v:imagedata r:id="rId233" o:title=""/>
                </v:shape>
                <o:OLEObject Type="Embed" ProgID="Equation.DSMT4" ShapeID="_x0000_i1135" DrawAspect="Content" ObjectID="_1847354417" r:id="rId234"/>
              </w:object>
            </w:r>
            <w:r w:rsidRPr="00480C56">
              <w:rPr>
                <w:rFonts w:cstheme="minorHAnsi"/>
                <w:sz w:val="20"/>
                <w:szCs w:val="20"/>
              </w:rPr>
              <w:t xml:space="preserve"> high walk</w:t>
            </w:r>
            <w:r>
              <w:rPr>
                <w:rFonts w:cstheme="minorHAnsi"/>
                <w:sz w:val="20"/>
                <w:szCs w:val="20"/>
              </w:rPr>
              <w:t xml:space="preserve"> index (*)</w:t>
            </w:r>
          </w:p>
        </w:tc>
        <w:tc>
          <w:tcPr>
            <w:tcW w:w="211" w:type="pct"/>
            <w:tcBorders>
              <w:top w:val="single" w:sz="4" w:space="0" w:color="auto"/>
              <w:left w:val="single" w:sz="18" w:space="0" w:color="auto"/>
              <w:bottom w:val="single" w:sz="4" w:space="0" w:color="auto"/>
              <w:right w:val="single" w:sz="4" w:space="0" w:color="auto"/>
            </w:tcBorders>
            <w:vAlign w:val="center"/>
          </w:tcPr>
          <w:p w14:paraId="4CCF957A" w14:textId="6F890EFA"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left w:val="single" w:sz="4" w:space="0" w:color="auto"/>
              <w:bottom w:val="single" w:sz="4" w:space="0" w:color="auto"/>
              <w:right w:val="single" w:sz="4" w:space="0" w:color="auto"/>
            </w:tcBorders>
            <w:vAlign w:val="center"/>
          </w:tcPr>
          <w:p w14:paraId="52A646E8"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left w:val="single" w:sz="4" w:space="0" w:color="auto"/>
              <w:bottom w:val="single" w:sz="4" w:space="0" w:color="auto"/>
              <w:right w:val="single" w:sz="4" w:space="0" w:color="auto"/>
            </w:tcBorders>
            <w:vAlign w:val="center"/>
          </w:tcPr>
          <w:p w14:paraId="4FFB0719" w14:textId="2ECB07D2"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left w:val="single" w:sz="4" w:space="0" w:color="auto"/>
              <w:bottom w:val="single" w:sz="4" w:space="0" w:color="auto"/>
              <w:right w:val="single" w:sz="4" w:space="0" w:color="auto"/>
            </w:tcBorders>
            <w:vAlign w:val="center"/>
          </w:tcPr>
          <w:p w14:paraId="6C4C3B99"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left w:val="single" w:sz="4" w:space="0" w:color="auto"/>
              <w:bottom w:val="single" w:sz="4" w:space="0" w:color="auto"/>
              <w:right w:val="single" w:sz="4" w:space="0" w:color="auto"/>
            </w:tcBorders>
            <w:vAlign w:val="center"/>
          </w:tcPr>
          <w:p w14:paraId="43973D8A" w14:textId="67589EC3"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left w:val="single" w:sz="4" w:space="0" w:color="auto"/>
              <w:bottom w:val="single" w:sz="4" w:space="0" w:color="auto"/>
              <w:right w:val="single" w:sz="18" w:space="0" w:color="auto"/>
            </w:tcBorders>
            <w:vAlign w:val="center"/>
          </w:tcPr>
          <w:p w14:paraId="1C20B2C6"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right w:val="single" w:sz="4" w:space="0" w:color="auto"/>
            </w:tcBorders>
            <w:vAlign w:val="center"/>
          </w:tcPr>
          <w:p w14:paraId="2D770F07"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0.276</w:t>
            </w:r>
          </w:p>
        </w:tc>
        <w:tc>
          <w:tcPr>
            <w:tcW w:w="221" w:type="pct"/>
            <w:gridSpan w:val="2"/>
            <w:tcBorders>
              <w:top w:val="single" w:sz="4" w:space="0" w:color="auto"/>
              <w:left w:val="single" w:sz="4" w:space="0" w:color="auto"/>
              <w:bottom w:val="single" w:sz="4" w:space="0" w:color="auto"/>
              <w:right w:val="single" w:sz="18" w:space="0" w:color="auto"/>
            </w:tcBorders>
            <w:vAlign w:val="center"/>
          </w:tcPr>
          <w:p w14:paraId="4B8842C1" w14:textId="37DD269F" w:rsidR="003C41E1" w:rsidRPr="00480C56" w:rsidRDefault="003C41E1" w:rsidP="003C41E1">
            <w:pPr>
              <w:tabs>
                <w:tab w:val="decimal" w:pos="181"/>
              </w:tabs>
              <w:jc w:val="center"/>
              <w:rPr>
                <w:rFonts w:cstheme="minorHAnsi"/>
                <w:sz w:val="20"/>
                <w:szCs w:val="20"/>
              </w:rPr>
            </w:pPr>
            <w:r w:rsidRPr="00480C56">
              <w:rPr>
                <w:rFonts w:cstheme="minorHAnsi"/>
                <w:sz w:val="20"/>
                <w:szCs w:val="20"/>
              </w:rPr>
              <w:t>1.84</w:t>
            </w:r>
          </w:p>
        </w:tc>
        <w:tc>
          <w:tcPr>
            <w:tcW w:w="239" w:type="pct"/>
            <w:tcBorders>
              <w:top w:val="single" w:sz="4" w:space="0" w:color="auto"/>
              <w:left w:val="single" w:sz="18" w:space="0" w:color="auto"/>
              <w:bottom w:val="single" w:sz="4" w:space="0" w:color="auto"/>
              <w:right w:val="single" w:sz="4" w:space="0" w:color="auto"/>
            </w:tcBorders>
            <w:vAlign w:val="center"/>
          </w:tcPr>
          <w:p w14:paraId="4575BD54" w14:textId="313D78DC"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left w:val="single" w:sz="4" w:space="0" w:color="auto"/>
              <w:bottom w:val="single" w:sz="4" w:space="0" w:color="auto"/>
              <w:right w:val="single" w:sz="18" w:space="0" w:color="auto"/>
            </w:tcBorders>
            <w:vAlign w:val="center"/>
          </w:tcPr>
          <w:p w14:paraId="50ED29D7"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right w:val="single" w:sz="4" w:space="0" w:color="auto"/>
            </w:tcBorders>
            <w:vAlign w:val="center"/>
          </w:tcPr>
          <w:p w14:paraId="356AED48" w14:textId="57B951A7"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left w:val="single" w:sz="4" w:space="0" w:color="auto"/>
              <w:bottom w:val="single" w:sz="4" w:space="0" w:color="auto"/>
              <w:right w:val="single" w:sz="18" w:space="0" w:color="auto"/>
            </w:tcBorders>
            <w:vAlign w:val="center"/>
          </w:tcPr>
          <w:p w14:paraId="621DA444"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right w:val="single" w:sz="4" w:space="0" w:color="auto"/>
            </w:tcBorders>
            <w:vAlign w:val="center"/>
          </w:tcPr>
          <w:p w14:paraId="2633BEFD" w14:textId="396FEEE1"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left w:val="single" w:sz="4" w:space="0" w:color="auto"/>
              <w:bottom w:val="single" w:sz="4" w:space="0" w:color="auto"/>
              <w:right w:val="single" w:sz="18" w:space="0" w:color="auto"/>
            </w:tcBorders>
            <w:vAlign w:val="center"/>
          </w:tcPr>
          <w:p w14:paraId="2A32B42C"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right w:val="single" w:sz="4" w:space="0" w:color="auto"/>
            </w:tcBorders>
            <w:vAlign w:val="center"/>
          </w:tcPr>
          <w:p w14:paraId="7636C1AA" w14:textId="3168133C"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left w:val="single" w:sz="4" w:space="0" w:color="auto"/>
              <w:bottom w:val="single" w:sz="4" w:space="0" w:color="auto"/>
              <w:right w:val="single" w:sz="18" w:space="0" w:color="auto"/>
            </w:tcBorders>
            <w:vAlign w:val="center"/>
          </w:tcPr>
          <w:p w14:paraId="2DB0941D" w14:textId="77777777" w:rsidR="003C41E1" w:rsidRPr="00480C56" w:rsidRDefault="003C41E1" w:rsidP="003C41E1">
            <w:pPr>
              <w:tabs>
                <w:tab w:val="decimal" w:pos="188"/>
              </w:tabs>
              <w:jc w:val="center"/>
              <w:rPr>
                <w:rFonts w:cstheme="minorHAnsi"/>
                <w:sz w:val="20"/>
                <w:szCs w:val="20"/>
              </w:rPr>
            </w:pPr>
          </w:p>
        </w:tc>
      </w:tr>
      <w:tr w:rsidR="003C41E1" w:rsidRPr="00480C56" w14:paraId="2527AB73" w14:textId="77777777" w:rsidTr="002D67AE">
        <w:trPr>
          <w:trHeight w:val="144"/>
        </w:trPr>
        <w:tc>
          <w:tcPr>
            <w:tcW w:w="1345" w:type="pct"/>
            <w:tcBorders>
              <w:top w:val="single" w:sz="4" w:space="0" w:color="auto"/>
              <w:left w:val="single" w:sz="18" w:space="0" w:color="auto"/>
              <w:bottom w:val="double" w:sz="4" w:space="0" w:color="auto"/>
              <w:right w:val="single" w:sz="18" w:space="0" w:color="auto"/>
            </w:tcBorders>
            <w:vAlign w:val="center"/>
          </w:tcPr>
          <w:p w14:paraId="2607DA0D" w14:textId="113CC3ED" w:rsidR="003C41E1" w:rsidRPr="00480C56" w:rsidRDefault="003C41E1" w:rsidP="003C41E1">
            <w:pPr>
              <w:jc w:val="left"/>
              <w:rPr>
                <w:rFonts w:cstheme="minorHAnsi"/>
                <w:sz w:val="20"/>
                <w:szCs w:val="20"/>
              </w:rPr>
            </w:pPr>
            <w:r w:rsidRPr="00480C56">
              <w:rPr>
                <w:rFonts w:cstheme="minorHAnsi"/>
                <w:sz w:val="20"/>
                <w:szCs w:val="20"/>
              </w:rPr>
              <w:t>Com</w:t>
            </w:r>
            <w:r>
              <w:rPr>
                <w:rFonts w:cstheme="minorHAnsi"/>
                <w:sz w:val="20"/>
                <w:szCs w:val="20"/>
              </w:rPr>
              <w:t xml:space="preserve">. dist. </w:t>
            </w:r>
            <w:r w:rsidRPr="00480C56">
              <w:rPr>
                <w:rFonts w:cstheme="minorHAnsi"/>
                <w:sz w:val="20"/>
                <w:szCs w:val="20"/>
              </w:rPr>
              <w:t xml:space="preserve"> </w:t>
            </w:r>
            <w:r>
              <w:rPr>
                <w:rFonts w:cstheme="minorHAnsi"/>
                <w:sz w:val="20"/>
                <w:szCs w:val="20"/>
              </w:rPr>
              <w:t>≥</w:t>
            </w:r>
            <w:r w:rsidRPr="00480C56">
              <w:rPr>
                <w:rFonts w:cstheme="minorHAnsi"/>
                <w:sz w:val="20"/>
                <w:szCs w:val="20"/>
              </w:rPr>
              <w:t xml:space="preserve"> 5 </w:t>
            </w:r>
            <w:r>
              <w:rPr>
                <w:rFonts w:cstheme="minorHAnsi"/>
                <w:sz w:val="20"/>
                <w:szCs w:val="20"/>
              </w:rPr>
              <w:t>mi</w:t>
            </w:r>
            <w:r w:rsidRPr="00480C56">
              <w:rPr>
                <w:rFonts w:cstheme="minorHAnsi"/>
                <w:sz w:val="20"/>
                <w:szCs w:val="20"/>
              </w:rPr>
              <w:t xml:space="preserve"> </w:t>
            </w:r>
            <w:r w:rsidRPr="00480C56">
              <w:rPr>
                <w:rFonts w:cstheme="minorHAnsi"/>
                <w:noProof/>
                <w:position w:val="-4"/>
                <w:sz w:val="20"/>
                <w:szCs w:val="20"/>
              </w:rPr>
              <w:object w:dxaOrig="180" w:dyaOrig="200" w14:anchorId="7BFB02AC">
                <v:shape id="_x0000_i1136" type="#_x0000_t75" alt="" style="width:9pt;height:9pt;mso-width-percent:0;mso-height-percent:0;mso-width-percent:0;mso-height-percent:0" o:ole="">
                  <v:imagedata r:id="rId235" o:title=""/>
                </v:shape>
                <o:OLEObject Type="Embed" ProgID="Equation.DSMT4" ShapeID="_x0000_i1136" DrawAspect="Content" ObjectID="_1847354418" r:id="rId236"/>
              </w:object>
            </w:r>
            <w:r w:rsidRPr="00480C56">
              <w:rPr>
                <w:rFonts w:cstheme="minorHAnsi"/>
                <w:sz w:val="20"/>
                <w:szCs w:val="20"/>
              </w:rPr>
              <w:t xml:space="preserve"> high </w:t>
            </w:r>
            <w:r w:rsidRPr="00474CC9">
              <w:rPr>
                <w:rFonts w:cstheme="minorHAnsi"/>
                <w:sz w:val="20"/>
                <w:szCs w:val="20"/>
              </w:rPr>
              <w:t>pop. den. (*)</w:t>
            </w:r>
          </w:p>
        </w:tc>
        <w:tc>
          <w:tcPr>
            <w:tcW w:w="211" w:type="pct"/>
            <w:tcBorders>
              <w:top w:val="single" w:sz="4" w:space="0" w:color="auto"/>
              <w:left w:val="single" w:sz="18" w:space="0" w:color="auto"/>
              <w:bottom w:val="double" w:sz="4" w:space="0" w:color="auto"/>
              <w:right w:val="single" w:sz="4" w:space="0" w:color="auto"/>
            </w:tcBorders>
            <w:vAlign w:val="center"/>
          </w:tcPr>
          <w:p w14:paraId="1644E098" w14:textId="79ABB3B3"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left w:val="single" w:sz="4" w:space="0" w:color="auto"/>
              <w:bottom w:val="double" w:sz="4" w:space="0" w:color="auto"/>
              <w:right w:val="single" w:sz="4" w:space="0" w:color="auto"/>
            </w:tcBorders>
            <w:vAlign w:val="center"/>
          </w:tcPr>
          <w:p w14:paraId="6B68DFB6"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left w:val="single" w:sz="4" w:space="0" w:color="auto"/>
              <w:bottom w:val="double" w:sz="4" w:space="0" w:color="auto"/>
              <w:right w:val="single" w:sz="4" w:space="0" w:color="auto"/>
            </w:tcBorders>
            <w:vAlign w:val="center"/>
          </w:tcPr>
          <w:p w14:paraId="315B47AC" w14:textId="391DEEFF"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left w:val="single" w:sz="4" w:space="0" w:color="auto"/>
              <w:bottom w:val="double" w:sz="4" w:space="0" w:color="auto"/>
              <w:right w:val="single" w:sz="4" w:space="0" w:color="auto"/>
            </w:tcBorders>
            <w:vAlign w:val="center"/>
          </w:tcPr>
          <w:p w14:paraId="15D96362"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left w:val="single" w:sz="4" w:space="0" w:color="auto"/>
              <w:bottom w:val="double" w:sz="4" w:space="0" w:color="auto"/>
              <w:right w:val="single" w:sz="4" w:space="0" w:color="auto"/>
            </w:tcBorders>
            <w:vAlign w:val="center"/>
          </w:tcPr>
          <w:p w14:paraId="4FC66E88" w14:textId="145BA6D5"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left w:val="single" w:sz="4" w:space="0" w:color="auto"/>
              <w:bottom w:val="double" w:sz="4" w:space="0" w:color="auto"/>
              <w:right w:val="single" w:sz="18" w:space="0" w:color="auto"/>
            </w:tcBorders>
            <w:vAlign w:val="center"/>
          </w:tcPr>
          <w:p w14:paraId="0A8B3FA3"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double" w:sz="4" w:space="0" w:color="auto"/>
              <w:right w:val="single" w:sz="4" w:space="0" w:color="auto"/>
            </w:tcBorders>
            <w:vAlign w:val="center"/>
          </w:tcPr>
          <w:p w14:paraId="1B14F6BB" w14:textId="1979FDCF"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single" w:sz="4" w:space="0" w:color="auto"/>
              <w:left w:val="single" w:sz="4" w:space="0" w:color="auto"/>
              <w:bottom w:val="double" w:sz="4" w:space="0" w:color="auto"/>
              <w:right w:val="single" w:sz="18" w:space="0" w:color="auto"/>
            </w:tcBorders>
            <w:vAlign w:val="center"/>
          </w:tcPr>
          <w:p w14:paraId="0E4A2559"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double" w:sz="4" w:space="0" w:color="auto"/>
              <w:right w:val="single" w:sz="4" w:space="0" w:color="auto"/>
            </w:tcBorders>
            <w:vAlign w:val="center"/>
          </w:tcPr>
          <w:p w14:paraId="4D8790C3"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0.409</w:t>
            </w:r>
          </w:p>
        </w:tc>
        <w:tc>
          <w:tcPr>
            <w:tcW w:w="202" w:type="pct"/>
            <w:tcBorders>
              <w:top w:val="single" w:sz="4" w:space="0" w:color="auto"/>
              <w:left w:val="single" w:sz="4" w:space="0" w:color="auto"/>
              <w:bottom w:val="double" w:sz="4" w:space="0" w:color="auto"/>
              <w:right w:val="single" w:sz="18" w:space="0" w:color="auto"/>
            </w:tcBorders>
            <w:vAlign w:val="center"/>
          </w:tcPr>
          <w:p w14:paraId="64C962FA" w14:textId="49CA5160" w:rsidR="003C41E1" w:rsidRPr="00480C56" w:rsidRDefault="003C41E1" w:rsidP="003C41E1">
            <w:pPr>
              <w:tabs>
                <w:tab w:val="decimal" w:pos="181"/>
              </w:tabs>
              <w:jc w:val="center"/>
              <w:rPr>
                <w:rFonts w:cstheme="minorHAnsi"/>
                <w:sz w:val="20"/>
                <w:szCs w:val="20"/>
              </w:rPr>
            </w:pPr>
            <w:r w:rsidRPr="00480C56">
              <w:rPr>
                <w:rFonts w:cstheme="minorHAnsi"/>
                <w:sz w:val="20"/>
                <w:szCs w:val="20"/>
              </w:rPr>
              <w:t>2.60</w:t>
            </w:r>
          </w:p>
        </w:tc>
        <w:tc>
          <w:tcPr>
            <w:tcW w:w="239" w:type="pct"/>
            <w:tcBorders>
              <w:top w:val="single" w:sz="4" w:space="0" w:color="auto"/>
              <w:left w:val="single" w:sz="18" w:space="0" w:color="auto"/>
              <w:bottom w:val="double" w:sz="4" w:space="0" w:color="auto"/>
              <w:right w:val="single" w:sz="4" w:space="0" w:color="auto"/>
            </w:tcBorders>
            <w:vAlign w:val="center"/>
          </w:tcPr>
          <w:p w14:paraId="1CE6FE5E" w14:textId="4F8C661B"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left w:val="single" w:sz="4" w:space="0" w:color="auto"/>
              <w:bottom w:val="double" w:sz="4" w:space="0" w:color="auto"/>
              <w:right w:val="single" w:sz="18" w:space="0" w:color="auto"/>
            </w:tcBorders>
            <w:vAlign w:val="center"/>
          </w:tcPr>
          <w:p w14:paraId="64B9250D"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double" w:sz="4" w:space="0" w:color="auto"/>
              <w:right w:val="single" w:sz="4" w:space="0" w:color="auto"/>
            </w:tcBorders>
            <w:vAlign w:val="center"/>
          </w:tcPr>
          <w:p w14:paraId="2DCF59D0"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0.358</w:t>
            </w:r>
          </w:p>
        </w:tc>
        <w:tc>
          <w:tcPr>
            <w:tcW w:w="217" w:type="pct"/>
            <w:tcBorders>
              <w:top w:val="single" w:sz="4" w:space="0" w:color="auto"/>
              <w:left w:val="single" w:sz="4" w:space="0" w:color="auto"/>
              <w:bottom w:val="double" w:sz="4" w:space="0" w:color="auto"/>
              <w:right w:val="single" w:sz="18" w:space="0" w:color="auto"/>
            </w:tcBorders>
            <w:vAlign w:val="center"/>
          </w:tcPr>
          <w:p w14:paraId="06B53E3B"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2.034</w:t>
            </w:r>
          </w:p>
        </w:tc>
        <w:tc>
          <w:tcPr>
            <w:tcW w:w="268" w:type="pct"/>
            <w:tcBorders>
              <w:top w:val="single" w:sz="4" w:space="0" w:color="auto"/>
              <w:left w:val="single" w:sz="18" w:space="0" w:color="auto"/>
              <w:bottom w:val="double" w:sz="4" w:space="0" w:color="auto"/>
              <w:right w:val="single" w:sz="4" w:space="0" w:color="auto"/>
            </w:tcBorders>
            <w:vAlign w:val="center"/>
          </w:tcPr>
          <w:p w14:paraId="722123B7" w14:textId="2C68CF98"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left w:val="single" w:sz="4" w:space="0" w:color="auto"/>
              <w:bottom w:val="double" w:sz="4" w:space="0" w:color="auto"/>
              <w:right w:val="single" w:sz="18" w:space="0" w:color="auto"/>
            </w:tcBorders>
            <w:vAlign w:val="center"/>
          </w:tcPr>
          <w:p w14:paraId="7C640BDA" w14:textId="77777777" w:rsidR="003C41E1" w:rsidRPr="00480C56" w:rsidRDefault="003C41E1" w:rsidP="003C41E1">
            <w:pPr>
              <w:tabs>
                <w:tab w:val="decimal" w:pos="188"/>
              </w:tabs>
              <w:jc w:val="center"/>
              <w:rPr>
                <w:rFonts w:cstheme="minorHAnsi"/>
                <w:sz w:val="20"/>
                <w:szCs w:val="20"/>
              </w:rPr>
            </w:pPr>
          </w:p>
        </w:tc>
      </w:tr>
      <w:tr w:rsidR="003C41E1" w:rsidRPr="00480C56" w14:paraId="72BD4F4C" w14:textId="77777777" w:rsidTr="002D67AE">
        <w:trPr>
          <w:trHeight w:val="144"/>
        </w:trPr>
        <w:tc>
          <w:tcPr>
            <w:tcW w:w="5000" w:type="pct"/>
            <w:gridSpan w:val="18"/>
            <w:tcBorders>
              <w:top w:val="double" w:sz="4" w:space="0" w:color="auto"/>
              <w:bottom w:val="double" w:sz="4" w:space="0" w:color="auto"/>
            </w:tcBorders>
            <w:vAlign w:val="center"/>
          </w:tcPr>
          <w:p w14:paraId="7DE91AFD" w14:textId="77777777" w:rsidR="003C41E1" w:rsidRPr="00480C56" w:rsidRDefault="003C41E1" w:rsidP="003C41E1">
            <w:pPr>
              <w:tabs>
                <w:tab w:val="decimal" w:pos="188"/>
                <w:tab w:val="decimal" w:pos="202"/>
                <w:tab w:val="decimal" w:pos="231"/>
              </w:tabs>
              <w:jc w:val="left"/>
              <w:rPr>
                <w:rFonts w:cstheme="minorHAnsi"/>
                <w:sz w:val="20"/>
                <w:szCs w:val="20"/>
              </w:rPr>
            </w:pPr>
            <w:r w:rsidRPr="00480C56">
              <w:rPr>
                <w:rFonts w:cstheme="minorHAnsi"/>
                <w:b/>
                <w:bCs/>
                <w:sz w:val="20"/>
                <w:szCs w:val="20"/>
              </w:rPr>
              <w:t>Correlations</w:t>
            </w:r>
          </w:p>
        </w:tc>
      </w:tr>
      <w:tr w:rsidR="003C41E1" w:rsidRPr="00480C56" w14:paraId="295FD647" w14:textId="77777777" w:rsidTr="002D67AE">
        <w:trPr>
          <w:trHeight w:val="144"/>
        </w:trPr>
        <w:tc>
          <w:tcPr>
            <w:tcW w:w="1345" w:type="pct"/>
            <w:tcBorders>
              <w:top w:val="double" w:sz="4" w:space="0" w:color="auto"/>
              <w:bottom w:val="single" w:sz="4" w:space="0" w:color="auto"/>
              <w:right w:val="single" w:sz="18" w:space="0" w:color="auto"/>
            </w:tcBorders>
            <w:vAlign w:val="center"/>
          </w:tcPr>
          <w:p w14:paraId="63980C52" w14:textId="1F950253" w:rsidR="003C41E1" w:rsidRPr="00480C56" w:rsidRDefault="003C41E1" w:rsidP="003C41E1">
            <w:pPr>
              <w:jc w:val="left"/>
              <w:rPr>
                <w:rFonts w:cstheme="minorHAnsi"/>
                <w:sz w:val="20"/>
                <w:szCs w:val="20"/>
              </w:rPr>
            </w:pPr>
            <w:r w:rsidRPr="00480C56">
              <w:rPr>
                <w:rFonts w:cstheme="minorHAnsi"/>
                <w:sz w:val="20"/>
                <w:szCs w:val="20"/>
              </w:rPr>
              <w:t>Hybrid</w:t>
            </w:r>
          </w:p>
        </w:tc>
        <w:tc>
          <w:tcPr>
            <w:tcW w:w="211" w:type="pct"/>
            <w:tcBorders>
              <w:top w:val="double" w:sz="4" w:space="0" w:color="auto"/>
              <w:left w:val="single" w:sz="18" w:space="0" w:color="auto"/>
              <w:bottom w:val="single" w:sz="4" w:space="0" w:color="auto"/>
            </w:tcBorders>
            <w:vAlign w:val="center"/>
          </w:tcPr>
          <w:p w14:paraId="5B1D8D6A" w14:textId="77777777" w:rsidR="003C41E1" w:rsidRPr="00480C56" w:rsidRDefault="003C41E1" w:rsidP="003C41E1">
            <w:pPr>
              <w:tabs>
                <w:tab w:val="decimal" w:pos="167"/>
              </w:tabs>
              <w:jc w:val="center"/>
              <w:rPr>
                <w:rFonts w:cstheme="minorHAnsi"/>
                <w:sz w:val="20"/>
                <w:szCs w:val="20"/>
              </w:rPr>
            </w:pPr>
            <w:r w:rsidRPr="00480C56">
              <w:rPr>
                <w:rFonts w:cstheme="minorHAnsi"/>
                <w:sz w:val="20"/>
                <w:szCs w:val="20"/>
              </w:rPr>
              <w:t>1.000</w:t>
            </w:r>
          </w:p>
        </w:tc>
        <w:tc>
          <w:tcPr>
            <w:tcW w:w="185" w:type="pct"/>
            <w:tcBorders>
              <w:top w:val="double" w:sz="4" w:space="0" w:color="auto"/>
              <w:bottom w:val="single" w:sz="4" w:space="0" w:color="auto"/>
            </w:tcBorders>
            <w:vAlign w:val="center"/>
          </w:tcPr>
          <w:p w14:paraId="17C6FD5E" w14:textId="6ECAEEBA" w:rsidR="003C41E1" w:rsidRPr="00480C56" w:rsidRDefault="003C41E1" w:rsidP="003C41E1">
            <w:pPr>
              <w:tabs>
                <w:tab w:val="decimal" w:pos="196"/>
              </w:tabs>
              <w:jc w:val="center"/>
              <w:rPr>
                <w:rFonts w:cstheme="minorHAnsi"/>
                <w:sz w:val="20"/>
                <w:szCs w:val="20"/>
              </w:rPr>
            </w:pPr>
            <w:r>
              <w:rPr>
                <w:rFonts w:cstheme="minorHAnsi"/>
                <w:sz w:val="20"/>
                <w:szCs w:val="20"/>
              </w:rPr>
              <w:t>—</w:t>
            </w:r>
          </w:p>
        </w:tc>
        <w:tc>
          <w:tcPr>
            <w:tcW w:w="248" w:type="pct"/>
            <w:tcBorders>
              <w:top w:val="double" w:sz="4" w:space="0" w:color="auto"/>
              <w:bottom w:val="single" w:sz="4" w:space="0" w:color="auto"/>
            </w:tcBorders>
            <w:vAlign w:val="center"/>
          </w:tcPr>
          <w:p w14:paraId="47F2BB2A"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0.743</w:t>
            </w:r>
          </w:p>
        </w:tc>
        <w:tc>
          <w:tcPr>
            <w:tcW w:w="204" w:type="pct"/>
            <w:tcBorders>
              <w:top w:val="double" w:sz="4" w:space="0" w:color="auto"/>
              <w:bottom w:val="single" w:sz="4" w:space="0" w:color="auto"/>
            </w:tcBorders>
            <w:vAlign w:val="center"/>
          </w:tcPr>
          <w:p w14:paraId="4603270E" w14:textId="1D59D39F" w:rsidR="003C41E1" w:rsidRPr="00480C56" w:rsidRDefault="003C41E1" w:rsidP="003C41E1">
            <w:pPr>
              <w:tabs>
                <w:tab w:val="decimal" w:pos="239"/>
              </w:tabs>
              <w:jc w:val="center"/>
              <w:rPr>
                <w:rFonts w:cstheme="minorHAnsi"/>
                <w:sz w:val="20"/>
                <w:szCs w:val="20"/>
              </w:rPr>
            </w:pPr>
            <w:r w:rsidRPr="00480C56">
              <w:rPr>
                <w:rFonts w:cstheme="minorHAnsi"/>
                <w:sz w:val="20"/>
                <w:szCs w:val="20"/>
              </w:rPr>
              <w:t>5.04</w:t>
            </w:r>
          </w:p>
        </w:tc>
        <w:tc>
          <w:tcPr>
            <w:tcW w:w="308" w:type="pct"/>
            <w:tcBorders>
              <w:top w:val="double" w:sz="4" w:space="0" w:color="auto"/>
              <w:bottom w:val="single" w:sz="4" w:space="0" w:color="auto"/>
            </w:tcBorders>
            <w:vAlign w:val="center"/>
          </w:tcPr>
          <w:p w14:paraId="01FE140A"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0.827</w:t>
            </w:r>
          </w:p>
        </w:tc>
        <w:tc>
          <w:tcPr>
            <w:tcW w:w="242" w:type="pct"/>
            <w:tcBorders>
              <w:top w:val="double" w:sz="4" w:space="0" w:color="auto"/>
              <w:bottom w:val="single" w:sz="4" w:space="0" w:color="auto"/>
              <w:right w:val="single" w:sz="18" w:space="0" w:color="auto"/>
            </w:tcBorders>
            <w:vAlign w:val="center"/>
          </w:tcPr>
          <w:p w14:paraId="0B536FD8" w14:textId="10A25290" w:rsidR="003C41E1" w:rsidRPr="00480C56" w:rsidRDefault="003C41E1" w:rsidP="003C41E1">
            <w:pPr>
              <w:tabs>
                <w:tab w:val="decimal" w:pos="231"/>
              </w:tabs>
              <w:jc w:val="center"/>
              <w:rPr>
                <w:rFonts w:cstheme="minorHAnsi"/>
                <w:sz w:val="20"/>
                <w:szCs w:val="20"/>
              </w:rPr>
            </w:pPr>
            <w:r w:rsidRPr="00480C56">
              <w:rPr>
                <w:rFonts w:cstheme="minorHAnsi"/>
                <w:sz w:val="20"/>
                <w:szCs w:val="20"/>
              </w:rPr>
              <w:t>9.84</w:t>
            </w:r>
          </w:p>
        </w:tc>
        <w:tc>
          <w:tcPr>
            <w:tcW w:w="239" w:type="pct"/>
            <w:tcBorders>
              <w:top w:val="double" w:sz="4" w:space="0" w:color="auto"/>
              <w:left w:val="single" w:sz="18" w:space="0" w:color="auto"/>
              <w:bottom w:val="single" w:sz="4" w:space="0" w:color="auto"/>
            </w:tcBorders>
            <w:vAlign w:val="center"/>
          </w:tcPr>
          <w:p w14:paraId="1AF66B65"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0.220</w:t>
            </w:r>
          </w:p>
        </w:tc>
        <w:tc>
          <w:tcPr>
            <w:tcW w:w="221" w:type="pct"/>
            <w:gridSpan w:val="2"/>
            <w:tcBorders>
              <w:top w:val="double" w:sz="4" w:space="0" w:color="auto"/>
              <w:bottom w:val="single" w:sz="4" w:space="0" w:color="auto"/>
              <w:right w:val="single" w:sz="18" w:space="0" w:color="auto"/>
            </w:tcBorders>
            <w:vAlign w:val="center"/>
          </w:tcPr>
          <w:p w14:paraId="7A82B574" w14:textId="14B67CC4" w:rsidR="003C41E1" w:rsidRPr="00480C56" w:rsidRDefault="003C41E1" w:rsidP="003C41E1">
            <w:pPr>
              <w:tabs>
                <w:tab w:val="decimal" w:pos="181"/>
              </w:tabs>
              <w:jc w:val="center"/>
              <w:rPr>
                <w:rFonts w:cstheme="minorHAnsi"/>
                <w:sz w:val="20"/>
                <w:szCs w:val="20"/>
              </w:rPr>
            </w:pPr>
            <w:r w:rsidRPr="00480C56">
              <w:rPr>
                <w:rFonts w:cstheme="minorHAnsi"/>
                <w:sz w:val="20"/>
                <w:szCs w:val="20"/>
              </w:rPr>
              <w:t>1.50</w:t>
            </w:r>
          </w:p>
        </w:tc>
        <w:tc>
          <w:tcPr>
            <w:tcW w:w="239" w:type="pct"/>
            <w:tcBorders>
              <w:top w:val="double" w:sz="4" w:space="0" w:color="auto"/>
              <w:left w:val="single" w:sz="18" w:space="0" w:color="auto"/>
              <w:bottom w:val="single" w:sz="4" w:space="0" w:color="auto"/>
            </w:tcBorders>
            <w:vAlign w:val="center"/>
          </w:tcPr>
          <w:p w14:paraId="037827CE"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0.036</w:t>
            </w:r>
          </w:p>
        </w:tc>
        <w:tc>
          <w:tcPr>
            <w:tcW w:w="202" w:type="pct"/>
            <w:tcBorders>
              <w:top w:val="double" w:sz="4" w:space="0" w:color="auto"/>
              <w:bottom w:val="single" w:sz="4" w:space="0" w:color="auto"/>
              <w:right w:val="single" w:sz="18" w:space="0" w:color="auto"/>
            </w:tcBorders>
            <w:vAlign w:val="center"/>
          </w:tcPr>
          <w:p w14:paraId="339BC10F" w14:textId="71A0A90A" w:rsidR="003C41E1" w:rsidRPr="00480C56" w:rsidRDefault="003C41E1" w:rsidP="003C41E1">
            <w:pPr>
              <w:tabs>
                <w:tab w:val="decimal" w:pos="181"/>
              </w:tabs>
              <w:jc w:val="center"/>
              <w:rPr>
                <w:rFonts w:cstheme="minorHAnsi"/>
                <w:sz w:val="20"/>
                <w:szCs w:val="20"/>
              </w:rPr>
            </w:pPr>
            <w:r w:rsidRPr="00480C56">
              <w:rPr>
                <w:rFonts w:cstheme="minorHAnsi"/>
                <w:sz w:val="20"/>
                <w:szCs w:val="20"/>
              </w:rPr>
              <w:t>0.26</w:t>
            </w:r>
          </w:p>
        </w:tc>
        <w:tc>
          <w:tcPr>
            <w:tcW w:w="239" w:type="pct"/>
            <w:tcBorders>
              <w:top w:val="double" w:sz="4" w:space="0" w:color="auto"/>
              <w:left w:val="single" w:sz="18" w:space="0" w:color="auto"/>
              <w:bottom w:val="single" w:sz="4" w:space="0" w:color="auto"/>
            </w:tcBorders>
            <w:vAlign w:val="center"/>
          </w:tcPr>
          <w:p w14:paraId="794A3144"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0.167</w:t>
            </w:r>
          </w:p>
        </w:tc>
        <w:tc>
          <w:tcPr>
            <w:tcW w:w="204" w:type="pct"/>
            <w:tcBorders>
              <w:top w:val="double" w:sz="4" w:space="0" w:color="auto"/>
              <w:bottom w:val="single" w:sz="4" w:space="0" w:color="auto"/>
              <w:right w:val="single" w:sz="18" w:space="0" w:color="auto"/>
            </w:tcBorders>
            <w:vAlign w:val="center"/>
          </w:tcPr>
          <w:p w14:paraId="2E50EF39" w14:textId="123F01E6" w:rsidR="003C41E1" w:rsidRPr="00480C56" w:rsidRDefault="003C41E1" w:rsidP="003C41E1">
            <w:pPr>
              <w:tabs>
                <w:tab w:val="decimal" w:pos="231"/>
              </w:tabs>
              <w:jc w:val="center"/>
              <w:rPr>
                <w:rFonts w:cstheme="minorHAnsi"/>
                <w:sz w:val="20"/>
                <w:szCs w:val="20"/>
              </w:rPr>
            </w:pPr>
            <w:r w:rsidRPr="00480C56">
              <w:rPr>
                <w:rFonts w:cstheme="minorHAnsi"/>
                <w:sz w:val="20"/>
                <w:szCs w:val="20"/>
              </w:rPr>
              <w:t>1.13</w:t>
            </w:r>
          </w:p>
        </w:tc>
        <w:tc>
          <w:tcPr>
            <w:tcW w:w="239" w:type="pct"/>
            <w:tcBorders>
              <w:top w:val="double" w:sz="4" w:space="0" w:color="auto"/>
              <w:left w:val="single" w:sz="18" w:space="0" w:color="auto"/>
              <w:bottom w:val="single" w:sz="4" w:space="0" w:color="auto"/>
            </w:tcBorders>
            <w:vAlign w:val="center"/>
          </w:tcPr>
          <w:p w14:paraId="71F61860"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0.087</w:t>
            </w:r>
          </w:p>
        </w:tc>
        <w:tc>
          <w:tcPr>
            <w:tcW w:w="217" w:type="pct"/>
            <w:tcBorders>
              <w:top w:val="double" w:sz="4" w:space="0" w:color="auto"/>
              <w:bottom w:val="single" w:sz="4" w:space="0" w:color="auto"/>
              <w:right w:val="single" w:sz="18" w:space="0" w:color="auto"/>
            </w:tcBorders>
            <w:vAlign w:val="center"/>
          </w:tcPr>
          <w:p w14:paraId="0911FD56"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0.609</w:t>
            </w:r>
          </w:p>
        </w:tc>
        <w:tc>
          <w:tcPr>
            <w:tcW w:w="268" w:type="pct"/>
            <w:tcBorders>
              <w:top w:val="double" w:sz="4" w:space="0" w:color="auto"/>
              <w:left w:val="single" w:sz="18" w:space="0" w:color="auto"/>
              <w:bottom w:val="single" w:sz="4" w:space="0" w:color="auto"/>
            </w:tcBorders>
            <w:vAlign w:val="center"/>
          </w:tcPr>
          <w:p w14:paraId="1230736F"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-0.339</w:t>
            </w:r>
          </w:p>
        </w:tc>
        <w:tc>
          <w:tcPr>
            <w:tcW w:w="189" w:type="pct"/>
            <w:tcBorders>
              <w:top w:val="double" w:sz="4" w:space="0" w:color="auto"/>
              <w:bottom w:val="single" w:sz="4" w:space="0" w:color="auto"/>
            </w:tcBorders>
            <w:vAlign w:val="center"/>
          </w:tcPr>
          <w:p w14:paraId="67C91CB9" w14:textId="5709A167" w:rsidR="003C41E1" w:rsidRPr="00480C56" w:rsidRDefault="003C41E1" w:rsidP="003C41E1">
            <w:pPr>
              <w:tabs>
                <w:tab w:val="decimal" w:pos="188"/>
              </w:tabs>
              <w:jc w:val="center"/>
              <w:rPr>
                <w:rFonts w:cstheme="minorHAnsi"/>
                <w:sz w:val="20"/>
                <w:szCs w:val="20"/>
              </w:rPr>
            </w:pPr>
            <w:r w:rsidRPr="00480C56">
              <w:rPr>
                <w:rFonts w:cstheme="minorHAnsi"/>
                <w:sz w:val="20"/>
                <w:szCs w:val="20"/>
              </w:rPr>
              <w:t>-2.80</w:t>
            </w:r>
          </w:p>
        </w:tc>
      </w:tr>
      <w:tr w:rsidR="003C41E1" w:rsidRPr="00480C56" w14:paraId="554BB4F1"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CAC18F0" w14:textId="6C7ED4A5" w:rsidR="003C41E1" w:rsidRPr="00480C56" w:rsidRDefault="003C41E1" w:rsidP="003C41E1">
            <w:pPr>
              <w:jc w:val="left"/>
              <w:rPr>
                <w:rFonts w:cstheme="minorHAnsi"/>
                <w:sz w:val="20"/>
                <w:szCs w:val="20"/>
              </w:rPr>
            </w:pPr>
            <w:r w:rsidRPr="00480C56">
              <w:rPr>
                <w:rFonts w:cstheme="minorHAnsi"/>
                <w:sz w:val="20"/>
                <w:szCs w:val="20"/>
              </w:rPr>
              <w:t xml:space="preserve">Fully remote </w:t>
            </w:r>
            <w:r>
              <w:rPr>
                <w:rFonts w:cstheme="minorHAnsi"/>
                <w:sz w:val="20"/>
                <w:szCs w:val="20"/>
              </w:rPr>
              <w:t>HB</w:t>
            </w:r>
          </w:p>
        </w:tc>
        <w:tc>
          <w:tcPr>
            <w:tcW w:w="211" w:type="pct"/>
            <w:tcBorders>
              <w:top w:val="single" w:sz="4" w:space="0" w:color="auto"/>
              <w:left w:val="single" w:sz="18" w:space="0" w:color="auto"/>
              <w:bottom w:val="single" w:sz="4" w:space="0" w:color="auto"/>
            </w:tcBorders>
            <w:vAlign w:val="center"/>
          </w:tcPr>
          <w:p w14:paraId="5145A367"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779A75B0"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7BA1E7E1" w14:textId="77777777" w:rsidR="003C41E1" w:rsidRPr="00480C56" w:rsidRDefault="003C41E1" w:rsidP="003C41E1">
            <w:pPr>
              <w:tabs>
                <w:tab w:val="decimal" w:pos="170"/>
              </w:tabs>
              <w:jc w:val="center"/>
              <w:rPr>
                <w:rFonts w:cstheme="minorHAnsi"/>
                <w:sz w:val="20"/>
                <w:szCs w:val="20"/>
              </w:rPr>
            </w:pPr>
            <w:r w:rsidRPr="00480C56">
              <w:rPr>
                <w:rFonts w:cstheme="minorHAnsi"/>
                <w:sz w:val="20"/>
                <w:szCs w:val="20"/>
              </w:rPr>
              <w:t>1.000</w:t>
            </w:r>
          </w:p>
        </w:tc>
        <w:tc>
          <w:tcPr>
            <w:tcW w:w="204" w:type="pct"/>
            <w:tcBorders>
              <w:top w:val="single" w:sz="4" w:space="0" w:color="auto"/>
              <w:bottom w:val="single" w:sz="4" w:space="0" w:color="auto"/>
            </w:tcBorders>
            <w:vAlign w:val="center"/>
          </w:tcPr>
          <w:p w14:paraId="0D49A830" w14:textId="66E40FD1"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308" w:type="pct"/>
            <w:tcBorders>
              <w:top w:val="single" w:sz="4" w:space="0" w:color="auto"/>
              <w:bottom w:val="single" w:sz="4" w:space="0" w:color="auto"/>
            </w:tcBorders>
            <w:vAlign w:val="center"/>
          </w:tcPr>
          <w:p w14:paraId="5DC6003E"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0.803</w:t>
            </w:r>
          </w:p>
        </w:tc>
        <w:tc>
          <w:tcPr>
            <w:tcW w:w="242" w:type="pct"/>
            <w:tcBorders>
              <w:top w:val="single" w:sz="4" w:space="0" w:color="auto"/>
              <w:bottom w:val="single" w:sz="4" w:space="0" w:color="auto"/>
              <w:right w:val="single" w:sz="18" w:space="0" w:color="auto"/>
            </w:tcBorders>
            <w:vAlign w:val="center"/>
          </w:tcPr>
          <w:p w14:paraId="10043D51" w14:textId="3E461A41" w:rsidR="003C41E1" w:rsidRPr="00480C56" w:rsidRDefault="003C41E1" w:rsidP="003C41E1">
            <w:pPr>
              <w:tabs>
                <w:tab w:val="decimal" w:pos="231"/>
              </w:tabs>
              <w:jc w:val="center"/>
              <w:rPr>
                <w:rFonts w:cstheme="minorHAnsi"/>
                <w:sz w:val="20"/>
                <w:szCs w:val="20"/>
              </w:rPr>
            </w:pPr>
            <w:r w:rsidRPr="00480C56">
              <w:rPr>
                <w:rFonts w:cstheme="minorHAnsi"/>
                <w:sz w:val="20"/>
                <w:szCs w:val="20"/>
              </w:rPr>
              <w:t>2.36</w:t>
            </w:r>
          </w:p>
        </w:tc>
        <w:tc>
          <w:tcPr>
            <w:tcW w:w="239" w:type="pct"/>
            <w:tcBorders>
              <w:top w:val="single" w:sz="4" w:space="0" w:color="auto"/>
              <w:left w:val="single" w:sz="18" w:space="0" w:color="auto"/>
              <w:bottom w:val="single" w:sz="4" w:space="0" w:color="auto"/>
            </w:tcBorders>
            <w:vAlign w:val="center"/>
          </w:tcPr>
          <w:p w14:paraId="0DB10A65"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0.090</w:t>
            </w:r>
          </w:p>
        </w:tc>
        <w:tc>
          <w:tcPr>
            <w:tcW w:w="221" w:type="pct"/>
            <w:gridSpan w:val="2"/>
            <w:tcBorders>
              <w:top w:val="single" w:sz="4" w:space="0" w:color="auto"/>
              <w:bottom w:val="single" w:sz="4" w:space="0" w:color="auto"/>
              <w:right w:val="single" w:sz="18" w:space="0" w:color="auto"/>
            </w:tcBorders>
            <w:vAlign w:val="center"/>
          </w:tcPr>
          <w:p w14:paraId="5BE8807C" w14:textId="1EA40091" w:rsidR="003C41E1" w:rsidRPr="00480C56" w:rsidRDefault="003C41E1" w:rsidP="003C41E1">
            <w:pPr>
              <w:tabs>
                <w:tab w:val="decimal" w:pos="181"/>
              </w:tabs>
              <w:jc w:val="center"/>
              <w:rPr>
                <w:rFonts w:cstheme="minorHAnsi"/>
                <w:sz w:val="20"/>
                <w:szCs w:val="20"/>
              </w:rPr>
            </w:pPr>
            <w:r w:rsidRPr="00480C56">
              <w:rPr>
                <w:rFonts w:cstheme="minorHAnsi"/>
                <w:sz w:val="20"/>
                <w:szCs w:val="20"/>
              </w:rPr>
              <w:t>0.12</w:t>
            </w:r>
          </w:p>
        </w:tc>
        <w:tc>
          <w:tcPr>
            <w:tcW w:w="239" w:type="pct"/>
            <w:tcBorders>
              <w:top w:val="single" w:sz="4" w:space="0" w:color="auto"/>
              <w:left w:val="single" w:sz="18" w:space="0" w:color="auto"/>
              <w:bottom w:val="single" w:sz="4" w:space="0" w:color="auto"/>
            </w:tcBorders>
            <w:vAlign w:val="center"/>
          </w:tcPr>
          <w:p w14:paraId="0195ECF1"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0.070</w:t>
            </w:r>
          </w:p>
        </w:tc>
        <w:tc>
          <w:tcPr>
            <w:tcW w:w="202" w:type="pct"/>
            <w:tcBorders>
              <w:top w:val="single" w:sz="4" w:space="0" w:color="auto"/>
              <w:bottom w:val="single" w:sz="4" w:space="0" w:color="auto"/>
              <w:right w:val="single" w:sz="18" w:space="0" w:color="auto"/>
            </w:tcBorders>
            <w:vAlign w:val="center"/>
          </w:tcPr>
          <w:p w14:paraId="6FAF8F7F" w14:textId="3B81DB52" w:rsidR="003C41E1" w:rsidRPr="00480C56" w:rsidRDefault="003C41E1" w:rsidP="003C41E1">
            <w:pPr>
              <w:tabs>
                <w:tab w:val="decimal" w:pos="181"/>
              </w:tabs>
              <w:jc w:val="center"/>
              <w:rPr>
                <w:rFonts w:cstheme="minorHAnsi"/>
                <w:sz w:val="20"/>
                <w:szCs w:val="20"/>
              </w:rPr>
            </w:pPr>
            <w:r w:rsidRPr="00480C56">
              <w:rPr>
                <w:rFonts w:cstheme="minorHAnsi"/>
                <w:sz w:val="20"/>
                <w:szCs w:val="20"/>
              </w:rPr>
              <w:t>0.44</w:t>
            </w:r>
          </w:p>
        </w:tc>
        <w:tc>
          <w:tcPr>
            <w:tcW w:w="239" w:type="pct"/>
            <w:tcBorders>
              <w:top w:val="single" w:sz="4" w:space="0" w:color="auto"/>
              <w:left w:val="single" w:sz="18" w:space="0" w:color="auto"/>
              <w:bottom w:val="single" w:sz="4" w:space="0" w:color="auto"/>
            </w:tcBorders>
            <w:vAlign w:val="center"/>
          </w:tcPr>
          <w:p w14:paraId="3D20F2F3"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0.160</w:t>
            </w:r>
          </w:p>
        </w:tc>
        <w:tc>
          <w:tcPr>
            <w:tcW w:w="204" w:type="pct"/>
            <w:tcBorders>
              <w:top w:val="single" w:sz="4" w:space="0" w:color="auto"/>
              <w:bottom w:val="single" w:sz="4" w:space="0" w:color="auto"/>
              <w:right w:val="single" w:sz="18" w:space="0" w:color="auto"/>
            </w:tcBorders>
            <w:vAlign w:val="center"/>
          </w:tcPr>
          <w:p w14:paraId="34152460" w14:textId="2210C19B" w:rsidR="003C41E1" w:rsidRPr="00480C56" w:rsidRDefault="003C41E1" w:rsidP="003C41E1">
            <w:pPr>
              <w:tabs>
                <w:tab w:val="decimal" w:pos="231"/>
              </w:tabs>
              <w:jc w:val="center"/>
              <w:rPr>
                <w:rFonts w:cstheme="minorHAnsi"/>
                <w:sz w:val="20"/>
                <w:szCs w:val="20"/>
              </w:rPr>
            </w:pPr>
            <w:r w:rsidRPr="00480C56">
              <w:rPr>
                <w:rFonts w:cstheme="minorHAnsi"/>
                <w:sz w:val="20"/>
                <w:szCs w:val="20"/>
              </w:rPr>
              <w:t>0.90</w:t>
            </w:r>
          </w:p>
        </w:tc>
        <w:tc>
          <w:tcPr>
            <w:tcW w:w="239" w:type="pct"/>
            <w:tcBorders>
              <w:top w:val="single" w:sz="4" w:space="0" w:color="auto"/>
              <w:left w:val="single" w:sz="18" w:space="0" w:color="auto"/>
              <w:bottom w:val="single" w:sz="4" w:space="0" w:color="auto"/>
            </w:tcBorders>
            <w:vAlign w:val="center"/>
          </w:tcPr>
          <w:p w14:paraId="2A215762"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0.035</w:t>
            </w:r>
          </w:p>
        </w:tc>
        <w:tc>
          <w:tcPr>
            <w:tcW w:w="217" w:type="pct"/>
            <w:tcBorders>
              <w:top w:val="single" w:sz="4" w:space="0" w:color="auto"/>
              <w:bottom w:val="single" w:sz="4" w:space="0" w:color="auto"/>
              <w:right w:val="single" w:sz="18" w:space="0" w:color="auto"/>
            </w:tcBorders>
            <w:vAlign w:val="center"/>
          </w:tcPr>
          <w:p w14:paraId="5C2222A4"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0.214</w:t>
            </w:r>
          </w:p>
        </w:tc>
        <w:tc>
          <w:tcPr>
            <w:tcW w:w="268" w:type="pct"/>
            <w:tcBorders>
              <w:top w:val="single" w:sz="4" w:space="0" w:color="auto"/>
              <w:left w:val="single" w:sz="18" w:space="0" w:color="auto"/>
              <w:bottom w:val="single" w:sz="4" w:space="0" w:color="auto"/>
            </w:tcBorders>
            <w:vAlign w:val="center"/>
          </w:tcPr>
          <w:p w14:paraId="2497D7D4"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-0.352</w:t>
            </w:r>
          </w:p>
        </w:tc>
        <w:tc>
          <w:tcPr>
            <w:tcW w:w="189" w:type="pct"/>
            <w:tcBorders>
              <w:top w:val="single" w:sz="4" w:space="0" w:color="auto"/>
              <w:bottom w:val="single" w:sz="4" w:space="0" w:color="auto"/>
            </w:tcBorders>
            <w:vAlign w:val="center"/>
          </w:tcPr>
          <w:p w14:paraId="703FA938" w14:textId="62C66180" w:rsidR="003C41E1" w:rsidRPr="00480C56" w:rsidRDefault="003C41E1" w:rsidP="003C41E1">
            <w:pPr>
              <w:tabs>
                <w:tab w:val="decimal" w:pos="188"/>
              </w:tabs>
              <w:jc w:val="center"/>
              <w:rPr>
                <w:rFonts w:cstheme="minorHAnsi"/>
                <w:sz w:val="20"/>
                <w:szCs w:val="20"/>
              </w:rPr>
            </w:pPr>
            <w:r w:rsidRPr="00480C56">
              <w:rPr>
                <w:rFonts w:cstheme="minorHAnsi"/>
                <w:sz w:val="20"/>
                <w:szCs w:val="20"/>
              </w:rPr>
              <w:t>-1.98</w:t>
            </w:r>
          </w:p>
        </w:tc>
      </w:tr>
      <w:tr w:rsidR="003C41E1" w:rsidRPr="00480C56" w14:paraId="4DD46BC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4695518" w14:textId="639EFF97" w:rsidR="003C41E1" w:rsidRPr="00480C56" w:rsidRDefault="003C41E1" w:rsidP="003C41E1">
            <w:pPr>
              <w:jc w:val="left"/>
              <w:rPr>
                <w:rFonts w:cstheme="minorHAnsi"/>
                <w:sz w:val="20"/>
                <w:szCs w:val="20"/>
              </w:rPr>
            </w:pPr>
            <w:r w:rsidRPr="00480C56">
              <w:rPr>
                <w:rFonts w:cstheme="minorHAnsi"/>
                <w:sz w:val="20"/>
                <w:szCs w:val="20"/>
              </w:rPr>
              <w:t xml:space="preserve">Fully remote </w:t>
            </w:r>
            <w:r>
              <w:rPr>
                <w:rFonts w:cstheme="minorHAnsi"/>
                <w:sz w:val="20"/>
                <w:szCs w:val="20"/>
              </w:rPr>
              <w:t>TLB</w:t>
            </w:r>
          </w:p>
        </w:tc>
        <w:tc>
          <w:tcPr>
            <w:tcW w:w="211" w:type="pct"/>
            <w:tcBorders>
              <w:top w:val="single" w:sz="4" w:space="0" w:color="auto"/>
              <w:left w:val="single" w:sz="18" w:space="0" w:color="auto"/>
              <w:bottom w:val="single" w:sz="4" w:space="0" w:color="auto"/>
            </w:tcBorders>
            <w:vAlign w:val="center"/>
          </w:tcPr>
          <w:p w14:paraId="67F267DC"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59876393"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3A03D386"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single" w:sz="4" w:space="0" w:color="auto"/>
            </w:tcBorders>
            <w:vAlign w:val="center"/>
          </w:tcPr>
          <w:p w14:paraId="3FD67C58"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226D0C72" w14:textId="77777777" w:rsidR="003C41E1" w:rsidRPr="00480C56" w:rsidRDefault="003C41E1" w:rsidP="003C41E1">
            <w:pPr>
              <w:tabs>
                <w:tab w:val="decimal" w:pos="202"/>
              </w:tabs>
              <w:jc w:val="center"/>
              <w:rPr>
                <w:rFonts w:cstheme="minorHAnsi"/>
                <w:sz w:val="20"/>
                <w:szCs w:val="20"/>
              </w:rPr>
            </w:pPr>
            <w:r w:rsidRPr="00480C56">
              <w:rPr>
                <w:rFonts w:cstheme="minorHAnsi"/>
                <w:sz w:val="20"/>
                <w:szCs w:val="20"/>
              </w:rPr>
              <w:t>1.000</w:t>
            </w:r>
          </w:p>
        </w:tc>
        <w:tc>
          <w:tcPr>
            <w:tcW w:w="242" w:type="pct"/>
            <w:tcBorders>
              <w:top w:val="single" w:sz="4" w:space="0" w:color="auto"/>
              <w:bottom w:val="single" w:sz="4" w:space="0" w:color="auto"/>
              <w:right w:val="single" w:sz="18" w:space="0" w:color="auto"/>
            </w:tcBorders>
            <w:vAlign w:val="center"/>
          </w:tcPr>
          <w:p w14:paraId="4C832809" w14:textId="676ED52D" w:rsidR="003C41E1" w:rsidRPr="00480C56" w:rsidRDefault="003C41E1" w:rsidP="003C41E1">
            <w:pPr>
              <w:tabs>
                <w:tab w:val="decimal" w:pos="23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single" w:sz="4" w:space="0" w:color="auto"/>
            </w:tcBorders>
            <w:vAlign w:val="center"/>
          </w:tcPr>
          <w:p w14:paraId="5EA3CB11"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0.167</w:t>
            </w:r>
          </w:p>
        </w:tc>
        <w:tc>
          <w:tcPr>
            <w:tcW w:w="221" w:type="pct"/>
            <w:gridSpan w:val="2"/>
            <w:tcBorders>
              <w:top w:val="single" w:sz="4" w:space="0" w:color="auto"/>
              <w:bottom w:val="single" w:sz="4" w:space="0" w:color="auto"/>
              <w:right w:val="single" w:sz="18" w:space="0" w:color="auto"/>
            </w:tcBorders>
            <w:vAlign w:val="center"/>
          </w:tcPr>
          <w:p w14:paraId="4CB2374C" w14:textId="317CDFD7" w:rsidR="003C41E1" w:rsidRPr="00480C56" w:rsidRDefault="003C41E1" w:rsidP="003C41E1">
            <w:pPr>
              <w:tabs>
                <w:tab w:val="decimal" w:pos="181"/>
              </w:tabs>
              <w:jc w:val="center"/>
              <w:rPr>
                <w:rFonts w:cstheme="minorHAnsi"/>
                <w:sz w:val="20"/>
                <w:szCs w:val="20"/>
              </w:rPr>
            </w:pPr>
            <w:r w:rsidRPr="00480C56">
              <w:rPr>
                <w:rFonts w:cstheme="minorHAnsi"/>
                <w:sz w:val="20"/>
                <w:szCs w:val="20"/>
              </w:rPr>
              <w:t>0.34</w:t>
            </w:r>
          </w:p>
        </w:tc>
        <w:tc>
          <w:tcPr>
            <w:tcW w:w="239" w:type="pct"/>
            <w:tcBorders>
              <w:top w:val="single" w:sz="4" w:space="0" w:color="auto"/>
              <w:left w:val="single" w:sz="18" w:space="0" w:color="auto"/>
              <w:bottom w:val="single" w:sz="4" w:space="0" w:color="auto"/>
            </w:tcBorders>
            <w:vAlign w:val="center"/>
          </w:tcPr>
          <w:p w14:paraId="6C003C91"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0.153</w:t>
            </w:r>
          </w:p>
        </w:tc>
        <w:tc>
          <w:tcPr>
            <w:tcW w:w="202" w:type="pct"/>
            <w:tcBorders>
              <w:top w:val="single" w:sz="4" w:space="0" w:color="auto"/>
              <w:bottom w:val="single" w:sz="4" w:space="0" w:color="auto"/>
              <w:right w:val="single" w:sz="18" w:space="0" w:color="auto"/>
            </w:tcBorders>
            <w:vAlign w:val="center"/>
          </w:tcPr>
          <w:p w14:paraId="60207E56" w14:textId="7C041A2D" w:rsidR="003C41E1" w:rsidRPr="00480C56" w:rsidRDefault="003C41E1" w:rsidP="003C41E1">
            <w:pPr>
              <w:tabs>
                <w:tab w:val="decimal" w:pos="181"/>
              </w:tabs>
              <w:jc w:val="center"/>
              <w:rPr>
                <w:rFonts w:cstheme="minorHAnsi"/>
                <w:sz w:val="20"/>
                <w:szCs w:val="20"/>
              </w:rPr>
            </w:pPr>
            <w:r w:rsidRPr="00480C56">
              <w:rPr>
                <w:rFonts w:cstheme="minorHAnsi"/>
                <w:sz w:val="20"/>
                <w:szCs w:val="20"/>
              </w:rPr>
              <w:t>0.48</w:t>
            </w:r>
          </w:p>
        </w:tc>
        <w:tc>
          <w:tcPr>
            <w:tcW w:w="239" w:type="pct"/>
            <w:tcBorders>
              <w:top w:val="single" w:sz="4" w:space="0" w:color="auto"/>
              <w:left w:val="single" w:sz="18" w:space="0" w:color="auto"/>
              <w:bottom w:val="single" w:sz="4" w:space="0" w:color="auto"/>
            </w:tcBorders>
            <w:vAlign w:val="center"/>
          </w:tcPr>
          <w:p w14:paraId="599B863A"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0.170</w:t>
            </w:r>
          </w:p>
        </w:tc>
        <w:tc>
          <w:tcPr>
            <w:tcW w:w="204" w:type="pct"/>
            <w:tcBorders>
              <w:top w:val="single" w:sz="4" w:space="0" w:color="auto"/>
              <w:bottom w:val="single" w:sz="4" w:space="0" w:color="auto"/>
              <w:right w:val="single" w:sz="18" w:space="0" w:color="auto"/>
            </w:tcBorders>
            <w:vAlign w:val="center"/>
          </w:tcPr>
          <w:p w14:paraId="3E7948DF" w14:textId="77E0132C" w:rsidR="003C41E1" w:rsidRPr="00480C56" w:rsidRDefault="003C41E1" w:rsidP="003C41E1">
            <w:pPr>
              <w:tabs>
                <w:tab w:val="decimal" w:pos="231"/>
              </w:tabs>
              <w:jc w:val="center"/>
              <w:rPr>
                <w:rFonts w:cstheme="minorHAnsi"/>
                <w:sz w:val="20"/>
                <w:szCs w:val="20"/>
              </w:rPr>
            </w:pPr>
            <w:r w:rsidRPr="00480C56">
              <w:rPr>
                <w:rFonts w:cstheme="minorHAnsi"/>
                <w:sz w:val="20"/>
                <w:szCs w:val="20"/>
              </w:rPr>
              <w:t>0.48</w:t>
            </w:r>
          </w:p>
        </w:tc>
        <w:tc>
          <w:tcPr>
            <w:tcW w:w="239" w:type="pct"/>
            <w:tcBorders>
              <w:top w:val="single" w:sz="4" w:space="0" w:color="auto"/>
              <w:left w:val="single" w:sz="18" w:space="0" w:color="auto"/>
              <w:bottom w:val="single" w:sz="4" w:space="0" w:color="auto"/>
            </w:tcBorders>
            <w:vAlign w:val="center"/>
          </w:tcPr>
          <w:p w14:paraId="4DED58C5"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0.076</w:t>
            </w:r>
          </w:p>
        </w:tc>
        <w:tc>
          <w:tcPr>
            <w:tcW w:w="217" w:type="pct"/>
            <w:tcBorders>
              <w:top w:val="single" w:sz="4" w:space="0" w:color="auto"/>
              <w:bottom w:val="single" w:sz="4" w:space="0" w:color="auto"/>
              <w:right w:val="single" w:sz="18" w:space="0" w:color="auto"/>
            </w:tcBorders>
            <w:vAlign w:val="center"/>
          </w:tcPr>
          <w:p w14:paraId="25735B87"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0.190</w:t>
            </w:r>
          </w:p>
        </w:tc>
        <w:tc>
          <w:tcPr>
            <w:tcW w:w="268" w:type="pct"/>
            <w:tcBorders>
              <w:top w:val="single" w:sz="4" w:space="0" w:color="auto"/>
              <w:left w:val="single" w:sz="18" w:space="0" w:color="auto"/>
              <w:bottom w:val="single" w:sz="4" w:space="0" w:color="auto"/>
            </w:tcBorders>
            <w:vAlign w:val="center"/>
          </w:tcPr>
          <w:p w14:paraId="558B1B57"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-0.263</w:t>
            </w:r>
          </w:p>
        </w:tc>
        <w:tc>
          <w:tcPr>
            <w:tcW w:w="189" w:type="pct"/>
            <w:tcBorders>
              <w:top w:val="single" w:sz="4" w:space="0" w:color="auto"/>
              <w:bottom w:val="single" w:sz="4" w:space="0" w:color="auto"/>
            </w:tcBorders>
            <w:vAlign w:val="center"/>
          </w:tcPr>
          <w:p w14:paraId="54A4B584" w14:textId="439CC047" w:rsidR="003C41E1" w:rsidRPr="00480C56" w:rsidRDefault="003C41E1" w:rsidP="003C41E1">
            <w:pPr>
              <w:tabs>
                <w:tab w:val="decimal" w:pos="188"/>
              </w:tabs>
              <w:jc w:val="center"/>
              <w:rPr>
                <w:rFonts w:cstheme="minorHAnsi"/>
                <w:sz w:val="20"/>
                <w:szCs w:val="20"/>
              </w:rPr>
            </w:pPr>
            <w:r w:rsidRPr="00480C56">
              <w:rPr>
                <w:rFonts w:cstheme="minorHAnsi"/>
                <w:sz w:val="20"/>
                <w:szCs w:val="20"/>
              </w:rPr>
              <w:t>-0.88</w:t>
            </w:r>
          </w:p>
        </w:tc>
      </w:tr>
      <w:tr w:rsidR="003C41E1" w:rsidRPr="00480C56" w14:paraId="73F6B6E3"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937C7E6" w14:textId="4402B728" w:rsidR="003C41E1" w:rsidRPr="00480C56" w:rsidRDefault="003C41E1" w:rsidP="003C41E1">
            <w:pPr>
              <w:jc w:val="left"/>
              <w:rPr>
                <w:rFonts w:cstheme="minorHAnsi"/>
                <w:sz w:val="20"/>
                <w:szCs w:val="20"/>
              </w:rPr>
            </w:pPr>
            <w:r w:rsidRPr="00480C56">
              <w:rPr>
                <w:rFonts w:cstheme="minorHAnsi"/>
                <w:sz w:val="20"/>
                <w:szCs w:val="20"/>
              </w:rPr>
              <w:t>Commute frequency</w:t>
            </w:r>
          </w:p>
        </w:tc>
        <w:tc>
          <w:tcPr>
            <w:tcW w:w="211" w:type="pct"/>
            <w:tcBorders>
              <w:top w:val="single" w:sz="4" w:space="0" w:color="auto"/>
              <w:left w:val="single" w:sz="18" w:space="0" w:color="auto"/>
              <w:bottom w:val="single" w:sz="4" w:space="0" w:color="auto"/>
            </w:tcBorders>
            <w:vAlign w:val="center"/>
          </w:tcPr>
          <w:p w14:paraId="1BFCA025"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459859E6"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00BD97B6"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single" w:sz="4" w:space="0" w:color="auto"/>
            </w:tcBorders>
            <w:vAlign w:val="center"/>
          </w:tcPr>
          <w:p w14:paraId="0471DBB7"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F06B09C" w14:textId="77777777" w:rsidR="003C41E1" w:rsidRPr="00480C56" w:rsidRDefault="003C41E1" w:rsidP="003C41E1">
            <w:pPr>
              <w:tabs>
                <w:tab w:val="decimal" w:pos="202"/>
              </w:tabs>
              <w:jc w:val="center"/>
              <w:rPr>
                <w:rFonts w:cstheme="minorHAnsi"/>
                <w:sz w:val="20"/>
                <w:szCs w:val="20"/>
              </w:rPr>
            </w:pPr>
          </w:p>
        </w:tc>
        <w:tc>
          <w:tcPr>
            <w:tcW w:w="242" w:type="pct"/>
            <w:tcBorders>
              <w:top w:val="single" w:sz="4" w:space="0" w:color="auto"/>
              <w:bottom w:val="single" w:sz="4" w:space="0" w:color="auto"/>
              <w:right w:val="single" w:sz="18" w:space="0" w:color="auto"/>
            </w:tcBorders>
            <w:vAlign w:val="center"/>
          </w:tcPr>
          <w:p w14:paraId="5EB20753"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ECFF3F9"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1.000</w:t>
            </w:r>
          </w:p>
        </w:tc>
        <w:tc>
          <w:tcPr>
            <w:tcW w:w="221" w:type="pct"/>
            <w:gridSpan w:val="2"/>
            <w:tcBorders>
              <w:top w:val="single" w:sz="4" w:space="0" w:color="auto"/>
              <w:bottom w:val="single" w:sz="4" w:space="0" w:color="auto"/>
              <w:right w:val="single" w:sz="18" w:space="0" w:color="auto"/>
            </w:tcBorders>
            <w:vAlign w:val="center"/>
          </w:tcPr>
          <w:p w14:paraId="3ACF8082" w14:textId="506F9C6F"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single" w:sz="4" w:space="0" w:color="auto"/>
            </w:tcBorders>
            <w:vAlign w:val="center"/>
          </w:tcPr>
          <w:p w14:paraId="4581C82E"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0.036</w:t>
            </w:r>
          </w:p>
        </w:tc>
        <w:tc>
          <w:tcPr>
            <w:tcW w:w="202" w:type="pct"/>
            <w:tcBorders>
              <w:top w:val="single" w:sz="4" w:space="0" w:color="auto"/>
              <w:bottom w:val="single" w:sz="4" w:space="0" w:color="auto"/>
              <w:right w:val="single" w:sz="18" w:space="0" w:color="auto"/>
            </w:tcBorders>
            <w:vAlign w:val="center"/>
          </w:tcPr>
          <w:p w14:paraId="1EE95518" w14:textId="67F14DAC" w:rsidR="003C41E1" w:rsidRPr="00480C56" w:rsidRDefault="003C41E1" w:rsidP="003C41E1">
            <w:pPr>
              <w:tabs>
                <w:tab w:val="decimal" w:pos="181"/>
              </w:tabs>
              <w:jc w:val="center"/>
              <w:rPr>
                <w:rFonts w:cstheme="minorHAnsi"/>
                <w:sz w:val="20"/>
                <w:szCs w:val="20"/>
              </w:rPr>
            </w:pPr>
            <w:r w:rsidRPr="00480C56">
              <w:rPr>
                <w:rFonts w:cstheme="minorHAnsi"/>
                <w:sz w:val="20"/>
                <w:szCs w:val="20"/>
              </w:rPr>
              <w:t>0.55</w:t>
            </w:r>
          </w:p>
        </w:tc>
        <w:tc>
          <w:tcPr>
            <w:tcW w:w="239" w:type="pct"/>
            <w:tcBorders>
              <w:top w:val="single" w:sz="4" w:space="0" w:color="auto"/>
              <w:left w:val="single" w:sz="18" w:space="0" w:color="auto"/>
              <w:bottom w:val="single" w:sz="4" w:space="0" w:color="auto"/>
            </w:tcBorders>
            <w:vAlign w:val="center"/>
          </w:tcPr>
          <w:p w14:paraId="78723F06"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-0.074</w:t>
            </w:r>
          </w:p>
        </w:tc>
        <w:tc>
          <w:tcPr>
            <w:tcW w:w="204" w:type="pct"/>
            <w:tcBorders>
              <w:top w:val="single" w:sz="4" w:space="0" w:color="auto"/>
              <w:bottom w:val="single" w:sz="4" w:space="0" w:color="auto"/>
              <w:right w:val="single" w:sz="18" w:space="0" w:color="auto"/>
            </w:tcBorders>
            <w:vAlign w:val="center"/>
          </w:tcPr>
          <w:p w14:paraId="51E8CA0E" w14:textId="70A57316" w:rsidR="003C41E1" w:rsidRPr="00480C56" w:rsidRDefault="003C41E1" w:rsidP="003C41E1">
            <w:pPr>
              <w:tabs>
                <w:tab w:val="decimal" w:pos="231"/>
              </w:tabs>
              <w:jc w:val="center"/>
              <w:rPr>
                <w:rFonts w:cstheme="minorHAnsi"/>
                <w:sz w:val="20"/>
                <w:szCs w:val="20"/>
              </w:rPr>
            </w:pPr>
            <w:r w:rsidRPr="00480C56">
              <w:rPr>
                <w:rFonts w:cstheme="minorHAnsi"/>
                <w:sz w:val="20"/>
                <w:szCs w:val="20"/>
              </w:rPr>
              <w:t>-1.10</w:t>
            </w:r>
          </w:p>
        </w:tc>
        <w:tc>
          <w:tcPr>
            <w:tcW w:w="239" w:type="pct"/>
            <w:tcBorders>
              <w:top w:val="single" w:sz="4" w:space="0" w:color="auto"/>
              <w:left w:val="single" w:sz="18" w:space="0" w:color="auto"/>
              <w:bottom w:val="single" w:sz="4" w:space="0" w:color="auto"/>
            </w:tcBorders>
            <w:vAlign w:val="center"/>
          </w:tcPr>
          <w:p w14:paraId="6A9C651B"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-0.065</w:t>
            </w:r>
          </w:p>
        </w:tc>
        <w:tc>
          <w:tcPr>
            <w:tcW w:w="217" w:type="pct"/>
            <w:tcBorders>
              <w:top w:val="single" w:sz="4" w:space="0" w:color="auto"/>
              <w:bottom w:val="single" w:sz="4" w:space="0" w:color="auto"/>
              <w:right w:val="single" w:sz="18" w:space="0" w:color="auto"/>
            </w:tcBorders>
            <w:vAlign w:val="center"/>
          </w:tcPr>
          <w:p w14:paraId="0CDFBDD7"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-1.009</w:t>
            </w:r>
          </w:p>
        </w:tc>
        <w:tc>
          <w:tcPr>
            <w:tcW w:w="268" w:type="pct"/>
            <w:tcBorders>
              <w:top w:val="single" w:sz="4" w:space="0" w:color="auto"/>
              <w:left w:val="single" w:sz="18" w:space="0" w:color="auto"/>
              <w:bottom w:val="single" w:sz="4" w:space="0" w:color="auto"/>
            </w:tcBorders>
            <w:vAlign w:val="center"/>
          </w:tcPr>
          <w:p w14:paraId="7E828C56"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0.020</w:t>
            </w:r>
          </w:p>
        </w:tc>
        <w:tc>
          <w:tcPr>
            <w:tcW w:w="189" w:type="pct"/>
            <w:tcBorders>
              <w:top w:val="single" w:sz="4" w:space="0" w:color="auto"/>
              <w:bottom w:val="single" w:sz="4" w:space="0" w:color="auto"/>
            </w:tcBorders>
            <w:vAlign w:val="center"/>
          </w:tcPr>
          <w:p w14:paraId="714EB806" w14:textId="06E1E620" w:rsidR="003C41E1" w:rsidRPr="00480C56" w:rsidRDefault="003C41E1" w:rsidP="003C41E1">
            <w:pPr>
              <w:tabs>
                <w:tab w:val="decimal" w:pos="188"/>
              </w:tabs>
              <w:jc w:val="center"/>
              <w:rPr>
                <w:rFonts w:cstheme="minorHAnsi"/>
                <w:sz w:val="20"/>
                <w:szCs w:val="20"/>
              </w:rPr>
            </w:pPr>
            <w:r w:rsidRPr="00480C56">
              <w:rPr>
                <w:rFonts w:cstheme="minorHAnsi"/>
                <w:sz w:val="20"/>
                <w:szCs w:val="20"/>
              </w:rPr>
              <w:t>0.30</w:t>
            </w:r>
          </w:p>
        </w:tc>
      </w:tr>
      <w:tr w:rsidR="003C41E1" w:rsidRPr="00480C56" w14:paraId="1A407BB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5AD31448" w14:textId="2F3CFE4B" w:rsidR="003C41E1" w:rsidRPr="00480C56" w:rsidRDefault="003C41E1" w:rsidP="003C41E1">
            <w:pPr>
              <w:jc w:val="left"/>
              <w:rPr>
                <w:rFonts w:cstheme="minorHAnsi"/>
                <w:sz w:val="20"/>
                <w:szCs w:val="20"/>
              </w:rPr>
            </w:pPr>
            <w:r w:rsidRPr="00480C56">
              <w:rPr>
                <w:rFonts w:cstheme="minorHAnsi"/>
                <w:sz w:val="20"/>
                <w:szCs w:val="20"/>
              </w:rPr>
              <w:t>Save time</w:t>
            </w:r>
          </w:p>
        </w:tc>
        <w:tc>
          <w:tcPr>
            <w:tcW w:w="211" w:type="pct"/>
            <w:tcBorders>
              <w:top w:val="single" w:sz="4" w:space="0" w:color="auto"/>
              <w:left w:val="single" w:sz="18" w:space="0" w:color="auto"/>
              <w:bottom w:val="single" w:sz="4" w:space="0" w:color="auto"/>
            </w:tcBorders>
            <w:vAlign w:val="center"/>
          </w:tcPr>
          <w:p w14:paraId="6EBDE4B2"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05FB7901"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1B5DC40D"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single" w:sz="4" w:space="0" w:color="auto"/>
            </w:tcBorders>
            <w:vAlign w:val="center"/>
          </w:tcPr>
          <w:p w14:paraId="7736F266"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1FE1E6E" w14:textId="77777777" w:rsidR="003C41E1" w:rsidRPr="00480C56" w:rsidRDefault="003C41E1" w:rsidP="003C41E1">
            <w:pPr>
              <w:tabs>
                <w:tab w:val="decimal" w:pos="202"/>
              </w:tabs>
              <w:jc w:val="center"/>
              <w:rPr>
                <w:rFonts w:cstheme="minorHAnsi"/>
                <w:sz w:val="20"/>
                <w:szCs w:val="20"/>
              </w:rPr>
            </w:pPr>
          </w:p>
        </w:tc>
        <w:tc>
          <w:tcPr>
            <w:tcW w:w="242" w:type="pct"/>
            <w:tcBorders>
              <w:top w:val="single" w:sz="4" w:space="0" w:color="auto"/>
              <w:bottom w:val="single" w:sz="4" w:space="0" w:color="auto"/>
              <w:right w:val="single" w:sz="18" w:space="0" w:color="auto"/>
            </w:tcBorders>
            <w:vAlign w:val="center"/>
          </w:tcPr>
          <w:p w14:paraId="5CE220AD"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A0C67F5" w14:textId="77777777" w:rsidR="003C41E1" w:rsidRPr="00480C56" w:rsidRDefault="003C41E1" w:rsidP="003C41E1">
            <w:pPr>
              <w:tabs>
                <w:tab w:val="decimal" w:pos="238"/>
              </w:tabs>
              <w:jc w:val="center"/>
              <w:rPr>
                <w:rFonts w:cstheme="minorHAnsi"/>
                <w:sz w:val="20"/>
                <w:szCs w:val="20"/>
              </w:rPr>
            </w:pPr>
          </w:p>
        </w:tc>
        <w:tc>
          <w:tcPr>
            <w:tcW w:w="221" w:type="pct"/>
            <w:gridSpan w:val="2"/>
            <w:tcBorders>
              <w:top w:val="single" w:sz="4" w:space="0" w:color="auto"/>
              <w:bottom w:val="single" w:sz="4" w:space="0" w:color="auto"/>
              <w:right w:val="single" w:sz="18" w:space="0" w:color="auto"/>
            </w:tcBorders>
            <w:vAlign w:val="center"/>
          </w:tcPr>
          <w:p w14:paraId="78FD1D68"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15E2534" w14:textId="77777777" w:rsidR="003C41E1" w:rsidRPr="00480C56" w:rsidRDefault="003C41E1" w:rsidP="003C41E1">
            <w:pPr>
              <w:tabs>
                <w:tab w:val="decimal" w:pos="239"/>
              </w:tabs>
              <w:jc w:val="center"/>
              <w:rPr>
                <w:rFonts w:cstheme="minorHAnsi"/>
                <w:sz w:val="20"/>
                <w:szCs w:val="20"/>
              </w:rPr>
            </w:pPr>
            <w:r w:rsidRPr="00480C56">
              <w:rPr>
                <w:rFonts w:cstheme="minorHAnsi"/>
                <w:sz w:val="20"/>
                <w:szCs w:val="20"/>
              </w:rPr>
              <w:t>1.000</w:t>
            </w:r>
          </w:p>
        </w:tc>
        <w:tc>
          <w:tcPr>
            <w:tcW w:w="202" w:type="pct"/>
            <w:tcBorders>
              <w:top w:val="single" w:sz="4" w:space="0" w:color="auto"/>
              <w:bottom w:val="single" w:sz="4" w:space="0" w:color="auto"/>
              <w:right w:val="single" w:sz="18" w:space="0" w:color="auto"/>
            </w:tcBorders>
            <w:vAlign w:val="center"/>
          </w:tcPr>
          <w:p w14:paraId="33C610A3" w14:textId="46FEA4EE"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single" w:sz="4" w:space="0" w:color="auto"/>
            </w:tcBorders>
            <w:vAlign w:val="center"/>
          </w:tcPr>
          <w:p w14:paraId="50790166"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0.369</w:t>
            </w:r>
          </w:p>
        </w:tc>
        <w:tc>
          <w:tcPr>
            <w:tcW w:w="204" w:type="pct"/>
            <w:tcBorders>
              <w:top w:val="single" w:sz="4" w:space="0" w:color="auto"/>
              <w:bottom w:val="single" w:sz="4" w:space="0" w:color="auto"/>
              <w:right w:val="single" w:sz="18" w:space="0" w:color="auto"/>
            </w:tcBorders>
            <w:vAlign w:val="center"/>
          </w:tcPr>
          <w:p w14:paraId="4D378B22" w14:textId="024FC878" w:rsidR="003C41E1" w:rsidRPr="00480C56" w:rsidRDefault="003C41E1" w:rsidP="003C41E1">
            <w:pPr>
              <w:tabs>
                <w:tab w:val="decimal" w:pos="231"/>
              </w:tabs>
              <w:jc w:val="center"/>
              <w:rPr>
                <w:rFonts w:cstheme="minorHAnsi"/>
                <w:sz w:val="20"/>
                <w:szCs w:val="20"/>
              </w:rPr>
            </w:pPr>
            <w:r w:rsidRPr="00480C56">
              <w:rPr>
                <w:rFonts w:cstheme="minorHAnsi"/>
                <w:sz w:val="20"/>
                <w:szCs w:val="20"/>
              </w:rPr>
              <w:t>5.56</w:t>
            </w:r>
          </w:p>
        </w:tc>
        <w:tc>
          <w:tcPr>
            <w:tcW w:w="239" w:type="pct"/>
            <w:tcBorders>
              <w:top w:val="single" w:sz="4" w:space="0" w:color="auto"/>
              <w:left w:val="single" w:sz="18" w:space="0" w:color="auto"/>
              <w:bottom w:val="single" w:sz="4" w:space="0" w:color="auto"/>
            </w:tcBorders>
            <w:vAlign w:val="center"/>
          </w:tcPr>
          <w:p w14:paraId="66E17276"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0.239</w:t>
            </w:r>
          </w:p>
        </w:tc>
        <w:tc>
          <w:tcPr>
            <w:tcW w:w="217" w:type="pct"/>
            <w:tcBorders>
              <w:top w:val="single" w:sz="4" w:space="0" w:color="auto"/>
              <w:bottom w:val="single" w:sz="4" w:space="0" w:color="auto"/>
              <w:right w:val="single" w:sz="18" w:space="0" w:color="auto"/>
            </w:tcBorders>
            <w:vAlign w:val="center"/>
          </w:tcPr>
          <w:p w14:paraId="71F11445"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3.353</w:t>
            </w:r>
          </w:p>
        </w:tc>
        <w:tc>
          <w:tcPr>
            <w:tcW w:w="268" w:type="pct"/>
            <w:tcBorders>
              <w:top w:val="single" w:sz="4" w:space="0" w:color="auto"/>
              <w:left w:val="single" w:sz="18" w:space="0" w:color="auto"/>
              <w:bottom w:val="single" w:sz="4" w:space="0" w:color="auto"/>
            </w:tcBorders>
            <w:vAlign w:val="center"/>
          </w:tcPr>
          <w:p w14:paraId="48A3A17D"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0.125</w:t>
            </w:r>
          </w:p>
        </w:tc>
        <w:tc>
          <w:tcPr>
            <w:tcW w:w="189" w:type="pct"/>
            <w:tcBorders>
              <w:top w:val="single" w:sz="4" w:space="0" w:color="auto"/>
              <w:bottom w:val="single" w:sz="4" w:space="0" w:color="auto"/>
            </w:tcBorders>
            <w:vAlign w:val="center"/>
          </w:tcPr>
          <w:p w14:paraId="48770D27" w14:textId="23460B01" w:rsidR="003C41E1" w:rsidRPr="00480C56" w:rsidRDefault="003C41E1" w:rsidP="003C41E1">
            <w:pPr>
              <w:tabs>
                <w:tab w:val="decimal" w:pos="188"/>
              </w:tabs>
              <w:jc w:val="center"/>
              <w:rPr>
                <w:rFonts w:cstheme="minorHAnsi"/>
                <w:sz w:val="20"/>
                <w:szCs w:val="20"/>
              </w:rPr>
            </w:pPr>
            <w:r w:rsidRPr="00480C56">
              <w:rPr>
                <w:rFonts w:cstheme="minorHAnsi"/>
                <w:sz w:val="20"/>
                <w:szCs w:val="20"/>
              </w:rPr>
              <w:t>1.82</w:t>
            </w:r>
          </w:p>
        </w:tc>
      </w:tr>
      <w:tr w:rsidR="003C41E1" w:rsidRPr="00480C56" w14:paraId="068CEA68"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36D7008F" w14:textId="267E8859" w:rsidR="003C41E1" w:rsidRPr="00480C56" w:rsidRDefault="003C41E1" w:rsidP="003C41E1">
            <w:pPr>
              <w:jc w:val="left"/>
              <w:rPr>
                <w:rFonts w:cstheme="minorHAnsi"/>
                <w:sz w:val="20"/>
                <w:szCs w:val="20"/>
              </w:rPr>
            </w:pPr>
            <w:r w:rsidRPr="00480C56">
              <w:rPr>
                <w:rFonts w:cstheme="minorHAnsi"/>
                <w:sz w:val="20"/>
                <w:szCs w:val="20"/>
              </w:rPr>
              <w:t>Save money</w:t>
            </w:r>
          </w:p>
        </w:tc>
        <w:tc>
          <w:tcPr>
            <w:tcW w:w="211" w:type="pct"/>
            <w:tcBorders>
              <w:top w:val="single" w:sz="4" w:space="0" w:color="auto"/>
              <w:left w:val="single" w:sz="18" w:space="0" w:color="auto"/>
              <w:bottom w:val="single" w:sz="4" w:space="0" w:color="auto"/>
            </w:tcBorders>
            <w:vAlign w:val="center"/>
          </w:tcPr>
          <w:p w14:paraId="713D490F"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5728BFDB"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515514B1"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single" w:sz="4" w:space="0" w:color="auto"/>
            </w:tcBorders>
            <w:vAlign w:val="center"/>
          </w:tcPr>
          <w:p w14:paraId="4807A5DD"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6872E7C6" w14:textId="77777777" w:rsidR="003C41E1" w:rsidRPr="00480C56" w:rsidRDefault="003C41E1" w:rsidP="003C41E1">
            <w:pPr>
              <w:tabs>
                <w:tab w:val="decimal" w:pos="202"/>
              </w:tabs>
              <w:jc w:val="center"/>
              <w:rPr>
                <w:rFonts w:cstheme="minorHAnsi"/>
                <w:sz w:val="20"/>
                <w:szCs w:val="20"/>
              </w:rPr>
            </w:pPr>
          </w:p>
        </w:tc>
        <w:tc>
          <w:tcPr>
            <w:tcW w:w="242" w:type="pct"/>
            <w:tcBorders>
              <w:top w:val="single" w:sz="4" w:space="0" w:color="auto"/>
              <w:bottom w:val="single" w:sz="4" w:space="0" w:color="auto"/>
              <w:right w:val="single" w:sz="18" w:space="0" w:color="auto"/>
            </w:tcBorders>
            <w:vAlign w:val="center"/>
          </w:tcPr>
          <w:p w14:paraId="1B3284A1"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7C16C4F7" w14:textId="77777777" w:rsidR="003C41E1" w:rsidRPr="00480C56" w:rsidRDefault="003C41E1" w:rsidP="003C41E1">
            <w:pPr>
              <w:tabs>
                <w:tab w:val="decimal" w:pos="238"/>
              </w:tabs>
              <w:jc w:val="center"/>
              <w:rPr>
                <w:rFonts w:cstheme="minorHAnsi"/>
                <w:sz w:val="20"/>
                <w:szCs w:val="20"/>
              </w:rPr>
            </w:pPr>
          </w:p>
        </w:tc>
        <w:tc>
          <w:tcPr>
            <w:tcW w:w="221" w:type="pct"/>
            <w:gridSpan w:val="2"/>
            <w:tcBorders>
              <w:top w:val="single" w:sz="4" w:space="0" w:color="auto"/>
              <w:bottom w:val="single" w:sz="4" w:space="0" w:color="auto"/>
              <w:right w:val="single" w:sz="18" w:space="0" w:color="auto"/>
            </w:tcBorders>
            <w:vAlign w:val="center"/>
          </w:tcPr>
          <w:p w14:paraId="108F2594"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EA15D54" w14:textId="77777777" w:rsidR="003C41E1" w:rsidRPr="00480C56" w:rsidRDefault="003C41E1" w:rsidP="003C41E1">
            <w:pPr>
              <w:tabs>
                <w:tab w:val="decimal" w:pos="239"/>
              </w:tabs>
              <w:jc w:val="center"/>
              <w:rPr>
                <w:rFonts w:cstheme="minorHAnsi"/>
                <w:sz w:val="20"/>
                <w:szCs w:val="20"/>
              </w:rPr>
            </w:pPr>
          </w:p>
        </w:tc>
        <w:tc>
          <w:tcPr>
            <w:tcW w:w="202" w:type="pct"/>
            <w:tcBorders>
              <w:top w:val="single" w:sz="4" w:space="0" w:color="auto"/>
              <w:bottom w:val="single" w:sz="4" w:space="0" w:color="auto"/>
              <w:right w:val="single" w:sz="18" w:space="0" w:color="auto"/>
            </w:tcBorders>
            <w:vAlign w:val="center"/>
          </w:tcPr>
          <w:p w14:paraId="6F86530D"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0F2D1D60" w14:textId="77777777" w:rsidR="003C41E1" w:rsidRPr="00480C56" w:rsidRDefault="003C41E1" w:rsidP="003C41E1">
            <w:pPr>
              <w:tabs>
                <w:tab w:val="decimal" w:pos="238"/>
              </w:tabs>
              <w:jc w:val="center"/>
              <w:rPr>
                <w:rFonts w:cstheme="minorHAnsi"/>
                <w:sz w:val="20"/>
                <w:szCs w:val="20"/>
              </w:rPr>
            </w:pPr>
            <w:r w:rsidRPr="00480C56">
              <w:rPr>
                <w:rFonts w:cstheme="minorHAnsi"/>
                <w:sz w:val="20"/>
                <w:szCs w:val="20"/>
              </w:rPr>
              <w:t>1.000</w:t>
            </w:r>
          </w:p>
        </w:tc>
        <w:tc>
          <w:tcPr>
            <w:tcW w:w="204" w:type="pct"/>
            <w:tcBorders>
              <w:top w:val="single" w:sz="4" w:space="0" w:color="auto"/>
              <w:bottom w:val="single" w:sz="4" w:space="0" w:color="auto"/>
              <w:right w:val="single" w:sz="18" w:space="0" w:color="auto"/>
            </w:tcBorders>
            <w:vAlign w:val="center"/>
          </w:tcPr>
          <w:p w14:paraId="50CCA4E5" w14:textId="4841D46C" w:rsidR="003C41E1" w:rsidRPr="00480C56" w:rsidRDefault="003C41E1" w:rsidP="003C41E1">
            <w:pPr>
              <w:tabs>
                <w:tab w:val="decimal" w:pos="23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single" w:sz="4" w:space="0" w:color="auto"/>
            </w:tcBorders>
            <w:vAlign w:val="center"/>
          </w:tcPr>
          <w:p w14:paraId="55DEC7CC"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0.233</w:t>
            </w:r>
          </w:p>
        </w:tc>
        <w:tc>
          <w:tcPr>
            <w:tcW w:w="217" w:type="pct"/>
            <w:tcBorders>
              <w:top w:val="single" w:sz="4" w:space="0" w:color="auto"/>
              <w:bottom w:val="single" w:sz="4" w:space="0" w:color="auto"/>
              <w:right w:val="single" w:sz="18" w:space="0" w:color="auto"/>
            </w:tcBorders>
            <w:vAlign w:val="center"/>
          </w:tcPr>
          <w:p w14:paraId="5EA3B872" w14:textId="77777777" w:rsidR="003C41E1" w:rsidRPr="00480C56" w:rsidRDefault="003C41E1" w:rsidP="003C41E1">
            <w:pPr>
              <w:tabs>
                <w:tab w:val="decimal" w:pos="181"/>
              </w:tabs>
              <w:jc w:val="center"/>
              <w:rPr>
                <w:rFonts w:cstheme="minorHAnsi"/>
                <w:sz w:val="20"/>
                <w:szCs w:val="20"/>
              </w:rPr>
            </w:pPr>
            <w:r w:rsidRPr="00480C56">
              <w:rPr>
                <w:rFonts w:cstheme="minorHAnsi"/>
                <w:sz w:val="20"/>
                <w:szCs w:val="20"/>
              </w:rPr>
              <w:t>3.275</w:t>
            </w:r>
          </w:p>
        </w:tc>
        <w:tc>
          <w:tcPr>
            <w:tcW w:w="268" w:type="pct"/>
            <w:tcBorders>
              <w:top w:val="single" w:sz="4" w:space="0" w:color="auto"/>
              <w:left w:val="single" w:sz="18" w:space="0" w:color="auto"/>
              <w:bottom w:val="single" w:sz="4" w:space="0" w:color="auto"/>
            </w:tcBorders>
            <w:vAlign w:val="center"/>
          </w:tcPr>
          <w:p w14:paraId="49E7D75D"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0.009</w:t>
            </w:r>
          </w:p>
        </w:tc>
        <w:tc>
          <w:tcPr>
            <w:tcW w:w="189" w:type="pct"/>
            <w:tcBorders>
              <w:top w:val="single" w:sz="4" w:space="0" w:color="auto"/>
              <w:bottom w:val="single" w:sz="4" w:space="0" w:color="auto"/>
            </w:tcBorders>
            <w:vAlign w:val="center"/>
          </w:tcPr>
          <w:p w14:paraId="5E3DDE7B" w14:textId="68DD076E" w:rsidR="003C41E1" w:rsidRPr="00480C56" w:rsidRDefault="003C41E1" w:rsidP="003C41E1">
            <w:pPr>
              <w:tabs>
                <w:tab w:val="decimal" w:pos="188"/>
              </w:tabs>
              <w:jc w:val="center"/>
              <w:rPr>
                <w:rFonts w:cstheme="minorHAnsi"/>
                <w:sz w:val="20"/>
                <w:szCs w:val="20"/>
              </w:rPr>
            </w:pPr>
            <w:r w:rsidRPr="00480C56">
              <w:rPr>
                <w:rFonts w:cstheme="minorHAnsi"/>
                <w:sz w:val="20"/>
                <w:szCs w:val="20"/>
              </w:rPr>
              <w:t>0.13</w:t>
            </w:r>
          </w:p>
        </w:tc>
      </w:tr>
      <w:tr w:rsidR="003C41E1" w:rsidRPr="00480C56" w14:paraId="74E89017"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7094376" w14:textId="6EEE2A64" w:rsidR="003C41E1" w:rsidRPr="00480C56" w:rsidRDefault="003C41E1" w:rsidP="003C41E1">
            <w:pPr>
              <w:jc w:val="left"/>
              <w:rPr>
                <w:rFonts w:cstheme="minorHAnsi"/>
                <w:sz w:val="20"/>
                <w:szCs w:val="20"/>
              </w:rPr>
            </w:pPr>
            <w:r w:rsidRPr="00480C56">
              <w:rPr>
                <w:rFonts w:cstheme="minorHAnsi"/>
                <w:sz w:val="20"/>
                <w:szCs w:val="20"/>
              </w:rPr>
              <w:t>Work-life balance</w:t>
            </w:r>
          </w:p>
        </w:tc>
        <w:tc>
          <w:tcPr>
            <w:tcW w:w="211" w:type="pct"/>
            <w:tcBorders>
              <w:top w:val="single" w:sz="4" w:space="0" w:color="auto"/>
              <w:left w:val="single" w:sz="18" w:space="0" w:color="auto"/>
              <w:bottom w:val="single" w:sz="4" w:space="0" w:color="auto"/>
            </w:tcBorders>
            <w:vAlign w:val="center"/>
          </w:tcPr>
          <w:p w14:paraId="696E0219"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single" w:sz="4" w:space="0" w:color="auto"/>
            </w:tcBorders>
            <w:vAlign w:val="center"/>
          </w:tcPr>
          <w:p w14:paraId="3C535911"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648CAECD"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single" w:sz="4" w:space="0" w:color="auto"/>
            </w:tcBorders>
            <w:vAlign w:val="center"/>
          </w:tcPr>
          <w:p w14:paraId="041ACF36"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138BEAD7" w14:textId="77777777" w:rsidR="003C41E1" w:rsidRPr="00480C56" w:rsidRDefault="003C41E1" w:rsidP="003C41E1">
            <w:pPr>
              <w:tabs>
                <w:tab w:val="decimal" w:pos="202"/>
              </w:tabs>
              <w:jc w:val="center"/>
              <w:rPr>
                <w:rFonts w:cstheme="minorHAnsi"/>
                <w:sz w:val="20"/>
                <w:szCs w:val="20"/>
              </w:rPr>
            </w:pPr>
          </w:p>
        </w:tc>
        <w:tc>
          <w:tcPr>
            <w:tcW w:w="242" w:type="pct"/>
            <w:tcBorders>
              <w:top w:val="single" w:sz="4" w:space="0" w:color="auto"/>
              <w:bottom w:val="single" w:sz="4" w:space="0" w:color="auto"/>
              <w:right w:val="single" w:sz="18" w:space="0" w:color="auto"/>
            </w:tcBorders>
            <w:vAlign w:val="center"/>
          </w:tcPr>
          <w:p w14:paraId="79BCF1A0"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08E77D1" w14:textId="77777777" w:rsidR="003C41E1" w:rsidRPr="00480C56" w:rsidRDefault="003C41E1" w:rsidP="003C41E1">
            <w:pPr>
              <w:tabs>
                <w:tab w:val="decimal" w:pos="238"/>
              </w:tabs>
              <w:jc w:val="center"/>
              <w:rPr>
                <w:rFonts w:cstheme="minorHAnsi"/>
                <w:sz w:val="20"/>
                <w:szCs w:val="20"/>
              </w:rPr>
            </w:pPr>
          </w:p>
        </w:tc>
        <w:tc>
          <w:tcPr>
            <w:tcW w:w="221" w:type="pct"/>
            <w:gridSpan w:val="2"/>
            <w:tcBorders>
              <w:top w:val="single" w:sz="4" w:space="0" w:color="auto"/>
              <w:bottom w:val="single" w:sz="4" w:space="0" w:color="auto"/>
              <w:right w:val="single" w:sz="18" w:space="0" w:color="auto"/>
            </w:tcBorders>
            <w:vAlign w:val="center"/>
          </w:tcPr>
          <w:p w14:paraId="54976DF5"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50623276" w14:textId="77777777" w:rsidR="003C41E1" w:rsidRPr="00480C56" w:rsidRDefault="003C41E1" w:rsidP="003C41E1">
            <w:pPr>
              <w:tabs>
                <w:tab w:val="decimal" w:pos="239"/>
              </w:tabs>
              <w:jc w:val="center"/>
              <w:rPr>
                <w:rFonts w:cstheme="minorHAnsi"/>
                <w:sz w:val="20"/>
                <w:szCs w:val="20"/>
              </w:rPr>
            </w:pPr>
          </w:p>
        </w:tc>
        <w:tc>
          <w:tcPr>
            <w:tcW w:w="202" w:type="pct"/>
            <w:tcBorders>
              <w:top w:val="single" w:sz="4" w:space="0" w:color="auto"/>
              <w:bottom w:val="single" w:sz="4" w:space="0" w:color="auto"/>
              <w:right w:val="single" w:sz="18" w:space="0" w:color="auto"/>
            </w:tcBorders>
            <w:vAlign w:val="center"/>
          </w:tcPr>
          <w:p w14:paraId="6236A644"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659570E4" w14:textId="77777777" w:rsidR="003C41E1" w:rsidRPr="00480C56" w:rsidRDefault="003C41E1" w:rsidP="003C41E1">
            <w:pPr>
              <w:tabs>
                <w:tab w:val="decimal" w:pos="238"/>
              </w:tabs>
              <w:jc w:val="center"/>
              <w:rPr>
                <w:rFonts w:cstheme="minorHAnsi"/>
                <w:sz w:val="20"/>
                <w:szCs w:val="20"/>
              </w:rPr>
            </w:pPr>
          </w:p>
        </w:tc>
        <w:tc>
          <w:tcPr>
            <w:tcW w:w="204" w:type="pct"/>
            <w:tcBorders>
              <w:top w:val="single" w:sz="4" w:space="0" w:color="auto"/>
              <w:bottom w:val="single" w:sz="4" w:space="0" w:color="auto"/>
              <w:right w:val="single" w:sz="18" w:space="0" w:color="auto"/>
            </w:tcBorders>
            <w:vAlign w:val="center"/>
          </w:tcPr>
          <w:p w14:paraId="3118D423"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08F1F7A" w14:textId="77777777" w:rsidR="003C41E1" w:rsidRPr="00480C56" w:rsidRDefault="003C41E1" w:rsidP="003C41E1">
            <w:pPr>
              <w:tabs>
                <w:tab w:val="decimal" w:pos="195"/>
              </w:tabs>
              <w:jc w:val="center"/>
              <w:rPr>
                <w:rFonts w:cstheme="minorHAnsi"/>
                <w:sz w:val="20"/>
                <w:szCs w:val="20"/>
              </w:rPr>
            </w:pPr>
            <w:r w:rsidRPr="00480C56">
              <w:rPr>
                <w:rFonts w:cstheme="minorHAnsi"/>
                <w:sz w:val="20"/>
                <w:szCs w:val="20"/>
              </w:rPr>
              <w:t>1.000</w:t>
            </w:r>
          </w:p>
        </w:tc>
        <w:tc>
          <w:tcPr>
            <w:tcW w:w="217" w:type="pct"/>
            <w:tcBorders>
              <w:top w:val="single" w:sz="4" w:space="0" w:color="auto"/>
              <w:bottom w:val="single" w:sz="4" w:space="0" w:color="auto"/>
              <w:right w:val="single" w:sz="18" w:space="0" w:color="auto"/>
            </w:tcBorders>
            <w:vAlign w:val="center"/>
          </w:tcPr>
          <w:p w14:paraId="2DB76037" w14:textId="4308FBE3"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68" w:type="pct"/>
            <w:tcBorders>
              <w:top w:val="single" w:sz="4" w:space="0" w:color="auto"/>
              <w:left w:val="single" w:sz="18" w:space="0" w:color="auto"/>
              <w:bottom w:val="single" w:sz="4" w:space="0" w:color="auto"/>
            </w:tcBorders>
            <w:vAlign w:val="center"/>
          </w:tcPr>
          <w:p w14:paraId="6EF2F019"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0.007</w:t>
            </w:r>
          </w:p>
        </w:tc>
        <w:tc>
          <w:tcPr>
            <w:tcW w:w="189" w:type="pct"/>
            <w:tcBorders>
              <w:top w:val="single" w:sz="4" w:space="0" w:color="auto"/>
              <w:bottom w:val="single" w:sz="4" w:space="0" w:color="auto"/>
            </w:tcBorders>
            <w:vAlign w:val="center"/>
          </w:tcPr>
          <w:p w14:paraId="78F1F247" w14:textId="4579EBC2" w:rsidR="003C41E1" w:rsidRPr="00480C56" w:rsidRDefault="003C41E1" w:rsidP="003C41E1">
            <w:pPr>
              <w:tabs>
                <w:tab w:val="decimal" w:pos="188"/>
              </w:tabs>
              <w:jc w:val="center"/>
              <w:rPr>
                <w:rFonts w:cstheme="minorHAnsi"/>
                <w:sz w:val="20"/>
                <w:szCs w:val="20"/>
              </w:rPr>
            </w:pPr>
            <w:r w:rsidRPr="00480C56">
              <w:rPr>
                <w:rFonts w:cstheme="minorHAnsi"/>
                <w:sz w:val="20"/>
                <w:szCs w:val="20"/>
              </w:rPr>
              <w:t>0.10</w:t>
            </w:r>
          </w:p>
        </w:tc>
      </w:tr>
      <w:tr w:rsidR="003C41E1" w:rsidRPr="00480C56" w14:paraId="068D8A73" w14:textId="77777777" w:rsidTr="002D67AE">
        <w:trPr>
          <w:trHeight w:val="144"/>
        </w:trPr>
        <w:tc>
          <w:tcPr>
            <w:tcW w:w="1345" w:type="pct"/>
            <w:tcBorders>
              <w:top w:val="single" w:sz="4" w:space="0" w:color="auto"/>
              <w:bottom w:val="double" w:sz="4" w:space="0" w:color="auto"/>
              <w:right w:val="single" w:sz="18" w:space="0" w:color="auto"/>
            </w:tcBorders>
            <w:vAlign w:val="center"/>
          </w:tcPr>
          <w:p w14:paraId="18ECBDC4" w14:textId="5EB4E4BD" w:rsidR="003C41E1" w:rsidRPr="00480C56" w:rsidRDefault="003C41E1" w:rsidP="003C41E1">
            <w:pPr>
              <w:jc w:val="left"/>
              <w:rPr>
                <w:rFonts w:cstheme="minorHAnsi"/>
                <w:sz w:val="20"/>
                <w:szCs w:val="20"/>
              </w:rPr>
            </w:pPr>
            <w:r w:rsidRPr="00480C56">
              <w:rPr>
                <w:rFonts w:cstheme="minorHAnsi"/>
                <w:sz w:val="20"/>
                <w:szCs w:val="20"/>
              </w:rPr>
              <w:t>Work environment</w:t>
            </w:r>
          </w:p>
        </w:tc>
        <w:tc>
          <w:tcPr>
            <w:tcW w:w="211" w:type="pct"/>
            <w:tcBorders>
              <w:top w:val="single" w:sz="4" w:space="0" w:color="auto"/>
              <w:left w:val="single" w:sz="18" w:space="0" w:color="auto"/>
              <w:bottom w:val="double" w:sz="4" w:space="0" w:color="auto"/>
            </w:tcBorders>
            <w:vAlign w:val="center"/>
          </w:tcPr>
          <w:p w14:paraId="4D38C1F9" w14:textId="77777777" w:rsidR="003C41E1" w:rsidRPr="00480C56" w:rsidRDefault="003C41E1" w:rsidP="003C41E1">
            <w:pPr>
              <w:tabs>
                <w:tab w:val="decimal" w:pos="167"/>
              </w:tabs>
              <w:jc w:val="center"/>
              <w:rPr>
                <w:rFonts w:cstheme="minorHAnsi"/>
                <w:sz w:val="20"/>
                <w:szCs w:val="20"/>
              </w:rPr>
            </w:pPr>
          </w:p>
        </w:tc>
        <w:tc>
          <w:tcPr>
            <w:tcW w:w="185" w:type="pct"/>
            <w:tcBorders>
              <w:top w:val="single" w:sz="4" w:space="0" w:color="auto"/>
              <w:bottom w:val="double" w:sz="4" w:space="0" w:color="auto"/>
            </w:tcBorders>
            <w:vAlign w:val="center"/>
          </w:tcPr>
          <w:p w14:paraId="15764906"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double" w:sz="4" w:space="0" w:color="auto"/>
            </w:tcBorders>
            <w:vAlign w:val="center"/>
          </w:tcPr>
          <w:p w14:paraId="75DC1D4E" w14:textId="77777777" w:rsidR="003C41E1" w:rsidRPr="00480C56" w:rsidRDefault="003C41E1" w:rsidP="003C41E1">
            <w:pPr>
              <w:tabs>
                <w:tab w:val="decimal" w:pos="170"/>
              </w:tabs>
              <w:jc w:val="center"/>
              <w:rPr>
                <w:rFonts w:cstheme="minorHAnsi"/>
                <w:sz w:val="20"/>
                <w:szCs w:val="20"/>
              </w:rPr>
            </w:pPr>
          </w:p>
        </w:tc>
        <w:tc>
          <w:tcPr>
            <w:tcW w:w="204" w:type="pct"/>
            <w:tcBorders>
              <w:top w:val="single" w:sz="4" w:space="0" w:color="auto"/>
              <w:bottom w:val="double" w:sz="4" w:space="0" w:color="auto"/>
            </w:tcBorders>
            <w:vAlign w:val="center"/>
          </w:tcPr>
          <w:p w14:paraId="185D2709"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double" w:sz="4" w:space="0" w:color="auto"/>
            </w:tcBorders>
            <w:vAlign w:val="center"/>
          </w:tcPr>
          <w:p w14:paraId="48AF34BF" w14:textId="77777777" w:rsidR="003C41E1" w:rsidRPr="00480C56" w:rsidRDefault="003C41E1" w:rsidP="003C41E1">
            <w:pPr>
              <w:tabs>
                <w:tab w:val="decimal" w:pos="202"/>
              </w:tabs>
              <w:jc w:val="center"/>
              <w:rPr>
                <w:rFonts w:cstheme="minorHAnsi"/>
                <w:sz w:val="20"/>
                <w:szCs w:val="20"/>
              </w:rPr>
            </w:pPr>
          </w:p>
        </w:tc>
        <w:tc>
          <w:tcPr>
            <w:tcW w:w="242" w:type="pct"/>
            <w:tcBorders>
              <w:top w:val="single" w:sz="4" w:space="0" w:color="auto"/>
              <w:bottom w:val="double" w:sz="4" w:space="0" w:color="auto"/>
              <w:right w:val="single" w:sz="18" w:space="0" w:color="auto"/>
            </w:tcBorders>
            <w:vAlign w:val="center"/>
          </w:tcPr>
          <w:p w14:paraId="0487713C"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double" w:sz="4" w:space="0" w:color="auto"/>
            </w:tcBorders>
            <w:vAlign w:val="center"/>
          </w:tcPr>
          <w:p w14:paraId="5B0FC936" w14:textId="77777777" w:rsidR="003C41E1" w:rsidRPr="00480C56" w:rsidRDefault="003C41E1" w:rsidP="003C41E1">
            <w:pPr>
              <w:tabs>
                <w:tab w:val="decimal" w:pos="238"/>
              </w:tabs>
              <w:jc w:val="center"/>
              <w:rPr>
                <w:rFonts w:cstheme="minorHAnsi"/>
                <w:sz w:val="20"/>
                <w:szCs w:val="20"/>
              </w:rPr>
            </w:pPr>
          </w:p>
        </w:tc>
        <w:tc>
          <w:tcPr>
            <w:tcW w:w="221" w:type="pct"/>
            <w:gridSpan w:val="2"/>
            <w:tcBorders>
              <w:top w:val="single" w:sz="4" w:space="0" w:color="auto"/>
              <w:bottom w:val="double" w:sz="4" w:space="0" w:color="auto"/>
              <w:right w:val="single" w:sz="18" w:space="0" w:color="auto"/>
            </w:tcBorders>
            <w:vAlign w:val="center"/>
          </w:tcPr>
          <w:p w14:paraId="07A70239"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double" w:sz="4" w:space="0" w:color="auto"/>
            </w:tcBorders>
            <w:vAlign w:val="center"/>
          </w:tcPr>
          <w:p w14:paraId="2D0D03E0" w14:textId="77777777" w:rsidR="003C41E1" w:rsidRPr="00480C56" w:rsidRDefault="003C41E1" w:rsidP="003C41E1">
            <w:pPr>
              <w:tabs>
                <w:tab w:val="decimal" w:pos="239"/>
              </w:tabs>
              <w:jc w:val="center"/>
              <w:rPr>
                <w:rFonts w:cstheme="minorHAnsi"/>
                <w:sz w:val="20"/>
                <w:szCs w:val="20"/>
              </w:rPr>
            </w:pPr>
          </w:p>
        </w:tc>
        <w:tc>
          <w:tcPr>
            <w:tcW w:w="202" w:type="pct"/>
            <w:tcBorders>
              <w:top w:val="single" w:sz="4" w:space="0" w:color="auto"/>
              <w:bottom w:val="double" w:sz="4" w:space="0" w:color="auto"/>
              <w:right w:val="single" w:sz="18" w:space="0" w:color="auto"/>
            </w:tcBorders>
            <w:vAlign w:val="center"/>
          </w:tcPr>
          <w:p w14:paraId="675A6092"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double" w:sz="4" w:space="0" w:color="auto"/>
            </w:tcBorders>
            <w:vAlign w:val="center"/>
          </w:tcPr>
          <w:p w14:paraId="1137A3B9" w14:textId="77777777" w:rsidR="003C41E1" w:rsidRPr="00480C56" w:rsidRDefault="003C41E1" w:rsidP="003C41E1">
            <w:pPr>
              <w:tabs>
                <w:tab w:val="decimal" w:pos="238"/>
              </w:tabs>
              <w:jc w:val="center"/>
              <w:rPr>
                <w:rFonts w:cstheme="minorHAnsi"/>
                <w:sz w:val="20"/>
                <w:szCs w:val="20"/>
              </w:rPr>
            </w:pPr>
          </w:p>
        </w:tc>
        <w:tc>
          <w:tcPr>
            <w:tcW w:w="204" w:type="pct"/>
            <w:tcBorders>
              <w:top w:val="single" w:sz="4" w:space="0" w:color="auto"/>
              <w:bottom w:val="double" w:sz="4" w:space="0" w:color="auto"/>
              <w:right w:val="single" w:sz="18" w:space="0" w:color="auto"/>
            </w:tcBorders>
            <w:vAlign w:val="center"/>
          </w:tcPr>
          <w:p w14:paraId="1E90AC27"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double" w:sz="4" w:space="0" w:color="auto"/>
            </w:tcBorders>
            <w:vAlign w:val="center"/>
          </w:tcPr>
          <w:p w14:paraId="2F2913A2" w14:textId="77777777" w:rsidR="003C41E1" w:rsidRPr="00480C56" w:rsidRDefault="003C41E1" w:rsidP="003C41E1">
            <w:pPr>
              <w:tabs>
                <w:tab w:val="decimal" w:pos="195"/>
              </w:tabs>
              <w:jc w:val="center"/>
              <w:rPr>
                <w:rFonts w:cstheme="minorHAnsi"/>
                <w:sz w:val="20"/>
                <w:szCs w:val="20"/>
              </w:rPr>
            </w:pPr>
          </w:p>
        </w:tc>
        <w:tc>
          <w:tcPr>
            <w:tcW w:w="217" w:type="pct"/>
            <w:tcBorders>
              <w:top w:val="single" w:sz="4" w:space="0" w:color="auto"/>
              <w:bottom w:val="double" w:sz="4" w:space="0" w:color="auto"/>
              <w:right w:val="single" w:sz="18" w:space="0" w:color="auto"/>
            </w:tcBorders>
            <w:vAlign w:val="center"/>
          </w:tcPr>
          <w:p w14:paraId="55E301EC"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double" w:sz="4" w:space="0" w:color="auto"/>
            </w:tcBorders>
            <w:vAlign w:val="center"/>
          </w:tcPr>
          <w:p w14:paraId="00CD8CEF" w14:textId="77777777" w:rsidR="003C41E1" w:rsidRPr="00480C56" w:rsidRDefault="003C41E1" w:rsidP="003C41E1">
            <w:pPr>
              <w:tabs>
                <w:tab w:val="decimal" w:pos="189"/>
              </w:tabs>
              <w:jc w:val="center"/>
              <w:rPr>
                <w:rFonts w:cstheme="minorHAnsi"/>
                <w:sz w:val="20"/>
                <w:szCs w:val="20"/>
              </w:rPr>
            </w:pPr>
            <w:r w:rsidRPr="00480C56">
              <w:rPr>
                <w:rFonts w:cstheme="minorHAnsi"/>
                <w:sz w:val="20"/>
                <w:szCs w:val="20"/>
              </w:rPr>
              <w:t>1.000</w:t>
            </w:r>
          </w:p>
        </w:tc>
        <w:tc>
          <w:tcPr>
            <w:tcW w:w="189" w:type="pct"/>
            <w:tcBorders>
              <w:top w:val="single" w:sz="4" w:space="0" w:color="auto"/>
              <w:bottom w:val="double" w:sz="4" w:space="0" w:color="auto"/>
            </w:tcBorders>
            <w:vAlign w:val="center"/>
          </w:tcPr>
          <w:p w14:paraId="68A46A43" w14:textId="797D6ED9" w:rsidR="003C41E1" w:rsidRPr="00480C56" w:rsidRDefault="003C41E1" w:rsidP="003C41E1">
            <w:pPr>
              <w:tabs>
                <w:tab w:val="decimal" w:pos="188"/>
              </w:tabs>
              <w:jc w:val="center"/>
              <w:rPr>
                <w:rFonts w:cstheme="minorHAnsi"/>
                <w:sz w:val="20"/>
                <w:szCs w:val="20"/>
              </w:rPr>
            </w:pPr>
            <w:r>
              <w:rPr>
                <w:rFonts w:cstheme="minorHAnsi"/>
                <w:sz w:val="20"/>
                <w:szCs w:val="20"/>
              </w:rPr>
              <w:t>—</w:t>
            </w:r>
          </w:p>
        </w:tc>
      </w:tr>
      <w:tr w:rsidR="003C41E1" w:rsidRPr="00480C56" w14:paraId="68B2C341" w14:textId="77777777" w:rsidTr="002D67AE">
        <w:trPr>
          <w:trHeight w:val="144"/>
        </w:trPr>
        <w:tc>
          <w:tcPr>
            <w:tcW w:w="1345" w:type="pct"/>
            <w:tcBorders>
              <w:top w:val="single" w:sz="4" w:space="0" w:color="auto"/>
              <w:bottom w:val="double" w:sz="4" w:space="0" w:color="auto"/>
              <w:right w:val="single" w:sz="18" w:space="0" w:color="auto"/>
            </w:tcBorders>
            <w:vAlign w:val="center"/>
          </w:tcPr>
          <w:p w14:paraId="671E35B8" w14:textId="362F4172" w:rsidR="003C41E1" w:rsidRPr="00CB05D3" w:rsidRDefault="003C41E1" w:rsidP="003C41E1">
            <w:pPr>
              <w:jc w:val="left"/>
              <w:rPr>
                <w:rFonts w:cstheme="minorHAnsi"/>
                <w:b/>
                <w:bCs/>
                <w:sz w:val="20"/>
                <w:szCs w:val="20"/>
              </w:rPr>
            </w:pPr>
            <w:r w:rsidRPr="00CB05D3">
              <w:rPr>
                <w:rFonts w:cstheme="minorHAnsi"/>
                <w:b/>
                <w:bCs/>
                <w:sz w:val="20"/>
                <w:szCs w:val="20"/>
              </w:rPr>
              <w:t>Scales</w:t>
            </w:r>
          </w:p>
        </w:tc>
        <w:tc>
          <w:tcPr>
            <w:tcW w:w="211" w:type="pct"/>
            <w:tcBorders>
              <w:top w:val="single" w:sz="4" w:space="0" w:color="auto"/>
              <w:left w:val="single" w:sz="18" w:space="0" w:color="auto"/>
              <w:bottom w:val="double" w:sz="4" w:space="0" w:color="auto"/>
            </w:tcBorders>
            <w:vAlign w:val="center"/>
          </w:tcPr>
          <w:p w14:paraId="0CFFD33A" w14:textId="6E8FAE0B" w:rsidR="003C41E1" w:rsidRPr="00480C56" w:rsidRDefault="003C41E1" w:rsidP="003C41E1">
            <w:pPr>
              <w:tabs>
                <w:tab w:val="decimal" w:pos="167"/>
              </w:tabs>
              <w:jc w:val="center"/>
              <w:rPr>
                <w:rFonts w:cstheme="minorHAnsi"/>
                <w:sz w:val="20"/>
                <w:szCs w:val="20"/>
              </w:rPr>
            </w:pPr>
            <w:r>
              <w:rPr>
                <w:rFonts w:cstheme="minorHAnsi"/>
                <w:sz w:val="20"/>
                <w:szCs w:val="20"/>
              </w:rPr>
              <w:t>1.000</w:t>
            </w:r>
          </w:p>
        </w:tc>
        <w:tc>
          <w:tcPr>
            <w:tcW w:w="185" w:type="pct"/>
            <w:tcBorders>
              <w:top w:val="single" w:sz="4" w:space="0" w:color="auto"/>
              <w:bottom w:val="double" w:sz="4" w:space="0" w:color="auto"/>
            </w:tcBorders>
            <w:vAlign w:val="center"/>
          </w:tcPr>
          <w:p w14:paraId="4D570374" w14:textId="64CF9DF9" w:rsidR="003C41E1" w:rsidRPr="00480C56" w:rsidRDefault="003C41E1" w:rsidP="003C41E1">
            <w:pPr>
              <w:tabs>
                <w:tab w:val="decimal" w:pos="196"/>
              </w:tabs>
              <w:jc w:val="center"/>
              <w:rPr>
                <w:rFonts w:cstheme="minorHAnsi"/>
                <w:sz w:val="20"/>
                <w:szCs w:val="20"/>
              </w:rPr>
            </w:pPr>
            <w:r>
              <w:rPr>
                <w:rFonts w:cstheme="minorHAnsi"/>
                <w:sz w:val="20"/>
                <w:szCs w:val="20"/>
              </w:rPr>
              <w:t>—</w:t>
            </w:r>
          </w:p>
        </w:tc>
        <w:tc>
          <w:tcPr>
            <w:tcW w:w="248" w:type="pct"/>
            <w:tcBorders>
              <w:top w:val="single" w:sz="4" w:space="0" w:color="auto"/>
              <w:bottom w:val="double" w:sz="4" w:space="0" w:color="auto"/>
            </w:tcBorders>
            <w:vAlign w:val="center"/>
          </w:tcPr>
          <w:p w14:paraId="1E2C5980" w14:textId="7AEF86DA" w:rsidR="003C41E1" w:rsidRPr="00480C56" w:rsidRDefault="003C41E1" w:rsidP="003C41E1">
            <w:pPr>
              <w:tabs>
                <w:tab w:val="decimal" w:pos="170"/>
              </w:tabs>
              <w:jc w:val="center"/>
              <w:rPr>
                <w:rFonts w:cstheme="minorHAnsi"/>
                <w:sz w:val="20"/>
                <w:szCs w:val="20"/>
              </w:rPr>
            </w:pPr>
            <w:r>
              <w:rPr>
                <w:rFonts w:cstheme="minorHAnsi"/>
                <w:sz w:val="20"/>
                <w:szCs w:val="20"/>
              </w:rPr>
              <w:t>0.687</w:t>
            </w:r>
          </w:p>
        </w:tc>
        <w:tc>
          <w:tcPr>
            <w:tcW w:w="204" w:type="pct"/>
            <w:tcBorders>
              <w:top w:val="single" w:sz="4" w:space="0" w:color="auto"/>
              <w:bottom w:val="double" w:sz="4" w:space="0" w:color="auto"/>
            </w:tcBorders>
            <w:vAlign w:val="center"/>
          </w:tcPr>
          <w:p w14:paraId="26724D9B" w14:textId="3784A84B" w:rsidR="003C41E1" w:rsidRPr="00480C56" w:rsidRDefault="003C41E1" w:rsidP="003C41E1">
            <w:pPr>
              <w:tabs>
                <w:tab w:val="decimal" w:pos="239"/>
              </w:tabs>
              <w:jc w:val="center"/>
              <w:rPr>
                <w:rFonts w:cstheme="minorHAnsi"/>
                <w:sz w:val="20"/>
                <w:szCs w:val="20"/>
              </w:rPr>
            </w:pPr>
            <w:r>
              <w:rPr>
                <w:rFonts w:cstheme="minorHAnsi"/>
                <w:sz w:val="20"/>
                <w:szCs w:val="20"/>
              </w:rPr>
              <w:t>3.76</w:t>
            </w:r>
          </w:p>
        </w:tc>
        <w:tc>
          <w:tcPr>
            <w:tcW w:w="308" w:type="pct"/>
            <w:tcBorders>
              <w:top w:val="single" w:sz="4" w:space="0" w:color="auto"/>
              <w:bottom w:val="double" w:sz="4" w:space="0" w:color="auto"/>
            </w:tcBorders>
            <w:vAlign w:val="center"/>
          </w:tcPr>
          <w:p w14:paraId="0A17FF70" w14:textId="041399AD" w:rsidR="003C41E1" w:rsidRPr="00480C56" w:rsidRDefault="003C41E1" w:rsidP="003C41E1">
            <w:pPr>
              <w:tabs>
                <w:tab w:val="decimal" w:pos="202"/>
              </w:tabs>
              <w:jc w:val="center"/>
              <w:rPr>
                <w:rFonts w:cstheme="minorHAnsi"/>
                <w:sz w:val="20"/>
                <w:szCs w:val="20"/>
              </w:rPr>
            </w:pPr>
            <w:r>
              <w:rPr>
                <w:rFonts w:cstheme="minorHAnsi"/>
                <w:sz w:val="20"/>
                <w:szCs w:val="20"/>
              </w:rPr>
              <w:t>0.879</w:t>
            </w:r>
          </w:p>
        </w:tc>
        <w:tc>
          <w:tcPr>
            <w:tcW w:w="242" w:type="pct"/>
            <w:tcBorders>
              <w:top w:val="single" w:sz="4" w:space="0" w:color="auto"/>
              <w:bottom w:val="double" w:sz="4" w:space="0" w:color="auto"/>
              <w:right w:val="single" w:sz="18" w:space="0" w:color="auto"/>
            </w:tcBorders>
            <w:vAlign w:val="center"/>
          </w:tcPr>
          <w:p w14:paraId="55AF3424" w14:textId="58BE5F19" w:rsidR="003C41E1" w:rsidRPr="00480C56" w:rsidRDefault="003C41E1" w:rsidP="003C41E1">
            <w:pPr>
              <w:tabs>
                <w:tab w:val="decimal" w:pos="231"/>
              </w:tabs>
              <w:jc w:val="center"/>
              <w:rPr>
                <w:rFonts w:cstheme="minorHAnsi"/>
                <w:sz w:val="20"/>
                <w:szCs w:val="20"/>
              </w:rPr>
            </w:pPr>
            <w:r>
              <w:rPr>
                <w:rFonts w:cstheme="minorHAnsi"/>
                <w:sz w:val="20"/>
                <w:szCs w:val="20"/>
              </w:rPr>
              <w:t>3.89</w:t>
            </w:r>
          </w:p>
        </w:tc>
        <w:tc>
          <w:tcPr>
            <w:tcW w:w="239" w:type="pct"/>
            <w:tcBorders>
              <w:top w:val="single" w:sz="4" w:space="0" w:color="auto"/>
              <w:left w:val="single" w:sz="18" w:space="0" w:color="auto"/>
              <w:bottom w:val="double" w:sz="4" w:space="0" w:color="auto"/>
            </w:tcBorders>
            <w:vAlign w:val="center"/>
          </w:tcPr>
          <w:p w14:paraId="3D703BB8" w14:textId="48580016" w:rsidR="003C41E1" w:rsidRPr="00480C56" w:rsidRDefault="003C41E1" w:rsidP="003C41E1">
            <w:pPr>
              <w:tabs>
                <w:tab w:val="decimal" w:pos="238"/>
              </w:tabs>
              <w:jc w:val="center"/>
              <w:rPr>
                <w:rFonts w:cstheme="minorHAnsi"/>
                <w:sz w:val="20"/>
                <w:szCs w:val="20"/>
              </w:rPr>
            </w:pPr>
            <w:r>
              <w:rPr>
                <w:rFonts w:cstheme="minorHAnsi"/>
                <w:sz w:val="20"/>
                <w:szCs w:val="20"/>
              </w:rPr>
              <w:t>1.000</w:t>
            </w:r>
          </w:p>
        </w:tc>
        <w:tc>
          <w:tcPr>
            <w:tcW w:w="221" w:type="pct"/>
            <w:gridSpan w:val="2"/>
            <w:tcBorders>
              <w:top w:val="single" w:sz="4" w:space="0" w:color="auto"/>
              <w:bottom w:val="double" w:sz="4" w:space="0" w:color="auto"/>
              <w:right w:val="single" w:sz="18" w:space="0" w:color="auto"/>
            </w:tcBorders>
            <w:vAlign w:val="center"/>
          </w:tcPr>
          <w:p w14:paraId="15AFD83D" w14:textId="2F848647"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double" w:sz="4" w:space="0" w:color="auto"/>
            </w:tcBorders>
            <w:vAlign w:val="center"/>
          </w:tcPr>
          <w:p w14:paraId="16076033" w14:textId="1FC4BDA1" w:rsidR="003C41E1" w:rsidRPr="00480C56" w:rsidRDefault="003C41E1" w:rsidP="003C41E1">
            <w:pPr>
              <w:tabs>
                <w:tab w:val="decimal" w:pos="239"/>
              </w:tabs>
              <w:jc w:val="center"/>
              <w:rPr>
                <w:rFonts w:cstheme="minorHAnsi"/>
                <w:sz w:val="20"/>
                <w:szCs w:val="20"/>
              </w:rPr>
            </w:pPr>
            <w:r>
              <w:rPr>
                <w:rFonts w:cstheme="minorHAnsi"/>
                <w:sz w:val="20"/>
                <w:szCs w:val="20"/>
              </w:rPr>
              <w:t>1.000</w:t>
            </w:r>
          </w:p>
        </w:tc>
        <w:tc>
          <w:tcPr>
            <w:tcW w:w="202" w:type="pct"/>
            <w:tcBorders>
              <w:top w:val="single" w:sz="4" w:space="0" w:color="auto"/>
              <w:bottom w:val="double" w:sz="4" w:space="0" w:color="auto"/>
              <w:right w:val="single" w:sz="18" w:space="0" w:color="auto"/>
            </w:tcBorders>
            <w:vAlign w:val="center"/>
          </w:tcPr>
          <w:p w14:paraId="3402354F" w14:textId="00F1AB41"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double" w:sz="4" w:space="0" w:color="auto"/>
            </w:tcBorders>
            <w:vAlign w:val="center"/>
          </w:tcPr>
          <w:p w14:paraId="53C3D4B1" w14:textId="094E83A0" w:rsidR="003C41E1" w:rsidRPr="00480C56" w:rsidRDefault="003C41E1" w:rsidP="003C41E1">
            <w:pPr>
              <w:tabs>
                <w:tab w:val="decimal" w:pos="238"/>
              </w:tabs>
              <w:jc w:val="center"/>
              <w:rPr>
                <w:rFonts w:cstheme="minorHAnsi"/>
                <w:sz w:val="20"/>
                <w:szCs w:val="20"/>
              </w:rPr>
            </w:pPr>
            <w:r>
              <w:rPr>
                <w:rFonts w:cstheme="minorHAnsi"/>
                <w:sz w:val="20"/>
                <w:szCs w:val="20"/>
              </w:rPr>
              <w:t>1.000</w:t>
            </w:r>
          </w:p>
        </w:tc>
        <w:tc>
          <w:tcPr>
            <w:tcW w:w="204" w:type="pct"/>
            <w:tcBorders>
              <w:top w:val="single" w:sz="4" w:space="0" w:color="auto"/>
              <w:bottom w:val="double" w:sz="4" w:space="0" w:color="auto"/>
              <w:right w:val="single" w:sz="18" w:space="0" w:color="auto"/>
            </w:tcBorders>
            <w:vAlign w:val="center"/>
          </w:tcPr>
          <w:p w14:paraId="1AC35E99" w14:textId="237313F9" w:rsidR="003C41E1" w:rsidRPr="00480C56" w:rsidRDefault="003C41E1" w:rsidP="003C41E1">
            <w:pPr>
              <w:tabs>
                <w:tab w:val="decimal" w:pos="231"/>
              </w:tabs>
              <w:jc w:val="center"/>
              <w:rPr>
                <w:rFonts w:cstheme="minorHAnsi"/>
                <w:sz w:val="20"/>
                <w:szCs w:val="20"/>
              </w:rPr>
            </w:pPr>
            <w:r>
              <w:rPr>
                <w:rFonts w:cstheme="minorHAnsi"/>
                <w:sz w:val="20"/>
                <w:szCs w:val="20"/>
              </w:rPr>
              <w:t>—</w:t>
            </w:r>
          </w:p>
        </w:tc>
        <w:tc>
          <w:tcPr>
            <w:tcW w:w="239" w:type="pct"/>
            <w:tcBorders>
              <w:top w:val="single" w:sz="4" w:space="0" w:color="auto"/>
              <w:left w:val="single" w:sz="18" w:space="0" w:color="auto"/>
              <w:bottom w:val="double" w:sz="4" w:space="0" w:color="auto"/>
            </w:tcBorders>
            <w:vAlign w:val="center"/>
          </w:tcPr>
          <w:p w14:paraId="5410D452" w14:textId="4E05C1CB" w:rsidR="003C41E1" w:rsidRPr="00480C56" w:rsidRDefault="003C41E1" w:rsidP="003C41E1">
            <w:pPr>
              <w:tabs>
                <w:tab w:val="decimal" w:pos="195"/>
              </w:tabs>
              <w:jc w:val="center"/>
              <w:rPr>
                <w:rFonts w:cstheme="minorHAnsi"/>
                <w:sz w:val="20"/>
                <w:szCs w:val="20"/>
              </w:rPr>
            </w:pPr>
            <w:r>
              <w:rPr>
                <w:rFonts w:cstheme="minorHAnsi"/>
                <w:sz w:val="20"/>
                <w:szCs w:val="20"/>
              </w:rPr>
              <w:t>1.000</w:t>
            </w:r>
          </w:p>
        </w:tc>
        <w:tc>
          <w:tcPr>
            <w:tcW w:w="217" w:type="pct"/>
            <w:tcBorders>
              <w:top w:val="single" w:sz="4" w:space="0" w:color="auto"/>
              <w:bottom w:val="double" w:sz="4" w:space="0" w:color="auto"/>
              <w:right w:val="single" w:sz="18" w:space="0" w:color="auto"/>
            </w:tcBorders>
            <w:vAlign w:val="center"/>
          </w:tcPr>
          <w:p w14:paraId="24AE253B" w14:textId="66DC94BB" w:rsidR="003C41E1" w:rsidRPr="00480C56" w:rsidRDefault="003C41E1" w:rsidP="003C41E1">
            <w:pPr>
              <w:tabs>
                <w:tab w:val="decimal" w:pos="181"/>
              </w:tabs>
              <w:jc w:val="center"/>
              <w:rPr>
                <w:rFonts w:cstheme="minorHAnsi"/>
                <w:sz w:val="20"/>
                <w:szCs w:val="20"/>
              </w:rPr>
            </w:pPr>
            <w:r>
              <w:rPr>
                <w:rFonts w:cstheme="minorHAnsi"/>
                <w:sz w:val="20"/>
                <w:szCs w:val="20"/>
              </w:rPr>
              <w:t>—</w:t>
            </w:r>
          </w:p>
        </w:tc>
        <w:tc>
          <w:tcPr>
            <w:tcW w:w="268" w:type="pct"/>
            <w:tcBorders>
              <w:top w:val="single" w:sz="4" w:space="0" w:color="auto"/>
              <w:left w:val="single" w:sz="18" w:space="0" w:color="auto"/>
              <w:bottom w:val="double" w:sz="4" w:space="0" w:color="auto"/>
            </w:tcBorders>
            <w:vAlign w:val="center"/>
          </w:tcPr>
          <w:p w14:paraId="47D7214C" w14:textId="733B250B" w:rsidR="003C41E1" w:rsidRPr="00480C56" w:rsidRDefault="003C41E1" w:rsidP="003C41E1">
            <w:pPr>
              <w:tabs>
                <w:tab w:val="decimal" w:pos="189"/>
              </w:tabs>
              <w:jc w:val="center"/>
              <w:rPr>
                <w:rFonts w:cstheme="minorHAnsi"/>
                <w:sz w:val="20"/>
                <w:szCs w:val="20"/>
              </w:rPr>
            </w:pPr>
            <w:r>
              <w:rPr>
                <w:rFonts w:cstheme="minorHAnsi"/>
                <w:sz w:val="20"/>
                <w:szCs w:val="20"/>
              </w:rPr>
              <w:t>1.000</w:t>
            </w:r>
          </w:p>
        </w:tc>
        <w:tc>
          <w:tcPr>
            <w:tcW w:w="189" w:type="pct"/>
            <w:tcBorders>
              <w:top w:val="single" w:sz="4" w:space="0" w:color="auto"/>
              <w:bottom w:val="double" w:sz="4" w:space="0" w:color="auto"/>
            </w:tcBorders>
            <w:vAlign w:val="center"/>
          </w:tcPr>
          <w:p w14:paraId="23254AC9" w14:textId="135B7022" w:rsidR="003C41E1" w:rsidRDefault="003C41E1" w:rsidP="003C41E1">
            <w:pPr>
              <w:tabs>
                <w:tab w:val="decimal" w:pos="188"/>
              </w:tabs>
              <w:jc w:val="center"/>
              <w:rPr>
                <w:rFonts w:cstheme="minorHAnsi"/>
                <w:sz w:val="20"/>
                <w:szCs w:val="20"/>
              </w:rPr>
            </w:pPr>
            <w:r>
              <w:rPr>
                <w:rFonts w:cstheme="minorHAnsi"/>
                <w:sz w:val="20"/>
                <w:szCs w:val="20"/>
              </w:rPr>
              <w:t>—</w:t>
            </w:r>
          </w:p>
        </w:tc>
      </w:tr>
      <w:tr w:rsidR="003C41E1" w:rsidRPr="00480C56" w14:paraId="7D9283C6" w14:textId="77777777" w:rsidTr="002D67AE">
        <w:trPr>
          <w:trHeight w:val="144"/>
        </w:trPr>
        <w:tc>
          <w:tcPr>
            <w:tcW w:w="5000" w:type="pct"/>
            <w:gridSpan w:val="18"/>
            <w:tcBorders>
              <w:top w:val="double" w:sz="4" w:space="0" w:color="auto"/>
              <w:bottom w:val="double" w:sz="4" w:space="0" w:color="auto"/>
            </w:tcBorders>
            <w:vAlign w:val="center"/>
          </w:tcPr>
          <w:p w14:paraId="03C6D2D2" w14:textId="38C583DD" w:rsidR="003C41E1" w:rsidRPr="00480C56" w:rsidRDefault="003C41E1" w:rsidP="003C41E1">
            <w:pPr>
              <w:tabs>
                <w:tab w:val="decimal" w:pos="188"/>
              </w:tabs>
              <w:jc w:val="left"/>
              <w:rPr>
                <w:rFonts w:cstheme="minorHAnsi"/>
                <w:sz w:val="20"/>
                <w:szCs w:val="20"/>
              </w:rPr>
            </w:pPr>
            <w:r>
              <w:rPr>
                <w:rFonts w:cstheme="minorHAnsi"/>
                <w:b/>
                <w:bCs/>
                <w:sz w:val="20"/>
                <w:szCs w:val="20"/>
              </w:rPr>
              <w:t>Constants and Thresholds</w:t>
            </w:r>
          </w:p>
        </w:tc>
      </w:tr>
      <w:tr w:rsidR="003C41E1" w:rsidRPr="00480C56" w14:paraId="4042E22C" w14:textId="77777777" w:rsidTr="002D67AE">
        <w:trPr>
          <w:trHeight w:val="144"/>
        </w:trPr>
        <w:tc>
          <w:tcPr>
            <w:tcW w:w="1345" w:type="pct"/>
            <w:tcBorders>
              <w:top w:val="double" w:sz="4" w:space="0" w:color="auto"/>
              <w:bottom w:val="single" w:sz="4" w:space="0" w:color="auto"/>
              <w:right w:val="single" w:sz="18" w:space="0" w:color="auto"/>
            </w:tcBorders>
            <w:vAlign w:val="center"/>
          </w:tcPr>
          <w:p w14:paraId="735A3A0D" w14:textId="1F92632E" w:rsidR="003C41E1" w:rsidRPr="00480C56" w:rsidRDefault="003C41E1" w:rsidP="003C41E1">
            <w:pPr>
              <w:jc w:val="left"/>
              <w:rPr>
                <w:rFonts w:cstheme="minorHAnsi"/>
                <w:sz w:val="20"/>
                <w:szCs w:val="20"/>
              </w:rPr>
            </w:pPr>
            <w:r w:rsidRPr="00480C56">
              <w:rPr>
                <w:rFonts w:cstheme="minorHAnsi"/>
                <w:sz w:val="20"/>
                <w:szCs w:val="20"/>
              </w:rPr>
              <w:t>Constant</w:t>
            </w:r>
            <w:r>
              <w:rPr>
                <w:rFonts w:cstheme="minorHAnsi"/>
                <w:sz w:val="20"/>
                <w:szCs w:val="20"/>
              </w:rPr>
              <w:t>s</w:t>
            </w:r>
          </w:p>
        </w:tc>
        <w:tc>
          <w:tcPr>
            <w:tcW w:w="211" w:type="pct"/>
            <w:tcBorders>
              <w:top w:val="double" w:sz="4" w:space="0" w:color="auto"/>
              <w:left w:val="single" w:sz="18" w:space="0" w:color="auto"/>
              <w:bottom w:val="single" w:sz="4" w:space="0" w:color="auto"/>
            </w:tcBorders>
            <w:vAlign w:val="center"/>
          </w:tcPr>
          <w:p w14:paraId="67720C57" w14:textId="7CB50AFF" w:rsidR="003C41E1" w:rsidRPr="00480C56" w:rsidRDefault="003C41E1" w:rsidP="003C41E1">
            <w:pPr>
              <w:tabs>
                <w:tab w:val="decimal" w:pos="167"/>
              </w:tabs>
              <w:jc w:val="center"/>
              <w:rPr>
                <w:rFonts w:cstheme="minorHAnsi"/>
                <w:sz w:val="20"/>
                <w:szCs w:val="20"/>
              </w:rPr>
            </w:pPr>
            <w:r w:rsidRPr="00480C56">
              <w:rPr>
                <w:rFonts w:cstheme="minorHAnsi"/>
                <w:sz w:val="20"/>
                <w:szCs w:val="20"/>
              </w:rPr>
              <w:t>-0.896</w:t>
            </w:r>
          </w:p>
        </w:tc>
        <w:tc>
          <w:tcPr>
            <w:tcW w:w="185" w:type="pct"/>
            <w:tcBorders>
              <w:top w:val="double" w:sz="4" w:space="0" w:color="auto"/>
              <w:bottom w:val="single" w:sz="4" w:space="0" w:color="auto"/>
            </w:tcBorders>
            <w:vAlign w:val="center"/>
          </w:tcPr>
          <w:p w14:paraId="1D505D1E" w14:textId="4873DE62" w:rsidR="003C41E1" w:rsidRPr="00480C56" w:rsidRDefault="003C41E1" w:rsidP="003C41E1">
            <w:pPr>
              <w:tabs>
                <w:tab w:val="decimal" w:pos="196"/>
              </w:tabs>
              <w:jc w:val="center"/>
              <w:rPr>
                <w:rFonts w:cstheme="minorHAnsi"/>
                <w:sz w:val="20"/>
                <w:szCs w:val="20"/>
              </w:rPr>
            </w:pPr>
            <w:r w:rsidRPr="00480C56">
              <w:rPr>
                <w:rFonts w:cstheme="minorHAnsi"/>
                <w:sz w:val="20"/>
                <w:szCs w:val="20"/>
              </w:rPr>
              <w:t>-8.07</w:t>
            </w:r>
          </w:p>
        </w:tc>
        <w:tc>
          <w:tcPr>
            <w:tcW w:w="248" w:type="pct"/>
            <w:tcBorders>
              <w:top w:val="double" w:sz="4" w:space="0" w:color="auto"/>
              <w:bottom w:val="single" w:sz="4" w:space="0" w:color="auto"/>
            </w:tcBorders>
            <w:vAlign w:val="center"/>
          </w:tcPr>
          <w:p w14:paraId="2F1116E0" w14:textId="20273849" w:rsidR="003C41E1" w:rsidRPr="00480C56" w:rsidRDefault="003C41E1" w:rsidP="003C41E1">
            <w:pPr>
              <w:tabs>
                <w:tab w:val="decimal" w:pos="170"/>
              </w:tabs>
              <w:jc w:val="center"/>
              <w:rPr>
                <w:rFonts w:cstheme="minorHAnsi"/>
                <w:sz w:val="20"/>
                <w:szCs w:val="20"/>
              </w:rPr>
            </w:pPr>
            <w:r w:rsidRPr="00480C56">
              <w:rPr>
                <w:rFonts w:cstheme="minorHAnsi"/>
                <w:sz w:val="20"/>
                <w:szCs w:val="20"/>
              </w:rPr>
              <w:t>-1.166</w:t>
            </w:r>
          </w:p>
        </w:tc>
        <w:tc>
          <w:tcPr>
            <w:tcW w:w="204" w:type="pct"/>
            <w:tcBorders>
              <w:top w:val="double" w:sz="4" w:space="0" w:color="auto"/>
              <w:bottom w:val="single" w:sz="4" w:space="0" w:color="auto"/>
            </w:tcBorders>
            <w:vAlign w:val="center"/>
          </w:tcPr>
          <w:p w14:paraId="3DA75416" w14:textId="1BA70477" w:rsidR="003C41E1" w:rsidRPr="00480C56" w:rsidRDefault="003C41E1" w:rsidP="003C41E1">
            <w:pPr>
              <w:tabs>
                <w:tab w:val="decimal" w:pos="239"/>
              </w:tabs>
              <w:jc w:val="center"/>
              <w:rPr>
                <w:rFonts w:cstheme="minorHAnsi"/>
                <w:sz w:val="20"/>
                <w:szCs w:val="20"/>
              </w:rPr>
            </w:pPr>
            <w:r w:rsidRPr="00480C56">
              <w:rPr>
                <w:rFonts w:cstheme="minorHAnsi"/>
                <w:sz w:val="20"/>
                <w:szCs w:val="20"/>
              </w:rPr>
              <w:t>-4.50</w:t>
            </w:r>
          </w:p>
        </w:tc>
        <w:tc>
          <w:tcPr>
            <w:tcW w:w="308" w:type="pct"/>
            <w:tcBorders>
              <w:top w:val="double" w:sz="4" w:space="0" w:color="auto"/>
              <w:bottom w:val="single" w:sz="4" w:space="0" w:color="auto"/>
            </w:tcBorders>
            <w:vAlign w:val="center"/>
          </w:tcPr>
          <w:p w14:paraId="5751991F" w14:textId="716308B1" w:rsidR="003C41E1" w:rsidRPr="00480C56" w:rsidRDefault="003C41E1" w:rsidP="003C41E1">
            <w:pPr>
              <w:tabs>
                <w:tab w:val="decimal" w:pos="202"/>
              </w:tabs>
              <w:jc w:val="center"/>
              <w:rPr>
                <w:rFonts w:cstheme="minorHAnsi"/>
                <w:sz w:val="20"/>
                <w:szCs w:val="20"/>
              </w:rPr>
            </w:pPr>
            <w:r w:rsidRPr="00480C56">
              <w:rPr>
                <w:rFonts w:cstheme="minorHAnsi"/>
                <w:sz w:val="20"/>
                <w:szCs w:val="20"/>
              </w:rPr>
              <w:t>-1.203</w:t>
            </w:r>
          </w:p>
        </w:tc>
        <w:tc>
          <w:tcPr>
            <w:tcW w:w="242" w:type="pct"/>
            <w:tcBorders>
              <w:top w:val="double" w:sz="4" w:space="0" w:color="auto"/>
              <w:bottom w:val="single" w:sz="4" w:space="0" w:color="auto"/>
              <w:right w:val="single" w:sz="18" w:space="0" w:color="auto"/>
            </w:tcBorders>
            <w:vAlign w:val="center"/>
          </w:tcPr>
          <w:p w14:paraId="706C1EE3" w14:textId="7F5168BB" w:rsidR="003C41E1" w:rsidRPr="00480C56" w:rsidRDefault="003C41E1" w:rsidP="003C41E1">
            <w:pPr>
              <w:tabs>
                <w:tab w:val="decimal" w:pos="231"/>
              </w:tabs>
              <w:jc w:val="center"/>
              <w:rPr>
                <w:rFonts w:cstheme="minorHAnsi"/>
                <w:sz w:val="20"/>
                <w:szCs w:val="20"/>
              </w:rPr>
            </w:pPr>
            <w:r w:rsidRPr="00480C56">
              <w:rPr>
                <w:rFonts w:cstheme="minorHAnsi"/>
                <w:sz w:val="20"/>
                <w:szCs w:val="20"/>
              </w:rPr>
              <w:t>-3.72</w:t>
            </w:r>
          </w:p>
        </w:tc>
        <w:tc>
          <w:tcPr>
            <w:tcW w:w="239" w:type="pct"/>
            <w:tcBorders>
              <w:top w:val="double" w:sz="4" w:space="0" w:color="auto"/>
              <w:left w:val="single" w:sz="18" w:space="0" w:color="auto"/>
              <w:bottom w:val="single" w:sz="4" w:space="0" w:color="auto"/>
            </w:tcBorders>
            <w:vAlign w:val="center"/>
          </w:tcPr>
          <w:p w14:paraId="7EE9E87E" w14:textId="4B65E142"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21" w:type="pct"/>
            <w:gridSpan w:val="2"/>
            <w:tcBorders>
              <w:top w:val="double" w:sz="4" w:space="0" w:color="auto"/>
              <w:bottom w:val="single" w:sz="4" w:space="0" w:color="auto"/>
              <w:right w:val="single" w:sz="18" w:space="0" w:color="auto"/>
            </w:tcBorders>
            <w:vAlign w:val="center"/>
          </w:tcPr>
          <w:p w14:paraId="6E8917B1" w14:textId="77777777" w:rsidR="003C41E1" w:rsidRPr="00480C56" w:rsidRDefault="003C41E1" w:rsidP="003C41E1">
            <w:pPr>
              <w:tabs>
                <w:tab w:val="decimal" w:pos="181"/>
              </w:tabs>
              <w:jc w:val="center"/>
              <w:rPr>
                <w:rFonts w:cstheme="minorHAnsi"/>
                <w:sz w:val="20"/>
                <w:szCs w:val="20"/>
              </w:rPr>
            </w:pPr>
          </w:p>
        </w:tc>
        <w:tc>
          <w:tcPr>
            <w:tcW w:w="239" w:type="pct"/>
            <w:tcBorders>
              <w:top w:val="double" w:sz="4" w:space="0" w:color="auto"/>
              <w:left w:val="single" w:sz="18" w:space="0" w:color="auto"/>
              <w:bottom w:val="single" w:sz="4" w:space="0" w:color="auto"/>
            </w:tcBorders>
            <w:vAlign w:val="center"/>
          </w:tcPr>
          <w:p w14:paraId="1C5ECD20" w14:textId="5E8E3B86"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double" w:sz="4" w:space="0" w:color="auto"/>
              <w:bottom w:val="single" w:sz="4" w:space="0" w:color="auto"/>
              <w:right w:val="single" w:sz="18" w:space="0" w:color="auto"/>
            </w:tcBorders>
            <w:vAlign w:val="center"/>
          </w:tcPr>
          <w:p w14:paraId="7BF006C9" w14:textId="54EF4E7C" w:rsidR="003C41E1" w:rsidRPr="00480C56" w:rsidRDefault="003C41E1" w:rsidP="003C41E1">
            <w:pPr>
              <w:tabs>
                <w:tab w:val="decimal" w:pos="181"/>
              </w:tabs>
              <w:jc w:val="center"/>
              <w:rPr>
                <w:rFonts w:cstheme="minorHAnsi"/>
                <w:sz w:val="20"/>
                <w:szCs w:val="20"/>
              </w:rPr>
            </w:pPr>
          </w:p>
        </w:tc>
        <w:tc>
          <w:tcPr>
            <w:tcW w:w="239" w:type="pct"/>
            <w:tcBorders>
              <w:top w:val="double" w:sz="4" w:space="0" w:color="auto"/>
              <w:left w:val="single" w:sz="18" w:space="0" w:color="auto"/>
              <w:bottom w:val="single" w:sz="4" w:space="0" w:color="auto"/>
            </w:tcBorders>
            <w:vAlign w:val="center"/>
          </w:tcPr>
          <w:p w14:paraId="424135C5" w14:textId="118E5E89"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double" w:sz="4" w:space="0" w:color="auto"/>
              <w:bottom w:val="single" w:sz="4" w:space="0" w:color="auto"/>
              <w:right w:val="single" w:sz="18" w:space="0" w:color="auto"/>
            </w:tcBorders>
            <w:vAlign w:val="center"/>
          </w:tcPr>
          <w:p w14:paraId="5AB89E02" w14:textId="52F86A10" w:rsidR="003C41E1" w:rsidRPr="00480C56" w:rsidRDefault="003C41E1" w:rsidP="003C41E1">
            <w:pPr>
              <w:tabs>
                <w:tab w:val="decimal" w:pos="231"/>
              </w:tabs>
              <w:jc w:val="center"/>
              <w:rPr>
                <w:rFonts w:cstheme="minorHAnsi"/>
                <w:sz w:val="20"/>
                <w:szCs w:val="20"/>
              </w:rPr>
            </w:pPr>
          </w:p>
        </w:tc>
        <w:tc>
          <w:tcPr>
            <w:tcW w:w="239" w:type="pct"/>
            <w:tcBorders>
              <w:top w:val="double" w:sz="4" w:space="0" w:color="auto"/>
              <w:left w:val="single" w:sz="18" w:space="0" w:color="auto"/>
              <w:bottom w:val="single" w:sz="4" w:space="0" w:color="auto"/>
            </w:tcBorders>
            <w:vAlign w:val="center"/>
          </w:tcPr>
          <w:p w14:paraId="77928B97" w14:textId="1DCD5748"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double" w:sz="4" w:space="0" w:color="auto"/>
              <w:bottom w:val="single" w:sz="4" w:space="0" w:color="auto"/>
              <w:right w:val="single" w:sz="18" w:space="0" w:color="auto"/>
            </w:tcBorders>
            <w:vAlign w:val="center"/>
          </w:tcPr>
          <w:p w14:paraId="4C020A07" w14:textId="4D9EBBC1" w:rsidR="003C41E1" w:rsidRPr="00480C56" w:rsidRDefault="003C41E1" w:rsidP="003C41E1">
            <w:pPr>
              <w:tabs>
                <w:tab w:val="decimal" w:pos="181"/>
              </w:tabs>
              <w:jc w:val="center"/>
              <w:rPr>
                <w:rFonts w:cstheme="minorHAnsi"/>
                <w:sz w:val="20"/>
                <w:szCs w:val="20"/>
              </w:rPr>
            </w:pPr>
          </w:p>
        </w:tc>
        <w:tc>
          <w:tcPr>
            <w:tcW w:w="268" w:type="pct"/>
            <w:tcBorders>
              <w:top w:val="double" w:sz="4" w:space="0" w:color="auto"/>
              <w:left w:val="single" w:sz="18" w:space="0" w:color="auto"/>
              <w:bottom w:val="single" w:sz="4" w:space="0" w:color="auto"/>
            </w:tcBorders>
            <w:vAlign w:val="center"/>
          </w:tcPr>
          <w:p w14:paraId="05479739" w14:textId="699A30C2"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double" w:sz="4" w:space="0" w:color="auto"/>
              <w:bottom w:val="single" w:sz="4" w:space="0" w:color="auto"/>
            </w:tcBorders>
            <w:vAlign w:val="center"/>
          </w:tcPr>
          <w:p w14:paraId="26810FAB" w14:textId="5B4D66E1" w:rsidR="003C41E1" w:rsidRPr="00480C56" w:rsidRDefault="003C41E1" w:rsidP="003C41E1">
            <w:pPr>
              <w:tabs>
                <w:tab w:val="decimal" w:pos="188"/>
              </w:tabs>
              <w:jc w:val="center"/>
              <w:rPr>
                <w:rFonts w:cstheme="minorHAnsi"/>
                <w:sz w:val="20"/>
                <w:szCs w:val="20"/>
              </w:rPr>
            </w:pPr>
            <w:r>
              <w:rPr>
                <w:rFonts w:cstheme="minorHAnsi"/>
                <w:sz w:val="20"/>
                <w:szCs w:val="20"/>
              </w:rPr>
              <w:t>—</w:t>
            </w:r>
          </w:p>
        </w:tc>
      </w:tr>
      <w:tr w:rsidR="003C41E1" w:rsidRPr="00480C56" w14:paraId="2C65E23C"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6B450E71" w14:textId="2CA5D421" w:rsidR="003C41E1" w:rsidRPr="00480C56" w:rsidRDefault="003C41E1" w:rsidP="003C41E1">
            <w:pPr>
              <w:jc w:val="left"/>
              <w:rPr>
                <w:rFonts w:cstheme="minorHAnsi"/>
                <w:sz w:val="20"/>
                <w:szCs w:val="20"/>
              </w:rPr>
            </w:pPr>
            <w:r w:rsidRPr="00480C56">
              <w:rPr>
                <w:rFonts w:cstheme="minorHAnsi"/>
                <w:sz w:val="20"/>
                <w:szCs w:val="20"/>
              </w:rPr>
              <w:t>Threshold 1|2</w:t>
            </w:r>
          </w:p>
        </w:tc>
        <w:tc>
          <w:tcPr>
            <w:tcW w:w="211" w:type="pct"/>
            <w:tcBorders>
              <w:top w:val="single" w:sz="4" w:space="0" w:color="auto"/>
              <w:left w:val="single" w:sz="18" w:space="0" w:color="auto"/>
              <w:bottom w:val="single" w:sz="4" w:space="0" w:color="auto"/>
            </w:tcBorders>
            <w:vAlign w:val="center"/>
          </w:tcPr>
          <w:p w14:paraId="5347F19F" w14:textId="1CA88950"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0A0D423F"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39B32A6D" w14:textId="4632ACF2"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96F72A3"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338DA54B" w14:textId="2092F89B"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5C0AEC10"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2A0EF609" w14:textId="567712AA" w:rsidR="003C41E1" w:rsidRPr="00480C56" w:rsidRDefault="003C41E1" w:rsidP="003C41E1">
            <w:pPr>
              <w:tabs>
                <w:tab w:val="decimal" w:pos="238"/>
              </w:tabs>
              <w:jc w:val="center"/>
              <w:rPr>
                <w:rFonts w:cstheme="minorHAnsi"/>
                <w:sz w:val="20"/>
                <w:szCs w:val="20"/>
              </w:rPr>
            </w:pPr>
            <w:r w:rsidRPr="00480C56">
              <w:rPr>
                <w:rFonts w:cstheme="minorHAnsi"/>
                <w:sz w:val="20"/>
                <w:szCs w:val="20"/>
              </w:rPr>
              <w:t>-1.023</w:t>
            </w:r>
          </w:p>
        </w:tc>
        <w:tc>
          <w:tcPr>
            <w:tcW w:w="221" w:type="pct"/>
            <w:gridSpan w:val="2"/>
            <w:tcBorders>
              <w:top w:val="single" w:sz="4" w:space="0" w:color="auto"/>
              <w:bottom w:val="single" w:sz="4" w:space="0" w:color="auto"/>
              <w:right w:val="single" w:sz="18" w:space="0" w:color="auto"/>
            </w:tcBorders>
            <w:vAlign w:val="center"/>
          </w:tcPr>
          <w:p w14:paraId="1B01710B" w14:textId="3113F4FA" w:rsidR="003C41E1" w:rsidRPr="00480C56" w:rsidRDefault="003C41E1" w:rsidP="003C41E1">
            <w:pPr>
              <w:tabs>
                <w:tab w:val="decimal" w:pos="181"/>
              </w:tabs>
              <w:jc w:val="center"/>
              <w:rPr>
                <w:rFonts w:cstheme="minorHAnsi"/>
                <w:sz w:val="20"/>
                <w:szCs w:val="20"/>
              </w:rPr>
            </w:pPr>
            <w:r w:rsidRPr="00480C56">
              <w:rPr>
                <w:rFonts w:cstheme="minorHAnsi"/>
                <w:sz w:val="20"/>
                <w:szCs w:val="20"/>
              </w:rPr>
              <w:t>-4.58</w:t>
            </w:r>
          </w:p>
        </w:tc>
        <w:tc>
          <w:tcPr>
            <w:tcW w:w="239" w:type="pct"/>
            <w:tcBorders>
              <w:top w:val="single" w:sz="4" w:space="0" w:color="auto"/>
              <w:left w:val="single" w:sz="18" w:space="0" w:color="auto"/>
              <w:bottom w:val="single" w:sz="4" w:space="0" w:color="auto"/>
            </w:tcBorders>
            <w:vAlign w:val="center"/>
          </w:tcPr>
          <w:p w14:paraId="215A6833" w14:textId="19083A40" w:rsidR="003C41E1" w:rsidRPr="00480C56" w:rsidRDefault="003C41E1" w:rsidP="003C41E1">
            <w:pPr>
              <w:tabs>
                <w:tab w:val="decimal" w:pos="239"/>
              </w:tabs>
              <w:jc w:val="center"/>
              <w:rPr>
                <w:rFonts w:cstheme="minorHAnsi"/>
                <w:sz w:val="20"/>
                <w:szCs w:val="20"/>
              </w:rPr>
            </w:pPr>
            <w:r w:rsidRPr="00480C56">
              <w:rPr>
                <w:rFonts w:cstheme="minorHAnsi"/>
                <w:sz w:val="20"/>
                <w:szCs w:val="20"/>
              </w:rPr>
              <w:t>0.554</w:t>
            </w:r>
          </w:p>
        </w:tc>
        <w:tc>
          <w:tcPr>
            <w:tcW w:w="202" w:type="pct"/>
            <w:tcBorders>
              <w:top w:val="single" w:sz="4" w:space="0" w:color="auto"/>
              <w:bottom w:val="single" w:sz="4" w:space="0" w:color="auto"/>
              <w:right w:val="single" w:sz="18" w:space="0" w:color="auto"/>
            </w:tcBorders>
            <w:vAlign w:val="center"/>
          </w:tcPr>
          <w:p w14:paraId="245C1EA8" w14:textId="6BAF73BA" w:rsidR="003C41E1" w:rsidRPr="00480C56" w:rsidRDefault="003C41E1" w:rsidP="003C41E1">
            <w:pPr>
              <w:tabs>
                <w:tab w:val="decimal" w:pos="181"/>
              </w:tabs>
              <w:jc w:val="center"/>
              <w:rPr>
                <w:rFonts w:cstheme="minorHAnsi"/>
                <w:sz w:val="20"/>
                <w:szCs w:val="20"/>
              </w:rPr>
            </w:pPr>
            <w:r w:rsidRPr="00480C56">
              <w:rPr>
                <w:rFonts w:cstheme="minorHAnsi"/>
                <w:sz w:val="20"/>
                <w:szCs w:val="20"/>
              </w:rPr>
              <w:t>2.69</w:t>
            </w:r>
          </w:p>
        </w:tc>
        <w:tc>
          <w:tcPr>
            <w:tcW w:w="239" w:type="pct"/>
            <w:tcBorders>
              <w:top w:val="single" w:sz="4" w:space="0" w:color="auto"/>
              <w:left w:val="single" w:sz="18" w:space="0" w:color="auto"/>
              <w:bottom w:val="single" w:sz="4" w:space="0" w:color="auto"/>
            </w:tcBorders>
            <w:vAlign w:val="center"/>
          </w:tcPr>
          <w:p w14:paraId="7D10DA5C" w14:textId="6930A96B" w:rsidR="003C41E1" w:rsidRPr="00480C56" w:rsidRDefault="003C41E1" w:rsidP="003C41E1">
            <w:pPr>
              <w:tabs>
                <w:tab w:val="decimal" w:pos="238"/>
              </w:tabs>
              <w:jc w:val="center"/>
              <w:rPr>
                <w:rFonts w:cstheme="minorHAnsi"/>
                <w:sz w:val="20"/>
                <w:szCs w:val="20"/>
              </w:rPr>
            </w:pPr>
            <w:r w:rsidRPr="00480C56">
              <w:rPr>
                <w:rFonts w:cstheme="minorHAnsi"/>
                <w:sz w:val="20"/>
                <w:szCs w:val="20"/>
              </w:rPr>
              <w:t>1.578</w:t>
            </w:r>
          </w:p>
        </w:tc>
        <w:tc>
          <w:tcPr>
            <w:tcW w:w="204" w:type="pct"/>
            <w:tcBorders>
              <w:top w:val="single" w:sz="4" w:space="0" w:color="auto"/>
              <w:bottom w:val="single" w:sz="4" w:space="0" w:color="auto"/>
              <w:right w:val="single" w:sz="18" w:space="0" w:color="auto"/>
            </w:tcBorders>
            <w:vAlign w:val="center"/>
          </w:tcPr>
          <w:p w14:paraId="0A95F8A1" w14:textId="0AE0695B" w:rsidR="003C41E1" w:rsidRPr="00480C56" w:rsidRDefault="003C41E1" w:rsidP="003C41E1">
            <w:pPr>
              <w:tabs>
                <w:tab w:val="decimal" w:pos="231"/>
              </w:tabs>
              <w:jc w:val="center"/>
              <w:rPr>
                <w:rFonts w:cstheme="minorHAnsi"/>
                <w:sz w:val="20"/>
                <w:szCs w:val="20"/>
              </w:rPr>
            </w:pPr>
            <w:r w:rsidRPr="00480C56">
              <w:rPr>
                <w:rFonts w:cstheme="minorHAnsi"/>
                <w:sz w:val="20"/>
                <w:szCs w:val="20"/>
              </w:rPr>
              <w:t>7.12</w:t>
            </w:r>
          </w:p>
        </w:tc>
        <w:tc>
          <w:tcPr>
            <w:tcW w:w="239" w:type="pct"/>
            <w:tcBorders>
              <w:top w:val="single" w:sz="4" w:space="0" w:color="auto"/>
              <w:left w:val="single" w:sz="18" w:space="0" w:color="auto"/>
              <w:bottom w:val="single" w:sz="4" w:space="0" w:color="auto"/>
            </w:tcBorders>
            <w:vAlign w:val="center"/>
          </w:tcPr>
          <w:p w14:paraId="3670000C" w14:textId="6D27F1AD" w:rsidR="003C41E1" w:rsidRPr="00480C56" w:rsidRDefault="003C41E1" w:rsidP="003C41E1">
            <w:pPr>
              <w:tabs>
                <w:tab w:val="decimal" w:pos="195"/>
              </w:tabs>
              <w:jc w:val="center"/>
              <w:rPr>
                <w:rFonts w:cstheme="minorHAnsi"/>
                <w:sz w:val="20"/>
                <w:szCs w:val="20"/>
              </w:rPr>
            </w:pPr>
            <w:r w:rsidRPr="00480C56">
              <w:rPr>
                <w:rFonts w:cstheme="minorHAnsi"/>
                <w:sz w:val="20"/>
                <w:szCs w:val="20"/>
              </w:rPr>
              <w:t>0.087</w:t>
            </w:r>
          </w:p>
        </w:tc>
        <w:tc>
          <w:tcPr>
            <w:tcW w:w="217" w:type="pct"/>
            <w:tcBorders>
              <w:top w:val="single" w:sz="4" w:space="0" w:color="auto"/>
              <w:bottom w:val="single" w:sz="4" w:space="0" w:color="auto"/>
              <w:right w:val="single" w:sz="18" w:space="0" w:color="auto"/>
            </w:tcBorders>
            <w:vAlign w:val="center"/>
          </w:tcPr>
          <w:p w14:paraId="01BE91BF" w14:textId="306F7D33" w:rsidR="003C41E1" w:rsidRPr="00480C56" w:rsidRDefault="003C41E1" w:rsidP="003C41E1">
            <w:pPr>
              <w:tabs>
                <w:tab w:val="decimal" w:pos="181"/>
              </w:tabs>
              <w:jc w:val="center"/>
              <w:rPr>
                <w:rFonts w:cstheme="minorHAnsi"/>
                <w:sz w:val="20"/>
                <w:szCs w:val="20"/>
              </w:rPr>
            </w:pPr>
            <w:r w:rsidRPr="00480C56">
              <w:rPr>
                <w:rFonts w:cstheme="minorHAnsi"/>
                <w:sz w:val="20"/>
                <w:szCs w:val="20"/>
              </w:rPr>
              <w:t>0.41</w:t>
            </w:r>
          </w:p>
        </w:tc>
        <w:tc>
          <w:tcPr>
            <w:tcW w:w="268" w:type="pct"/>
            <w:tcBorders>
              <w:top w:val="single" w:sz="4" w:space="0" w:color="auto"/>
              <w:left w:val="single" w:sz="18" w:space="0" w:color="auto"/>
              <w:bottom w:val="single" w:sz="4" w:space="0" w:color="auto"/>
            </w:tcBorders>
            <w:vAlign w:val="center"/>
          </w:tcPr>
          <w:p w14:paraId="06EA0782" w14:textId="12BA395D" w:rsidR="003C41E1" w:rsidRPr="00480C56" w:rsidRDefault="003C41E1" w:rsidP="003C41E1">
            <w:pPr>
              <w:tabs>
                <w:tab w:val="decimal" w:pos="189"/>
              </w:tabs>
              <w:jc w:val="center"/>
              <w:rPr>
                <w:rFonts w:cstheme="minorHAnsi"/>
                <w:sz w:val="20"/>
                <w:szCs w:val="20"/>
              </w:rPr>
            </w:pPr>
            <w:r w:rsidRPr="00480C56">
              <w:rPr>
                <w:rFonts w:cstheme="minorHAnsi"/>
                <w:sz w:val="20"/>
                <w:szCs w:val="20"/>
              </w:rPr>
              <w:t>0.351</w:t>
            </w:r>
          </w:p>
        </w:tc>
        <w:tc>
          <w:tcPr>
            <w:tcW w:w="189" w:type="pct"/>
            <w:tcBorders>
              <w:top w:val="single" w:sz="4" w:space="0" w:color="auto"/>
              <w:bottom w:val="single" w:sz="4" w:space="0" w:color="auto"/>
            </w:tcBorders>
            <w:vAlign w:val="center"/>
          </w:tcPr>
          <w:p w14:paraId="5B2EC5C4" w14:textId="0D375844" w:rsidR="003C41E1" w:rsidRPr="00480C56" w:rsidRDefault="003C41E1" w:rsidP="003C41E1">
            <w:pPr>
              <w:tabs>
                <w:tab w:val="decimal" w:pos="188"/>
              </w:tabs>
              <w:jc w:val="center"/>
              <w:rPr>
                <w:rFonts w:cstheme="minorHAnsi"/>
                <w:sz w:val="20"/>
                <w:szCs w:val="20"/>
              </w:rPr>
            </w:pPr>
            <w:r w:rsidRPr="00480C56">
              <w:rPr>
                <w:rFonts w:cstheme="minorHAnsi"/>
                <w:sz w:val="20"/>
                <w:szCs w:val="20"/>
              </w:rPr>
              <w:t>2.26</w:t>
            </w:r>
          </w:p>
        </w:tc>
      </w:tr>
      <w:tr w:rsidR="003C41E1" w:rsidRPr="00480C56" w14:paraId="062341C4" w14:textId="77777777" w:rsidTr="002D67AE">
        <w:trPr>
          <w:trHeight w:val="144"/>
        </w:trPr>
        <w:tc>
          <w:tcPr>
            <w:tcW w:w="1345" w:type="pct"/>
            <w:tcBorders>
              <w:top w:val="single" w:sz="4" w:space="0" w:color="auto"/>
              <w:bottom w:val="single" w:sz="4" w:space="0" w:color="auto"/>
              <w:right w:val="single" w:sz="18" w:space="0" w:color="auto"/>
            </w:tcBorders>
            <w:vAlign w:val="center"/>
          </w:tcPr>
          <w:p w14:paraId="309B41F3" w14:textId="171C0276" w:rsidR="003C41E1" w:rsidRPr="00480C56" w:rsidRDefault="003C41E1" w:rsidP="003C41E1">
            <w:pPr>
              <w:jc w:val="left"/>
              <w:rPr>
                <w:rFonts w:cstheme="minorHAnsi"/>
                <w:sz w:val="20"/>
                <w:szCs w:val="20"/>
              </w:rPr>
            </w:pPr>
            <w:r w:rsidRPr="00480C56">
              <w:rPr>
                <w:rFonts w:cstheme="minorHAnsi"/>
                <w:sz w:val="20"/>
                <w:szCs w:val="20"/>
              </w:rPr>
              <w:t>Threshold 2|3</w:t>
            </w:r>
          </w:p>
        </w:tc>
        <w:tc>
          <w:tcPr>
            <w:tcW w:w="211" w:type="pct"/>
            <w:tcBorders>
              <w:top w:val="single" w:sz="4" w:space="0" w:color="auto"/>
              <w:left w:val="single" w:sz="18" w:space="0" w:color="auto"/>
              <w:bottom w:val="single" w:sz="4" w:space="0" w:color="auto"/>
            </w:tcBorders>
            <w:vAlign w:val="center"/>
          </w:tcPr>
          <w:p w14:paraId="4F3DC6E4" w14:textId="2CCDF304"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4" w:space="0" w:color="auto"/>
            </w:tcBorders>
            <w:vAlign w:val="center"/>
          </w:tcPr>
          <w:p w14:paraId="1003FAD6"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4" w:space="0" w:color="auto"/>
            </w:tcBorders>
            <w:vAlign w:val="center"/>
          </w:tcPr>
          <w:p w14:paraId="03BAADB3" w14:textId="744A4AE0"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tcBorders>
            <w:vAlign w:val="center"/>
          </w:tcPr>
          <w:p w14:paraId="2BA66A38"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4" w:space="0" w:color="auto"/>
            </w:tcBorders>
            <w:vAlign w:val="center"/>
          </w:tcPr>
          <w:p w14:paraId="2A45B70B" w14:textId="3D4B3766"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4" w:space="0" w:color="auto"/>
              <w:right w:val="single" w:sz="18" w:space="0" w:color="auto"/>
            </w:tcBorders>
            <w:vAlign w:val="center"/>
          </w:tcPr>
          <w:p w14:paraId="4F8BEC86"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5FDAE1D" w14:textId="6D9894B5" w:rsidR="003C41E1" w:rsidRPr="00480C56" w:rsidRDefault="003C41E1" w:rsidP="003C41E1">
            <w:pPr>
              <w:tabs>
                <w:tab w:val="decimal" w:pos="238"/>
              </w:tabs>
              <w:jc w:val="center"/>
              <w:rPr>
                <w:rFonts w:cstheme="minorHAnsi"/>
                <w:sz w:val="20"/>
                <w:szCs w:val="20"/>
              </w:rPr>
            </w:pPr>
            <w:r w:rsidRPr="00480C56">
              <w:rPr>
                <w:rFonts w:cstheme="minorHAnsi"/>
                <w:sz w:val="20"/>
                <w:szCs w:val="20"/>
              </w:rPr>
              <w:t>-0.148</w:t>
            </w:r>
          </w:p>
        </w:tc>
        <w:tc>
          <w:tcPr>
            <w:tcW w:w="221" w:type="pct"/>
            <w:gridSpan w:val="2"/>
            <w:tcBorders>
              <w:top w:val="single" w:sz="4" w:space="0" w:color="auto"/>
              <w:bottom w:val="single" w:sz="4" w:space="0" w:color="auto"/>
              <w:right w:val="single" w:sz="18" w:space="0" w:color="auto"/>
            </w:tcBorders>
            <w:vAlign w:val="center"/>
          </w:tcPr>
          <w:p w14:paraId="300D7BC8" w14:textId="118DE383" w:rsidR="003C41E1" w:rsidRPr="00480C56" w:rsidRDefault="003C41E1" w:rsidP="003C41E1">
            <w:pPr>
              <w:tabs>
                <w:tab w:val="decimal" w:pos="181"/>
              </w:tabs>
              <w:jc w:val="center"/>
              <w:rPr>
                <w:rFonts w:cstheme="minorHAnsi"/>
                <w:sz w:val="20"/>
                <w:szCs w:val="20"/>
              </w:rPr>
            </w:pPr>
            <w:r w:rsidRPr="00480C56">
              <w:rPr>
                <w:rFonts w:cstheme="minorHAnsi"/>
                <w:sz w:val="20"/>
                <w:szCs w:val="20"/>
              </w:rPr>
              <w:t>-0.76</w:t>
            </w:r>
          </w:p>
        </w:tc>
        <w:tc>
          <w:tcPr>
            <w:tcW w:w="239" w:type="pct"/>
            <w:tcBorders>
              <w:top w:val="single" w:sz="4" w:space="0" w:color="auto"/>
              <w:left w:val="single" w:sz="18" w:space="0" w:color="auto"/>
              <w:bottom w:val="single" w:sz="4" w:space="0" w:color="auto"/>
            </w:tcBorders>
            <w:vAlign w:val="center"/>
          </w:tcPr>
          <w:p w14:paraId="10527B0E" w14:textId="50D21ABC"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4" w:space="0" w:color="auto"/>
              <w:right w:val="single" w:sz="18" w:space="0" w:color="auto"/>
            </w:tcBorders>
            <w:vAlign w:val="center"/>
          </w:tcPr>
          <w:p w14:paraId="474781EE"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1D5069FE" w14:textId="09FCB1C2"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4" w:space="0" w:color="auto"/>
              <w:right w:val="single" w:sz="18" w:space="0" w:color="auto"/>
            </w:tcBorders>
            <w:vAlign w:val="center"/>
          </w:tcPr>
          <w:p w14:paraId="30FF09A5"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4" w:space="0" w:color="auto"/>
            </w:tcBorders>
            <w:vAlign w:val="center"/>
          </w:tcPr>
          <w:p w14:paraId="4321C6A6" w14:textId="22C6BFC5"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4" w:space="0" w:color="auto"/>
              <w:right w:val="single" w:sz="18" w:space="0" w:color="auto"/>
            </w:tcBorders>
            <w:vAlign w:val="center"/>
          </w:tcPr>
          <w:p w14:paraId="01CEA1A1"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4" w:space="0" w:color="auto"/>
            </w:tcBorders>
            <w:vAlign w:val="center"/>
          </w:tcPr>
          <w:p w14:paraId="6F1B505D" w14:textId="4B2E9E09"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4" w:space="0" w:color="auto"/>
            </w:tcBorders>
            <w:vAlign w:val="center"/>
          </w:tcPr>
          <w:p w14:paraId="05E6E671" w14:textId="77777777" w:rsidR="003C41E1" w:rsidRPr="00480C56" w:rsidRDefault="003C41E1" w:rsidP="003C41E1">
            <w:pPr>
              <w:tabs>
                <w:tab w:val="decimal" w:pos="188"/>
              </w:tabs>
              <w:jc w:val="center"/>
              <w:rPr>
                <w:rFonts w:cstheme="minorHAnsi"/>
                <w:sz w:val="20"/>
                <w:szCs w:val="20"/>
              </w:rPr>
            </w:pPr>
          </w:p>
        </w:tc>
      </w:tr>
      <w:tr w:rsidR="003C41E1" w:rsidRPr="00480C56" w14:paraId="3F75072F" w14:textId="77777777" w:rsidTr="00FA51C6">
        <w:trPr>
          <w:trHeight w:val="144"/>
        </w:trPr>
        <w:tc>
          <w:tcPr>
            <w:tcW w:w="1345" w:type="pct"/>
            <w:tcBorders>
              <w:top w:val="single" w:sz="4" w:space="0" w:color="auto"/>
              <w:bottom w:val="single" w:sz="18" w:space="0" w:color="auto"/>
              <w:right w:val="single" w:sz="18" w:space="0" w:color="auto"/>
            </w:tcBorders>
            <w:vAlign w:val="center"/>
          </w:tcPr>
          <w:p w14:paraId="4CBAF2CF" w14:textId="09738105" w:rsidR="003C41E1" w:rsidRPr="00480C56" w:rsidRDefault="003C41E1" w:rsidP="003C41E1">
            <w:pPr>
              <w:jc w:val="left"/>
              <w:rPr>
                <w:rFonts w:cstheme="minorHAnsi"/>
                <w:sz w:val="20"/>
                <w:szCs w:val="20"/>
              </w:rPr>
            </w:pPr>
            <w:r w:rsidRPr="00480C56">
              <w:rPr>
                <w:rFonts w:cstheme="minorHAnsi"/>
                <w:sz w:val="20"/>
                <w:szCs w:val="20"/>
              </w:rPr>
              <w:t>Threshold 3|4</w:t>
            </w:r>
          </w:p>
        </w:tc>
        <w:tc>
          <w:tcPr>
            <w:tcW w:w="211" w:type="pct"/>
            <w:tcBorders>
              <w:top w:val="single" w:sz="4" w:space="0" w:color="auto"/>
              <w:left w:val="single" w:sz="18" w:space="0" w:color="auto"/>
              <w:bottom w:val="single" w:sz="18" w:space="0" w:color="auto"/>
            </w:tcBorders>
            <w:vAlign w:val="center"/>
          </w:tcPr>
          <w:p w14:paraId="3B01D806" w14:textId="5D7C0AD2" w:rsidR="003C41E1" w:rsidRPr="00480C56" w:rsidRDefault="003C41E1" w:rsidP="003C41E1">
            <w:pPr>
              <w:tabs>
                <w:tab w:val="decimal" w:pos="167"/>
              </w:tabs>
              <w:jc w:val="center"/>
              <w:rPr>
                <w:rFonts w:cstheme="minorHAnsi"/>
                <w:sz w:val="20"/>
                <w:szCs w:val="20"/>
              </w:rPr>
            </w:pPr>
            <w:r>
              <w:rPr>
                <w:rFonts w:cstheme="minorHAnsi"/>
                <w:sz w:val="20"/>
                <w:szCs w:val="20"/>
              </w:rPr>
              <w:t>—</w:t>
            </w:r>
          </w:p>
        </w:tc>
        <w:tc>
          <w:tcPr>
            <w:tcW w:w="185" w:type="pct"/>
            <w:tcBorders>
              <w:top w:val="single" w:sz="4" w:space="0" w:color="auto"/>
              <w:bottom w:val="single" w:sz="18" w:space="0" w:color="auto"/>
            </w:tcBorders>
            <w:vAlign w:val="center"/>
          </w:tcPr>
          <w:p w14:paraId="50C93C70" w14:textId="77777777" w:rsidR="003C41E1" w:rsidRPr="00480C56" w:rsidRDefault="003C41E1" w:rsidP="003C41E1">
            <w:pPr>
              <w:tabs>
                <w:tab w:val="decimal" w:pos="196"/>
              </w:tabs>
              <w:jc w:val="center"/>
              <w:rPr>
                <w:rFonts w:cstheme="minorHAnsi"/>
                <w:sz w:val="20"/>
                <w:szCs w:val="20"/>
              </w:rPr>
            </w:pPr>
          </w:p>
        </w:tc>
        <w:tc>
          <w:tcPr>
            <w:tcW w:w="248" w:type="pct"/>
            <w:tcBorders>
              <w:top w:val="single" w:sz="4" w:space="0" w:color="auto"/>
              <w:bottom w:val="single" w:sz="18" w:space="0" w:color="auto"/>
            </w:tcBorders>
            <w:vAlign w:val="center"/>
          </w:tcPr>
          <w:p w14:paraId="532081DB" w14:textId="7DA78CF6" w:rsidR="003C41E1" w:rsidRPr="00480C56" w:rsidRDefault="003C41E1" w:rsidP="003C41E1">
            <w:pPr>
              <w:tabs>
                <w:tab w:val="decimal" w:pos="170"/>
              </w:tabs>
              <w:jc w:val="center"/>
              <w:rPr>
                <w:rFonts w:cstheme="minorHAnsi"/>
                <w:sz w:val="20"/>
                <w:szCs w:val="20"/>
              </w:rPr>
            </w:pPr>
            <w:r>
              <w:rPr>
                <w:rFonts w:cstheme="minorHAnsi"/>
                <w:sz w:val="20"/>
                <w:szCs w:val="20"/>
              </w:rPr>
              <w:t>—</w:t>
            </w:r>
          </w:p>
        </w:tc>
        <w:tc>
          <w:tcPr>
            <w:tcW w:w="204" w:type="pct"/>
            <w:tcBorders>
              <w:top w:val="single" w:sz="4" w:space="0" w:color="auto"/>
              <w:bottom w:val="single" w:sz="18" w:space="0" w:color="auto"/>
            </w:tcBorders>
            <w:vAlign w:val="center"/>
          </w:tcPr>
          <w:p w14:paraId="2122A15A" w14:textId="77777777" w:rsidR="003C41E1" w:rsidRPr="00480C56" w:rsidRDefault="003C41E1" w:rsidP="003C41E1">
            <w:pPr>
              <w:tabs>
                <w:tab w:val="decimal" w:pos="239"/>
              </w:tabs>
              <w:jc w:val="center"/>
              <w:rPr>
                <w:rFonts w:cstheme="minorHAnsi"/>
                <w:sz w:val="20"/>
                <w:szCs w:val="20"/>
              </w:rPr>
            </w:pPr>
          </w:p>
        </w:tc>
        <w:tc>
          <w:tcPr>
            <w:tcW w:w="308" w:type="pct"/>
            <w:tcBorders>
              <w:top w:val="single" w:sz="4" w:space="0" w:color="auto"/>
              <w:bottom w:val="single" w:sz="18" w:space="0" w:color="auto"/>
            </w:tcBorders>
            <w:vAlign w:val="center"/>
          </w:tcPr>
          <w:p w14:paraId="4894B7A9" w14:textId="2E7BCFE1" w:rsidR="003C41E1" w:rsidRPr="00480C56" w:rsidRDefault="003C41E1" w:rsidP="003C41E1">
            <w:pPr>
              <w:tabs>
                <w:tab w:val="decimal" w:pos="202"/>
              </w:tabs>
              <w:jc w:val="center"/>
              <w:rPr>
                <w:rFonts w:cstheme="minorHAnsi"/>
                <w:sz w:val="20"/>
                <w:szCs w:val="20"/>
              </w:rPr>
            </w:pPr>
            <w:r>
              <w:rPr>
                <w:rFonts w:cstheme="minorHAnsi"/>
                <w:sz w:val="20"/>
                <w:szCs w:val="20"/>
              </w:rPr>
              <w:t>—</w:t>
            </w:r>
          </w:p>
        </w:tc>
        <w:tc>
          <w:tcPr>
            <w:tcW w:w="242" w:type="pct"/>
            <w:tcBorders>
              <w:top w:val="single" w:sz="4" w:space="0" w:color="auto"/>
              <w:bottom w:val="single" w:sz="18" w:space="0" w:color="auto"/>
              <w:right w:val="single" w:sz="18" w:space="0" w:color="auto"/>
            </w:tcBorders>
            <w:vAlign w:val="center"/>
          </w:tcPr>
          <w:p w14:paraId="0C56B08E"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18" w:space="0" w:color="auto"/>
            </w:tcBorders>
            <w:vAlign w:val="center"/>
          </w:tcPr>
          <w:p w14:paraId="74BFE91C" w14:textId="16B4F215" w:rsidR="003C41E1" w:rsidRPr="00480C56" w:rsidRDefault="003C41E1" w:rsidP="003C41E1">
            <w:pPr>
              <w:tabs>
                <w:tab w:val="decimal" w:pos="238"/>
              </w:tabs>
              <w:jc w:val="center"/>
              <w:rPr>
                <w:rFonts w:cstheme="minorHAnsi"/>
                <w:sz w:val="20"/>
                <w:szCs w:val="20"/>
              </w:rPr>
            </w:pPr>
            <w:r w:rsidRPr="00480C56">
              <w:rPr>
                <w:rFonts w:cstheme="minorHAnsi"/>
                <w:sz w:val="20"/>
                <w:szCs w:val="20"/>
              </w:rPr>
              <w:t>0.888</w:t>
            </w:r>
          </w:p>
        </w:tc>
        <w:tc>
          <w:tcPr>
            <w:tcW w:w="221" w:type="pct"/>
            <w:gridSpan w:val="2"/>
            <w:tcBorders>
              <w:top w:val="single" w:sz="4" w:space="0" w:color="auto"/>
              <w:bottom w:val="single" w:sz="18" w:space="0" w:color="auto"/>
              <w:right w:val="single" w:sz="18" w:space="0" w:color="auto"/>
            </w:tcBorders>
            <w:vAlign w:val="center"/>
          </w:tcPr>
          <w:p w14:paraId="015ED9DA" w14:textId="36B7CCD9" w:rsidR="003C41E1" w:rsidRPr="00480C56" w:rsidRDefault="003C41E1" w:rsidP="003C41E1">
            <w:pPr>
              <w:tabs>
                <w:tab w:val="decimal" w:pos="181"/>
              </w:tabs>
              <w:jc w:val="center"/>
              <w:rPr>
                <w:rFonts w:cstheme="minorHAnsi"/>
                <w:sz w:val="20"/>
                <w:szCs w:val="20"/>
              </w:rPr>
            </w:pPr>
            <w:r w:rsidRPr="00480C56">
              <w:rPr>
                <w:rFonts w:cstheme="minorHAnsi"/>
                <w:sz w:val="20"/>
                <w:szCs w:val="20"/>
              </w:rPr>
              <w:t>5.07</w:t>
            </w:r>
          </w:p>
        </w:tc>
        <w:tc>
          <w:tcPr>
            <w:tcW w:w="239" w:type="pct"/>
            <w:tcBorders>
              <w:top w:val="single" w:sz="4" w:space="0" w:color="auto"/>
              <w:left w:val="single" w:sz="18" w:space="0" w:color="auto"/>
              <w:bottom w:val="single" w:sz="18" w:space="0" w:color="auto"/>
            </w:tcBorders>
            <w:vAlign w:val="center"/>
          </w:tcPr>
          <w:p w14:paraId="2ED82B48" w14:textId="3991367C" w:rsidR="003C41E1" w:rsidRPr="00480C56" w:rsidRDefault="003C41E1" w:rsidP="003C41E1">
            <w:pPr>
              <w:tabs>
                <w:tab w:val="decimal" w:pos="239"/>
              </w:tabs>
              <w:jc w:val="center"/>
              <w:rPr>
                <w:rFonts w:cstheme="minorHAnsi"/>
                <w:sz w:val="20"/>
                <w:szCs w:val="20"/>
              </w:rPr>
            </w:pPr>
            <w:r>
              <w:rPr>
                <w:rFonts w:cstheme="minorHAnsi"/>
                <w:sz w:val="20"/>
                <w:szCs w:val="20"/>
              </w:rPr>
              <w:t>—</w:t>
            </w:r>
          </w:p>
        </w:tc>
        <w:tc>
          <w:tcPr>
            <w:tcW w:w="202" w:type="pct"/>
            <w:tcBorders>
              <w:top w:val="single" w:sz="4" w:space="0" w:color="auto"/>
              <w:bottom w:val="single" w:sz="18" w:space="0" w:color="auto"/>
              <w:right w:val="single" w:sz="18" w:space="0" w:color="auto"/>
            </w:tcBorders>
            <w:vAlign w:val="center"/>
          </w:tcPr>
          <w:p w14:paraId="36012DA5" w14:textId="77777777" w:rsidR="003C41E1" w:rsidRPr="00480C56" w:rsidRDefault="003C41E1" w:rsidP="003C41E1">
            <w:pPr>
              <w:tabs>
                <w:tab w:val="decimal" w:pos="181"/>
              </w:tabs>
              <w:jc w:val="center"/>
              <w:rPr>
                <w:rFonts w:cstheme="minorHAnsi"/>
                <w:sz w:val="20"/>
                <w:szCs w:val="20"/>
              </w:rPr>
            </w:pPr>
          </w:p>
        </w:tc>
        <w:tc>
          <w:tcPr>
            <w:tcW w:w="239" w:type="pct"/>
            <w:tcBorders>
              <w:top w:val="single" w:sz="4" w:space="0" w:color="auto"/>
              <w:left w:val="single" w:sz="18" w:space="0" w:color="auto"/>
              <w:bottom w:val="single" w:sz="18" w:space="0" w:color="auto"/>
            </w:tcBorders>
            <w:vAlign w:val="center"/>
          </w:tcPr>
          <w:p w14:paraId="6640D2AA" w14:textId="5261CB8A" w:rsidR="003C41E1" w:rsidRPr="00480C56" w:rsidRDefault="003C41E1" w:rsidP="003C41E1">
            <w:pPr>
              <w:tabs>
                <w:tab w:val="decimal" w:pos="238"/>
              </w:tabs>
              <w:jc w:val="center"/>
              <w:rPr>
                <w:rFonts w:cstheme="minorHAnsi"/>
                <w:sz w:val="20"/>
                <w:szCs w:val="20"/>
              </w:rPr>
            </w:pPr>
            <w:r>
              <w:rPr>
                <w:rFonts w:cstheme="minorHAnsi"/>
                <w:sz w:val="20"/>
                <w:szCs w:val="20"/>
              </w:rPr>
              <w:t>—</w:t>
            </w:r>
          </w:p>
        </w:tc>
        <w:tc>
          <w:tcPr>
            <w:tcW w:w="204" w:type="pct"/>
            <w:tcBorders>
              <w:top w:val="single" w:sz="4" w:space="0" w:color="auto"/>
              <w:bottom w:val="single" w:sz="18" w:space="0" w:color="auto"/>
              <w:right w:val="single" w:sz="18" w:space="0" w:color="auto"/>
            </w:tcBorders>
            <w:vAlign w:val="center"/>
          </w:tcPr>
          <w:p w14:paraId="5FDEC36F" w14:textId="77777777" w:rsidR="003C41E1" w:rsidRPr="00480C56" w:rsidRDefault="003C41E1" w:rsidP="003C41E1">
            <w:pPr>
              <w:tabs>
                <w:tab w:val="decimal" w:pos="231"/>
              </w:tabs>
              <w:jc w:val="center"/>
              <w:rPr>
                <w:rFonts w:cstheme="minorHAnsi"/>
                <w:sz w:val="20"/>
                <w:szCs w:val="20"/>
              </w:rPr>
            </w:pPr>
          </w:p>
        </w:tc>
        <w:tc>
          <w:tcPr>
            <w:tcW w:w="239" w:type="pct"/>
            <w:tcBorders>
              <w:top w:val="single" w:sz="4" w:space="0" w:color="auto"/>
              <w:left w:val="single" w:sz="18" w:space="0" w:color="auto"/>
              <w:bottom w:val="single" w:sz="18" w:space="0" w:color="auto"/>
            </w:tcBorders>
            <w:vAlign w:val="center"/>
          </w:tcPr>
          <w:p w14:paraId="7FFC66F1" w14:textId="49FFCE60" w:rsidR="003C41E1" w:rsidRPr="00480C56" w:rsidRDefault="003C41E1" w:rsidP="003C41E1">
            <w:pPr>
              <w:tabs>
                <w:tab w:val="decimal" w:pos="195"/>
              </w:tabs>
              <w:jc w:val="center"/>
              <w:rPr>
                <w:rFonts w:cstheme="minorHAnsi"/>
                <w:sz w:val="20"/>
                <w:szCs w:val="20"/>
              </w:rPr>
            </w:pPr>
            <w:r>
              <w:rPr>
                <w:rFonts w:cstheme="minorHAnsi"/>
                <w:sz w:val="20"/>
                <w:szCs w:val="20"/>
              </w:rPr>
              <w:t>—</w:t>
            </w:r>
          </w:p>
        </w:tc>
        <w:tc>
          <w:tcPr>
            <w:tcW w:w="217" w:type="pct"/>
            <w:tcBorders>
              <w:top w:val="single" w:sz="4" w:space="0" w:color="auto"/>
              <w:bottom w:val="single" w:sz="18" w:space="0" w:color="auto"/>
              <w:right w:val="single" w:sz="18" w:space="0" w:color="auto"/>
            </w:tcBorders>
            <w:vAlign w:val="center"/>
          </w:tcPr>
          <w:p w14:paraId="110621CA" w14:textId="77777777" w:rsidR="003C41E1" w:rsidRPr="00480C56" w:rsidRDefault="003C41E1" w:rsidP="003C41E1">
            <w:pPr>
              <w:tabs>
                <w:tab w:val="decimal" w:pos="181"/>
              </w:tabs>
              <w:jc w:val="center"/>
              <w:rPr>
                <w:rFonts w:cstheme="minorHAnsi"/>
                <w:sz w:val="20"/>
                <w:szCs w:val="20"/>
              </w:rPr>
            </w:pPr>
          </w:p>
        </w:tc>
        <w:tc>
          <w:tcPr>
            <w:tcW w:w="268" w:type="pct"/>
            <w:tcBorders>
              <w:top w:val="single" w:sz="4" w:space="0" w:color="auto"/>
              <w:left w:val="single" w:sz="18" w:space="0" w:color="auto"/>
              <w:bottom w:val="single" w:sz="18" w:space="0" w:color="auto"/>
            </w:tcBorders>
            <w:vAlign w:val="center"/>
          </w:tcPr>
          <w:p w14:paraId="334B0E23" w14:textId="259BEB63" w:rsidR="003C41E1" w:rsidRPr="00480C56" w:rsidRDefault="003C41E1" w:rsidP="003C41E1">
            <w:pPr>
              <w:tabs>
                <w:tab w:val="decimal" w:pos="189"/>
              </w:tabs>
              <w:jc w:val="center"/>
              <w:rPr>
                <w:rFonts w:cstheme="minorHAnsi"/>
                <w:sz w:val="20"/>
                <w:szCs w:val="20"/>
              </w:rPr>
            </w:pPr>
            <w:r>
              <w:rPr>
                <w:rFonts w:cstheme="minorHAnsi"/>
                <w:sz w:val="20"/>
                <w:szCs w:val="20"/>
              </w:rPr>
              <w:t>—</w:t>
            </w:r>
          </w:p>
        </w:tc>
        <w:tc>
          <w:tcPr>
            <w:tcW w:w="189" w:type="pct"/>
            <w:tcBorders>
              <w:top w:val="single" w:sz="4" w:space="0" w:color="auto"/>
              <w:bottom w:val="single" w:sz="18" w:space="0" w:color="auto"/>
            </w:tcBorders>
            <w:vAlign w:val="center"/>
          </w:tcPr>
          <w:p w14:paraId="616A20B1" w14:textId="77777777" w:rsidR="003C41E1" w:rsidRPr="00480C56" w:rsidRDefault="003C41E1" w:rsidP="003C41E1">
            <w:pPr>
              <w:tabs>
                <w:tab w:val="decimal" w:pos="188"/>
              </w:tabs>
              <w:jc w:val="center"/>
              <w:rPr>
                <w:rFonts w:cstheme="minorHAnsi"/>
                <w:sz w:val="20"/>
                <w:szCs w:val="20"/>
              </w:rPr>
            </w:pPr>
          </w:p>
        </w:tc>
      </w:tr>
      <w:tr w:rsidR="003C41E1" w:rsidRPr="00480C56" w14:paraId="05299225" w14:textId="77777777" w:rsidTr="00FA51C6">
        <w:trPr>
          <w:trHeight w:val="144"/>
        </w:trPr>
        <w:tc>
          <w:tcPr>
            <w:tcW w:w="1345" w:type="pct"/>
            <w:tcBorders>
              <w:top w:val="single" w:sz="18" w:space="0" w:color="auto"/>
              <w:left w:val="single" w:sz="18" w:space="0" w:color="auto"/>
              <w:bottom w:val="single" w:sz="18" w:space="0" w:color="auto"/>
              <w:right w:val="single" w:sz="18" w:space="0" w:color="auto"/>
            </w:tcBorders>
            <w:vAlign w:val="center"/>
          </w:tcPr>
          <w:p w14:paraId="29B84727" w14:textId="1E67EB49" w:rsidR="003C41E1" w:rsidRPr="00FA51C6" w:rsidRDefault="003C41E1" w:rsidP="003C41E1">
            <w:pPr>
              <w:jc w:val="left"/>
              <w:rPr>
                <w:rFonts w:cstheme="minorHAnsi"/>
                <w:b/>
                <w:bCs/>
                <w:sz w:val="20"/>
                <w:szCs w:val="20"/>
              </w:rPr>
            </w:pPr>
            <w:r w:rsidRPr="00FA51C6">
              <w:rPr>
                <w:rFonts w:cstheme="minorHAnsi"/>
                <w:b/>
                <w:bCs/>
                <w:sz w:val="20"/>
                <w:szCs w:val="20"/>
              </w:rPr>
              <w:t>Data Fit Measures</w:t>
            </w:r>
          </w:p>
        </w:tc>
        <w:tc>
          <w:tcPr>
            <w:tcW w:w="1827" w:type="pct"/>
            <w:gridSpan w:val="8"/>
            <w:tcBorders>
              <w:top w:val="single" w:sz="18" w:space="0" w:color="auto"/>
              <w:left w:val="single" w:sz="18" w:space="0" w:color="auto"/>
              <w:bottom w:val="single" w:sz="18" w:space="0" w:color="auto"/>
              <w:right w:val="single" w:sz="18" w:space="0" w:color="auto"/>
            </w:tcBorders>
            <w:vAlign w:val="center"/>
          </w:tcPr>
          <w:p w14:paraId="2C1D6733" w14:textId="75DE4F6A" w:rsidR="003C41E1" w:rsidRPr="00FA51C6" w:rsidRDefault="003C41E1" w:rsidP="003C41E1">
            <w:pPr>
              <w:tabs>
                <w:tab w:val="decimal" w:pos="188"/>
              </w:tabs>
              <w:jc w:val="center"/>
              <w:rPr>
                <w:rFonts w:cstheme="minorHAnsi"/>
                <w:b/>
                <w:bCs/>
                <w:sz w:val="20"/>
                <w:szCs w:val="20"/>
              </w:rPr>
            </w:pPr>
            <w:r w:rsidRPr="00FA51C6">
              <w:rPr>
                <w:rFonts w:cstheme="minorHAnsi"/>
                <w:b/>
                <w:bCs/>
                <w:sz w:val="20"/>
                <w:szCs w:val="20"/>
              </w:rPr>
              <w:t>Independent Model (without correlations)</w:t>
            </w:r>
          </w:p>
        </w:tc>
        <w:tc>
          <w:tcPr>
            <w:tcW w:w="1827" w:type="pct"/>
            <w:gridSpan w:val="9"/>
            <w:tcBorders>
              <w:top w:val="single" w:sz="18" w:space="0" w:color="auto"/>
              <w:left w:val="single" w:sz="18" w:space="0" w:color="auto"/>
              <w:bottom w:val="single" w:sz="18" w:space="0" w:color="auto"/>
              <w:right w:val="single" w:sz="18" w:space="0" w:color="auto"/>
            </w:tcBorders>
            <w:vAlign w:val="center"/>
          </w:tcPr>
          <w:p w14:paraId="23DA34D5" w14:textId="6ADD65EF" w:rsidR="003C41E1" w:rsidRPr="00FA51C6" w:rsidRDefault="003C41E1" w:rsidP="003C41E1">
            <w:pPr>
              <w:tabs>
                <w:tab w:val="decimal" w:pos="188"/>
              </w:tabs>
              <w:jc w:val="center"/>
              <w:rPr>
                <w:rFonts w:cstheme="minorHAnsi"/>
                <w:b/>
                <w:bCs/>
                <w:sz w:val="20"/>
                <w:szCs w:val="20"/>
              </w:rPr>
            </w:pPr>
            <w:r w:rsidRPr="00FA51C6">
              <w:rPr>
                <w:rFonts w:cstheme="minorHAnsi"/>
                <w:b/>
                <w:bCs/>
                <w:sz w:val="20"/>
                <w:szCs w:val="20"/>
              </w:rPr>
              <w:t>Joint Model (proposed)</w:t>
            </w:r>
          </w:p>
        </w:tc>
      </w:tr>
      <w:tr w:rsidR="003C41E1" w:rsidRPr="00480C56" w14:paraId="0FDA5130" w14:textId="77777777" w:rsidTr="00FA51C6">
        <w:trPr>
          <w:trHeight w:val="144"/>
        </w:trPr>
        <w:tc>
          <w:tcPr>
            <w:tcW w:w="1345" w:type="pct"/>
            <w:tcBorders>
              <w:top w:val="single" w:sz="18" w:space="0" w:color="auto"/>
              <w:left w:val="single" w:sz="18" w:space="0" w:color="auto"/>
              <w:bottom w:val="single" w:sz="4" w:space="0" w:color="auto"/>
              <w:right w:val="single" w:sz="18" w:space="0" w:color="auto"/>
            </w:tcBorders>
            <w:vAlign w:val="center"/>
          </w:tcPr>
          <w:p w14:paraId="02DE187C" w14:textId="09B46201" w:rsidR="003C41E1" w:rsidRPr="00FA51C6" w:rsidRDefault="003C41E1" w:rsidP="003C41E1">
            <w:pPr>
              <w:jc w:val="left"/>
              <w:rPr>
                <w:rFonts w:cstheme="minorHAnsi"/>
                <w:sz w:val="20"/>
                <w:szCs w:val="20"/>
              </w:rPr>
            </w:pPr>
            <w:r w:rsidRPr="00FA51C6">
              <w:rPr>
                <w:rFonts w:cstheme="minorHAnsi"/>
                <w:sz w:val="20"/>
                <w:szCs w:val="20"/>
              </w:rPr>
              <w:t>Log-likelihood at convergence</w:t>
            </w:r>
          </w:p>
        </w:tc>
        <w:tc>
          <w:tcPr>
            <w:tcW w:w="1827" w:type="pct"/>
            <w:gridSpan w:val="8"/>
            <w:tcBorders>
              <w:top w:val="single" w:sz="18" w:space="0" w:color="auto"/>
              <w:left w:val="single" w:sz="18" w:space="0" w:color="auto"/>
              <w:bottom w:val="single" w:sz="4" w:space="0" w:color="auto"/>
              <w:right w:val="single" w:sz="18" w:space="0" w:color="auto"/>
            </w:tcBorders>
            <w:vAlign w:val="center"/>
          </w:tcPr>
          <w:p w14:paraId="1D5E0492" w14:textId="1A14D427" w:rsidR="003C41E1" w:rsidRPr="00480C56" w:rsidRDefault="003C41E1" w:rsidP="003C41E1">
            <w:pPr>
              <w:tabs>
                <w:tab w:val="decimal" w:pos="188"/>
              </w:tabs>
              <w:jc w:val="center"/>
              <w:rPr>
                <w:rFonts w:cstheme="minorHAnsi"/>
                <w:sz w:val="20"/>
                <w:szCs w:val="20"/>
              </w:rPr>
            </w:pPr>
            <w:r w:rsidRPr="00B25E0A">
              <w:rPr>
                <w:rFonts w:cstheme="minorHAnsi"/>
                <w:sz w:val="20"/>
                <w:szCs w:val="20"/>
              </w:rPr>
              <w:t>-4978.76</w:t>
            </w:r>
          </w:p>
        </w:tc>
        <w:tc>
          <w:tcPr>
            <w:tcW w:w="1827" w:type="pct"/>
            <w:gridSpan w:val="9"/>
            <w:tcBorders>
              <w:top w:val="single" w:sz="18" w:space="0" w:color="auto"/>
              <w:left w:val="single" w:sz="18" w:space="0" w:color="auto"/>
              <w:bottom w:val="single" w:sz="4" w:space="0" w:color="auto"/>
              <w:right w:val="single" w:sz="18" w:space="0" w:color="auto"/>
            </w:tcBorders>
            <w:vAlign w:val="center"/>
          </w:tcPr>
          <w:p w14:paraId="3AE21F5F" w14:textId="2CB8E5D1" w:rsidR="003C41E1" w:rsidRPr="00480C56" w:rsidRDefault="003C41E1" w:rsidP="003C41E1">
            <w:pPr>
              <w:tabs>
                <w:tab w:val="decimal" w:pos="188"/>
              </w:tabs>
              <w:jc w:val="center"/>
              <w:rPr>
                <w:rFonts w:cstheme="minorHAnsi"/>
                <w:sz w:val="20"/>
                <w:szCs w:val="20"/>
              </w:rPr>
            </w:pPr>
            <w:r>
              <w:rPr>
                <w:rFonts w:cstheme="minorHAnsi"/>
                <w:sz w:val="20"/>
                <w:szCs w:val="20"/>
              </w:rPr>
              <w:t>-4925.90</w:t>
            </w:r>
          </w:p>
        </w:tc>
      </w:tr>
      <w:tr w:rsidR="003C41E1" w:rsidRPr="00480C56" w14:paraId="5F8BC5EF" w14:textId="77777777" w:rsidTr="004A4D87">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78F798B4" w14:textId="7BFE853C" w:rsidR="003C41E1" w:rsidRPr="00FA51C6" w:rsidRDefault="003C41E1" w:rsidP="003C41E1">
            <w:pPr>
              <w:jc w:val="left"/>
              <w:rPr>
                <w:rFonts w:cstheme="minorHAnsi"/>
                <w:sz w:val="20"/>
                <w:szCs w:val="20"/>
              </w:rPr>
            </w:pPr>
            <w:r w:rsidRPr="00FA51C6">
              <w:rPr>
                <w:rFonts w:cstheme="minorHAnsi"/>
                <w:sz w:val="20"/>
                <w:szCs w:val="20"/>
              </w:rPr>
              <w:t xml:space="preserve">Log-likelihood </w:t>
            </w:r>
            <w:r>
              <w:rPr>
                <w:rFonts w:cstheme="minorHAnsi"/>
                <w:sz w:val="20"/>
                <w:szCs w:val="20"/>
              </w:rPr>
              <w:t>at constants</w:t>
            </w:r>
          </w:p>
        </w:tc>
        <w:tc>
          <w:tcPr>
            <w:tcW w:w="3655" w:type="pct"/>
            <w:gridSpan w:val="17"/>
            <w:tcBorders>
              <w:top w:val="single" w:sz="4" w:space="0" w:color="auto"/>
              <w:left w:val="single" w:sz="18" w:space="0" w:color="auto"/>
              <w:bottom w:val="single" w:sz="4" w:space="0" w:color="auto"/>
              <w:right w:val="single" w:sz="18" w:space="0" w:color="auto"/>
            </w:tcBorders>
            <w:vAlign w:val="center"/>
          </w:tcPr>
          <w:p w14:paraId="166298C7" w14:textId="35993904" w:rsidR="003C41E1" w:rsidRPr="00480C56" w:rsidRDefault="003C41E1" w:rsidP="003C41E1">
            <w:pPr>
              <w:tabs>
                <w:tab w:val="decimal" w:pos="188"/>
              </w:tabs>
              <w:jc w:val="center"/>
              <w:rPr>
                <w:rFonts w:cstheme="minorHAnsi"/>
                <w:sz w:val="20"/>
                <w:szCs w:val="20"/>
              </w:rPr>
            </w:pPr>
            <w:r w:rsidRPr="00B25E0A">
              <w:rPr>
                <w:rFonts w:cstheme="minorHAnsi"/>
                <w:sz w:val="20"/>
                <w:szCs w:val="20"/>
              </w:rPr>
              <w:t>-5418.99</w:t>
            </w:r>
            <w:r w:rsidRPr="00B25E0A">
              <w:rPr>
                <w:rFonts w:cstheme="minorHAnsi"/>
                <w:sz w:val="20"/>
                <w:szCs w:val="20"/>
              </w:rPr>
              <w:tab/>
            </w:r>
          </w:p>
        </w:tc>
      </w:tr>
      <w:tr w:rsidR="003C41E1" w:rsidRPr="00480C56" w14:paraId="02BF7BD9" w14:textId="77777777" w:rsidTr="00FA51C6">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6AD405AF" w14:textId="4BCA2497" w:rsidR="003C41E1" w:rsidRPr="00FA51C6" w:rsidRDefault="003C41E1" w:rsidP="003C41E1">
            <w:pPr>
              <w:jc w:val="left"/>
              <w:rPr>
                <w:rFonts w:cstheme="minorHAnsi"/>
                <w:sz w:val="20"/>
                <w:szCs w:val="20"/>
              </w:rPr>
            </w:pPr>
            <w:r w:rsidRPr="00FA51C6">
              <w:rPr>
                <w:rFonts w:cstheme="minorHAnsi"/>
                <w:sz w:val="20"/>
                <w:szCs w:val="20"/>
              </w:rPr>
              <w:t xml:space="preserve">Number of </w:t>
            </w:r>
            <w:r>
              <w:rPr>
                <w:rFonts w:cstheme="minorHAnsi"/>
                <w:sz w:val="20"/>
                <w:szCs w:val="20"/>
              </w:rPr>
              <w:t>non-constant parameters</w:t>
            </w:r>
          </w:p>
        </w:tc>
        <w:tc>
          <w:tcPr>
            <w:tcW w:w="1827" w:type="pct"/>
            <w:gridSpan w:val="8"/>
            <w:tcBorders>
              <w:top w:val="single" w:sz="4" w:space="0" w:color="auto"/>
              <w:left w:val="single" w:sz="18" w:space="0" w:color="auto"/>
              <w:bottom w:val="single" w:sz="4" w:space="0" w:color="auto"/>
              <w:right w:val="single" w:sz="18" w:space="0" w:color="auto"/>
            </w:tcBorders>
            <w:vAlign w:val="center"/>
          </w:tcPr>
          <w:p w14:paraId="62EB054E" w14:textId="329A7733" w:rsidR="003C41E1" w:rsidRPr="00480C56" w:rsidRDefault="003C41E1" w:rsidP="003C41E1">
            <w:pPr>
              <w:tabs>
                <w:tab w:val="decimal" w:pos="188"/>
              </w:tabs>
              <w:jc w:val="center"/>
              <w:rPr>
                <w:rFonts w:cstheme="minorHAnsi"/>
                <w:sz w:val="20"/>
                <w:szCs w:val="20"/>
              </w:rPr>
            </w:pPr>
            <w:r>
              <w:rPr>
                <w:rFonts w:cstheme="minorHAnsi"/>
                <w:sz w:val="20"/>
                <w:szCs w:val="20"/>
              </w:rPr>
              <w:t>48</w:t>
            </w:r>
          </w:p>
        </w:tc>
        <w:tc>
          <w:tcPr>
            <w:tcW w:w="1827" w:type="pct"/>
            <w:gridSpan w:val="9"/>
            <w:tcBorders>
              <w:top w:val="single" w:sz="4" w:space="0" w:color="auto"/>
              <w:left w:val="single" w:sz="18" w:space="0" w:color="auto"/>
              <w:bottom w:val="single" w:sz="4" w:space="0" w:color="auto"/>
              <w:right w:val="single" w:sz="18" w:space="0" w:color="auto"/>
            </w:tcBorders>
            <w:vAlign w:val="center"/>
          </w:tcPr>
          <w:p w14:paraId="6D376F8E" w14:textId="27B7CAB5" w:rsidR="003C41E1" w:rsidRPr="00480C56" w:rsidRDefault="003C41E1" w:rsidP="003C41E1">
            <w:pPr>
              <w:tabs>
                <w:tab w:val="decimal" w:pos="188"/>
              </w:tabs>
              <w:jc w:val="center"/>
              <w:rPr>
                <w:rFonts w:cstheme="minorHAnsi"/>
                <w:sz w:val="20"/>
                <w:szCs w:val="20"/>
              </w:rPr>
            </w:pPr>
            <w:r>
              <w:rPr>
                <w:rFonts w:cstheme="minorHAnsi"/>
                <w:sz w:val="20"/>
                <w:szCs w:val="20"/>
              </w:rPr>
              <w:t>78</w:t>
            </w:r>
          </w:p>
        </w:tc>
      </w:tr>
      <w:tr w:rsidR="003C41E1" w:rsidRPr="00480C56" w14:paraId="7ED4C1DE" w14:textId="77777777" w:rsidTr="00FA51C6">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3909C8C2" w14:textId="0AF9EE58" w:rsidR="003C41E1" w:rsidRPr="00FA51C6" w:rsidRDefault="003C41E1" w:rsidP="003C41E1">
            <w:pPr>
              <w:jc w:val="left"/>
              <w:rPr>
                <w:rFonts w:cstheme="minorHAnsi"/>
                <w:sz w:val="20"/>
                <w:szCs w:val="20"/>
              </w:rPr>
            </w:pPr>
            <w:r>
              <w:rPr>
                <w:rFonts w:cstheme="minorHAnsi"/>
                <w:sz w:val="20"/>
                <w:szCs w:val="20"/>
              </w:rPr>
              <w:t>Bayesian information criterion (BIC)</w:t>
            </w:r>
          </w:p>
        </w:tc>
        <w:tc>
          <w:tcPr>
            <w:tcW w:w="1827" w:type="pct"/>
            <w:gridSpan w:val="8"/>
            <w:tcBorders>
              <w:top w:val="single" w:sz="4" w:space="0" w:color="auto"/>
              <w:left w:val="single" w:sz="18" w:space="0" w:color="auto"/>
              <w:bottom w:val="single" w:sz="4" w:space="0" w:color="auto"/>
              <w:right w:val="single" w:sz="18" w:space="0" w:color="auto"/>
            </w:tcBorders>
            <w:vAlign w:val="center"/>
          </w:tcPr>
          <w:p w14:paraId="47678914" w14:textId="4FA5A562" w:rsidR="003C41E1" w:rsidRPr="00480C56" w:rsidRDefault="003C41E1" w:rsidP="003C41E1">
            <w:pPr>
              <w:tabs>
                <w:tab w:val="decimal" w:pos="188"/>
              </w:tabs>
              <w:jc w:val="center"/>
              <w:rPr>
                <w:rFonts w:cstheme="minorHAnsi"/>
                <w:sz w:val="20"/>
                <w:szCs w:val="20"/>
              </w:rPr>
            </w:pPr>
            <w:r w:rsidRPr="00B25E0A">
              <w:rPr>
                <w:rFonts w:cstheme="minorHAnsi"/>
                <w:sz w:val="20"/>
                <w:szCs w:val="20"/>
              </w:rPr>
              <w:t>5078.06</w:t>
            </w:r>
          </w:p>
        </w:tc>
        <w:tc>
          <w:tcPr>
            <w:tcW w:w="1827" w:type="pct"/>
            <w:gridSpan w:val="9"/>
            <w:tcBorders>
              <w:top w:val="single" w:sz="4" w:space="0" w:color="auto"/>
              <w:left w:val="single" w:sz="18" w:space="0" w:color="auto"/>
              <w:bottom w:val="single" w:sz="4" w:space="0" w:color="auto"/>
              <w:right w:val="single" w:sz="18" w:space="0" w:color="auto"/>
            </w:tcBorders>
            <w:vAlign w:val="center"/>
          </w:tcPr>
          <w:p w14:paraId="6A028C7F" w14:textId="58539179" w:rsidR="003C41E1" w:rsidRPr="00480C56" w:rsidRDefault="003C41E1" w:rsidP="003C41E1">
            <w:pPr>
              <w:tabs>
                <w:tab w:val="decimal" w:pos="188"/>
              </w:tabs>
              <w:jc w:val="center"/>
              <w:rPr>
                <w:rFonts w:cstheme="minorHAnsi"/>
                <w:sz w:val="20"/>
                <w:szCs w:val="20"/>
              </w:rPr>
            </w:pPr>
            <w:r w:rsidRPr="00B25E0A">
              <w:rPr>
                <w:rFonts w:cstheme="minorHAnsi"/>
                <w:sz w:val="20"/>
                <w:szCs w:val="20"/>
              </w:rPr>
              <w:t>5076.56</w:t>
            </w:r>
          </w:p>
        </w:tc>
      </w:tr>
      <w:tr w:rsidR="003C41E1" w:rsidRPr="00480C56" w14:paraId="057E33A1" w14:textId="77777777" w:rsidTr="00FA51C6">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7421E8B0" w14:textId="4C736EBA" w:rsidR="003C41E1" w:rsidRPr="00FA51C6" w:rsidRDefault="003C41E1" w:rsidP="003C41E1">
            <w:pPr>
              <w:jc w:val="left"/>
              <w:rPr>
                <w:rFonts w:cstheme="minorHAnsi"/>
                <w:sz w:val="20"/>
                <w:szCs w:val="20"/>
              </w:rPr>
            </w:pPr>
            <w:r>
              <w:rPr>
                <w:rFonts w:cstheme="minorHAnsi"/>
                <w:sz w:val="20"/>
                <w:szCs w:val="20"/>
              </w:rPr>
              <w:t>Adjusted likelihood ratio index (</w:t>
            </w:r>
            <m:oMath>
              <m:sSup>
                <m:sSupPr>
                  <m:ctrlPr>
                    <w:rPr>
                      <w:rFonts w:ascii="Cambria Math" w:hAnsi="Cambria Math" w:cstheme="minorHAnsi"/>
                      <w:i/>
                      <w:sz w:val="20"/>
                      <w:szCs w:val="20"/>
                    </w:rPr>
                  </m:ctrlPr>
                </m:sSupPr>
                <m:e>
                  <m:acc>
                    <m:accPr>
                      <m:chr m:val="̅"/>
                      <m:ctrlPr>
                        <w:rPr>
                          <w:rFonts w:ascii="Cambria Math" w:hAnsi="Cambria Math" w:cstheme="minorHAnsi"/>
                          <w:i/>
                          <w:sz w:val="20"/>
                          <w:szCs w:val="20"/>
                        </w:rPr>
                      </m:ctrlPr>
                    </m:accPr>
                    <m:e>
                      <m:r>
                        <w:rPr>
                          <w:rFonts w:ascii="Cambria Math" w:hAnsi="Cambria Math" w:cstheme="minorHAnsi"/>
                          <w:sz w:val="20"/>
                          <w:szCs w:val="20"/>
                        </w:rPr>
                        <m:t>ρ</m:t>
                      </m:r>
                    </m:e>
                  </m:acc>
                </m:e>
                <m:sup>
                  <m:r>
                    <w:rPr>
                      <w:rFonts w:ascii="Cambria Math" w:hAnsi="Cambria Math" w:cstheme="minorHAnsi"/>
                      <w:sz w:val="20"/>
                      <w:szCs w:val="20"/>
                    </w:rPr>
                    <m:t>2</m:t>
                  </m:r>
                </m:sup>
              </m:sSup>
              <m:r>
                <w:rPr>
                  <w:rFonts w:ascii="Cambria Math" w:hAnsi="Cambria Math" w:cstheme="minorHAnsi"/>
                  <w:sz w:val="20"/>
                  <w:szCs w:val="20"/>
                </w:rPr>
                <m:t>)</m:t>
              </m:r>
            </m:oMath>
          </w:p>
        </w:tc>
        <w:tc>
          <w:tcPr>
            <w:tcW w:w="1827" w:type="pct"/>
            <w:gridSpan w:val="8"/>
            <w:tcBorders>
              <w:top w:val="single" w:sz="4" w:space="0" w:color="auto"/>
              <w:left w:val="single" w:sz="18" w:space="0" w:color="auto"/>
              <w:bottom w:val="single" w:sz="4" w:space="0" w:color="auto"/>
              <w:right w:val="single" w:sz="18" w:space="0" w:color="auto"/>
            </w:tcBorders>
            <w:vAlign w:val="center"/>
          </w:tcPr>
          <w:p w14:paraId="53E89329" w14:textId="7A1CFF32" w:rsidR="003C41E1" w:rsidRPr="00480C56" w:rsidRDefault="003C41E1" w:rsidP="003C41E1">
            <w:pPr>
              <w:tabs>
                <w:tab w:val="decimal" w:pos="188"/>
              </w:tabs>
              <w:jc w:val="center"/>
              <w:rPr>
                <w:rFonts w:cstheme="minorHAnsi"/>
                <w:sz w:val="20"/>
                <w:szCs w:val="20"/>
              </w:rPr>
            </w:pPr>
            <w:r>
              <w:rPr>
                <w:rFonts w:cstheme="minorHAnsi"/>
                <w:sz w:val="20"/>
                <w:szCs w:val="20"/>
              </w:rPr>
              <w:t>0.072</w:t>
            </w:r>
          </w:p>
        </w:tc>
        <w:tc>
          <w:tcPr>
            <w:tcW w:w="1827" w:type="pct"/>
            <w:gridSpan w:val="9"/>
            <w:tcBorders>
              <w:top w:val="single" w:sz="4" w:space="0" w:color="auto"/>
              <w:left w:val="single" w:sz="18" w:space="0" w:color="auto"/>
              <w:bottom w:val="single" w:sz="4" w:space="0" w:color="auto"/>
              <w:right w:val="single" w:sz="18" w:space="0" w:color="auto"/>
            </w:tcBorders>
            <w:vAlign w:val="center"/>
          </w:tcPr>
          <w:p w14:paraId="1C62630A" w14:textId="558CD758" w:rsidR="003C41E1" w:rsidRPr="00480C56" w:rsidRDefault="003C41E1" w:rsidP="003C41E1">
            <w:pPr>
              <w:tabs>
                <w:tab w:val="decimal" w:pos="188"/>
              </w:tabs>
              <w:jc w:val="center"/>
              <w:rPr>
                <w:rFonts w:cstheme="minorHAnsi"/>
                <w:sz w:val="20"/>
                <w:szCs w:val="20"/>
              </w:rPr>
            </w:pPr>
            <w:r>
              <w:rPr>
                <w:rFonts w:cstheme="minorHAnsi"/>
                <w:sz w:val="20"/>
                <w:szCs w:val="20"/>
              </w:rPr>
              <w:t>0.077</w:t>
            </w:r>
          </w:p>
        </w:tc>
      </w:tr>
      <w:tr w:rsidR="003C41E1" w:rsidRPr="00480C56" w14:paraId="51E27605" w14:textId="77777777" w:rsidTr="00F44F96">
        <w:trPr>
          <w:trHeight w:val="144"/>
        </w:trPr>
        <w:tc>
          <w:tcPr>
            <w:tcW w:w="1345" w:type="pct"/>
            <w:tcBorders>
              <w:top w:val="single" w:sz="4" w:space="0" w:color="auto"/>
              <w:left w:val="single" w:sz="18" w:space="0" w:color="auto"/>
              <w:bottom w:val="single" w:sz="4" w:space="0" w:color="auto"/>
              <w:right w:val="single" w:sz="18" w:space="0" w:color="auto"/>
            </w:tcBorders>
            <w:vAlign w:val="center"/>
          </w:tcPr>
          <w:p w14:paraId="785E37A1" w14:textId="57040FB2" w:rsidR="003C41E1" w:rsidRPr="00FA51C6" w:rsidRDefault="003C41E1" w:rsidP="003C41E1">
            <w:pPr>
              <w:jc w:val="left"/>
              <w:rPr>
                <w:rFonts w:cstheme="minorHAnsi"/>
                <w:sz w:val="20"/>
                <w:szCs w:val="20"/>
              </w:rPr>
            </w:pPr>
            <w:r>
              <w:rPr>
                <w:rFonts w:cstheme="minorHAnsi"/>
                <w:sz w:val="20"/>
                <w:szCs w:val="20"/>
              </w:rPr>
              <w:t>Likelihood ratio test</w:t>
            </w:r>
          </w:p>
        </w:tc>
        <w:tc>
          <w:tcPr>
            <w:tcW w:w="3655" w:type="pct"/>
            <w:gridSpan w:val="17"/>
            <w:tcBorders>
              <w:top w:val="single" w:sz="4" w:space="0" w:color="auto"/>
              <w:left w:val="single" w:sz="18" w:space="0" w:color="auto"/>
              <w:bottom w:val="single" w:sz="4" w:space="0" w:color="auto"/>
              <w:right w:val="single" w:sz="18" w:space="0" w:color="auto"/>
            </w:tcBorders>
            <w:vAlign w:val="center"/>
          </w:tcPr>
          <w:p w14:paraId="11ADC16F" w14:textId="006AFF1C" w:rsidR="003C41E1" w:rsidRPr="00480C56" w:rsidRDefault="003C41E1" w:rsidP="003C41E1">
            <w:pPr>
              <w:tabs>
                <w:tab w:val="decimal" w:pos="188"/>
              </w:tabs>
              <w:jc w:val="center"/>
              <w:rPr>
                <w:rFonts w:cstheme="minorHAnsi"/>
                <w:sz w:val="20"/>
                <w:szCs w:val="20"/>
              </w:rPr>
            </w:pPr>
            <w:r>
              <w:rPr>
                <w:rFonts w:cstheme="minorHAnsi"/>
                <w:sz w:val="20"/>
                <w:szCs w:val="20"/>
              </w:rPr>
              <w:t xml:space="preserve">105.72 </w:t>
            </w:r>
            <m:oMath>
              <m:r>
                <w:rPr>
                  <w:rFonts w:ascii="Cambria Math" w:hAnsi="Cambria Math" w:cstheme="minorHAnsi"/>
                  <w:sz w:val="20"/>
                  <w:szCs w:val="20"/>
                </w:rPr>
                <m:t>&gt;82.044=</m:t>
              </m:r>
              <m:sSubSup>
                <m:sSubSupPr>
                  <m:ctrlPr>
                    <w:rPr>
                      <w:rFonts w:ascii="Cambria Math" w:hAnsi="Cambria Math" w:cstheme="minorHAnsi"/>
                      <w:i/>
                      <w:sz w:val="20"/>
                      <w:szCs w:val="20"/>
                    </w:rPr>
                  </m:ctrlPr>
                </m:sSubSupPr>
                <m:e>
                  <m:r>
                    <w:rPr>
                      <w:rFonts w:ascii="Cambria Math" w:hAnsi="Cambria Math" w:cstheme="minorHAnsi"/>
                      <w:sz w:val="20"/>
                      <w:szCs w:val="20"/>
                    </w:rPr>
                    <m:t>χ</m:t>
                  </m:r>
                </m:e>
                <m:sub>
                  <m:r>
                    <w:rPr>
                      <w:rFonts w:ascii="Cambria Math" w:hAnsi="Cambria Math" w:cstheme="minorHAnsi"/>
                      <w:sz w:val="20"/>
                      <w:szCs w:val="20"/>
                    </w:rPr>
                    <m:t>(30, 0.0001)</m:t>
                  </m:r>
                </m:sub>
                <m:sup>
                  <m:r>
                    <w:rPr>
                      <w:rFonts w:ascii="Cambria Math" w:hAnsi="Cambria Math" w:cstheme="minorHAnsi"/>
                      <w:sz w:val="20"/>
                      <w:szCs w:val="20"/>
                    </w:rPr>
                    <m:t>2</m:t>
                  </m:r>
                </m:sup>
              </m:sSubSup>
            </m:oMath>
          </w:p>
        </w:tc>
      </w:tr>
      <w:tr w:rsidR="003C41E1" w:rsidRPr="00480C56" w14:paraId="4DC1E199" w14:textId="77777777" w:rsidTr="00FA51C6">
        <w:trPr>
          <w:trHeight w:val="144"/>
        </w:trPr>
        <w:tc>
          <w:tcPr>
            <w:tcW w:w="1345" w:type="pct"/>
            <w:tcBorders>
              <w:top w:val="single" w:sz="4" w:space="0" w:color="auto"/>
              <w:left w:val="single" w:sz="18" w:space="0" w:color="auto"/>
              <w:bottom w:val="single" w:sz="18" w:space="0" w:color="auto"/>
              <w:right w:val="single" w:sz="18" w:space="0" w:color="auto"/>
            </w:tcBorders>
            <w:vAlign w:val="center"/>
          </w:tcPr>
          <w:p w14:paraId="1E30D083" w14:textId="5198588D" w:rsidR="003C41E1" w:rsidRPr="00FA51C6" w:rsidRDefault="003C41E1" w:rsidP="003C41E1">
            <w:pPr>
              <w:jc w:val="left"/>
              <w:rPr>
                <w:rFonts w:cstheme="minorHAnsi"/>
                <w:sz w:val="20"/>
                <w:szCs w:val="20"/>
              </w:rPr>
            </w:pPr>
            <w:r>
              <w:rPr>
                <w:rFonts w:cstheme="minorHAnsi"/>
                <w:sz w:val="20"/>
                <w:szCs w:val="20"/>
              </w:rPr>
              <w:t>Average probability of correct prediction</w:t>
            </w:r>
          </w:p>
        </w:tc>
        <w:tc>
          <w:tcPr>
            <w:tcW w:w="1827" w:type="pct"/>
            <w:gridSpan w:val="8"/>
            <w:tcBorders>
              <w:top w:val="single" w:sz="4" w:space="0" w:color="auto"/>
              <w:left w:val="single" w:sz="18" w:space="0" w:color="auto"/>
              <w:bottom w:val="single" w:sz="18" w:space="0" w:color="auto"/>
              <w:right w:val="single" w:sz="18" w:space="0" w:color="auto"/>
            </w:tcBorders>
            <w:vAlign w:val="center"/>
          </w:tcPr>
          <w:p w14:paraId="51BBE6DD" w14:textId="00B2C259" w:rsidR="003C41E1" w:rsidRPr="00480C56" w:rsidRDefault="003C41E1" w:rsidP="003C41E1">
            <w:pPr>
              <w:tabs>
                <w:tab w:val="decimal" w:pos="188"/>
              </w:tabs>
              <w:jc w:val="center"/>
              <w:rPr>
                <w:rFonts w:cstheme="minorHAnsi"/>
                <w:sz w:val="20"/>
                <w:szCs w:val="20"/>
              </w:rPr>
            </w:pPr>
            <w:r>
              <w:rPr>
                <w:rFonts w:cstheme="minorHAnsi"/>
                <w:sz w:val="20"/>
                <w:szCs w:val="20"/>
              </w:rPr>
              <w:t>0.442</w:t>
            </w:r>
          </w:p>
        </w:tc>
        <w:tc>
          <w:tcPr>
            <w:tcW w:w="1827" w:type="pct"/>
            <w:gridSpan w:val="9"/>
            <w:tcBorders>
              <w:top w:val="single" w:sz="4" w:space="0" w:color="auto"/>
              <w:left w:val="single" w:sz="18" w:space="0" w:color="auto"/>
              <w:bottom w:val="single" w:sz="18" w:space="0" w:color="auto"/>
              <w:right w:val="single" w:sz="18" w:space="0" w:color="auto"/>
            </w:tcBorders>
            <w:vAlign w:val="center"/>
          </w:tcPr>
          <w:p w14:paraId="30948BBF" w14:textId="392D8173" w:rsidR="003C41E1" w:rsidRPr="00480C56" w:rsidRDefault="003C41E1" w:rsidP="003C41E1">
            <w:pPr>
              <w:tabs>
                <w:tab w:val="decimal" w:pos="188"/>
              </w:tabs>
              <w:jc w:val="center"/>
              <w:rPr>
                <w:rFonts w:cstheme="minorHAnsi"/>
                <w:sz w:val="20"/>
                <w:szCs w:val="20"/>
              </w:rPr>
            </w:pPr>
            <w:r>
              <w:rPr>
                <w:rFonts w:cstheme="minorHAnsi"/>
                <w:sz w:val="20"/>
                <w:szCs w:val="20"/>
              </w:rPr>
              <w:t>0.444</w:t>
            </w:r>
          </w:p>
        </w:tc>
      </w:tr>
    </w:tbl>
    <w:p w14:paraId="2E9915BD" w14:textId="5CEBF541" w:rsidR="007F557A" w:rsidRPr="00797583" w:rsidRDefault="00691A10" w:rsidP="007F557A">
      <w:pPr>
        <w:rPr>
          <w:sz w:val="19"/>
          <w:szCs w:val="19"/>
        </w:rPr>
        <w:sectPr w:rsidR="007F557A" w:rsidRPr="00797583" w:rsidSect="005E36CD">
          <w:pgSz w:w="15840" w:h="12240" w:orient="landscape"/>
          <w:pgMar w:top="1440" w:right="1440" w:bottom="1440" w:left="1440" w:header="720" w:footer="720" w:gutter="0"/>
          <w:cols w:space="720"/>
          <w:docGrid w:linePitch="360"/>
        </w:sectPr>
      </w:pPr>
      <w:r w:rsidRPr="00691A10">
        <w:rPr>
          <w:sz w:val="19"/>
          <w:szCs w:val="19"/>
        </w:rPr>
        <w:t>Notes: Coef. = coefficient; “—” = statistically insignificant or not applicable. (*) Base category corresponds to omitted categories within interaction terms. (^) Built-environment units: population density (people/acre), employment density (jobs/acre), National Walkability Index (1 = least walkable, 20 = most walkable), and transit accessibility to employment (share of block-group employment within 0.5 miles of a transit stop).</w:t>
      </w:r>
    </w:p>
    <w:p w14:paraId="00B661A4" w14:textId="4E87C68E" w:rsidR="00D068C0" w:rsidRPr="00AE0F5E" w:rsidRDefault="00001919" w:rsidP="00AE0F5E">
      <w:pPr>
        <w:pStyle w:val="Heading2"/>
      </w:pPr>
      <w:r>
        <w:lastRenderedPageBreak/>
        <w:t>5. AVERAGE TREATMENT EFFECTS</w:t>
      </w:r>
    </w:p>
    <w:p w14:paraId="5E503DAC" w14:textId="3C0E592E" w:rsidR="00F269D7" w:rsidRPr="00F269D7" w:rsidRDefault="00F269D7" w:rsidP="00F269D7">
      <w:r w:rsidRPr="00F269D7">
        <w:t xml:space="preserve">The coefficient estimates reported in Table 3 identify the direction and statistical significance of relationships across the model equations. However, coefficients from nominal, </w:t>
      </w:r>
      <w:r w:rsidR="00474CC9">
        <w:t xml:space="preserve">and </w:t>
      </w:r>
      <w:r w:rsidRPr="00F269D7">
        <w:t>ordinal response models are not directly comparable</w:t>
      </w:r>
      <w:r w:rsidR="00280295">
        <w:t>,</w:t>
      </w:r>
      <w:r w:rsidRPr="00F269D7">
        <w:t xml:space="preserve"> and do not convey effect magnitudes in </w:t>
      </w:r>
      <w:r w:rsidR="00280295">
        <w:t>an easily interpretable fashion</w:t>
      </w:r>
      <w:r w:rsidRPr="00F269D7">
        <w:t xml:space="preserve">. To provide a clearer assessment of </w:t>
      </w:r>
      <w:r>
        <w:t>effect magnitudes</w:t>
      </w:r>
      <w:r w:rsidRPr="00F269D7">
        <w:t xml:space="preserve">, average treatment effects (ATEs) </w:t>
      </w:r>
      <w:r w:rsidR="00280295">
        <w:t>are</w:t>
      </w:r>
      <w:r w:rsidRPr="00F269D7">
        <w:t xml:space="preserve"> computed for a selected set of individual, household, employment, and commute characteristics.</w:t>
      </w:r>
      <w:r w:rsidR="00474CC9">
        <w:t xml:space="preserve"> </w:t>
      </w:r>
      <w:r w:rsidRPr="00F269D7">
        <w:t>These effects translate the model estimates into changes in work arrangement probabilities, expected commute frequency, and expected weekly commute VMT.</w:t>
      </w:r>
    </w:p>
    <w:p w14:paraId="475AEB1E" w14:textId="2519753C" w:rsidR="00F269D7" w:rsidRPr="00F269D7" w:rsidRDefault="00F269D7" w:rsidP="00F269D7">
      <w:pPr>
        <w:ind w:firstLine="720"/>
      </w:pPr>
      <w:r w:rsidRPr="00F269D7">
        <w:t xml:space="preserve">The ATEs are obtained through model-based counterfactual comparisons. For each variable, all observations are first assigned the base condition, and the joint model is used to predict the full set of outcome probabilities. The same observations are then assigned the treatment condition, with all other characteristics held unchanged. Differences between the two scenarios are averaged across the sample. For example, the age effect for workers 25 to 34 years compares predicted outcomes when all respondents are assigned to that age group against predictions when all respondents are assigned to the 18-to-24-year base group. An ATE of </w:t>
      </w:r>
      <w:r>
        <w:t>-</w:t>
      </w:r>
      <w:r w:rsidRPr="00F269D7">
        <w:t>0.037 for fully in-person work therefore represents a 3.7 percentage-point reduction in the probability of working fully in</w:t>
      </w:r>
      <w:r w:rsidR="004B3F8F">
        <w:t>-</w:t>
      </w:r>
      <w:r w:rsidRPr="00F269D7">
        <w:t>person.</w:t>
      </w:r>
      <w:r w:rsidR="00CD2152">
        <w:t xml:space="preserve"> That is, in a group of 100 workers 25-34 years of age, we can expect about four fewer individuals to be working fully in</w:t>
      </w:r>
      <w:r w:rsidR="004B3F8F">
        <w:t>-</w:t>
      </w:r>
      <w:r w:rsidR="00CD2152">
        <w:t>person relative to in a group of 100 workers 18-24 years of age.</w:t>
      </w:r>
    </w:p>
    <w:p w14:paraId="05FAAC81" w14:textId="79548021" w:rsidR="00F269D7" w:rsidRPr="00F269D7" w:rsidRDefault="00F269D7" w:rsidP="00F269D7">
      <w:pPr>
        <w:ind w:firstLine="720"/>
      </w:pPr>
      <w:r w:rsidRPr="00F269D7">
        <w:t>Expected commute days are obtained by combining predicted probabilities across the commute-frequency categories. Expected weekly commute VMT is then calculated using predicted work arrangements, expected commute frequency, and reported distance to the primary workplace. Because the survey did not collect travel distances to third work locations, travel associated with those locations is not included</w:t>
      </w:r>
      <w:r w:rsidR="00CD2152">
        <w:t xml:space="preserve"> in commute VMT estimates</w:t>
      </w:r>
      <w:r w:rsidRPr="00F269D7">
        <w:t xml:space="preserve">. </w:t>
      </w:r>
    </w:p>
    <w:p w14:paraId="7CB872BA" w14:textId="49F5EA9C" w:rsidR="00F269D7" w:rsidRPr="00F269D7" w:rsidRDefault="00F269D7" w:rsidP="00F269D7">
      <w:pPr>
        <w:ind w:firstLine="720"/>
      </w:pPr>
      <w:r w:rsidRPr="00F269D7">
        <w:t>The age effects indicate a gradual movement away from fully in-person work as workers progress beyond the youngest age group. Relative to workers aged 18 to 24 years, those aged 25 to 34 years are 3.7 percentage points less likely to work fully in</w:t>
      </w:r>
      <w:r w:rsidR="004B3F8F">
        <w:t>-</w:t>
      </w:r>
      <w:r w:rsidRPr="00F269D7">
        <w:t>person and 3.4 percentage points more likely to adopt a hybrid arrangement. Workers aged 35 to 54 years exhibit an even larger reduction in fully in-person work, together with increases across all three telework arrangements. These shifts correspond to 0.09 and 0.16 fewer expected commute days per week and reductions of 2.4 and 4.1 miles in weekly commute VMT, respectively.</w:t>
      </w:r>
    </w:p>
    <w:p w14:paraId="4B164DAB" w14:textId="77777777" w:rsidR="00F269D7" w:rsidRPr="00F269D7" w:rsidRDefault="00F269D7" w:rsidP="00F269D7">
      <w:pPr>
        <w:ind w:firstLine="720"/>
      </w:pPr>
      <w:r w:rsidRPr="00F269D7">
        <w:t>Educational attainment produces a different pattern. A bachelor’s degree or higher increases the predicted probabilities of both fully in-person and hybrid work while reducing both fully remote arrangements. The net effect is an increase of 0.27 commute days and 7.1 weekly commute miles. This result reinforces the distinction between telework participation and fully remote work. Highly educated workers may retain access to telework while continuing to travel to the workplace regularly through hybrid arrangements.</w:t>
      </w:r>
    </w:p>
    <w:p w14:paraId="31AE7BF4" w14:textId="6289CAB1" w:rsidR="00F269D7" w:rsidRPr="00F269D7" w:rsidRDefault="00F269D7" w:rsidP="00F269D7">
      <w:pPr>
        <w:ind w:firstLine="720"/>
      </w:pPr>
      <w:r w:rsidRPr="00F269D7">
        <w:t>Mobility challenges generate some of the largest demographic effects. Workers with mobility challenges are 8.8 percentage points less likely to work fully in</w:t>
      </w:r>
      <w:r w:rsidR="004B3F8F">
        <w:t>-</w:t>
      </w:r>
      <w:r w:rsidRPr="00F269D7">
        <w:t xml:space="preserve">person, with the probability redistributed across hybrid and fully remote arrangements. This shift reduces expected commute frequency by 0.34 days per week and weekly commute VMT by 9.1 miles. Vehicle deficiency produces a similar, although </w:t>
      </w:r>
      <w:r w:rsidR="00280295">
        <w:t>less powerful</w:t>
      </w:r>
      <w:r w:rsidRPr="00F269D7">
        <w:t>, pattern. Workers in households with fewer vehicles than drivers are 4.6 percentage points less likely to work fully in</w:t>
      </w:r>
      <w:r w:rsidR="004B3F8F">
        <w:t>-</w:t>
      </w:r>
      <w:r w:rsidRPr="00F269D7">
        <w:t>person and generate 4.3 fewer weekly commute miles. These magnitudes illustrate the role of telework in reducing transportation burdens among workers facing mobility or vehicle-access constraints.</w:t>
      </w:r>
    </w:p>
    <w:p w14:paraId="0DD60986" w14:textId="5717AC97" w:rsidR="00F269D7" w:rsidRPr="00F269D7" w:rsidRDefault="00F269D7" w:rsidP="00F269D7">
      <w:pPr>
        <w:ind w:firstLine="720"/>
      </w:pPr>
      <w:r w:rsidRPr="00F269D7">
        <w:t xml:space="preserve">The presence of children has a particularly strong effect on hybrid work. Workers with children are 8.6 percentage points more likely to adopt a hybrid arrangement and 4.9 percentage </w:t>
      </w:r>
      <w:r w:rsidRPr="00F269D7">
        <w:lastRenderedPageBreak/>
        <w:t>points less likely to work fully in</w:t>
      </w:r>
      <w:r w:rsidR="004B3F8F">
        <w:t>-</w:t>
      </w:r>
      <w:r w:rsidRPr="00F269D7">
        <w:t xml:space="preserve">person. </w:t>
      </w:r>
      <w:r w:rsidR="006667C8" w:rsidRPr="006667C8">
        <w:t>The reductions in both fully remote categories indicate that parents may prefer hybrid arrangements, which combine the flexibility of remote work with continued workplace attendance.</w:t>
      </w:r>
      <w:r w:rsidRPr="00F269D7">
        <w:t xml:space="preserve"> Despite the sizable shift in work arrangement probabilities, the net effects on commute frequency and VMT are negligible. Homeownership produces a more modest movement toward hybrid and </w:t>
      </w:r>
      <w:r w:rsidR="00320D34">
        <w:t>HB</w:t>
      </w:r>
      <w:r w:rsidRPr="00F269D7">
        <w:t xml:space="preserve"> remote work, reducing expected weekly commute VMT by 1.8 miles.</w:t>
      </w:r>
    </w:p>
    <w:p w14:paraId="6CED42BC" w14:textId="09D8A305" w:rsidR="00F269D7" w:rsidRPr="00F269D7" w:rsidRDefault="00F269D7" w:rsidP="00280295">
      <w:pPr>
        <w:ind w:firstLine="720"/>
      </w:pPr>
      <w:r w:rsidRPr="00F269D7">
        <w:t>The largest treatment effects arise from employee control over work schedules and locations. Relative to schedules determined entirely by the employer, some schedule control reduces the probability of fully in-person work by 17.1 percentage points. Full schedule control produces a comparable reduction of 18.1 percentage points. These changes are distributed across hybrid and both fully remote arrangements, resulting in 0.63 to 0.71 fewer commute days and reductions of 16.6 to 18.7 weekly commute miles.</w:t>
      </w:r>
      <w:r w:rsidR="00280295">
        <w:t xml:space="preserve"> </w:t>
      </w:r>
      <w:r w:rsidRPr="00F269D7">
        <w:t xml:space="preserve">Location control produces even larger shifts. Some location control reduces the probability of fully in-person work by 35.7 percentage points and increases hybrid work by 39.0 percentage points. This result suggests that partial location flexibility often materializes as a structured hybrid arrangement. Full location control reduces fully in-person work by 22.4 percentage points, while increasing hybrid and both fully remote arrangements. Although the probability shift is more broadly distributed, full location control produces the largest reduction in weekly commute VMT </w:t>
      </w:r>
      <w:r w:rsidR="00280295">
        <w:t>of</w:t>
      </w:r>
      <w:r w:rsidRPr="00F269D7">
        <w:t xml:space="preserve"> 20.8 miles. Some location control yields a similar reduction of 18.9 miles.</w:t>
      </w:r>
    </w:p>
    <w:p w14:paraId="652617D0" w14:textId="77777777" w:rsidR="00F269D7" w:rsidRPr="00F269D7" w:rsidRDefault="00F269D7" w:rsidP="00133D5F">
      <w:pPr>
        <w:ind w:firstLine="720"/>
      </w:pPr>
      <w:r w:rsidRPr="00F269D7">
        <w:t>Commute distance also has a meaningful, though smaller, effect. Relative to commutes shorter than five miles, a commute of at least five miles reduces the probability of fully in-person work by 4.4 percentage points and increases the probability of each telework arrangement. The resulting reduction amounts to 0.18 commute days and 4.6 weekly commute miles. This pattern confirms that longer workplace travel makes telework more attractive and translates directly into lower expected commute activity.</w:t>
      </w:r>
    </w:p>
    <w:p w14:paraId="3F56A978" w14:textId="67440C59" w:rsidR="00001919" w:rsidRDefault="00F269D7" w:rsidP="006667C8">
      <w:pPr>
        <w:ind w:firstLine="720"/>
      </w:pPr>
      <w:r w:rsidRPr="00F269D7">
        <w:t>Overall, the ATEs show that employer-provided flexibility exerts the largest influence on work arrangements and commute travel. Mobility challenges, vehicle deficiency, and longer commute distances also produce meaningful reductions in workplace travel. Demographic and household characteristics matter, but their effects are generally smaller and often operate by redistributing workers among hybrid and fully remote arrangements. The results provide a clear measure of practical significance and demonstrate how changes in work arrangements translate into tangible differences in commute frequency and weekly VMT.</w:t>
      </w:r>
    </w:p>
    <w:p w14:paraId="76BD79BD" w14:textId="1C702176" w:rsidR="00D068C0" w:rsidRPr="006667C8" w:rsidRDefault="00133D5F" w:rsidP="006667C8">
      <w:pPr>
        <w:jc w:val="left"/>
        <w:rPr>
          <w:b/>
          <w:bCs/>
          <w:color w:val="000000" w:themeColor="text1"/>
          <w:sz w:val="22"/>
          <w:szCs w:val="22"/>
        </w:rPr>
      </w:pPr>
      <w:r>
        <w:rPr>
          <w:b/>
          <w:bCs/>
          <w:color w:val="000000" w:themeColor="text1"/>
          <w:sz w:val="22"/>
          <w:szCs w:val="22"/>
        </w:rPr>
        <w:br w:type="page"/>
      </w:r>
      <w:r w:rsidR="00F20213" w:rsidRPr="00F20213">
        <w:rPr>
          <w:b/>
          <w:bCs/>
          <w:color w:val="000000" w:themeColor="text1"/>
          <w:sz w:val="22"/>
          <w:szCs w:val="22"/>
        </w:rPr>
        <w:lastRenderedPageBreak/>
        <w:t xml:space="preserve">TABLE </w:t>
      </w:r>
      <w:r w:rsidR="00F20213" w:rsidRPr="00F20213">
        <w:rPr>
          <w:b/>
          <w:bCs/>
          <w:i/>
          <w:color w:val="000000" w:themeColor="text1"/>
          <w:sz w:val="22"/>
          <w:szCs w:val="22"/>
        </w:rPr>
        <w:fldChar w:fldCharType="begin"/>
      </w:r>
      <w:r w:rsidR="00F20213" w:rsidRPr="00F20213">
        <w:rPr>
          <w:b/>
          <w:bCs/>
          <w:color w:val="000000" w:themeColor="text1"/>
          <w:sz w:val="22"/>
          <w:szCs w:val="22"/>
        </w:rPr>
        <w:instrText xml:space="preserve"> SEQ Table \* ARABIC </w:instrText>
      </w:r>
      <w:r w:rsidR="00F20213" w:rsidRPr="00F20213">
        <w:rPr>
          <w:b/>
          <w:bCs/>
          <w:i/>
          <w:color w:val="000000" w:themeColor="text1"/>
          <w:sz w:val="22"/>
          <w:szCs w:val="22"/>
        </w:rPr>
        <w:fldChar w:fldCharType="separate"/>
      </w:r>
      <w:r w:rsidR="00474CC9">
        <w:rPr>
          <w:b/>
          <w:bCs/>
          <w:noProof/>
          <w:color w:val="000000" w:themeColor="text1"/>
          <w:sz w:val="22"/>
          <w:szCs w:val="22"/>
        </w:rPr>
        <w:t>4</w:t>
      </w:r>
      <w:r w:rsidR="00F20213" w:rsidRPr="00F20213">
        <w:rPr>
          <w:b/>
          <w:bCs/>
          <w:i/>
          <w:color w:val="000000" w:themeColor="text1"/>
          <w:sz w:val="22"/>
          <w:szCs w:val="22"/>
        </w:rPr>
        <w:fldChar w:fldCharType="end"/>
      </w:r>
      <w:r w:rsidR="00F20213" w:rsidRPr="00F20213">
        <w:rPr>
          <w:b/>
          <w:bCs/>
          <w:i/>
          <w:color w:val="000000" w:themeColor="text1"/>
          <w:sz w:val="22"/>
          <w:szCs w:val="22"/>
        </w:rPr>
        <w:t xml:space="preserve"> </w:t>
      </w:r>
      <w:r w:rsidR="00D068C0" w:rsidRPr="00F20213">
        <w:rPr>
          <w:b/>
          <w:bCs/>
          <w:color w:val="000000" w:themeColor="text1"/>
          <w:sz w:val="22"/>
          <w:szCs w:val="22"/>
        </w:rPr>
        <w:t>Average Treatment Effects (ATEs)</w:t>
      </w:r>
    </w:p>
    <w:tbl>
      <w:tblPr>
        <w:tblStyle w:val="TableGrid"/>
        <w:tblW w:w="5000" w:type="pct"/>
        <w:tblLayout w:type="fixed"/>
        <w:tblCellMar>
          <w:left w:w="14" w:type="dxa"/>
          <w:right w:w="14" w:type="dxa"/>
        </w:tblCellMar>
        <w:tblLook w:val="04A0" w:firstRow="1" w:lastRow="0" w:firstColumn="1" w:lastColumn="0" w:noHBand="0" w:noVBand="1"/>
      </w:tblPr>
      <w:tblGrid>
        <w:gridCol w:w="1687"/>
        <w:gridCol w:w="1170"/>
        <w:gridCol w:w="1166"/>
        <w:gridCol w:w="721"/>
        <w:gridCol w:w="630"/>
        <w:gridCol w:w="900"/>
        <w:gridCol w:w="1170"/>
        <w:gridCol w:w="993"/>
        <w:gridCol w:w="877"/>
      </w:tblGrid>
      <w:tr w:rsidR="007B2D12" w:rsidRPr="005031DC" w14:paraId="438A0F1D" w14:textId="77777777" w:rsidTr="00F16887">
        <w:trPr>
          <w:trHeight w:val="259"/>
        </w:trPr>
        <w:tc>
          <w:tcPr>
            <w:tcW w:w="906" w:type="pct"/>
            <w:vMerge w:val="restart"/>
            <w:tcBorders>
              <w:top w:val="single" w:sz="18" w:space="0" w:color="auto"/>
              <w:left w:val="single" w:sz="18" w:space="0" w:color="auto"/>
              <w:right w:val="single" w:sz="4" w:space="0" w:color="auto"/>
            </w:tcBorders>
            <w:noWrap/>
            <w:vAlign w:val="center"/>
          </w:tcPr>
          <w:p w14:paraId="5DF44C35" w14:textId="77777777" w:rsidR="007B2D12" w:rsidRPr="005031DC" w:rsidRDefault="007B2D12">
            <w:pPr>
              <w:rPr>
                <w:rFonts w:cstheme="minorHAnsi"/>
                <w:b/>
                <w:bCs/>
                <w:color w:val="000000" w:themeColor="text1"/>
                <w:sz w:val="20"/>
                <w:szCs w:val="20"/>
              </w:rPr>
            </w:pPr>
            <w:r w:rsidRPr="005031DC">
              <w:rPr>
                <w:rFonts w:cstheme="minorHAnsi"/>
                <w:b/>
                <w:bCs/>
                <w:color w:val="000000" w:themeColor="text1"/>
                <w:sz w:val="20"/>
                <w:szCs w:val="20"/>
              </w:rPr>
              <w:t>Variable</w:t>
            </w:r>
          </w:p>
        </w:tc>
        <w:tc>
          <w:tcPr>
            <w:tcW w:w="628" w:type="pct"/>
            <w:vMerge w:val="restart"/>
            <w:tcBorders>
              <w:top w:val="single" w:sz="18" w:space="0" w:color="auto"/>
              <w:left w:val="single" w:sz="4" w:space="0" w:color="auto"/>
              <w:right w:val="single" w:sz="4" w:space="0" w:color="auto"/>
            </w:tcBorders>
            <w:noWrap/>
            <w:vAlign w:val="center"/>
          </w:tcPr>
          <w:p w14:paraId="001C7389" w14:textId="77777777" w:rsidR="007B2D12" w:rsidRPr="005031DC" w:rsidRDefault="007B2D12">
            <w:pPr>
              <w:rPr>
                <w:rFonts w:cstheme="minorHAnsi"/>
                <w:b/>
                <w:bCs/>
                <w:color w:val="000000" w:themeColor="text1"/>
                <w:sz w:val="20"/>
                <w:szCs w:val="20"/>
              </w:rPr>
            </w:pPr>
            <w:r w:rsidRPr="005031DC">
              <w:rPr>
                <w:rFonts w:cstheme="minorHAnsi"/>
                <w:b/>
                <w:bCs/>
                <w:color w:val="000000" w:themeColor="text1"/>
                <w:sz w:val="20"/>
                <w:szCs w:val="20"/>
              </w:rPr>
              <w:t>Base</w:t>
            </w:r>
          </w:p>
        </w:tc>
        <w:tc>
          <w:tcPr>
            <w:tcW w:w="626" w:type="pct"/>
            <w:vMerge w:val="restart"/>
            <w:tcBorders>
              <w:top w:val="single" w:sz="18" w:space="0" w:color="auto"/>
              <w:left w:val="single" w:sz="4" w:space="0" w:color="auto"/>
              <w:right w:val="single" w:sz="18" w:space="0" w:color="auto"/>
            </w:tcBorders>
            <w:noWrap/>
            <w:vAlign w:val="center"/>
          </w:tcPr>
          <w:p w14:paraId="5E88FFEC" w14:textId="77777777" w:rsidR="007B2D12" w:rsidRPr="005031DC" w:rsidRDefault="007B2D12">
            <w:pPr>
              <w:rPr>
                <w:rFonts w:cstheme="minorHAnsi"/>
                <w:b/>
                <w:bCs/>
                <w:color w:val="000000" w:themeColor="text1"/>
                <w:sz w:val="20"/>
                <w:szCs w:val="20"/>
              </w:rPr>
            </w:pPr>
            <w:r w:rsidRPr="005031DC">
              <w:rPr>
                <w:rFonts w:cstheme="minorHAnsi"/>
                <w:b/>
                <w:bCs/>
                <w:color w:val="000000" w:themeColor="text1"/>
                <w:sz w:val="20"/>
                <w:szCs w:val="20"/>
              </w:rPr>
              <w:t>Treatment</w:t>
            </w:r>
          </w:p>
        </w:tc>
        <w:tc>
          <w:tcPr>
            <w:tcW w:w="1836" w:type="pct"/>
            <w:gridSpan w:val="4"/>
            <w:tcBorders>
              <w:top w:val="single" w:sz="18" w:space="0" w:color="auto"/>
              <w:left w:val="single" w:sz="18" w:space="0" w:color="auto"/>
              <w:bottom w:val="single" w:sz="18" w:space="0" w:color="auto"/>
              <w:right w:val="single" w:sz="18" w:space="0" w:color="auto"/>
            </w:tcBorders>
            <w:noWrap/>
            <w:vAlign w:val="center"/>
          </w:tcPr>
          <w:p w14:paraId="6EE0A296" w14:textId="2CD5EA1A" w:rsidR="007B2D12" w:rsidRPr="005031DC" w:rsidRDefault="007B2D12">
            <w:pPr>
              <w:jc w:val="center"/>
              <w:rPr>
                <w:rFonts w:cstheme="minorHAnsi"/>
                <w:b/>
                <w:bCs/>
                <w:sz w:val="20"/>
                <w:szCs w:val="20"/>
              </w:rPr>
            </w:pPr>
            <w:r w:rsidRPr="005031DC">
              <w:rPr>
                <w:rFonts w:cstheme="minorHAnsi"/>
                <w:b/>
                <w:bCs/>
                <w:sz w:val="20"/>
                <w:szCs w:val="20"/>
              </w:rPr>
              <w:t>Work Arrangement</w:t>
            </w:r>
          </w:p>
        </w:tc>
        <w:tc>
          <w:tcPr>
            <w:tcW w:w="1004" w:type="pct"/>
            <w:gridSpan w:val="2"/>
            <w:tcBorders>
              <w:top w:val="single" w:sz="18" w:space="0" w:color="auto"/>
              <w:left w:val="single" w:sz="18" w:space="0" w:color="auto"/>
              <w:bottom w:val="single" w:sz="18" w:space="0" w:color="auto"/>
              <w:right w:val="single" w:sz="18" w:space="0" w:color="auto"/>
            </w:tcBorders>
            <w:vAlign w:val="center"/>
          </w:tcPr>
          <w:p w14:paraId="48CEE092" w14:textId="7FFB8F0A" w:rsidR="007B2D12" w:rsidRPr="005031DC" w:rsidRDefault="007B2D12">
            <w:pPr>
              <w:jc w:val="center"/>
              <w:rPr>
                <w:rFonts w:cstheme="minorHAnsi"/>
                <w:b/>
                <w:bCs/>
                <w:sz w:val="20"/>
                <w:szCs w:val="20"/>
              </w:rPr>
            </w:pPr>
            <w:r w:rsidRPr="005031DC">
              <w:rPr>
                <w:rFonts w:cstheme="minorHAnsi"/>
                <w:b/>
                <w:bCs/>
                <w:sz w:val="20"/>
                <w:szCs w:val="20"/>
              </w:rPr>
              <w:t>Commute Behavior</w:t>
            </w:r>
          </w:p>
        </w:tc>
      </w:tr>
      <w:tr w:rsidR="007B2D12" w:rsidRPr="005031DC" w14:paraId="69EC0DE6" w14:textId="77777777" w:rsidTr="00F20213">
        <w:trPr>
          <w:trHeight w:val="259"/>
        </w:trPr>
        <w:tc>
          <w:tcPr>
            <w:tcW w:w="906" w:type="pct"/>
            <w:vMerge/>
            <w:tcBorders>
              <w:left w:val="single" w:sz="18" w:space="0" w:color="auto"/>
              <w:bottom w:val="single" w:sz="18" w:space="0" w:color="auto"/>
              <w:right w:val="single" w:sz="4" w:space="0" w:color="auto"/>
            </w:tcBorders>
            <w:noWrap/>
            <w:vAlign w:val="center"/>
            <w:hideMark/>
          </w:tcPr>
          <w:p w14:paraId="2272AFB7" w14:textId="77777777" w:rsidR="007B2D12" w:rsidRPr="005031DC" w:rsidRDefault="007B2D12" w:rsidP="007B2D12">
            <w:pPr>
              <w:rPr>
                <w:rFonts w:cstheme="minorHAnsi"/>
                <w:b/>
                <w:bCs/>
                <w:color w:val="000000" w:themeColor="text1"/>
                <w:sz w:val="20"/>
                <w:szCs w:val="20"/>
              </w:rPr>
            </w:pPr>
          </w:p>
        </w:tc>
        <w:tc>
          <w:tcPr>
            <w:tcW w:w="628" w:type="pct"/>
            <w:vMerge/>
            <w:tcBorders>
              <w:left w:val="single" w:sz="4" w:space="0" w:color="auto"/>
              <w:bottom w:val="single" w:sz="18" w:space="0" w:color="auto"/>
              <w:right w:val="single" w:sz="4" w:space="0" w:color="auto"/>
            </w:tcBorders>
            <w:noWrap/>
            <w:vAlign w:val="center"/>
            <w:hideMark/>
          </w:tcPr>
          <w:p w14:paraId="24CBD3B4" w14:textId="77777777" w:rsidR="007B2D12" w:rsidRPr="005031DC" w:rsidRDefault="007B2D12" w:rsidP="007B2D12">
            <w:pPr>
              <w:rPr>
                <w:rFonts w:cstheme="minorHAnsi"/>
                <w:b/>
                <w:bCs/>
                <w:color w:val="000000" w:themeColor="text1"/>
                <w:sz w:val="20"/>
                <w:szCs w:val="20"/>
              </w:rPr>
            </w:pPr>
          </w:p>
        </w:tc>
        <w:tc>
          <w:tcPr>
            <w:tcW w:w="626" w:type="pct"/>
            <w:vMerge/>
            <w:tcBorders>
              <w:left w:val="single" w:sz="4" w:space="0" w:color="auto"/>
              <w:bottom w:val="single" w:sz="18" w:space="0" w:color="auto"/>
              <w:right w:val="single" w:sz="18" w:space="0" w:color="auto"/>
            </w:tcBorders>
            <w:noWrap/>
            <w:vAlign w:val="center"/>
            <w:hideMark/>
          </w:tcPr>
          <w:p w14:paraId="3A855A29" w14:textId="77777777" w:rsidR="007B2D12" w:rsidRPr="005031DC" w:rsidRDefault="007B2D12" w:rsidP="007B2D12">
            <w:pPr>
              <w:rPr>
                <w:rFonts w:cstheme="minorHAnsi"/>
                <w:b/>
                <w:bCs/>
                <w:color w:val="000000" w:themeColor="text1"/>
                <w:sz w:val="20"/>
                <w:szCs w:val="20"/>
              </w:rPr>
            </w:pPr>
          </w:p>
        </w:tc>
        <w:tc>
          <w:tcPr>
            <w:tcW w:w="387" w:type="pct"/>
            <w:tcBorders>
              <w:top w:val="single" w:sz="18" w:space="0" w:color="auto"/>
              <w:left w:val="single" w:sz="18" w:space="0" w:color="auto"/>
              <w:bottom w:val="single" w:sz="18" w:space="0" w:color="auto"/>
              <w:right w:val="single" w:sz="4" w:space="0" w:color="auto"/>
            </w:tcBorders>
            <w:noWrap/>
            <w:vAlign w:val="center"/>
            <w:hideMark/>
          </w:tcPr>
          <w:p w14:paraId="28E0B275" w14:textId="3676EFC7" w:rsidR="007B2D12" w:rsidRPr="005031DC" w:rsidRDefault="005031DC" w:rsidP="007B2D12">
            <w:pPr>
              <w:jc w:val="center"/>
              <w:rPr>
                <w:rFonts w:cstheme="minorHAnsi"/>
                <w:color w:val="000000" w:themeColor="text1"/>
                <w:sz w:val="20"/>
                <w:szCs w:val="20"/>
              </w:rPr>
            </w:pPr>
            <w:r>
              <w:rPr>
                <w:rFonts w:cstheme="minorHAnsi"/>
                <w:sz w:val="20"/>
                <w:szCs w:val="20"/>
              </w:rPr>
              <w:t xml:space="preserve">Fully </w:t>
            </w:r>
            <w:r w:rsidR="007B2D12" w:rsidRPr="005031DC">
              <w:rPr>
                <w:rFonts w:cstheme="minorHAnsi"/>
                <w:sz w:val="20"/>
                <w:szCs w:val="20"/>
              </w:rPr>
              <w:t>In</w:t>
            </w:r>
            <w:r w:rsidR="004B3F8F">
              <w:rPr>
                <w:rFonts w:cstheme="minorHAnsi"/>
                <w:sz w:val="20"/>
                <w:szCs w:val="20"/>
              </w:rPr>
              <w:t>-</w:t>
            </w:r>
            <w:r w:rsidR="007B2D12" w:rsidRPr="005031DC">
              <w:rPr>
                <w:rFonts w:cstheme="minorHAnsi"/>
                <w:sz w:val="20"/>
                <w:szCs w:val="20"/>
              </w:rPr>
              <w:t>Person</w:t>
            </w:r>
          </w:p>
        </w:tc>
        <w:tc>
          <w:tcPr>
            <w:tcW w:w="338" w:type="pct"/>
            <w:tcBorders>
              <w:top w:val="single" w:sz="18" w:space="0" w:color="auto"/>
              <w:left w:val="single" w:sz="4" w:space="0" w:color="auto"/>
              <w:bottom w:val="single" w:sz="18" w:space="0" w:color="auto"/>
              <w:right w:val="single" w:sz="4" w:space="0" w:color="auto"/>
            </w:tcBorders>
            <w:noWrap/>
            <w:vAlign w:val="center"/>
            <w:hideMark/>
          </w:tcPr>
          <w:p w14:paraId="4F2B0AFE" w14:textId="36C0C593" w:rsidR="007B2D12" w:rsidRPr="005031DC" w:rsidRDefault="007B2D12" w:rsidP="007B2D12">
            <w:pPr>
              <w:jc w:val="center"/>
              <w:rPr>
                <w:rFonts w:cstheme="minorHAnsi"/>
                <w:color w:val="000000" w:themeColor="text1"/>
                <w:sz w:val="20"/>
                <w:szCs w:val="20"/>
              </w:rPr>
            </w:pPr>
            <w:r w:rsidRPr="005031DC">
              <w:rPr>
                <w:rFonts w:cstheme="minorHAnsi"/>
                <w:color w:val="000000" w:themeColor="text1"/>
                <w:sz w:val="20"/>
                <w:szCs w:val="20"/>
              </w:rPr>
              <w:t>Hybrid</w:t>
            </w:r>
          </w:p>
        </w:tc>
        <w:tc>
          <w:tcPr>
            <w:tcW w:w="483" w:type="pct"/>
            <w:tcBorders>
              <w:top w:val="single" w:sz="18" w:space="0" w:color="auto"/>
              <w:left w:val="single" w:sz="4" w:space="0" w:color="auto"/>
              <w:bottom w:val="single" w:sz="18" w:space="0" w:color="auto"/>
              <w:right w:val="single" w:sz="4" w:space="0" w:color="auto"/>
            </w:tcBorders>
            <w:noWrap/>
            <w:vAlign w:val="center"/>
            <w:hideMark/>
          </w:tcPr>
          <w:p w14:paraId="41519FF8" w14:textId="5535A4AE" w:rsidR="007B2D12" w:rsidRPr="005031DC" w:rsidRDefault="007B2D12" w:rsidP="007B2D12">
            <w:pPr>
              <w:jc w:val="center"/>
              <w:rPr>
                <w:rFonts w:cstheme="minorHAnsi"/>
                <w:color w:val="000000" w:themeColor="text1"/>
                <w:sz w:val="20"/>
                <w:szCs w:val="20"/>
              </w:rPr>
            </w:pPr>
            <w:r w:rsidRPr="005031DC">
              <w:rPr>
                <w:rFonts w:cstheme="minorHAnsi"/>
                <w:color w:val="000000" w:themeColor="text1"/>
                <w:sz w:val="20"/>
                <w:szCs w:val="20"/>
              </w:rPr>
              <w:t xml:space="preserve">Fully Remote </w:t>
            </w:r>
            <w:r w:rsidR="00474CC9">
              <w:rPr>
                <w:rFonts w:cstheme="minorHAnsi"/>
                <w:color w:val="000000" w:themeColor="text1"/>
                <w:sz w:val="20"/>
                <w:szCs w:val="20"/>
              </w:rPr>
              <w:t>HB</w:t>
            </w:r>
          </w:p>
        </w:tc>
        <w:tc>
          <w:tcPr>
            <w:tcW w:w="628" w:type="pct"/>
            <w:tcBorders>
              <w:top w:val="single" w:sz="18" w:space="0" w:color="auto"/>
              <w:left w:val="single" w:sz="4" w:space="0" w:color="auto"/>
              <w:bottom w:val="single" w:sz="18" w:space="0" w:color="auto"/>
              <w:right w:val="single" w:sz="18" w:space="0" w:color="auto"/>
            </w:tcBorders>
            <w:noWrap/>
            <w:vAlign w:val="center"/>
            <w:hideMark/>
          </w:tcPr>
          <w:p w14:paraId="7372C3EF" w14:textId="2D90C134" w:rsidR="007B2D12" w:rsidRPr="005031DC" w:rsidRDefault="007B2D12" w:rsidP="007B2D12">
            <w:pPr>
              <w:jc w:val="center"/>
              <w:rPr>
                <w:rFonts w:cstheme="minorHAnsi"/>
                <w:color w:val="000000" w:themeColor="text1"/>
                <w:sz w:val="20"/>
                <w:szCs w:val="20"/>
              </w:rPr>
            </w:pPr>
            <w:r w:rsidRPr="005031DC">
              <w:rPr>
                <w:rFonts w:cstheme="minorHAnsi"/>
                <w:color w:val="000000" w:themeColor="text1"/>
                <w:sz w:val="20"/>
                <w:szCs w:val="20"/>
              </w:rPr>
              <w:t xml:space="preserve">Fully Remote </w:t>
            </w:r>
            <w:r w:rsidR="00474CC9">
              <w:rPr>
                <w:rFonts w:cstheme="minorHAnsi"/>
                <w:color w:val="000000" w:themeColor="text1"/>
                <w:sz w:val="20"/>
                <w:szCs w:val="20"/>
              </w:rPr>
              <w:t>TLB</w:t>
            </w:r>
          </w:p>
        </w:tc>
        <w:tc>
          <w:tcPr>
            <w:tcW w:w="533" w:type="pct"/>
            <w:tcBorders>
              <w:top w:val="single" w:sz="18" w:space="0" w:color="auto"/>
              <w:left w:val="single" w:sz="18" w:space="0" w:color="auto"/>
              <w:bottom w:val="single" w:sz="18" w:space="0" w:color="auto"/>
              <w:right w:val="single" w:sz="4" w:space="0" w:color="auto"/>
            </w:tcBorders>
            <w:noWrap/>
            <w:vAlign w:val="center"/>
            <w:hideMark/>
          </w:tcPr>
          <w:p w14:paraId="14D395AC" w14:textId="49443255" w:rsidR="007B2D12" w:rsidRPr="005031DC" w:rsidRDefault="005031DC" w:rsidP="007B2D12">
            <w:pPr>
              <w:jc w:val="center"/>
              <w:rPr>
                <w:rFonts w:cstheme="minorHAnsi"/>
                <w:color w:val="000000" w:themeColor="text1"/>
                <w:sz w:val="20"/>
                <w:szCs w:val="20"/>
              </w:rPr>
            </w:pPr>
            <w:r w:rsidRPr="005031DC">
              <w:rPr>
                <w:rFonts w:cstheme="minorHAnsi"/>
                <w:sz w:val="20"/>
                <w:szCs w:val="20"/>
              </w:rPr>
              <w:t>Number of Commute</w:t>
            </w:r>
            <w:r w:rsidR="007B2D12" w:rsidRPr="005031DC">
              <w:rPr>
                <w:rFonts w:cstheme="minorHAnsi"/>
                <w:sz w:val="20"/>
                <w:szCs w:val="20"/>
              </w:rPr>
              <w:t xml:space="preserve"> Days</w:t>
            </w:r>
          </w:p>
        </w:tc>
        <w:tc>
          <w:tcPr>
            <w:tcW w:w="471" w:type="pct"/>
            <w:tcBorders>
              <w:top w:val="single" w:sz="18" w:space="0" w:color="auto"/>
              <w:left w:val="single" w:sz="4" w:space="0" w:color="auto"/>
              <w:bottom w:val="single" w:sz="18" w:space="0" w:color="auto"/>
              <w:right w:val="single" w:sz="18" w:space="0" w:color="auto"/>
            </w:tcBorders>
            <w:noWrap/>
            <w:vAlign w:val="center"/>
            <w:hideMark/>
          </w:tcPr>
          <w:p w14:paraId="1421A60D" w14:textId="7FF8F9F7" w:rsidR="007B2D12" w:rsidRPr="005031DC" w:rsidRDefault="007B2D12" w:rsidP="007B2D12">
            <w:pPr>
              <w:jc w:val="center"/>
              <w:rPr>
                <w:rFonts w:cstheme="minorHAnsi"/>
                <w:color w:val="000000" w:themeColor="text1"/>
                <w:sz w:val="20"/>
                <w:szCs w:val="20"/>
              </w:rPr>
            </w:pPr>
            <w:r w:rsidRPr="005031DC">
              <w:rPr>
                <w:rFonts w:cstheme="minorHAnsi"/>
                <w:sz w:val="20"/>
                <w:szCs w:val="20"/>
              </w:rPr>
              <w:t>Weekly Commute VMT</w:t>
            </w:r>
          </w:p>
        </w:tc>
      </w:tr>
      <w:tr w:rsidR="007B2D12" w:rsidRPr="005031DC" w14:paraId="24C5D06B" w14:textId="77777777" w:rsidTr="005031DC">
        <w:trPr>
          <w:trHeight w:val="259"/>
        </w:trPr>
        <w:tc>
          <w:tcPr>
            <w:tcW w:w="5000" w:type="pct"/>
            <w:gridSpan w:val="9"/>
            <w:tcBorders>
              <w:top w:val="single" w:sz="18" w:space="0" w:color="auto"/>
              <w:left w:val="single" w:sz="18" w:space="0" w:color="auto"/>
              <w:bottom w:val="single" w:sz="8" w:space="0" w:color="auto"/>
              <w:right w:val="single" w:sz="18" w:space="0" w:color="auto"/>
            </w:tcBorders>
            <w:noWrap/>
            <w:vAlign w:val="center"/>
          </w:tcPr>
          <w:p w14:paraId="1FDE0DD8" w14:textId="1B9C81C3" w:rsidR="007B2D12" w:rsidRPr="005031DC" w:rsidRDefault="00F16887" w:rsidP="007B2D12">
            <w:pPr>
              <w:rPr>
                <w:rFonts w:cstheme="minorHAnsi"/>
                <w:b/>
                <w:bCs/>
                <w:i/>
                <w:iCs/>
                <w:color w:val="000000" w:themeColor="text1"/>
                <w:sz w:val="20"/>
                <w:szCs w:val="20"/>
              </w:rPr>
            </w:pPr>
            <w:r>
              <w:rPr>
                <w:rFonts w:cstheme="minorHAnsi"/>
                <w:b/>
                <w:bCs/>
                <w:i/>
                <w:iCs/>
                <w:color w:val="000000" w:themeColor="text1"/>
                <w:sz w:val="20"/>
                <w:szCs w:val="20"/>
              </w:rPr>
              <w:t>Individual and Household Characteristics</w:t>
            </w:r>
          </w:p>
        </w:tc>
      </w:tr>
      <w:tr w:rsidR="00F20213" w:rsidRPr="005031DC" w14:paraId="5CBB9F8B" w14:textId="77777777" w:rsidTr="00115502">
        <w:trPr>
          <w:trHeight w:val="259"/>
        </w:trPr>
        <w:tc>
          <w:tcPr>
            <w:tcW w:w="906" w:type="pct"/>
            <w:vMerge w:val="restart"/>
            <w:tcBorders>
              <w:top w:val="single" w:sz="8" w:space="0" w:color="auto"/>
              <w:left w:val="single" w:sz="18" w:space="0" w:color="auto"/>
              <w:bottom w:val="dotted" w:sz="4" w:space="0" w:color="auto"/>
              <w:right w:val="single" w:sz="4" w:space="0" w:color="auto"/>
            </w:tcBorders>
            <w:noWrap/>
            <w:vAlign w:val="center"/>
            <w:hideMark/>
          </w:tcPr>
          <w:p w14:paraId="53D94E25" w14:textId="24DD21DE" w:rsidR="00F20213" w:rsidRPr="005031DC" w:rsidRDefault="00F20213" w:rsidP="007B2D12">
            <w:pPr>
              <w:rPr>
                <w:rFonts w:cstheme="minorHAnsi"/>
                <w:iCs/>
                <w:color w:val="000000" w:themeColor="text1"/>
                <w:sz w:val="20"/>
                <w:szCs w:val="20"/>
              </w:rPr>
            </w:pPr>
            <w:r w:rsidRPr="005031DC">
              <w:rPr>
                <w:rFonts w:cstheme="minorHAnsi"/>
                <w:sz w:val="20"/>
                <w:szCs w:val="20"/>
              </w:rPr>
              <w:t>Age</w:t>
            </w:r>
          </w:p>
        </w:tc>
        <w:tc>
          <w:tcPr>
            <w:tcW w:w="628" w:type="pct"/>
            <w:vMerge w:val="restart"/>
            <w:tcBorders>
              <w:top w:val="single" w:sz="8" w:space="0" w:color="auto"/>
              <w:left w:val="single" w:sz="4" w:space="0" w:color="auto"/>
              <w:right w:val="single" w:sz="4" w:space="0" w:color="auto"/>
            </w:tcBorders>
            <w:noWrap/>
            <w:vAlign w:val="center"/>
          </w:tcPr>
          <w:p w14:paraId="5297C0E6" w14:textId="78358023" w:rsidR="00F20213" w:rsidRPr="005031DC" w:rsidRDefault="00F20213" w:rsidP="00DE5831">
            <w:pPr>
              <w:jc w:val="left"/>
              <w:rPr>
                <w:rFonts w:cstheme="minorHAnsi"/>
                <w:color w:val="000000" w:themeColor="text1"/>
                <w:sz w:val="20"/>
                <w:szCs w:val="20"/>
              </w:rPr>
            </w:pPr>
            <w:r w:rsidRPr="005031DC">
              <w:rPr>
                <w:rFonts w:cstheme="minorHAnsi"/>
                <w:color w:val="000000"/>
                <w:sz w:val="20"/>
                <w:szCs w:val="20"/>
              </w:rPr>
              <w:t>18 to 24 years</w:t>
            </w:r>
          </w:p>
        </w:tc>
        <w:tc>
          <w:tcPr>
            <w:tcW w:w="626" w:type="pct"/>
            <w:tcBorders>
              <w:top w:val="single" w:sz="8" w:space="0" w:color="auto"/>
              <w:left w:val="single" w:sz="4" w:space="0" w:color="auto"/>
              <w:bottom w:val="dotted" w:sz="4" w:space="0" w:color="auto"/>
              <w:right w:val="single" w:sz="18" w:space="0" w:color="auto"/>
            </w:tcBorders>
            <w:noWrap/>
            <w:vAlign w:val="center"/>
          </w:tcPr>
          <w:p w14:paraId="22D02121" w14:textId="04191EB0" w:rsidR="00F20213" w:rsidRPr="005031DC" w:rsidRDefault="00F20213" w:rsidP="00DE5831">
            <w:pPr>
              <w:jc w:val="left"/>
              <w:rPr>
                <w:rFonts w:cstheme="minorHAnsi"/>
                <w:color w:val="000000" w:themeColor="text1"/>
                <w:sz w:val="20"/>
                <w:szCs w:val="20"/>
              </w:rPr>
            </w:pPr>
            <w:r w:rsidRPr="005031DC">
              <w:rPr>
                <w:rFonts w:cstheme="minorHAnsi"/>
                <w:color w:val="000000"/>
                <w:sz w:val="20"/>
                <w:szCs w:val="20"/>
              </w:rPr>
              <w:t>25 to 34 years</w:t>
            </w:r>
          </w:p>
        </w:tc>
        <w:tc>
          <w:tcPr>
            <w:tcW w:w="387" w:type="pct"/>
            <w:tcBorders>
              <w:top w:val="single" w:sz="8" w:space="0" w:color="auto"/>
              <w:left w:val="single" w:sz="18" w:space="0" w:color="auto"/>
              <w:bottom w:val="dotted" w:sz="4" w:space="0" w:color="auto"/>
              <w:right w:val="single" w:sz="4" w:space="0" w:color="auto"/>
            </w:tcBorders>
            <w:noWrap/>
            <w:vAlign w:val="center"/>
          </w:tcPr>
          <w:p w14:paraId="2593C635" w14:textId="52BAFB36" w:rsidR="00F20213" w:rsidRPr="005031DC" w:rsidRDefault="00F20213" w:rsidP="00A36204">
            <w:pPr>
              <w:tabs>
                <w:tab w:val="decimal" w:pos="171"/>
              </w:tabs>
              <w:jc w:val="center"/>
              <w:rPr>
                <w:rFonts w:cstheme="minorHAnsi"/>
                <w:color w:val="000000" w:themeColor="text1"/>
                <w:sz w:val="20"/>
                <w:szCs w:val="20"/>
              </w:rPr>
            </w:pPr>
            <w:r w:rsidRPr="005031DC">
              <w:rPr>
                <w:rFonts w:cstheme="minorHAnsi"/>
                <w:color w:val="000000"/>
                <w:sz w:val="20"/>
                <w:szCs w:val="20"/>
              </w:rPr>
              <w:t>-0.037</w:t>
            </w:r>
          </w:p>
        </w:tc>
        <w:tc>
          <w:tcPr>
            <w:tcW w:w="338" w:type="pct"/>
            <w:tcBorders>
              <w:top w:val="single" w:sz="8" w:space="0" w:color="auto"/>
              <w:left w:val="single" w:sz="4" w:space="0" w:color="auto"/>
              <w:bottom w:val="dotted" w:sz="4" w:space="0" w:color="auto"/>
              <w:right w:val="single" w:sz="4" w:space="0" w:color="auto"/>
            </w:tcBorders>
            <w:noWrap/>
            <w:vAlign w:val="center"/>
          </w:tcPr>
          <w:p w14:paraId="3127A337" w14:textId="6A442613" w:rsidR="00F20213" w:rsidRPr="005031DC" w:rsidRDefault="00F20213" w:rsidP="00A36204">
            <w:pPr>
              <w:tabs>
                <w:tab w:val="decimal" w:pos="171"/>
              </w:tabs>
              <w:jc w:val="center"/>
              <w:rPr>
                <w:rFonts w:cstheme="minorHAnsi"/>
                <w:color w:val="000000" w:themeColor="text1"/>
                <w:sz w:val="20"/>
                <w:szCs w:val="20"/>
              </w:rPr>
            </w:pPr>
            <w:r w:rsidRPr="005031DC">
              <w:rPr>
                <w:rFonts w:cstheme="minorHAnsi"/>
                <w:color w:val="000000"/>
                <w:sz w:val="20"/>
                <w:szCs w:val="20"/>
              </w:rPr>
              <w:t>0.034</w:t>
            </w:r>
          </w:p>
        </w:tc>
        <w:tc>
          <w:tcPr>
            <w:tcW w:w="483" w:type="pct"/>
            <w:tcBorders>
              <w:top w:val="single" w:sz="8" w:space="0" w:color="auto"/>
              <w:left w:val="single" w:sz="4" w:space="0" w:color="auto"/>
              <w:bottom w:val="dotted" w:sz="4" w:space="0" w:color="auto"/>
              <w:right w:val="single" w:sz="4" w:space="0" w:color="auto"/>
            </w:tcBorders>
            <w:noWrap/>
            <w:vAlign w:val="center"/>
          </w:tcPr>
          <w:p w14:paraId="58AD4527" w14:textId="5375907A" w:rsidR="00F20213" w:rsidRPr="005031DC" w:rsidRDefault="00F20213" w:rsidP="00A36204">
            <w:pPr>
              <w:tabs>
                <w:tab w:val="decimal" w:pos="171"/>
              </w:tabs>
              <w:jc w:val="center"/>
              <w:rPr>
                <w:rFonts w:cstheme="minorHAnsi"/>
                <w:color w:val="000000" w:themeColor="text1"/>
                <w:sz w:val="20"/>
                <w:szCs w:val="20"/>
              </w:rPr>
            </w:pPr>
            <w:r w:rsidRPr="005031DC">
              <w:rPr>
                <w:rFonts w:cstheme="minorHAnsi"/>
                <w:color w:val="000000"/>
                <w:sz w:val="20"/>
                <w:szCs w:val="20"/>
              </w:rPr>
              <w:t>0.017</w:t>
            </w:r>
          </w:p>
        </w:tc>
        <w:tc>
          <w:tcPr>
            <w:tcW w:w="628" w:type="pct"/>
            <w:tcBorders>
              <w:top w:val="single" w:sz="8" w:space="0" w:color="auto"/>
              <w:left w:val="single" w:sz="4" w:space="0" w:color="auto"/>
              <w:bottom w:val="dotted" w:sz="4" w:space="0" w:color="auto"/>
              <w:right w:val="single" w:sz="18" w:space="0" w:color="auto"/>
            </w:tcBorders>
            <w:noWrap/>
            <w:vAlign w:val="center"/>
          </w:tcPr>
          <w:p w14:paraId="0A42D0A6" w14:textId="60346F89" w:rsidR="00F20213" w:rsidRPr="005031DC" w:rsidRDefault="00F20213" w:rsidP="00A36204">
            <w:pPr>
              <w:tabs>
                <w:tab w:val="decimal" w:pos="171"/>
              </w:tabs>
              <w:jc w:val="center"/>
              <w:rPr>
                <w:rFonts w:cstheme="minorHAnsi"/>
                <w:color w:val="000000" w:themeColor="text1"/>
                <w:sz w:val="20"/>
                <w:szCs w:val="20"/>
              </w:rPr>
            </w:pPr>
            <w:r w:rsidRPr="005031DC">
              <w:rPr>
                <w:rFonts w:cstheme="minorHAnsi"/>
                <w:color w:val="000000"/>
                <w:sz w:val="20"/>
                <w:szCs w:val="20"/>
              </w:rPr>
              <w:t>-0.014</w:t>
            </w:r>
          </w:p>
        </w:tc>
        <w:tc>
          <w:tcPr>
            <w:tcW w:w="533" w:type="pct"/>
            <w:tcBorders>
              <w:top w:val="single" w:sz="8" w:space="0" w:color="auto"/>
              <w:left w:val="single" w:sz="18" w:space="0" w:color="auto"/>
              <w:bottom w:val="dotted" w:sz="4" w:space="0" w:color="auto"/>
              <w:right w:val="single" w:sz="4" w:space="0" w:color="auto"/>
            </w:tcBorders>
            <w:noWrap/>
            <w:vAlign w:val="center"/>
          </w:tcPr>
          <w:p w14:paraId="404B1DDD" w14:textId="56A7C517" w:rsidR="00F20213" w:rsidRPr="005031DC" w:rsidRDefault="00F20213" w:rsidP="00A36204">
            <w:pPr>
              <w:tabs>
                <w:tab w:val="decimal" w:pos="171"/>
              </w:tabs>
              <w:jc w:val="center"/>
              <w:rPr>
                <w:rFonts w:cstheme="minorHAnsi"/>
                <w:color w:val="000000" w:themeColor="text1"/>
                <w:sz w:val="20"/>
                <w:szCs w:val="20"/>
              </w:rPr>
            </w:pPr>
            <w:r w:rsidRPr="005031DC">
              <w:rPr>
                <w:rFonts w:cstheme="minorHAnsi"/>
                <w:color w:val="000000"/>
                <w:sz w:val="20"/>
                <w:szCs w:val="20"/>
              </w:rPr>
              <w:t>-0.090</w:t>
            </w:r>
          </w:p>
        </w:tc>
        <w:tc>
          <w:tcPr>
            <w:tcW w:w="471" w:type="pct"/>
            <w:tcBorders>
              <w:top w:val="single" w:sz="8" w:space="0" w:color="auto"/>
              <w:left w:val="single" w:sz="4" w:space="0" w:color="auto"/>
              <w:bottom w:val="dotted" w:sz="4" w:space="0" w:color="auto"/>
              <w:right w:val="single" w:sz="18" w:space="0" w:color="auto"/>
            </w:tcBorders>
            <w:noWrap/>
            <w:vAlign w:val="center"/>
          </w:tcPr>
          <w:p w14:paraId="1CC56B8C" w14:textId="410260E2" w:rsidR="00F20213" w:rsidRPr="005031DC" w:rsidRDefault="00F20213" w:rsidP="00915A47">
            <w:pPr>
              <w:tabs>
                <w:tab w:val="decimal" w:pos="258"/>
              </w:tabs>
              <w:jc w:val="center"/>
              <w:rPr>
                <w:rFonts w:cstheme="minorHAnsi"/>
                <w:color w:val="000000" w:themeColor="text1"/>
                <w:sz w:val="20"/>
                <w:szCs w:val="20"/>
              </w:rPr>
            </w:pPr>
            <w:r w:rsidRPr="005031DC">
              <w:rPr>
                <w:rFonts w:cstheme="minorHAnsi"/>
                <w:color w:val="000000"/>
                <w:sz w:val="20"/>
                <w:szCs w:val="20"/>
              </w:rPr>
              <w:t>-2.4</w:t>
            </w:r>
          </w:p>
        </w:tc>
      </w:tr>
      <w:tr w:rsidR="00F20213" w:rsidRPr="005031DC" w14:paraId="0217D4D6" w14:textId="77777777" w:rsidTr="00115502">
        <w:trPr>
          <w:trHeight w:val="259"/>
        </w:trPr>
        <w:tc>
          <w:tcPr>
            <w:tcW w:w="906" w:type="pct"/>
            <w:vMerge/>
            <w:tcBorders>
              <w:top w:val="dotted" w:sz="4" w:space="0" w:color="auto"/>
              <w:left w:val="single" w:sz="18" w:space="0" w:color="auto"/>
              <w:bottom w:val="single" w:sz="4" w:space="0" w:color="auto"/>
              <w:right w:val="single" w:sz="4" w:space="0" w:color="auto"/>
            </w:tcBorders>
            <w:noWrap/>
            <w:vAlign w:val="center"/>
          </w:tcPr>
          <w:p w14:paraId="761686E4" w14:textId="77777777" w:rsidR="00F20213" w:rsidRPr="005031DC" w:rsidRDefault="00F20213" w:rsidP="007B2D12">
            <w:pPr>
              <w:rPr>
                <w:rFonts w:cstheme="minorHAnsi"/>
                <w:sz w:val="20"/>
                <w:szCs w:val="20"/>
                <w:highlight w:val="yellow"/>
              </w:rPr>
            </w:pPr>
          </w:p>
        </w:tc>
        <w:tc>
          <w:tcPr>
            <w:tcW w:w="628" w:type="pct"/>
            <w:vMerge/>
            <w:tcBorders>
              <w:left w:val="single" w:sz="4" w:space="0" w:color="auto"/>
              <w:bottom w:val="single" w:sz="4" w:space="0" w:color="auto"/>
              <w:right w:val="single" w:sz="4" w:space="0" w:color="auto"/>
            </w:tcBorders>
            <w:noWrap/>
            <w:vAlign w:val="center"/>
          </w:tcPr>
          <w:p w14:paraId="5941CF37" w14:textId="59C18BDB" w:rsidR="00F20213" w:rsidRPr="005031DC" w:rsidRDefault="00F20213" w:rsidP="00DE5831">
            <w:pPr>
              <w:jc w:val="left"/>
              <w:rPr>
                <w:rFonts w:cstheme="minorHAnsi"/>
                <w:sz w:val="20"/>
                <w:szCs w:val="20"/>
                <w:highlight w:val="yellow"/>
              </w:rPr>
            </w:pPr>
          </w:p>
        </w:tc>
        <w:tc>
          <w:tcPr>
            <w:tcW w:w="626" w:type="pct"/>
            <w:tcBorders>
              <w:top w:val="dotted" w:sz="4" w:space="0" w:color="auto"/>
              <w:left w:val="single" w:sz="4" w:space="0" w:color="auto"/>
              <w:bottom w:val="single" w:sz="4" w:space="0" w:color="auto"/>
              <w:right w:val="single" w:sz="18" w:space="0" w:color="auto"/>
            </w:tcBorders>
            <w:noWrap/>
            <w:vAlign w:val="center"/>
          </w:tcPr>
          <w:p w14:paraId="4CB74A85" w14:textId="0EB68F55" w:rsidR="00F20213" w:rsidRPr="005031DC" w:rsidRDefault="00F20213" w:rsidP="00DE5831">
            <w:pPr>
              <w:jc w:val="left"/>
              <w:rPr>
                <w:rFonts w:cstheme="minorHAnsi"/>
                <w:sz w:val="20"/>
                <w:szCs w:val="20"/>
                <w:highlight w:val="yellow"/>
              </w:rPr>
            </w:pPr>
            <w:r w:rsidRPr="005031DC">
              <w:rPr>
                <w:rFonts w:cstheme="minorHAnsi"/>
                <w:color w:val="000000"/>
                <w:sz w:val="20"/>
                <w:szCs w:val="20"/>
              </w:rPr>
              <w:t>35 to 54 years</w:t>
            </w:r>
          </w:p>
        </w:tc>
        <w:tc>
          <w:tcPr>
            <w:tcW w:w="387" w:type="pct"/>
            <w:tcBorders>
              <w:top w:val="dotted" w:sz="4" w:space="0" w:color="auto"/>
              <w:left w:val="single" w:sz="18" w:space="0" w:color="auto"/>
              <w:bottom w:val="single" w:sz="4" w:space="0" w:color="auto"/>
              <w:right w:val="single" w:sz="4" w:space="0" w:color="auto"/>
            </w:tcBorders>
            <w:noWrap/>
            <w:vAlign w:val="center"/>
          </w:tcPr>
          <w:p w14:paraId="2EB2AC7B" w14:textId="0CA57B1C" w:rsidR="00F20213" w:rsidRPr="005031DC" w:rsidRDefault="00F20213" w:rsidP="00A36204">
            <w:pPr>
              <w:tabs>
                <w:tab w:val="decimal" w:pos="171"/>
              </w:tabs>
              <w:jc w:val="center"/>
              <w:rPr>
                <w:rFonts w:cstheme="minorHAnsi"/>
                <w:sz w:val="20"/>
                <w:szCs w:val="20"/>
                <w:highlight w:val="yellow"/>
              </w:rPr>
            </w:pPr>
            <w:r w:rsidRPr="005031DC">
              <w:rPr>
                <w:rFonts w:cstheme="minorHAnsi"/>
                <w:color w:val="000000"/>
                <w:sz w:val="20"/>
                <w:szCs w:val="20"/>
              </w:rPr>
              <w:t>-0.045</w:t>
            </w:r>
          </w:p>
        </w:tc>
        <w:tc>
          <w:tcPr>
            <w:tcW w:w="338" w:type="pct"/>
            <w:tcBorders>
              <w:top w:val="dotted" w:sz="4" w:space="0" w:color="auto"/>
              <w:left w:val="single" w:sz="4" w:space="0" w:color="auto"/>
              <w:bottom w:val="single" w:sz="4" w:space="0" w:color="auto"/>
              <w:right w:val="single" w:sz="4" w:space="0" w:color="auto"/>
            </w:tcBorders>
            <w:noWrap/>
            <w:vAlign w:val="center"/>
          </w:tcPr>
          <w:p w14:paraId="178FAE32" w14:textId="4370A2BC" w:rsidR="00F20213" w:rsidRPr="005031DC" w:rsidRDefault="00F20213" w:rsidP="00A36204">
            <w:pPr>
              <w:tabs>
                <w:tab w:val="decimal" w:pos="171"/>
              </w:tabs>
              <w:jc w:val="center"/>
              <w:rPr>
                <w:rFonts w:cstheme="minorHAnsi"/>
                <w:sz w:val="20"/>
                <w:szCs w:val="20"/>
                <w:highlight w:val="yellow"/>
              </w:rPr>
            </w:pPr>
            <w:r w:rsidRPr="005031DC">
              <w:rPr>
                <w:rFonts w:cstheme="minorHAnsi"/>
                <w:color w:val="000000"/>
                <w:sz w:val="20"/>
                <w:szCs w:val="20"/>
              </w:rPr>
              <w:t>0.025</w:t>
            </w:r>
          </w:p>
        </w:tc>
        <w:tc>
          <w:tcPr>
            <w:tcW w:w="483" w:type="pct"/>
            <w:tcBorders>
              <w:top w:val="dotted" w:sz="4" w:space="0" w:color="auto"/>
              <w:left w:val="single" w:sz="4" w:space="0" w:color="auto"/>
              <w:bottom w:val="single" w:sz="4" w:space="0" w:color="auto"/>
              <w:right w:val="single" w:sz="4" w:space="0" w:color="auto"/>
            </w:tcBorders>
            <w:noWrap/>
            <w:vAlign w:val="center"/>
          </w:tcPr>
          <w:p w14:paraId="7E1A80E3" w14:textId="531FDDAA" w:rsidR="00F20213" w:rsidRPr="005031DC" w:rsidRDefault="00F20213" w:rsidP="00A36204">
            <w:pPr>
              <w:tabs>
                <w:tab w:val="decimal" w:pos="171"/>
              </w:tabs>
              <w:jc w:val="center"/>
              <w:rPr>
                <w:rFonts w:cstheme="minorHAnsi"/>
                <w:sz w:val="20"/>
                <w:szCs w:val="20"/>
                <w:highlight w:val="yellow"/>
              </w:rPr>
            </w:pPr>
            <w:r w:rsidRPr="005031DC">
              <w:rPr>
                <w:rFonts w:cstheme="minorHAnsi"/>
                <w:color w:val="000000"/>
                <w:sz w:val="20"/>
                <w:szCs w:val="20"/>
              </w:rPr>
              <w:t>0.012</w:t>
            </w:r>
          </w:p>
        </w:tc>
        <w:tc>
          <w:tcPr>
            <w:tcW w:w="628" w:type="pct"/>
            <w:tcBorders>
              <w:top w:val="dotted" w:sz="4" w:space="0" w:color="auto"/>
              <w:left w:val="single" w:sz="4" w:space="0" w:color="auto"/>
              <w:bottom w:val="single" w:sz="4" w:space="0" w:color="auto"/>
              <w:right w:val="single" w:sz="18" w:space="0" w:color="auto"/>
            </w:tcBorders>
            <w:noWrap/>
            <w:vAlign w:val="center"/>
          </w:tcPr>
          <w:p w14:paraId="59CF84AA" w14:textId="088794A8" w:rsidR="00F20213" w:rsidRPr="005031DC" w:rsidRDefault="00F20213" w:rsidP="00A36204">
            <w:pPr>
              <w:tabs>
                <w:tab w:val="decimal" w:pos="171"/>
              </w:tabs>
              <w:jc w:val="center"/>
              <w:rPr>
                <w:rFonts w:cstheme="minorHAnsi"/>
                <w:sz w:val="20"/>
                <w:szCs w:val="20"/>
                <w:highlight w:val="yellow"/>
              </w:rPr>
            </w:pPr>
            <w:r w:rsidRPr="005031DC">
              <w:rPr>
                <w:rFonts w:cstheme="minorHAnsi"/>
                <w:color w:val="000000"/>
                <w:sz w:val="20"/>
                <w:szCs w:val="20"/>
              </w:rPr>
              <w:t>0.008</w:t>
            </w:r>
          </w:p>
        </w:tc>
        <w:tc>
          <w:tcPr>
            <w:tcW w:w="533" w:type="pct"/>
            <w:tcBorders>
              <w:top w:val="dotted" w:sz="4" w:space="0" w:color="auto"/>
              <w:left w:val="single" w:sz="18" w:space="0" w:color="auto"/>
              <w:bottom w:val="single" w:sz="4" w:space="0" w:color="auto"/>
              <w:right w:val="single" w:sz="4" w:space="0" w:color="auto"/>
            </w:tcBorders>
            <w:noWrap/>
            <w:vAlign w:val="center"/>
          </w:tcPr>
          <w:p w14:paraId="092165DF" w14:textId="545EB8F6" w:rsidR="00F20213" w:rsidRPr="005031DC" w:rsidRDefault="00F20213" w:rsidP="00A36204">
            <w:pPr>
              <w:tabs>
                <w:tab w:val="decimal" w:pos="171"/>
              </w:tabs>
              <w:jc w:val="center"/>
              <w:rPr>
                <w:rFonts w:cstheme="minorHAnsi"/>
                <w:sz w:val="20"/>
                <w:szCs w:val="20"/>
                <w:highlight w:val="yellow"/>
              </w:rPr>
            </w:pPr>
            <w:r w:rsidRPr="005031DC">
              <w:rPr>
                <w:rFonts w:cstheme="minorHAnsi"/>
                <w:color w:val="000000"/>
                <w:sz w:val="20"/>
                <w:szCs w:val="20"/>
              </w:rPr>
              <w:t>-0.156</w:t>
            </w:r>
          </w:p>
        </w:tc>
        <w:tc>
          <w:tcPr>
            <w:tcW w:w="471" w:type="pct"/>
            <w:tcBorders>
              <w:top w:val="dotted" w:sz="4" w:space="0" w:color="auto"/>
              <w:left w:val="single" w:sz="4" w:space="0" w:color="auto"/>
              <w:bottom w:val="single" w:sz="4" w:space="0" w:color="auto"/>
              <w:right w:val="single" w:sz="18" w:space="0" w:color="auto"/>
            </w:tcBorders>
            <w:noWrap/>
            <w:vAlign w:val="center"/>
          </w:tcPr>
          <w:p w14:paraId="614DD601" w14:textId="53E8E30D" w:rsidR="00F20213" w:rsidRPr="005031DC" w:rsidRDefault="00F20213" w:rsidP="00915A47">
            <w:pPr>
              <w:tabs>
                <w:tab w:val="decimal" w:pos="258"/>
              </w:tabs>
              <w:jc w:val="center"/>
              <w:rPr>
                <w:rFonts w:cstheme="minorHAnsi"/>
                <w:sz w:val="20"/>
                <w:szCs w:val="20"/>
                <w:highlight w:val="yellow"/>
              </w:rPr>
            </w:pPr>
            <w:r w:rsidRPr="005031DC">
              <w:rPr>
                <w:rFonts w:cstheme="minorHAnsi"/>
                <w:color w:val="000000"/>
                <w:sz w:val="20"/>
                <w:szCs w:val="20"/>
              </w:rPr>
              <w:t>-4.1</w:t>
            </w:r>
          </w:p>
        </w:tc>
      </w:tr>
      <w:tr w:rsidR="007B2D12" w:rsidRPr="005031DC" w14:paraId="0AAC15CF" w14:textId="77777777" w:rsidTr="00F20213">
        <w:trPr>
          <w:trHeight w:val="259"/>
        </w:trPr>
        <w:tc>
          <w:tcPr>
            <w:tcW w:w="906" w:type="pct"/>
            <w:tcBorders>
              <w:top w:val="single" w:sz="4" w:space="0" w:color="auto"/>
              <w:left w:val="single" w:sz="18" w:space="0" w:color="auto"/>
              <w:bottom w:val="single" w:sz="4" w:space="0" w:color="auto"/>
              <w:right w:val="single" w:sz="4" w:space="0" w:color="auto"/>
            </w:tcBorders>
            <w:noWrap/>
            <w:vAlign w:val="center"/>
          </w:tcPr>
          <w:p w14:paraId="3925766C" w14:textId="3E5BE2EB" w:rsidR="007B2D12" w:rsidRPr="005031DC" w:rsidRDefault="007B2D12" w:rsidP="00DE5831">
            <w:pPr>
              <w:jc w:val="left"/>
              <w:rPr>
                <w:rFonts w:cstheme="minorHAnsi"/>
                <w:sz w:val="20"/>
                <w:szCs w:val="20"/>
                <w:highlight w:val="yellow"/>
              </w:rPr>
            </w:pPr>
            <w:r w:rsidRPr="005031DC">
              <w:rPr>
                <w:rFonts w:cstheme="minorHAnsi"/>
                <w:color w:val="000000"/>
                <w:sz w:val="20"/>
                <w:szCs w:val="20"/>
              </w:rPr>
              <w:t>Education</w:t>
            </w:r>
          </w:p>
        </w:tc>
        <w:tc>
          <w:tcPr>
            <w:tcW w:w="628" w:type="pct"/>
            <w:tcBorders>
              <w:top w:val="single" w:sz="4" w:space="0" w:color="auto"/>
              <w:left w:val="single" w:sz="4" w:space="0" w:color="auto"/>
              <w:bottom w:val="single" w:sz="4" w:space="0" w:color="auto"/>
              <w:right w:val="single" w:sz="4" w:space="0" w:color="auto"/>
            </w:tcBorders>
            <w:noWrap/>
            <w:vAlign w:val="center"/>
          </w:tcPr>
          <w:p w14:paraId="6D3CDBFB" w14:textId="79C9CE99" w:rsidR="007B2D12" w:rsidRPr="005031DC" w:rsidRDefault="005031DC" w:rsidP="00DE5831">
            <w:pPr>
              <w:jc w:val="left"/>
              <w:rPr>
                <w:rFonts w:cstheme="minorHAnsi"/>
                <w:sz w:val="20"/>
                <w:szCs w:val="20"/>
                <w:highlight w:val="yellow"/>
              </w:rPr>
            </w:pPr>
            <w:r>
              <w:rPr>
                <w:rFonts w:cstheme="minorHAnsi"/>
                <w:color w:val="000000"/>
                <w:sz w:val="20"/>
                <w:szCs w:val="20"/>
              </w:rPr>
              <w:t xml:space="preserve">&lt; </w:t>
            </w:r>
            <w:r w:rsidRPr="005031DC">
              <w:rPr>
                <w:rFonts w:cstheme="minorHAnsi"/>
                <w:color w:val="000000"/>
                <w:sz w:val="20"/>
                <w:szCs w:val="20"/>
              </w:rPr>
              <w:t xml:space="preserve">Bachelor’s </w:t>
            </w:r>
            <w:r w:rsidR="00F16887" w:rsidRPr="005031DC">
              <w:rPr>
                <w:rFonts w:cstheme="minorHAnsi"/>
                <w:color w:val="000000"/>
                <w:sz w:val="20"/>
                <w:szCs w:val="20"/>
              </w:rPr>
              <w:t>degree</w:t>
            </w:r>
          </w:p>
        </w:tc>
        <w:tc>
          <w:tcPr>
            <w:tcW w:w="626" w:type="pct"/>
            <w:tcBorders>
              <w:top w:val="single" w:sz="4" w:space="0" w:color="auto"/>
              <w:left w:val="single" w:sz="4" w:space="0" w:color="auto"/>
              <w:bottom w:val="single" w:sz="4" w:space="0" w:color="auto"/>
              <w:right w:val="single" w:sz="18" w:space="0" w:color="auto"/>
            </w:tcBorders>
            <w:noWrap/>
            <w:vAlign w:val="center"/>
          </w:tcPr>
          <w:p w14:paraId="52D028B7" w14:textId="240F4B55" w:rsidR="007B2D12" w:rsidRPr="005031DC" w:rsidRDefault="005031DC" w:rsidP="00DE5831">
            <w:pPr>
              <w:jc w:val="left"/>
              <w:rPr>
                <w:rFonts w:cstheme="minorHAnsi"/>
                <w:sz w:val="20"/>
                <w:szCs w:val="20"/>
                <w:highlight w:val="yellow"/>
              </w:rPr>
            </w:pPr>
            <w:r>
              <w:rPr>
                <w:rFonts w:cstheme="minorHAnsi"/>
                <w:color w:val="000000"/>
                <w:sz w:val="20"/>
                <w:szCs w:val="20"/>
              </w:rPr>
              <w:t xml:space="preserve">≥ </w:t>
            </w:r>
            <w:r w:rsidR="007B2D12" w:rsidRPr="005031DC">
              <w:rPr>
                <w:rFonts w:cstheme="minorHAnsi"/>
                <w:color w:val="000000"/>
                <w:sz w:val="20"/>
                <w:szCs w:val="20"/>
              </w:rPr>
              <w:t xml:space="preserve">Bachelor’s </w:t>
            </w:r>
          </w:p>
        </w:tc>
        <w:tc>
          <w:tcPr>
            <w:tcW w:w="387" w:type="pct"/>
            <w:tcBorders>
              <w:top w:val="single" w:sz="4" w:space="0" w:color="auto"/>
              <w:left w:val="single" w:sz="18" w:space="0" w:color="auto"/>
              <w:bottom w:val="single" w:sz="4" w:space="0" w:color="auto"/>
              <w:right w:val="single" w:sz="4" w:space="0" w:color="auto"/>
            </w:tcBorders>
            <w:noWrap/>
            <w:vAlign w:val="center"/>
          </w:tcPr>
          <w:p w14:paraId="16B6CA20" w14:textId="1D010AC0"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0.036</w:t>
            </w:r>
          </w:p>
        </w:tc>
        <w:tc>
          <w:tcPr>
            <w:tcW w:w="338" w:type="pct"/>
            <w:tcBorders>
              <w:top w:val="single" w:sz="4" w:space="0" w:color="auto"/>
              <w:left w:val="single" w:sz="4" w:space="0" w:color="auto"/>
              <w:bottom w:val="single" w:sz="4" w:space="0" w:color="auto"/>
              <w:right w:val="single" w:sz="4" w:space="0" w:color="auto"/>
            </w:tcBorders>
            <w:noWrap/>
            <w:vAlign w:val="center"/>
          </w:tcPr>
          <w:p w14:paraId="7D74F8B3" w14:textId="4C061A8D"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0.031</w:t>
            </w:r>
          </w:p>
        </w:tc>
        <w:tc>
          <w:tcPr>
            <w:tcW w:w="483" w:type="pct"/>
            <w:tcBorders>
              <w:top w:val="single" w:sz="4" w:space="0" w:color="auto"/>
              <w:left w:val="single" w:sz="4" w:space="0" w:color="auto"/>
              <w:bottom w:val="single" w:sz="4" w:space="0" w:color="auto"/>
              <w:right w:val="single" w:sz="4" w:space="0" w:color="auto"/>
            </w:tcBorders>
            <w:noWrap/>
            <w:vAlign w:val="center"/>
          </w:tcPr>
          <w:p w14:paraId="0B75EB62" w14:textId="213572E9"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-0.033</w:t>
            </w:r>
          </w:p>
        </w:tc>
        <w:tc>
          <w:tcPr>
            <w:tcW w:w="628" w:type="pct"/>
            <w:tcBorders>
              <w:top w:val="single" w:sz="4" w:space="0" w:color="auto"/>
              <w:left w:val="single" w:sz="4" w:space="0" w:color="auto"/>
              <w:bottom w:val="single" w:sz="4" w:space="0" w:color="auto"/>
              <w:right w:val="single" w:sz="18" w:space="0" w:color="auto"/>
            </w:tcBorders>
            <w:noWrap/>
            <w:vAlign w:val="center"/>
          </w:tcPr>
          <w:p w14:paraId="45D3C7EC" w14:textId="1A860666"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-0.034</w:t>
            </w:r>
          </w:p>
        </w:tc>
        <w:tc>
          <w:tcPr>
            <w:tcW w:w="533" w:type="pct"/>
            <w:tcBorders>
              <w:top w:val="single" w:sz="4" w:space="0" w:color="auto"/>
              <w:left w:val="single" w:sz="18" w:space="0" w:color="auto"/>
              <w:bottom w:val="single" w:sz="4" w:space="0" w:color="auto"/>
              <w:right w:val="single" w:sz="4" w:space="0" w:color="auto"/>
            </w:tcBorders>
            <w:noWrap/>
            <w:vAlign w:val="center"/>
          </w:tcPr>
          <w:p w14:paraId="68A980D9" w14:textId="22B041E9"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0.265</w:t>
            </w:r>
          </w:p>
        </w:tc>
        <w:tc>
          <w:tcPr>
            <w:tcW w:w="471" w:type="pct"/>
            <w:tcBorders>
              <w:top w:val="single" w:sz="4" w:space="0" w:color="auto"/>
              <w:left w:val="single" w:sz="4" w:space="0" w:color="auto"/>
              <w:bottom w:val="single" w:sz="4" w:space="0" w:color="auto"/>
              <w:right w:val="single" w:sz="18" w:space="0" w:color="auto"/>
            </w:tcBorders>
            <w:noWrap/>
            <w:vAlign w:val="center"/>
          </w:tcPr>
          <w:p w14:paraId="49C0F60C" w14:textId="01474D16" w:rsidR="007B2D12" w:rsidRPr="005031DC" w:rsidRDefault="007B2D12" w:rsidP="00915A47">
            <w:pPr>
              <w:tabs>
                <w:tab w:val="decimal" w:pos="258"/>
              </w:tabs>
              <w:jc w:val="center"/>
              <w:rPr>
                <w:rFonts w:cstheme="minorHAnsi"/>
                <w:sz w:val="20"/>
                <w:szCs w:val="20"/>
                <w:highlight w:val="yellow"/>
              </w:rPr>
            </w:pPr>
            <w:r w:rsidRPr="005031DC">
              <w:rPr>
                <w:rFonts w:cstheme="minorHAnsi"/>
                <w:color w:val="000000"/>
                <w:sz w:val="20"/>
                <w:szCs w:val="20"/>
              </w:rPr>
              <w:t>7.1</w:t>
            </w:r>
          </w:p>
        </w:tc>
      </w:tr>
      <w:tr w:rsidR="007B2D12" w:rsidRPr="005031DC" w14:paraId="1F4BC731" w14:textId="77777777" w:rsidTr="00F20213">
        <w:trPr>
          <w:trHeight w:val="259"/>
        </w:trPr>
        <w:tc>
          <w:tcPr>
            <w:tcW w:w="906" w:type="pct"/>
            <w:tcBorders>
              <w:top w:val="single" w:sz="4" w:space="0" w:color="auto"/>
              <w:left w:val="single" w:sz="18" w:space="0" w:color="auto"/>
              <w:bottom w:val="single" w:sz="4" w:space="0" w:color="auto"/>
              <w:right w:val="single" w:sz="4" w:space="0" w:color="auto"/>
            </w:tcBorders>
            <w:noWrap/>
            <w:vAlign w:val="center"/>
          </w:tcPr>
          <w:p w14:paraId="008746EB" w14:textId="6DFA5FA5" w:rsidR="007B2D12" w:rsidRPr="005031DC" w:rsidRDefault="007B2D12" w:rsidP="00DE5831">
            <w:pPr>
              <w:jc w:val="left"/>
              <w:rPr>
                <w:rFonts w:cstheme="minorHAnsi"/>
                <w:sz w:val="20"/>
                <w:szCs w:val="20"/>
                <w:highlight w:val="yellow"/>
              </w:rPr>
            </w:pPr>
            <w:r w:rsidRPr="005031DC">
              <w:rPr>
                <w:rFonts w:cstheme="minorHAnsi"/>
                <w:color w:val="000000"/>
                <w:sz w:val="20"/>
                <w:szCs w:val="20"/>
              </w:rPr>
              <w:t xml:space="preserve">Mobility </w:t>
            </w:r>
            <w:r w:rsidR="00DE5831" w:rsidRPr="005031DC">
              <w:rPr>
                <w:rFonts w:cstheme="minorHAnsi"/>
                <w:color w:val="000000"/>
                <w:sz w:val="20"/>
                <w:szCs w:val="20"/>
              </w:rPr>
              <w:t>c</w:t>
            </w:r>
            <w:r w:rsidRPr="005031DC">
              <w:rPr>
                <w:rFonts w:cstheme="minorHAnsi"/>
                <w:color w:val="000000"/>
                <w:sz w:val="20"/>
                <w:szCs w:val="20"/>
              </w:rPr>
              <w:t>hallenges</w:t>
            </w:r>
          </w:p>
        </w:tc>
        <w:tc>
          <w:tcPr>
            <w:tcW w:w="628" w:type="pct"/>
            <w:tcBorders>
              <w:top w:val="single" w:sz="4" w:space="0" w:color="auto"/>
              <w:left w:val="single" w:sz="4" w:space="0" w:color="auto"/>
              <w:bottom w:val="single" w:sz="4" w:space="0" w:color="auto"/>
              <w:right w:val="single" w:sz="4" w:space="0" w:color="auto"/>
            </w:tcBorders>
            <w:noWrap/>
            <w:vAlign w:val="center"/>
          </w:tcPr>
          <w:p w14:paraId="60B85CF7" w14:textId="4F7313A2" w:rsidR="007B2D12" w:rsidRPr="005031DC" w:rsidRDefault="007B2D12" w:rsidP="00DE5831">
            <w:pPr>
              <w:jc w:val="left"/>
              <w:rPr>
                <w:rFonts w:cstheme="minorHAnsi"/>
                <w:sz w:val="20"/>
                <w:szCs w:val="20"/>
                <w:highlight w:val="yellow"/>
              </w:rPr>
            </w:pPr>
            <w:r w:rsidRPr="005031DC">
              <w:rPr>
                <w:rFonts w:cstheme="minorHAnsi"/>
                <w:color w:val="000000"/>
                <w:sz w:val="20"/>
                <w:szCs w:val="20"/>
              </w:rPr>
              <w:t>No</w:t>
            </w:r>
          </w:p>
        </w:tc>
        <w:tc>
          <w:tcPr>
            <w:tcW w:w="626" w:type="pct"/>
            <w:tcBorders>
              <w:top w:val="single" w:sz="4" w:space="0" w:color="auto"/>
              <w:left w:val="single" w:sz="4" w:space="0" w:color="auto"/>
              <w:bottom w:val="single" w:sz="4" w:space="0" w:color="auto"/>
              <w:right w:val="single" w:sz="18" w:space="0" w:color="auto"/>
            </w:tcBorders>
            <w:noWrap/>
            <w:vAlign w:val="center"/>
          </w:tcPr>
          <w:p w14:paraId="1BD36765" w14:textId="0CC520B8" w:rsidR="007B2D12" w:rsidRPr="005031DC" w:rsidRDefault="007B2D12" w:rsidP="00DE5831">
            <w:pPr>
              <w:jc w:val="left"/>
              <w:rPr>
                <w:rFonts w:cstheme="minorHAnsi"/>
                <w:sz w:val="20"/>
                <w:szCs w:val="20"/>
                <w:highlight w:val="yellow"/>
              </w:rPr>
            </w:pPr>
            <w:r w:rsidRPr="005031DC">
              <w:rPr>
                <w:rFonts w:cstheme="minorHAnsi"/>
                <w:color w:val="000000"/>
                <w:sz w:val="20"/>
                <w:szCs w:val="20"/>
              </w:rPr>
              <w:t>Yes</w:t>
            </w:r>
          </w:p>
        </w:tc>
        <w:tc>
          <w:tcPr>
            <w:tcW w:w="387" w:type="pct"/>
            <w:tcBorders>
              <w:top w:val="single" w:sz="4" w:space="0" w:color="auto"/>
              <w:left w:val="single" w:sz="18" w:space="0" w:color="auto"/>
              <w:bottom w:val="single" w:sz="4" w:space="0" w:color="auto"/>
              <w:right w:val="single" w:sz="4" w:space="0" w:color="auto"/>
            </w:tcBorders>
            <w:noWrap/>
            <w:vAlign w:val="center"/>
          </w:tcPr>
          <w:p w14:paraId="18324FB5" w14:textId="0184F7C8"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-0.088</w:t>
            </w:r>
          </w:p>
        </w:tc>
        <w:tc>
          <w:tcPr>
            <w:tcW w:w="338" w:type="pct"/>
            <w:tcBorders>
              <w:top w:val="single" w:sz="4" w:space="0" w:color="auto"/>
              <w:left w:val="single" w:sz="4" w:space="0" w:color="auto"/>
              <w:bottom w:val="single" w:sz="4" w:space="0" w:color="auto"/>
              <w:right w:val="single" w:sz="4" w:space="0" w:color="auto"/>
            </w:tcBorders>
            <w:noWrap/>
            <w:vAlign w:val="center"/>
          </w:tcPr>
          <w:p w14:paraId="5D288734" w14:textId="65226B53"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0.050</w:t>
            </w:r>
          </w:p>
        </w:tc>
        <w:tc>
          <w:tcPr>
            <w:tcW w:w="483" w:type="pct"/>
            <w:tcBorders>
              <w:top w:val="single" w:sz="4" w:space="0" w:color="auto"/>
              <w:left w:val="single" w:sz="4" w:space="0" w:color="auto"/>
              <w:bottom w:val="single" w:sz="4" w:space="0" w:color="auto"/>
              <w:right w:val="single" w:sz="4" w:space="0" w:color="auto"/>
            </w:tcBorders>
            <w:noWrap/>
            <w:vAlign w:val="center"/>
          </w:tcPr>
          <w:p w14:paraId="76D7B56C" w14:textId="747C4DC8"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0.011</w:t>
            </w:r>
          </w:p>
        </w:tc>
        <w:tc>
          <w:tcPr>
            <w:tcW w:w="628" w:type="pct"/>
            <w:tcBorders>
              <w:top w:val="single" w:sz="4" w:space="0" w:color="auto"/>
              <w:left w:val="single" w:sz="4" w:space="0" w:color="auto"/>
              <w:bottom w:val="single" w:sz="4" w:space="0" w:color="auto"/>
              <w:right w:val="single" w:sz="18" w:space="0" w:color="auto"/>
            </w:tcBorders>
            <w:noWrap/>
            <w:vAlign w:val="center"/>
          </w:tcPr>
          <w:p w14:paraId="4C57E0C7" w14:textId="5FC0D5E9"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0.027</w:t>
            </w:r>
          </w:p>
        </w:tc>
        <w:tc>
          <w:tcPr>
            <w:tcW w:w="533" w:type="pct"/>
            <w:tcBorders>
              <w:top w:val="single" w:sz="4" w:space="0" w:color="auto"/>
              <w:left w:val="single" w:sz="18" w:space="0" w:color="auto"/>
              <w:bottom w:val="single" w:sz="4" w:space="0" w:color="auto"/>
              <w:right w:val="single" w:sz="4" w:space="0" w:color="auto"/>
            </w:tcBorders>
            <w:noWrap/>
            <w:vAlign w:val="center"/>
          </w:tcPr>
          <w:p w14:paraId="62570589" w14:textId="03DB26FC"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-0.342</w:t>
            </w:r>
          </w:p>
        </w:tc>
        <w:tc>
          <w:tcPr>
            <w:tcW w:w="471" w:type="pct"/>
            <w:tcBorders>
              <w:top w:val="single" w:sz="4" w:space="0" w:color="auto"/>
              <w:left w:val="single" w:sz="4" w:space="0" w:color="auto"/>
              <w:bottom w:val="single" w:sz="4" w:space="0" w:color="auto"/>
              <w:right w:val="single" w:sz="18" w:space="0" w:color="auto"/>
            </w:tcBorders>
            <w:noWrap/>
            <w:vAlign w:val="center"/>
          </w:tcPr>
          <w:p w14:paraId="3F7C5168" w14:textId="6D18F9CA" w:rsidR="007B2D12" w:rsidRPr="005031DC" w:rsidRDefault="007B2D12" w:rsidP="00915A47">
            <w:pPr>
              <w:tabs>
                <w:tab w:val="decimal" w:pos="258"/>
              </w:tabs>
              <w:jc w:val="center"/>
              <w:rPr>
                <w:rFonts w:cstheme="minorHAnsi"/>
                <w:sz w:val="20"/>
                <w:szCs w:val="20"/>
                <w:highlight w:val="yellow"/>
              </w:rPr>
            </w:pPr>
            <w:r w:rsidRPr="005031DC">
              <w:rPr>
                <w:rFonts w:cstheme="minorHAnsi"/>
                <w:color w:val="000000"/>
                <w:sz w:val="20"/>
                <w:szCs w:val="20"/>
              </w:rPr>
              <w:t>-9.</w:t>
            </w:r>
            <w:r w:rsidR="000D3C45" w:rsidRPr="005031DC">
              <w:rPr>
                <w:rFonts w:cstheme="minorHAnsi"/>
                <w:color w:val="000000"/>
                <w:sz w:val="20"/>
                <w:szCs w:val="20"/>
              </w:rPr>
              <w:t>1</w:t>
            </w:r>
          </w:p>
        </w:tc>
      </w:tr>
      <w:tr w:rsidR="007B2D12" w:rsidRPr="005031DC" w14:paraId="290D16E1" w14:textId="77777777" w:rsidTr="00F20213">
        <w:trPr>
          <w:trHeight w:val="259"/>
        </w:trPr>
        <w:tc>
          <w:tcPr>
            <w:tcW w:w="906" w:type="pct"/>
            <w:tcBorders>
              <w:top w:val="single" w:sz="4" w:space="0" w:color="auto"/>
              <w:left w:val="single" w:sz="18" w:space="0" w:color="auto"/>
              <w:bottom w:val="single" w:sz="4" w:space="0" w:color="auto"/>
              <w:right w:val="single" w:sz="4" w:space="0" w:color="auto"/>
            </w:tcBorders>
            <w:noWrap/>
            <w:vAlign w:val="center"/>
          </w:tcPr>
          <w:p w14:paraId="3F578978" w14:textId="6D27B325" w:rsidR="007B2D12" w:rsidRPr="005031DC" w:rsidRDefault="00F16887" w:rsidP="00DE5831">
            <w:pPr>
              <w:jc w:val="left"/>
              <w:rPr>
                <w:rFonts w:cstheme="minorHAnsi"/>
                <w:sz w:val="20"/>
                <w:szCs w:val="20"/>
                <w:highlight w:val="yellow"/>
              </w:rPr>
            </w:pPr>
            <w:r>
              <w:rPr>
                <w:rFonts w:cstheme="minorHAnsi"/>
                <w:color w:val="000000"/>
                <w:sz w:val="20"/>
                <w:szCs w:val="20"/>
              </w:rPr>
              <w:t>Child presence</w:t>
            </w:r>
          </w:p>
        </w:tc>
        <w:tc>
          <w:tcPr>
            <w:tcW w:w="628" w:type="pct"/>
            <w:tcBorders>
              <w:top w:val="single" w:sz="4" w:space="0" w:color="auto"/>
              <w:left w:val="single" w:sz="4" w:space="0" w:color="auto"/>
              <w:bottom w:val="single" w:sz="4" w:space="0" w:color="auto"/>
              <w:right w:val="single" w:sz="4" w:space="0" w:color="auto"/>
            </w:tcBorders>
            <w:noWrap/>
            <w:vAlign w:val="center"/>
          </w:tcPr>
          <w:p w14:paraId="1C41860E" w14:textId="2ABE1B01" w:rsidR="007B2D12" w:rsidRPr="005031DC" w:rsidRDefault="007B2D12" w:rsidP="00DE5831">
            <w:pPr>
              <w:jc w:val="left"/>
              <w:rPr>
                <w:rFonts w:cstheme="minorHAnsi"/>
                <w:sz w:val="20"/>
                <w:szCs w:val="20"/>
                <w:highlight w:val="yellow"/>
              </w:rPr>
            </w:pPr>
            <w:r w:rsidRPr="005031DC">
              <w:rPr>
                <w:rFonts w:cstheme="minorHAnsi"/>
                <w:color w:val="000000"/>
                <w:sz w:val="20"/>
                <w:szCs w:val="20"/>
              </w:rPr>
              <w:t>No</w:t>
            </w:r>
          </w:p>
        </w:tc>
        <w:tc>
          <w:tcPr>
            <w:tcW w:w="626" w:type="pct"/>
            <w:tcBorders>
              <w:top w:val="single" w:sz="4" w:space="0" w:color="auto"/>
              <w:left w:val="single" w:sz="4" w:space="0" w:color="auto"/>
              <w:bottom w:val="single" w:sz="4" w:space="0" w:color="auto"/>
              <w:right w:val="single" w:sz="18" w:space="0" w:color="auto"/>
            </w:tcBorders>
            <w:noWrap/>
            <w:vAlign w:val="center"/>
          </w:tcPr>
          <w:p w14:paraId="18C0892D" w14:textId="5A1EB6C6" w:rsidR="007B2D12" w:rsidRPr="005031DC" w:rsidRDefault="007B2D12" w:rsidP="00DE5831">
            <w:pPr>
              <w:jc w:val="left"/>
              <w:rPr>
                <w:rFonts w:cstheme="minorHAnsi"/>
                <w:sz w:val="20"/>
                <w:szCs w:val="20"/>
                <w:highlight w:val="yellow"/>
              </w:rPr>
            </w:pPr>
            <w:r w:rsidRPr="005031DC">
              <w:rPr>
                <w:rFonts w:cstheme="minorHAnsi"/>
                <w:color w:val="000000"/>
                <w:sz w:val="20"/>
                <w:szCs w:val="20"/>
              </w:rPr>
              <w:t>Yes</w:t>
            </w:r>
          </w:p>
        </w:tc>
        <w:tc>
          <w:tcPr>
            <w:tcW w:w="387" w:type="pct"/>
            <w:tcBorders>
              <w:top w:val="single" w:sz="4" w:space="0" w:color="auto"/>
              <w:left w:val="single" w:sz="18" w:space="0" w:color="auto"/>
              <w:bottom w:val="single" w:sz="4" w:space="0" w:color="auto"/>
              <w:right w:val="single" w:sz="4" w:space="0" w:color="auto"/>
            </w:tcBorders>
            <w:noWrap/>
            <w:vAlign w:val="center"/>
          </w:tcPr>
          <w:p w14:paraId="2D5B3EC4" w14:textId="6756B9B8"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-0.049</w:t>
            </w:r>
          </w:p>
        </w:tc>
        <w:tc>
          <w:tcPr>
            <w:tcW w:w="338" w:type="pct"/>
            <w:tcBorders>
              <w:top w:val="single" w:sz="4" w:space="0" w:color="auto"/>
              <w:left w:val="single" w:sz="4" w:space="0" w:color="auto"/>
              <w:bottom w:val="single" w:sz="4" w:space="0" w:color="auto"/>
              <w:right w:val="single" w:sz="4" w:space="0" w:color="auto"/>
            </w:tcBorders>
            <w:noWrap/>
            <w:vAlign w:val="center"/>
          </w:tcPr>
          <w:p w14:paraId="2083C09E" w14:textId="051FC85A"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0.086</w:t>
            </w:r>
          </w:p>
        </w:tc>
        <w:tc>
          <w:tcPr>
            <w:tcW w:w="483" w:type="pct"/>
            <w:tcBorders>
              <w:top w:val="single" w:sz="4" w:space="0" w:color="auto"/>
              <w:left w:val="single" w:sz="4" w:space="0" w:color="auto"/>
              <w:bottom w:val="single" w:sz="4" w:space="0" w:color="auto"/>
              <w:right w:val="single" w:sz="4" w:space="0" w:color="auto"/>
            </w:tcBorders>
            <w:noWrap/>
            <w:vAlign w:val="center"/>
          </w:tcPr>
          <w:p w14:paraId="798137F3" w14:textId="2F55C584"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-0.015</w:t>
            </w:r>
          </w:p>
        </w:tc>
        <w:tc>
          <w:tcPr>
            <w:tcW w:w="628" w:type="pct"/>
            <w:tcBorders>
              <w:top w:val="single" w:sz="4" w:space="0" w:color="auto"/>
              <w:left w:val="single" w:sz="4" w:space="0" w:color="auto"/>
              <w:bottom w:val="single" w:sz="4" w:space="0" w:color="auto"/>
              <w:right w:val="single" w:sz="18" w:space="0" w:color="auto"/>
            </w:tcBorders>
            <w:noWrap/>
            <w:vAlign w:val="center"/>
          </w:tcPr>
          <w:p w14:paraId="6D4C5B36" w14:textId="088721DD"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-0.022</w:t>
            </w:r>
          </w:p>
        </w:tc>
        <w:tc>
          <w:tcPr>
            <w:tcW w:w="533" w:type="pct"/>
            <w:tcBorders>
              <w:top w:val="single" w:sz="4" w:space="0" w:color="auto"/>
              <w:left w:val="single" w:sz="18" w:space="0" w:color="auto"/>
              <w:bottom w:val="single" w:sz="4" w:space="0" w:color="auto"/>
              <w:right w:val="single" w:sz="4" w:space="0" w:color="auto"/>
            </w:tcBorders>
            <w:noWrap/>
            <w:vAlign w:val="center"/>
          </w:tcPr>
          <w:p w14:paraId="2554233A" w14:textId="432AC4A5"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-0.005</w:t>
            </w:r>
          </w:p>
        </w:tc>
        <w:tc>
          <w:tcPr>
            <w:tcW w:w="471" w:type="pct"/>
            <w:tcBorders>
              <w:top w:val="single" w:sz="4" w:space="0" w:color="auto"/>
              <w:left w:val="single" w:sz="4" w:space="0" w:color="auto"/>
              <w:bottom w:val="single" w:sz="4" w:space="0" w:color="auto"/>
              <w:right w:val="single" w:sz="18" w:space="0" w:color="auto"/>
            </w:tcBorders>
            <w:noWrap/>
            <w:vAlign w:val="center"/>
          </w:tcPr>
          <w:p w14:paraId="27D81E3F" w14:textId="3EB2E8A0" w:rsidR="007B2D12" w:rsidRPr="005031DC" w:rsidRDefault="007B2D12" w:rsidP="00915A47">
            <w:pPr>
              <w:tabs>
                <w:tab w:val="decimal" w:pos="258"/>
              </w:tabs>
              <w:jc w:val="center"/>
              <w:rPr>
                <w:rFonts w:cstheme="minorHAnsi"/>
                <w:sz w:val="20"/>
                <w:szCs w:val="20"/>
                <w:highlight w:val="yellow"/>
              </w:rPr>
            </w:pPr>
            <w:r w:rsidRPr="005031DC">
              <w:rPr>
                <w:rFonts w:cstheme="minorHAnsi"/>
                <w:color w:val="000000"/>
                <w:sz w:val="20"/>
                <w:szCs w:val="20"/>
              </w:rPr>
              <w:t>-0.1</w:t>
            </w:r>
          </w:p>
        </w:tc>
      </w:tr>
      <w:tr w:rsidR="007B2D12" w:rsidRPr="005031DC" w14:paraId="60E4A9EB" w14:textId="77777777" w:rsidTr="00F20213">
        <w:trPr>
          <w:trHeight w:val="259"/>
        </w:trPr>
        <w:tc>
          <w:tcPr>
            <w:tcW w:w="906" w:type="pct"/>
            <w:tcBorders>
              <w:top w:val="single" w:sz="4" w:space="0" w:color="auto"/>
              <w:left w:val="single" w:sz="18" w:space="0" w:color="auto"/>
              <w:bottom w:val="single" w:sz="4" w:space="0" w:color="auto"/>
              <w:right w:val="single" w:sz="4" w:space="0" w:color="auto"/>
            </w:tcBorders>
            <w:noWrap/>
            <w:vAlign w:val="center"/>
          </w:tcPr>
          <w:p w14:paraId="554CEE71" w14:textId="01237196" w:rsidR="007B2D12" w:rsidRPr="005031DC" w:rsidRDefault="007B2D12" w:rsidP="00DE5831">
            <w:pPr>
              <w:jc w:val="left"/>
              <w:rPr>
                <w:rFonts w:cstheme="minorHAnsi"/>
                <w:sz w:val="20"/>
                <w:szCs w:val="20"/>
                <w:highlight w:val="yellow"/>
              </w:rPr>
            </w:pPr>
            <w:r w:rsidRPr="005031DC">
              <w:rPr>
                <w:rFonts w:cstheme="minorHAnsi"/>
                <w:color w:val="000000"/>
                <w:sz w:val="20"/>
                <w:szCs w:val="20"/>
              </w:rPr>
              <w:t>Home</w:t>
            </w:r>
            <w:r w:rsidR="00DE5831" w:rsidRPr="005031DC">
              <w:rPr>
                <w:rFonts w:cstheme="minorHAnsi"/>
                <w:color w:val="000000"/>
                <w:sz w:val="20"/>
                <w:szCs w:val="20"/>
              </w:rPr>
              <w:t>o</w:t>
            </w:r>
            <w:r w:rsidRPr="005031DC">
              <w:rPr>
                <w:rFonts w:cstheme="minorHAnsi"/>
                <w:color w:val="000000"/>
                <w:sz w:val="20"/>
                <w:szCs w:val="20"/>
              </w:rPr>
              <w:t>wnership</w:t>
            </w:r>
          </w:p>
        </w:tc>
        <w:tc>
          <w:tcPr>
            <w:tcW w:w="628" w:type="pct"/>
            <w:tcBorders>
              <w:top w:val="single" w:sz="4" w:space="0" w:color="auto"/>
              <w:left w:val="single" w:sz="4" w:space="0" w:color="auto"/>
              <w:bottom w:val="single" w:sz="4" w:space="0" w:color="auto"/>
              <w:right w:val="single" w:sz="4" w:space="0" w:color="auto"/>
            </w:tcBorders>
            <w:noWrap/>
            <w:vAlign w:val="center"/>
          </w:tcPr>
          <w:p w14:paraId="036439F3" w14:textId="0751291F" w:rsidR="007B2D12" w:rsidRPr="005031DC" w:rsidRDefault="00F16887" w:rsidP="00DE5831">
            <w:pPr>
              <w:jc w:val="left"/>
              <w:rPr>
                <w:rFonts w:cstheme="minorHAnsi"/>
                <w:sz w:val="20"/>
                <w:szCs w:val="20"/>
                <w:highlight w:val="yellow"/>
              </w:rPr>
            </w:pPr>
            <w:r>
              <w:rPr>
                <w:rFonts w:cstheme="minorHAnsi"/>
                <w:color w:val="000000"/>
                <w:sz w:val="20"/>
                <w:szCs w:val="20"/>
              </w:rPr>
              <w:t>Rent or other</w:t>
            </w:r>
          </w:p>
        </w:tc>
        <w:tc>
          <w:tcPr>
            <w:tcW w:w="626" w:type="pct"/>
            <w:tcBorders>
              <w:top w:val="single" w:sz="4" w:space="0" w:color="auto"/>
              <w:left w:val="single" w:sz="4" w:space="0" w:color="auto"/>
              <w:bottom w:val="single" w:sz="4" w:space="0" w:color="auto"/>
              <w:right w:val="single" w:sz="18" w:space="0" w:color="auto"/>
            </w:tcBorders>
            <w:noWrap/>
            <w:vAlign w:val="center"/>
          </w:tcPr>
          <w:p w14:paraId="370FE20A" w14:textId="4AAFDD5A" w:rsidR="007B2D12" w:rsidRPr="005031DC" w:rsidRDefault="00F16887" w:rsidP="00DE5831">
            <w:pPr>
              <w:jc w:val="left"/>
              <w:rPr>
                <w:rFonts w:cstheme="minorHAnsi"/>
                <w:sz w:val="20"/>
                <w:szCs w:val="20"/>
                <w:highlight w:val="yellow"/>
              </w:rPr>
            </w:pPr>
            <w:r>
              <w:rPr>
                <w:rFonts w:cstheme="minorHAnsi"/>
                <w:color w:val="000000"/>
                <w:sz w:val="20"/>
                <w:szCs w:val="20"/>
              </w:rPr>
              <w:t>Owner</w:t>
            </w:r>
          </w:p>
        </w:tc>
        <w:tc>
          <w:tcPr>
            <w:tcW w:w="387" w:type="pct"/>
            <w:tcBorders>
              <w:top w:val="single" w:sz="4" w:space="0" w:color="auto"/>
              <w:left w:val="single" w:sz="18" w:space="0" w:color="auto"/>
              <w:bottom w:val="single" w:sz="4" w:space="0" w:color="auto"/>
              <w:right w:val="single" w:sz="4" w:space="0" w:color="auto"/>
            </w:tcBorders>
            <w:noWrap/>
            <w:vAlign w:val="center"/>
          </w:tcPr>
          <w:p w14:paraId="775F6D66" w14:textId="59714B29"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-0.029</w:t>
            </w:r>
          </w:p>
        </w:tc>
        <w:tc>
          <w:tcPr>
            <w:tcW w:w="338" w:type="pct"/>
            <w:tcBorders>
              <w:top w:val="single" w:sz="4" w:space="0" w:color="auto"/>
              <w:left w:val="single" w:sz="4" w:space="0" w:color="auto"/>
              <w:bottom w:val="single" w:sz="4" w:space="0" w:color="auto"/>
              <w:right w:val="single" w:sz="4" w:space="0" w:color="auto"/>
            </w:tcBorders>
            <w:noWrap/>
            <w:vAlign w:val="center"/>
          </w:tcPr>
          <w:p w14:paraId="22F4E51B" w14:textId="6A5D546F"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0.028</w:t>
            </w:r>
          </w:p>
        </w:tc>
        <w:tc>
          <w:tcPr>
            <w:tcW w:w="483" w:type="pct"/>
            <w:tcBorders>
              <w:top w:val="single" w:sz="4" w:space="0" w:color="auto"/>
              <w:left w:val="single" w:sz="4" w:space="0" w:color="auto"/>
              <w:bottom w:val="single" w:sz="4" w:space="0" w:color="auto"/>
              <w:right w:val="single" w:sz="4" w:space="0" w:color="auto"/>
            </w:tcBorders>
            <w:noWrap/>
            <w:vAlign w:val="center"/>
          </w:tcPr>
          <w:p w14:paraId="28060AD0" w14:textId="197D1FC9"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0.014</w:t>
            </w:r>
          </w:p>
        </w:tc>
        <w:tc>
          <w:tcPr>
            <w:tcW w:w="628" w:type="pct"/>
            <w:tcBorders>
              <w:top w:val="single" w:sz="4" w:space="0" w:color="auto"/>
              <w:left w:val="single" w:sz="4" w:space="0" w:color="auto"/>
              <w:bottom w:val="single" w:sz="4" w:space="0" w:color="auto"/>
              <w:right w:val="single" w:sz="18" w:space="0" w:color="auto"/>
            </w:tcBorders>
            <w:noWrap/>
            <w:vAlign w:val="center"/>
          </w:tcPr>
          <w:p w14:paraId="0AD9846A" w14:textId="7039265A"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-0.013</w:t>
            </w:r>
          </w:p>
        </w:tc>
        <w:tc>
          <w:tcPr>
            <w:tcW w:w="533" w:type="pct"/>
            <w:tcBorders>
              <w:top w:val="single" w:sz="4" w:space="0" w:color="auto"/>
              <w:left w:val="single" w:sz="18" w:space="0" w:color="auto"/>
              <w:bottom w:val="single" w:sz="4" w:space="0" w:color="auto"/>
              <w:right w:val="single" w:sz="4" w:space="0" w:color="auto"/>
            </w:tcBorders>
            <w:noWrap/>
            <w:vAlign w:val="center"/>
          </w:tcPr>
          <w:p w14:paraId="55B9887C" w14:textId="5B813DB5"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-0.066</w:t>
            </w:r>
          </w:p>
        </w:tc>
        <w:tc>
          <w:tcPr>
            <w:tcW w:w="471" w:type="pct"/>
            <w:tcBorders>
              <w:top w:val="single" w:sz="4" w:space="0" w:color="auto"/>
              <w:left w:val="single" w:sz="4" w:space="0" w:color="auto"/>
              <w:bottom w:val="single" w:sz="4" w:space="0" w:color="auto"/>
              <w:right w:val="single" w:sz="18" w:space="0" w:color="auto"/>
            </w:tcBorders>
            <w:noWrap/>
            <w:vAlign w:val="center"/>
          </w:tcPr>
          <w:p w14:paraId="49B5DCCE" w14:textId="1406166F" w:rsidR="007B2D12" w:rsidRPr="005031DC" w:rsidRDefault="007B2D12" w:rsidP="00915A47">
            <w:pPr>
              <w:tabs>
                <w:tab w:val="decimal" w:pos="258"/>
              </w:tabs>
              <w:jc w:val="center"/>
              <w:rPr>
                <w:rFonts w:cstheme="minorHAnsi"/>
                <w:sz w:val="20"/>
                <w:szCs w:val="20"/>
                <w:highlight w:val="yellow"/>
              </w:rPr>
            </w:pPr>
            <w:r w:rsidRPr="005031DC">
              <w:rPr>
                <w:rFonts w:cstheme="minorHAnsi"/>
                <w:color w:val="000000"/>
                <w:sz w:val="20"/>
                <w:szCs w:val="20"/>
              </w:rPr>
              <w:t>-1.</w:t>
            </w:r>
            <w:r w:rsidR="000D3C45" w:rsidRPr="005031DC">
              <w:rPr>
                <w:rFonts w:cstheme="minorHAnsi"/>
                <w:color w:val="000000"/>
                <w:sz w:val="20"/>
                <w:szCs w:val="20"/>
              </w:rPr>
              <w:t>8</w:t>
            </w:r>
          </w:p>
        </w:tc>
      </w:tr>
      <w:tr w:rsidR="007B2D12" w:rsidRPr="005031DC" w14:paraId="69D04064" w14:textId="77777777" w:rsidTr="00F20213">
        <w:trPr>
          <w:trHeight w:val="259"/>
        </w:trPr>
        <w:tc>
          <w:tcPr>
            <w:tcW w:w="906" w:type="pct"/>
            <w:tcBorders>
              <w:top w:val="single" w:sz="4" w:space="0" w:color="auto"/>
              <w:left w:val="single" w:sz="18" w:space="0" w:color="auto"/>
              <w:bottom w:val="single" w:sz="8" w:space="0" w:color="auto"/>
              <w:right w:val="single" w:sz="4" w:space="0" w:color="auto"/>
            </w:tcBorders>
            <w:noWrap/>
            <w:vAlign w:val="center"/>
          </w:tcPr>
          <w:p w14:paraId="060DD693" w14:textId="7FDA5ED7" w:rsidR="007B2D12" w:rsidRPr="005031DC" w:rsidRDefault="007B2D12" w:rsidP="00DE5831">
            <w:pPr>
              <w:jc w:val="left"/>
              <w:rPr>
                <w:rFonts w:cstheme="minorHAnsi"/>
                <w:sz w:val="20"/>
                <w:szCs w:val="20"/>
                <w:highlight w:val="yellow"/>
              </w:rPr>
            </w:pPr>
            <w:r w:rsidRPr="005031DC">
              <w:rPr>
                <w:rFonts w:cstheme="minorHAnsi"/>
                <w:color w:val="000000"/>
                <w:sz w:val="20"/>
                <w:szCs w:val="20"/>
              </w:rPr>
              <w:t xml:space="preserve">Vehicle </w:t>
            </w:r>
            <w:r w:rsidR="00DE5831" w:rsidRPr="005031DC">
              <w:rPr>
                <w:rFonts w:cstheme="minorHAnsi"/>
                <w:color w:val="000000"/>
                <w:sz w:val="20"/>
                <w:szCs w:val="20"/>
              </w:rPr>
              <w:t>s</w:t>
            </w:r>
            <w:r w:rsidRPr="005031DC">
              <w:rPr>
                <w:rFonts w:cstheme="minorHAnsi"/>
                <w:color w:val="000000"/>
                <w:sz w:val="20"/>
                <w:szCs w:val="20"/>
              </w:rPr>
              <w:t>ufficiency</w:t>
            </w:r>
          </w:p>
        </w:tc>
        <w:tc>
          <w:tcPr>
            <w:tcW w:w="628" w:type="pct"/>
            <w:tcBorders>
              <w:top w:val="single" w:sz="4" w:space="0" w:color="auto"/>
              <w:left w:val="single" w:sz="4" w:space="0" w:color="auto"/>
              <w:bottom w:val="single" w:sz="8" w:space="0" w:color="auto"/>
              <w:right w:val="single" w:sz="4" w:space="0" w:color="auto"/>
            </w:tcBorders>
            <w:noWrap/>
            <w:vAlign w:val="center"/>
          </w:tcPr>
          <w:p w14:paraId="5BED7488" w14:textId="6746FCE9" w:rsidR="007B2D12" w:rsidRPr="005031DC" w:rsidRDefault="007B2D12" w:rsidP="00DE5831">
            <w:pPr>
              <w:jc w:val="left"/>
              <w:rPr>
                <w:rFonts w:cstheme="minorHAnsi"/>
                <w:sz w:val="20"/>
                <w:szCs w:val="20"/>
                <w:highlight w:val="yellow"/>
              </w:rPr>
            </w:pPr>
            <w:r w:rsidRPr="005031DC">
              <w:rPr>
                <w:rFonts w:cstheme="minorHAnsi"/>
                <w:color w:val="000000"/>
                <w:sz w:val="20"/>
                <w:szCs w:val="20"/>
              </w:rPr>
              <w:t>Sufficient</w:t>
            </w:r>
          </w:p>
        </w:tc>
        <w:tc>
          <w:tcPr>
            <w:tcW w:w="626" w:type="pct"/>
            <w:tcBorders>
              <w:top w:val="single" w:sz="4" w:space="0" w:color="auto"/>
              <w:left w:val="single" w:sz="4" w:space="0" w:color="auto"/>
              <w:bottom w:val="single" w:sz="8" w:space="0" w:color="auto"/>
              <w:right w:val="single" w:sz="18" w:space="0" w:color="auto"/>
            </w:tcBorders>
            <w:noWrap/>
            <w:vAlign w:val="center"/>
          </w:tcPr>
          <w:p w14:paraId="3F9C68E9" w14:textId="6EE06ACC" w:rsidR="007B2D12" w:rsidRPr="005031DC" w:rsidRDefault="007B2D12" w:rsidP="00DE5831">
            <w:pPr>
              <w:jc w:val="left"/>
              <w:rPr>
                <w:rFonts w:cstheme="minorHAnsi"/>
                <w:sz w:val="20"/>
                <w:szCs w:val="20"/>
                <w:highlight w:val="yellow"/>
              </w:rPr>
            </w:pPr>
            <w:r w:rsidRPr="005031DC">
              <w:rPr>
                <w:rFonts w:cstheme="minorHAnsi"/>
                <w:color w:val="000000"/>
                <w:sz w:val="20"/>
                <w:szCs w:val="20"/>
              </w:rPr>
              <w:t>Deficient</w:t>
            </w:r>
          </w:p>
        </w:tc>
        <w:tc>
          <w:tcPr>
            <w:tcW w:w="387" w:type="pct"/>
            <w:tcBorders>
              <w:top w:val="single" w:sz="4" w:space="0" w:color="auto"/>
              <w:left w:val="single" w:sz="18" w:space="0" w:color="auto"/>
              <w:bottom w:val="single" w:sz="8" w:space="0" w:color="auto"/>
              <w:right w:val="single" w:sz="4" w:space="0" w:color="auto"/>
            </w:tcBorders>
            <w:noWrap/>
            <w:vAlign w:val="center"/>
          </w:tcPr>
          <w:p w14:paraId="6E7194DF" w14:textId="15B60BC6"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-0.046</w:t>
            </w:r>
          </w:p>
        </w:tc>
        <w:tc>
          <w:tcPr>
            <w:tcW w:w="338" w:type="pct"/>
            <w:tcBorders>
              <w:top w:val="single" w:sz="4" w:space="0" w:color="auto"/>
              <w:left w:val="single" w:sz="4" w:space="0" w:color="auto"/>
              <w:bottom w:val="single" w:sz="8" w:space="0" w:color="auto"/>
              <w:right w:val="single" w:sz="4" w:space="0" w:color="auto"/>
            </w:tcBorders>
            <w:noWrap/>
            <w:vAlign w:val="center"/>
          </w:tcPr>
          <w:p w14:paraId="1669343D" w14:textId="03EE606F"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0.024</w:t>
            </w:r>
          </w:p>
        </w:tc>
        <w:tc>
          <w:tcPr>
            <w:tcW w:w="483" w:type="pct"/>
            <w:tcBorders>
              <w:top w:val="single" w:sz="4" w:space="0" w:color="auto"/>
              <w:left w:val="single" w:sz="4" w:space="0" w:color="auto"/>
              <w:bottom w:val="single" w:sz="8" w:space="0" w:color="auto"/>
              <w:right w:val="single" w:sz="4" w:space="0" w:color="auto"/>
            </w:tcBorders>
            <w:noWrap/>
            <w:vAlign w:val="center"/>
          </w:tcPr>
          <w:p w14:paraId="5D05BA23" w14:textId="6AF629F6"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0.012</w:t>
            </w:r>
          </w:p>
        </w:tc>
        <w:tc>
          <w:tcPr>
            <w:tcW w:w="628" w:type="pct"/>
            <w:tcBorders>
              <w:top w:val="single" w:sz="4" w:space="0" w:color="auto"/>
              <w:left w:val="single" w:sz="4" w:space="0" w:color="auto"/>
              <w:bottom w:val="single" w:sz="8" w:space="0" w:color="auto"/>
              <w:right w:val="single" w:sz="18" w:space="0" w:color="auto"/>
            </w:tcBorders>
            <w:noWrap/>
            <w:vAlign w:val="center"/>
          </w:tcPr>
          <w:p w14:paraId="3FC2B079" w14:textId="00B49F95"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0.010</w:t>
            </w:r>
          </w:p>
        </w:tc>
        <w:tc>
          <w:tcPr>
            <w:tcW w:w="533" w:type="pct"/>
            <w:tcBorders>
              <w:top w:val="single" w:sz="4" w:space="0" w:color="auto"/>
              <w:left w:val="single" w:sz="18" w:space="0" w:color="auto"/>
              <w:bottom w:val="single" w:sz="8" w:space="0" w:color="auto"/>
              <w:right w:val="single" w:sz="4" w:space="0" w:color="auto"/>
            </w:tcBorders>
            <w:noWrap/>
            <w:vAlign w:val="center"/>
          </w:tcPr>
          <w:p w14:paraId="2AF8F10B" w14:textId="2C5AC91C" w:rsidR="007B2D12" w:rsidRPr="005031DC" w:rsidRDefault="007B2D12" w:rsidP="00A36204">
            <w:pPr>
              <w:tabs>
                <w:tab w:val="decimal" w:pos="171"/>
              </w:tabs>
              <w:jc w:val="center"/>
              <w:rPr>
                <w:rFonts w:cstheme="minorHAnsi"/>
                <w:sz w:val="20"/>
                <w:szCs w:val="20"/>
                <w:highlight w:val="yellow"/>
              </w:rPr>
            </w:pPr>
            <w:r w:rsidRPr="005031DC">
              <w:rPr>
                <w:rFonts w:cstheme="minorHAnsi"/>
                <w:color w:val="000000"/>
                <w:sz w:val="20"/>
                <w:szCs w:val="20"/>
              </w:rPr>
              <w:t>-0.162</w:t>
            </w:r>
          </w:p>
        </w:tc>
        <w:tc>
          <w:tcPr>
            <w:tcW w:w="471" w:type="pct"/>
            <w:tcBorders>
              <w:top w:val="single" w:sz="4" w:space="0" w:color="auto"/>
              <w:left w:val="single" w:sz="4" w:space="0" w:color="auto"/>
              <w:bottom w:val="single" w:sz="8" w:space="0" w:color="auto"/>
              <w:right w:val="single" w:sz="18" w:space="0" w:color="auto"/>
            </w:tcBorders>
            <w:noWrap/>
            <w:vAlign w:val="center"/>
          </w:tcPr>
          <w:p w14:paraId="2B43F9BB" w14:textId="655A52CE" w:rsidR="007B2D12" w:rsidRPr="005031DC" w:rsidRDefault="007B2D12" w:rsidP="00915A47">
            <w:pPr>
              <w:tabs>
                <w:tab w:val="decimal" w:pos="258"/>
              </w:tabs>
              <w:jc w:val="center"/>
              <w:rPr>
                <w:rFonts w:cstheme="minorHAnsi"/>
                <w:sz w:val="20"/>
                <w:szCs w:val="20"/>
                <w:highlight w:val="yellow"/>
              </w:rPr>
            </w:pPr>
            <w:r w:rsidRPr="005031DC">
              <w:rPr>
                <w:rFonts w:cstheme="minorHAnsi"/>
                <w:color w:val="000000"/>
                <w:sz w:val="20"/>
                <w:szCs w:val="20"/>
              </w:rPr>
              <w:t>-4.</w:t>
            </w:r>
            <w:r w:rsidR="000D3C45" w:rsidRPr="005031DC">
              <w:rPr>
                <w:rFonts w:cstheme="minorHAnsi"/>
                <w:color w:val="000000"/>
                <w:sz w:val="20"/>
                <w:szCs w:val="20"/>
              </w:rPr>
              <w:t>3</w:t>
            </w:r>
          </w:p>
        </w:tc>
      </w:tr>
      <w:tr w:rsidR="007B2D12" w:rsidRPr="005031DC" w14:paraId="04D54D94" w14:textId="77777777" w:rsidTr="005031DC">
        <w:trPr>
          <w:trHeight w:val="259"/>
        </w:trPr>
        <w:tc>
          <w:tcPr>
            <w:tcW w:w="5000" w:type="pct"/>
            <w:gridSpan w:val="9"/>
            <w:tcBorders>
              <w:top w:val="single" w:sz="8" w:space="0" w:color="auto"/>
              <w:left w:val="single" w:sz="18" w:space="0" w:color="auto"/>
              <w:bottom w:val="single" w:sz="8" w:space="0" w:color="auto"/>
              <w:right w:val="single" w:sz="18" w:space="0" w:color="auto"/>
            </w:tcBorders>
            <w:noWrap/>
            <w:vAlign w:val="center"/>
          </w:tcPr>
          <w:p w14:paraId="32D086EF" w14:textId="2F19BB2E" w:rsidR="007B2D12" w:rsidRPr="005031DC" w:rsidRDefault="00F16887" w:rsidP="00915A47">
            <w:pPr>
              <w:tabs>
                <w:tab w:val="decimal" w:pos="258"/>
              </w:tabs>
              <w:jc w:val="left"/>
              <w:rPr>
                <w:rFonts w:cstheme="minorHAnsi"/>
                <w:b/>
                <w:bCs/>
                <w:i/>
                <w:iCs/>
                <w:sz w:val="20"/>
                <w:szCs w:val="20"/>
              </w:rPr>
            </w:pPr>
            <w:r>
              <w:rPr>
                <w:rFonts w:cstheme="minorHAnsi"/>
                <w:b/>
                <w:bCs/>
                <w:i/>
                <w:iCs/>
                <w:sz w:val="20"/>
                <w:szCs w:val="20"/>
              </w:rPr>
              <w:t>Work-related</w:t>
            </w:r>
            <w:r w:rsidR="007B2D12" w:rsidRPr="005031DC">
              <w:rPr>
                <w:rFonts w:cstheme="minorHAnsi"/>
                <w:b/>
                <w:bCs/>
                <w:i/>
                <w:iCs/>
                <w:sz w:val="20"/>
                <w:szCs w:val="20"/>
              </w:rPr>
              <w:t xml:space="preserve"> Variables</w:t>
            </w:r>
          </w:p>
        </w:tc>
      </w:tr>
      <w:tr w:rsidR="00F16887" w:rsidRPr="005031DC" w14:paraId="0C02B2EF" w14:textId="77777777" w:rsidTr="00F20213">
        <w:trPr>
          <w:trHeight w:val="259"/>
        </w:trPr>
        <w:tc>
          <w:tcPr>
            <w:tcW w:w="906" w:type="pct"/>
            <w:vMerge w:val="restart"/>
            <w:tcBorders>
              <w:top w:val="single" w:sz="8" w:space="0" w:color="auto"/>
              <w:left w:val="single" w:sz="18" w:space="0" w:color="auto"/>
              <w:bottom w:val="dotted" w:sz="4" w:space="0" w:color="auto"/>
              <w:right w:val="single" w:sz="4" w:space="0" w:color="auto"/>
            </w:tcBorders>
            <w:noWrap/>
            <w:vAlign w:val="center"/>
          </w:tcPr>
          <w:p w14:paraId="0531B0B3" w14:textId="189CF3E2" w:rsidR="00F16887" w:rsidRPr="005031DC" w:rsidRDefault="00F16887" w:rsidP="007B2D12">
            <w:pPr>
              <w:rPr>
                <w:rFonts w:cstheme="minorHAnsi"/>
                <w:sz w:val="20"/>
                <w:szCs w:val="20"/>
              </w:rPr>
            </w:pPr>
            <w:r w:rsidRPr="005031DC">
              <w:rPr>
                <w:rFonts w:cstheme="minorHAnsi"/>
                <w:sz w:val="20"/>
                <w:szCs w:val="20"/>
              </w:rPr>
              <w:t>Schedule control</w:t>
            </w:r>
          </w:p>
        </w:tc>
        <w:tc>
          <w:tcPr>
            <w:tcW w:w="628" w:type="pct"/>
            <w:vMerge w:val="restart"/>
            <w:tcBorders>
              <w:top w:val="single" w:sz="8" w:space="0" w:color="auto"/>
              <w:left w:val="single" w:sz="4" w:space="0" w:color="auto"/>
              <w:right w:val="single" w:sz="4" w:space="0" w:color="auto"/>
            </w:tcBorders>
            <w:noWrap/>
            <w:vAlign w:val="center"/>
          </w:tcPr>
          <w:p w14:paraId="5E547E25" w14:textId="572DA9D5" w:rsidR="00F16887" w:rsidRPr="005031DC" w:rsidRDefault="00F16887" w:rsidP="00F16887">
            <w:pPr>
              <w:jc w:val="left"/>
              <w:rPr>
                <w:rFonts w:cstheme="minorHAnsi"/>
                <w:sz w:val="20"/>
                <w:szCs w:val="20"/>
              </w:rPr>
            </w:pPr>
            <w:r>
              <w:rPr>
                <w:rFonts w:cstheme="minorHAnsi"/>
                <w:sz w:val="20"/>
                <w:szCs w:val="20"/>
              </w:rPr>
              <w:t>Determined by employer</w:t>
            </w:r>
          </w:p>
        </w:tc>
        <w:tc>
          <w:tcPr>
            <w:tcW w:w="626" w:type="pct"/>
            <w:tcBorders>
              <w:top w:val="single" w:sz="8" w:space="0" w:color="auto"/>
              <w:left w:val="single" w:sz="4" w:space="0" w:color="auto"/>
              <w:bottom w:val="dotted" w:sz="4" w:space="0" w:color="auto"/>
              <w:right w:val="single" w:sz="18" w:space="0" w:color="auto"/>
            </w:tcBorders>
            <w:noWrap/>
            <w:vAlign w:val="center"/>
          </w:tcPr>
          <w:p w14:paraId="6A783757" w14:textId="471BE8ED" w:rsidR="00F16887" w:rsidRPr="005031DC" w:rsidRDefault="00F16887" w:rsidP="00DE5831">
            <w:pPr>
              <w:jc w:val="left"/>
              <w:rPr>
                <w:rFonts w:cstheme="minorHAnsi"/>
                <w:sz w:val="20"/>
                <w:szCs w:val="20"/>
              </w:rPr>
            </w:pPr>
            <w:r w:rsidRPr="005031DC">
              <w:rPr>
                <w:rFonts w:cstheme="minorHAnsi"/>
                <w:color w:val="000000"/>
                <w:sz w:val="20"/>
                <w:szCs w:val="20"/>
              </w:rPr>
              <w:t>Some control</w:t>
            </w:r>
          </w:p>
        </w:tc>
        <w:tc>
          <w:tcPr>
            <w:tcW w:w="387" w:type="pct"/>
            <w:tcBorders>
              <w:top w:val="single" w:sz="8" w:space="0" w:color="auto"/>
              <w:left w:val="single" w:sz="18" w:space="0" w:color="auto"/>
              <w:bottom w:val="dotted" w:sz="4" w:space="0" w:color="auto"/>
              <w:right w:val="single" w:sz="4" w:space="0" w:color="auto"/>
            </w:tcBorders>
            <w:noWrap/>
            <w:vAlign w:val="center"/>
          </w:tcPr>
          <w:p w14:paraId="20F00602" w14:textId="4923E176" w:rsidR="00F16887" w:rsidRPr="005031DC" w:rsidRDefault="00F16887" w:rsidP="00A36204">
            <w:pPr>
              <w:tabs>
                <w:tab w:val="decimal" w:pos="171"/>
              </w:tabs>
              <w:jc w:val="center"/>
              <w:rPr>
                <w:rFonts w:cstheme="minorHAnsi"/>
                <w:sz w:val="20"/>
                <w:szCs w:val="20"/>
              </w:rPr>
            </w:pPr>
            <w:r w:rsidRPr="005031DC">
              <w:rPr>
                <w:rFonts w:cstheme="minorHAnsi"/>
                <w:color w:val="000000"/>
                <w:sz w:val="20"/>
                <w:szCs w:val="20"/>
              </w:rPr>
              <w:t>-0.171</w:t>
            </w:r>
          </w:p>
        </w:tc>
        <w:tc>
          <w:tcPr>
            <w:tcW w:w="338" w:type="pct"/>
            <w:tcBorders>
              <w:top w:val="single" w:sz="8" w:space="0" w:color="auto"/>
              <w:left w:val="single" w:sz="4" w:space="0" w:color="auto"/>
              <w:bottom w:val="dotted" w:sz="4" w:space="0" w:color="auto"/>
              <w:right w:val="single" w:sz="4" w:space="0" w:color="auto"/>
            </w:tcBorders>
            <w:noWrap/>
            <w:vAlign w:val="center"/>
          </w:tcPr>
          <w:p w14:paraId="332348CE" w14:textId="008D4569" w:rsidR="00F16887" w:rsidRPr="005031DC" w:rsidRDefault="00F16887" w:rsidP="00A36204">
            <w:pPr>
              <w:tabs>
                <w:tab w:val="decimal" w:pos="171"/>
              </w:tabs>
              <w:jc w:val="center"/>
              <w:rPr>
                <w:rFonts w:cstheme="minorHAnsi"/>
                <w:sz w:val="20"/>
                <w:szCs w:val="20"/>
              </w:rPr>
            </w:pPr>
            <w:r w:rsidRPr="005031DC">
              <w:rPr>
                <w:rFonts w:cstheme="minorHAnsi"/>
                <w:color w:val="000000"/>
                <w:sz w:val="20"/>
                <w:szCs w:val="20"/>
              </w:rPr>
              <w:t>0.079</w:t>
            </w:r>
          </w:p>
        </w:tc>
        <w:tc>
          <w:tcPr>
            <w:tcW w:w="483" w:type="pct"/>
            <w:tcBorders>
              <w:top w:val="single" w:sz="8" w:space="0" w:color="auto"/>
              <w:left w:val="single" w:sz="4" w:space="0" w:color="auto"/>
              <w:bottom w:val="dotted" w:sz="4" w:space="0" w:color="auto"/>
              <w:right w:val="single" w:sz="4" w:space="0" w:color="auto"/>
            </w:tcBorders>
            <w:noWrap/>
            <w:vAlign w:val="center"/>
          </w:tcPr>
          <w:p w14:paraId="6BACC4A6" w14:textId="46AC82F1" w:rsidR="00F16887" w:rsidRPr="005031DC" w:rsidRDefault="00F16887" w:rsidP="00A36204">
            <w:pPr>
              <w:tabs>
                <w:tab w:val="decimal" w:pos="171"/>
              </w:tabs>
              <w:jc w:val="center"/>
              <w:rPr>
                <w:rFonts w:cstheme="minorHAnsi"/>
                <w:sz w:val="20"/>
                <w:szCs w:val="20"/>
              </w:rPr>
            </w:pPr>
            <w:r w:rsidRPr="005031DC">
              <w:rPr>
                <w:rFonts w:cstheme="minorHAnsi"/>
                <w:color w:val="000000"/>
                <w:sz w:val="20"/>
                <w:szCs w:val="20"/>
              </w:rPr>
              <w:t>0.051</w:t>
            </w:r>
          </w:p>
        </w:tc>
        <w:tc>
          <w:tcPr>
            <w:tcW w:w="628" w:type="pct"/>
            <w:tcBorders>
              <w:top w:val="single" w:sz="8" w:space="0" w:color="auto"/>
              <w:left w:val="single" w:sz="4" w:space="0" w:color="auto"/>
              <w:bottom w:val="dotted" w:sz="4" w:space="0" w:color="auto"/>
              <w:right w:val="single" w:sz="18" w:space="0" w:color="auto"/>
            </w:tcBorders>
            <w:noWrap/>
            <w:vAlign w:val="center"/>
          </w:tcPr>
          <w:p w14:paraId="5E010EE3" w14:textId="6328416C" w:rsidR="00F16887" w:rsidRPr="005031DC" w:rsidRDefault="00F16887" w:rsidP="00A36204">
            <w:pPr>
              <w:tabs>
                <w:tab w:val="decimal" w:pos="171"/>
              </w:tabs>
              <w:jc w:val="center"/>
              <w:rPr>
                <w:rFonts w:cstheme="minorHAnsi"/>
                <w:sz w:val="20"/>
                <w:szCs w:val="20"/>
              </w:rPr>
            </w:pPr>
            <w:r w:rsidRPr="005031DC">
              <w:rPr>
                <w:rFonts w:cstheme="minorHAnsi"/>
                <w:color w:val="000000"/>
                <w:sz w:val="20"/>
                <w:szCs w:val="20"/>
              </w:rPr>
              <w:t>0.041</w:t>
            </w:r>
          </w:p>
        </w:tc>
        <w:tc>
          <w:tcPr>
            <w:tcW w:w="533" w:type="pct"/>
            <w:tcBorders>
              <w:top w:val="single" w:sz="8" w:space="0" w:color="auto"/>
              <w:left w:val="single" w:sz="18" w:space="0" w:color="auto"/>
              <w:bottom w:val="dotted" w:sz="4" w:space="0" w:color="auto"/>
              <w:right w:val="single" w:sz="4" w:space="0" w:color="auto"/>
            </w:tcBorders>
            <w:noWrap/>
            <w:vAlign w:val="center"/>
          </w:tcPr>
          <w:p w14:paraId="69A4FA98" w14:textId="1A62CACA" w:rsidR="00F16887" w:rsidRPr="005031DC" w:rsidRDefault="00F16887" w:rsidP="00A36204">
            <w:pPr>
              <w:tabs>
                <w:tab w:val="decimal" w:pos="171"/>
              </w:tabs>
              <w:jc w:val="center"/>
              <w:rPr>
                <w:rFonts w:cstheme="minorHAnsi"/>
                <w:sz w:val="20"/>
                <w:szCs w:val="20"/>
              </w:rPr>
            </w:pPr>
            <w:r w:rsidRPr="005031DC">
              <w:rPr>
                <w:rFonts w:cstheme="minorHAnsi"/>
                <w:color w:val="000000"/>
                <w:sz w:val="20"/>
                <w:szCs w:val="20"/>
              </w:rPr>
              <w:t>-0.631</w:t>
            </w:r>
          </w:p>
        </w:tc>
        <w:tc>
          <w:tcPr>
            <w:tcW w:w="471" w:type="pct"/>
            <w:tcBorders>
              <w:top w:val="single" w:sz="8" w:space="0" w:color="auto"/>
              <w:left w:val="single" w:sz="4" w:space="0" w:color="auto"/>
              <w:bottom w:val="dotted" w:sz="4" w:space="0" w:color="auto"/>
              <w:right w:val="single" w:sz="18" w:space="0" w:color="auto"/>
            </w:tcBorders>
            <w:noWrap/>
            <w:vAlign w:val="center"/>
          </w:tcPr>
          <w:p w14:paraId="792E9B24" w14:textId="264492BB" w:rsidR="00F16887" w:rsidRPr="005031DC" w:rsidRDefault="00F16887" w:rsidP="00915A47">
            <w:pPr>
              <w:tabs>
                <w:tab w:val="decimal" w:pos="258"/>
              </w:tabs>
              <w:jc w:val="center"/>
              <w:rPr>
                <w:rFonts w:cstheme="minorHAnsi"/>
                <w:sz w:val="20"/>
                <w:szCs w:val="20"/>
              </w:rPr>
            </w:pPr>
            <w:r w:rsidRPr="005031DC">
              <w:rPr>
                <w:rFonts w:cstheme="minorHAnsi"/>
                <w:color w:val="000000"/>
                <w:sz w:val="20"/>
                <w:szCs w:val="20"/>
              </w:rPr>
              <w:t>-16.6</w:t>
            </w:r>
          </w:p>
        </w:tc>
      </w:tr>
      <w:tr w:rsidR="00F16887" w:rsidRPr="005031DC" w14:paraId="35C94390" w14:textId="77777777" w:rsidTr="00F20213">
        <w:trPr>
          <w:trHeight w:val="259"/>
        </w:trPr>
        <w:tc>
          <w:tcPr>
            <w:tcW w:w="906" w:type="pct"/>
            <w:vMerge/>
            <w:tcBorders>
              <w:top w:val="dotted" w:sz="4" w:space="0" w:color="auto"/>
              <w:left w:val="single" w:sz="18" w:space="0" w:color="auto"/>
              <w:bottom w:val="single" w:sz="4" w:space="0" w:color="auto"/>
              <w:right w:val="single" w:sz="4" w:space="0" w:color="auto"/>
            </w:tcBorders>
            <w:noWrap/>
            <w:vAlign w:val="center"/>
          </w:tcPr>
          <w:p w14:paraId="00E02FA7" w14:textId="77777777" w:rsidR="00F16887" w:rsidRPr="005031DC" w:rsidRDefault="00F16887" w:rsidP="00F16887">
            <w:pPr>
              <w:rPr>
                <w:rFonts w:cstheme="minorHAnsi"/>
                <w:sz w:val="20"/>
                <w:szCs w:val="20"/>
              </w:rPr>
            </w:pPr>
          </w:p>
        </w:tc>
        <w:tc>
          <w:tcPr>
            <w:tcW w:w="628" w:type="pct"/>
            <w:vMerge/>
            <w:tcBorders>
              <w:left w:val="single" w:sz="4" w:space="0" w:color="auto"/>
              <w:bottom w:val="single" w:sz="4" w:space="0" w:color="auto"/>
              <w:right w:val="single" w:sz="4" w:space="0" w:color="auto"/>
            </w:tcBorders>
            <w:noWrap/>
            <w:vAlign w:val="center"/>
          </w:tcPr>
          <w:p w14:paraId="3390C98C" w14:textId="469160BE" w:rsidR="00F16887" w:rsidRPr="005031DC" w:rsidRDefault="00F16887" w:rsidP="00F16887">
            <w:pPr>
              <w:jc w:val="left"/>
              <w:rPr>
                <w:rFonts w:cstheme="minorHAnsi"/>
                <w:sz w:val="20"/>
                <w:szCs w:val="20"/>
              </w:rPr>
            </w:pPr>
          </w:p>
        </w:tc>
        <w:tc>
          <w:tcPr>
            <w:tcW w:w="626" w:type="pct"/>
            <w:tcBorders>
              <w:top w:val="dotted" w:sz="4" w:space="0" w:color="auto"/>
              <w:left w:val="single" w:sz="4" w:space="0" w:color="auto"/>
              <w:bottom w:val="single" w:sz="4" w:space="0" w:color="auto"/>
              <w:right w:val="single" w:sz="18" w:space="0" w:color="auto"/>
            </w:tcBorders>
            <w:noWrap/>
            <w:vAlign w:val="center"/>
          </w:tcPr>
          <w:p w14:paraId="5490DC52" w14:textId="334B5CA2" w:rsidR="00F16887" w:rsidRPr="005031DC" w:rsidRDefault="00F16887" w:rsidP="00F16887">
            <w:pPr>
              <w:jc w:val="left"/>
              <w:rPr>
                <w:rFonts w:cstheme="minorHAnsi"/>
                <w:sz w:val="20"/>
                <w:szCs w:val="20"/>
              </w:rPr>
            </w:pPr>
            <w:r w:rsidRPr="005031DC">
              <w:rPr>
                <w:rFonts w:cstheme="minorHAnsi"/>
                <w:color w:val="000000"/>
                <w:sz w:val="20"/>
                <w:szCs w:val="20"/>
              </w:rPr>
              <w:t>Full control</w:t>
            </w:r>
          </w:p>
        </w:tc>
        <w:tc>
          <w:tcPr>
            <w:tcW w:w="387" w:type="pct"/>
            <w:tcBorders>
              <w:top w:val="dotted" w:sz="4" w:space="0" w:color="auto"/>
              <w:left w:val="single" w:sz="18" w:space="0" w:color="auto"/>
              <w:bottom w:val="single" w:sz="4" w:space="0" w:color="auto"/>
              <w:right w:val="single" w:sz="4" w:space="0" w:color="auto"/>
            </w:tcBorders>
            <w:noWrap/>
            <w:vAlign w:val="center"/>
          </w:tcPr>
          <w:p w14:paraId="546120AC" w14:textId="1F6BC405"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-0.181</w:t>
            </w:r>
          </w:p>
        </w:tc>
        <w:tc>
          <w:tcPr>
            <w:tcW w:w="338" w:type="pct"/>
            <w:tcBorders>
              <w:top w:val="dotted" w:sz="4" w:space="0" w:color="auto"/>
              <w:left w:val="single" w:sz="4" w:space="0" w:color="auto"/>
              <w:bottom w:val="single" w:sz="4" w:space="0" w:color="auto"/>
              <w:right w:val="single" w:sz="4" w:space="0" w:color="auto"/>
            </w:tcBorders>
            <w:noWrap/>
            <w:vAlign w:val="center"/>
          </w:tcPr>
          <w:p w14:paraId="2D2F57C7" w14:textId="044BB8C1"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0.070</w:t>
            </w:r>
          </w:p>
        </w:tc>
        <w:tc>
          <w:tcPr>
            <w:tcW w:w="483" w:type="pct"/>
            <w:tcBorders>
              <w:top w:val="dotted" w:sz="4" w:space="0" w:color="auto"/>
              <w:left w:val="single" w:sz="4" w:space="0" w:color="auto"/>
              <w:bottom w:val="single" w:sz="4" w:space="0" w:color="auto"/>
              <w:right w:val="single" w:sz="4" w:space="0" w:color="auto"/>
            </w:tcBorders>
            <w:noWrap/>
            <w:vAlign w:val="center"/>
          </w:tcPr>
          <w:p w14:paraId="0C473959" w14:textId="67FB8749"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0.061</w:t>
            </w:r>
          </w:p>
        </w:tc>
        <w:tc>
          <w:tcPr>
            <w:tcW w:w="628" w:type="pct"/>
            <w:tcBorders>
              <w:top w:val="dotted" w:sz="4" w:space="0" w:color="auto"/>
              <w:left w:val="single" w:sz="4" w:space="0" w:color="auto"/>
              <w:bottom w:val="single" w:sz="4" w:space="0" w:color="auto"/>
              <w:right w:val="single" w:sz="18" w:space="0" w:color="auto"/>
            </w:tcBorders>
            <w:noWrap/>
            <w:vAlign w:val="center"/>
          </w:tcPr>
          <w:p w14:paraId="236FCCD2" w14:textId="3781E26F"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0.050</w:t>
            </w:r>
          </w:p>
        </w:tc>
        <w:tc>
          <w:tcPr>
            <w:tcW w:w="533" w:type="pct"/>
            <w:tcBorders>
              <w:top w:val="dotted" w:sz="4" w:space="0" w:color="auto"/>
              <w:left w:val="single" w:sz="18" w:space="0" w:color="auto"/>
              <w:bottom w:val="single" w:sz="4" w:space="0" w:color="auto"/>
              <w:right w:val="single" w:sz="4" w:space="0" w:color="auto"/>
            </w:tcBorders>
            <w:noWrap/>
            <w:vAlign w:val="center"/>
          </w:tcPr>
          <w:p w14:paraId="131164B1" w14:textId="0CD8957E"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-0.711</w:t>
            </w:r>
          </w:p>
        </w:tc>
        <w:tc>
          <w:tcPr>
            <w:tcW w:w="471" w:type="pct"/>
            <w:tcBorders>
              <w:top w:val="dotted" w:sz="4" w:space="0" w:color="auto"/>
              <w:left w:val="single" w:sz="4" w:space="0" w:color="auto"/>
              <w:bottom w:val="single" w:sz="4" w:space="0" w:color="auto"/>
              <w:right w:val="single" w:sz="18" w:space="0" w:color="auto"/>
            </w:tcBorders>
            <w:noWrap/>
            <w:vAlign w:val="center"/>
          </w:tcPr>
          <w:p w14:paraId="1D5089F5" w14:textId="236226BE" w:rsidR="00F16887" w:rsidRPr="005031DC" w:rsidRDefault="00F16887" w:rsidP="00915A47">
            <w:pPr>
              <w:tabs>
                <w:tab w:val="decimal" w:pos="258"/>
              </w:tabs>
              <w:jc w:val="center"/>
              <w:rPr>
                <w:rFonts w:cstheme="minorHAnsi"/>
                <w:sz w:val="20"/>
                <w:szCs w:val="20"/>
              </w:rPr>
            </w:pPr>
            <w:r w:rsidRPr="005031DC">
              <w:rPr>
                <w:rFonts w:cstheme="minorHAnsi"/>
                <w:color w:val="000000"/>
                <w:sz w:val="20"/>
                <w:szCs w:val="20"/>
              </w:rPr>
              <w:t>-18.7</w:t>
            </w:r>
          </w:p>
        </w:tc>
      </w:tr>
      <w:tr w:rsidR="00F16887" w:rsidRPr="005031DC" w14:paraId="731F1980" w14:textId="77777777" w:rsidTr="00F20213">
        <w:trPr>
          <w:trHeight w:val="259"/>
        </w:trPr>
        <w:tc>
          <w:tcPr>
            <w:tcW w:w="906" w:type="pct"/>
            <w:vMerge w:val="restart"/>
            <w:tcBorders>
              <w:top w:val="single" w:sz="4" w:space="0" w:color="auto"/>
              <w:left w:val="single" w:sz="18" w:space="0" w:color="auto"/>
              <w:bottom w:val="dotted" w:sz="4" w:space="0" w:color="auto"/>
              <w:right w:val="single" w:sz="4" w:space="0" w:color="auto"/>
            </w:tcBorders>
            <w:noWrap/>
            <w:vAlign w:val="center"/>
          </w:tcPr>
          <w:p w14:paraId="7B66209F" w14:textId="681AEA8F" w:rsidR="00F16887" w:rsidRPr="005031DC" w:rsidRDefault="00F16887" w:rsidP="00F16887">
            <w:pPr>
              <w:rPr>
                <w:rFonts w:cstheme="minorHAnsi"/>
                <w:sz w:val="20"/>
                <w:szCs w:val="20"/>
              </w:rPr>
            </w:pPr>
            <w:r w:rsidRPr="005031DC">
              <w:rPr>
                <w:rFonts w:cstheme="minorHAnsi"/>
                <w:sz w:val="20"/>
                <w:szCs w:val="20"/>
              </w:rPr>
              <w:t>Location control</w:t>
            </w:r>
          </w:p>
        </w:tc>
        <w:tc>
          <w:tcPr>
            <w:tcW w:w="628" w:type="pct"/>
            <w:vMerge w:val="restart"/>
            <w:tcBorders>
              <w:top w:val="single" w:sz="4" w:space="0" w:color="auto"/>
              <w:left w:val="single" w:sz="4" w:space="0" w:color="auto"/>
              <w:right w:val="single" w:sz="4" w:space="0" w:color="auto"/>
            </w:tcBorders>
            <w:noWrap/>
            <w:vAlign w:val="center"/>
          </w:tcPr>
          <w:p w14:paraId="17FE6103" w14:textId="1E681974" w:rsidR="00F16887" w:rsidRPr="005031DC" w:rsidRDefault="00F16887" w:rsidP="00F16887">
            <w:pPr>
              <w:jc w:val="left"/>
              <w:rPr>
                <w:rFonts w:cstheme="minorHAnsi"/>
                <w:sz w:val="20"/>
                <w:szCs w:val="20"/>
              </w:rPr>
            </w:pPr>
            <w:r>
              <w:rPr>
                <w:rFonts w:cstheme="minorHAnsi"/>
                <w:sz w:val="20"/>
                <w:szCs w:val="20"/>
              </w:rPr>
              <w:t>Determined by employer</w:t>
            </w:r>
          </w:p>
        </w:tc>
        <w:tc>
          <w:tcPr>
            <w:tcW w:w="626" w:type="pct"/>
            <w:tcBorders>
              <w:top w:val="single" w:sz="4" w:space="0" w:color="auto"/>
              <w:left w:val="single" w:sz="4" w:space="0" w:color="auto"/>
              <w:bottom w:val="dotted" w:sz="4" w:space="0" w:color="auto"/>
              <w:right w:val="single" w:sz="18" w:space="0" w:color="auto"/>
            </w:tcBorders>
            <w:noWrap/>
            <w:vAlign w:val="center"/>
          </w:tcPr>
          <w:p w14:paraId="14DC5D46" w14:textId="11569F4D" w:rsidR="00F16887" w:rsidRPr="005031DC" w:rsidRDefault="00F16887" w:rsidP="00F16887">
            <w:pPr>
              <w:jc w:val="left"/>
              <w:rPr>
                <w:rFonts w:cstheme="minorHAnsi"/>
                <w:sz w:val="20"/>
                <w:szCs w:val="20"/>
              </w:rPr>
            </w:pPr>
            <w:r w:rsidRPr="005031DC">
              <w:rPr>
                <w:rFonts w:cstheme="minorHAnsi"/>
                <w:color w:val="000000"/>
                <w:sz w:val="20"/>
                <w:szCs w:val="20"/>
              </w:rPr>
              <w:t>Some control</w:t>
            </w:r>
          </w:p>
        </w:tc>
        <w:tc>
          <w:tcPr>
            <w:tcW w:w="387" w:type="pct"/>
            <w:tcBorders>
              <w:top w:val="single" w:sz="4" w:space="0" w:color="auto"/>
              <w:left w:val="single" w:sz="18" w:space="0" w:color="auto"/>
              <w:bottom w:val="dotted" w:sz="4" w:space="0" w:color="auto"/>
              <w:right w:val="single" w:sz="4" w:space="0" w:color="auto"/>
            </w:tcBorders>
            <w:noWrap/>
            <w:vAlign w:val="center"/>
          </w:tcPr>
          <w:p w14:paraId="64F30E36" w14:textId="39846524"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-0.357</w:t>
            </w:r>
          </w:p>
        </w:tc>
        <w:tc>
          <w:tcPr>
            <w:tcW w:w="338" w:type="pct"/>
            <w:tcBorders>
              <w:top w:val="single" w:sz="4" w:space="0" w:color="auto"/>
              <w:left w:val="single" w:sz="4" w:space="0" w:color="auto"/>
              <w:bottom w:val="dotted" w:sz="4" w:space="0" w:color="auto"/>
              <w:right w:val="single" w:sz="4" w:space="0" w:color="auto"/>
            </w:tcBorders>
            <w:noWrap/>
            <w:vAlign w:val="center"/>
          </w:tcPr>
          <w:p w14:paraId="5B7507E8" w14:textId="2728F7DD"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0.390</w:t>
            </w:r>
          </w:p>
        </w:tc>
        <w:tc>
          <w:tcPr>
            <w:tcW w:w="483" w:type="pct"/>
            <w:tcBorders>
              <w:top w:val="single" w:sz="4" w:space="0" w:color="auto"/>
              <w:left w:val="single" w:sz="4" w:space="0" w:color="auto"/>
              <w:bottom w:val="dotted" w:sz="4" w:space="0" w:color="auto"/>
              <w:right w:val="single" w:sz="4" w:space="0" w:color="auto"/>
            </w:tcBorders>
            <w:noWrap/>
            <w:vAlign w:val="center"/>
          </w:tcPr>
          <w:p w14:paraId="33BD2467" w14:textId="69B98E55"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-0.002</w:t>
            </w:r>
          </w:p>
        </w:tc>
        <w:tc>
          <w:tcPr>
            <w:tcW w:w="628" w:type="pct"/>
            <w:tcBorders>
              <w:top w:val="single" w:sz="4" w:space="0" w:color="auto"/>
              <w:left w:val="single" w:sz="4" w:space="0" w:color="auto"/>
              <w:bottom w:val="dotted" w:sz="4" w:space="0" w:color="auto"/>
              <w:right w:val="single" w:sz="18" w:space="0" w:color="auto"/>
            </w:tcBorders>
            <w:noWrap/>
            <w:vAlign w:val="center"/>
          </w:tcPr>
          <w:p w14:paraId="7A2A4414" w14:textId="0E9643CD"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-0.031</w:t>
            </w:r>
          </w:p>
        </w:tc>
        <w:tc>
          <w:tcPr>
            <w:tcW w:w="533" w:type="pct"/>
            <w:tcBorders>
              <w:top w:val="single" w:sz="4" w:space="0" w:color="auto"/>
              <w:left w:val="single" w:sz="18" w:space="0" w:color="auto"/>
              <w:bottom w:val="dotted" w:sz="4" w:space="0" w:color="auto"/>
              <w:right w:val="single" w:sz="4" w:space="0" w:color="auto"/>
            </w:tcBorders>
            <w:noWrap/>
            <w:vAlign w:val="center"/>
          </w:tcPr>
          <w:p w14:paraId="4282AA1A" w14:textId="35B3B8AF"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-0.720</w:t>
            </w:r>
          </w:p>
        </w:tc>
        <w:tc>
          <w:tcPr>
            <w:tcW w:w="471" w:type="pct"/>
            <w:tcBorders>
              <w:top w:val="single" w:sz="4" w:space="0" w:color="auto"/>
              <w:left w:val="single" w:sz="4" w:space="0" w:color="auto"/>
              <w:bottom w:val="dotted" w:sz="4" w:space="0" w:color="auto"/>
              <w:right w:val="single" w:sz="18" w:space="0" w:color="auto"/>
            </w:tcBorders>
            <w:noWrap/>
            <w:vAlign w:val="center"/>
          </w:tcPr>
          <w:p w14:paraId="29C48495" w14:textId="302D75FB" w:rsidR="00F16887" w:rsidRPr="005031DC" w:rsidRDefault="00F16887" w:rsidP="00915A47">
            <w:pPr>
              <w:tabs>
                <w:tab w:val="decimal" w:pos="258"/>
              </w:tabs>
              <w:jc w:val="center"/>
              <w:rPr>
                <w:rFonts w:cstheme="minorHAnsi"/>
                <w:sz w:val="20"/>
                <w:szCs w:val="20"/>
              </w:rPr>
            </w:pPr>
            <w:r w:rsidRPr="005031DC">
              <w:rPr>
                <w:rFonts w:cstheme="minorHAnsi"/>
                <w:color w:val="000000"/>
                <w:sz w:val="20"/>
                <w:szCs w:val="20"/>
              </w:rPr>
              <w:t>-18.9</w:t>
            </w:r>
          </w:p>
        </w:tc>
      </w:tr>
      <w:tr w:rsidR="00F16887" w:rsidRPr="005031DC" w14:paraId="62E58DDC" w14:textId="77777777" w:rsidTr="00F20213">
        <w:trPr>
          <w:trHeight w:val="259"/>
        </w:trPr>
        <w:tc>
          <w:tcPr>
            <w:tcW w:w="906" w:type="pct"/>
            <w:vMerge/>
            <w:tcBorders>
              <w:top w:val="dotted" w:sz="4" w:space="0" w:color="auto"/>
              <w:left w:val="single" w:sz="18" w:space="0" w:color="auto"/>
              <w:bottom w:val="single" w:sz="4" w:space="0" w:color="auto"/>
              <w:right w:val="single" w:sz="4" w:space="0" w:color="auto"/>
            </w:tcBorders>
            <w:noWrap/>
            <w:vAlign w:val="center"/>
          </w:tcPr>
          <w:p w14:paraId="0B222762" w14:textId="77777777" w:rsidR="00F16887" w:rsidRPr="005031DC" w:rsidRDefault="00F16887" w:rsidP="00F16887">
            <w:pPr>
              <w:rPr>
                <w:rFonts w:cstheme="minorHAnsi"/>
                <w:sz w:val="20"/>
                <w:szCs w:val="20"/>
              </w:rPr>
            </w:pPr>
          </w:p>
        </w:tc>
        <w:tc>
          <w:tcPr>
            <w:tcW w:w="628" w:type="pct"/>
            <w:vMerge/>
            <w:tcBorders>
              <w:left w:val="single" w:sz="4" w:space="0" w:color="auto"/>
              <w:bottom w:val="single" w:sz="4" w:space="0" w:color="auto"/>
              <w:right w:val="single" w:sz="4" w:space="0" w:color="auto"/>
            </w:tcBorders>
            <w:noWrap/>
            <w:vAlign w:val="center"/>
          </w:tcPr>
          <w:p w14:paraId="384D9306" w14:textId="37653F58" w:rsidR="00F16887" w:rsidRPr="005031DC" w:rsidRDefault="00F16887" w:rsidP="00F16887">
            <w:pPr>
              <w:jc w:val="left"/>
              <w:rPr>
                <w:rFonts w:cstheme="minorHAnsi"/>
                <w:sz w:val="20"/>
                <w:szCs w:val="20"/>
              </w:rPr>
            </w:pPr>
          </w:p>
        </w:tc>
        <w:tc>
          <w:tcPr>
            <w:tcW w:w="626" w:type="pct"/>
            <w:tcBorders>
              <w:top w:val="dotted" w:sz="4" w:space="0" w:color="auto"/>
              <w:left w:val="single" w:sz="4" w:space="0" w:color="auto"/>
              <w:bottom w:val="single" w:sz="4" w:space="0" w:color="auto"/>
              <w:right w:val="single" w:sz="18" w:space="0" w:color="auto"/>
            </w:tcBorders>
            <w:noWrap/>
            <w:vAlign w:val="center"/>
          </w:tcPr>
          <w:p w14:paraId="130E1E68" w14:textId="31E47B46" w:rsidR="00F16887" w:rsidRPr="005031DC" w:rsidRDefault="00F16887" w:rsidP="00F16887">
            <w:pPr>
              <w:jc w:val="left"/>
              <w:rPr>
                <w:rFonts w:cstheme="minorHAnsi"/>
                <w:sz w:val="20"/>
                <w:szCs w:val="20"/>
              </w:rPr>
            </w:pPr>
            <w:r w:rsidRPr="005031DC">
              <w:rPr>
                <w:rFonts w:cstheme="minorHAnsi"/>
                <w:color w:val="000000"/>
                <w:sz w:val="20"/>
                <w:szCs w:val="20"/>
              </w:rPr>
              <w:t>Full control</w:t>
            </w:r>
          </w:p>
        </w:tc>
        <w:tc>
          <w:tcPr>
            <w:tcW w:w="387" w:type="pct"/>
            <w:tcBorders>
              <w:top w:val="dotted" w:sz="4" w:space="0" w:color="auto"/>
              <w:left w:val="single" w:sz="18" w:space="0" w:color="auto"/>
              <w:bottom w:val="single" w:sz="4" w:space="0" w:color="auto"/>
              <w:right w:val="single" w:sz="4" w:space="0" w:color="auto"/>
            </w:tcBorders>
            <w:noWrap/>
            <w:vAlign w:val="center"/>
          </w:tcPr>
          <w:p w14:paraId="1FB12B5D" w14:textId="5F52FA88"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-0.224</w:t>
            </w:r>
          </w:p>
        </w:tc>
        <w:tc>
          <w:tcPr>
            <w:tcW w:w="338" w:type="pct"/>
            <w:tcBorders>
              <w:top w:val="dotted" w:sz="4" w:space="0" w:color="auto"/>
              <w:left w:val="single" w:sz="4" w:space="0" w:color="auto"/>
              <w:bottom w:val="single" w:sz="4" w:space="0" w:color="auto"/>
              <w:right w:val="single" w:sz="4" w:space="0" w:color="auto"/>
            </w:tcBorders>
            <w:noWrap/>
            <w:vAlign w:val="center"/>
          </w:tcPr>
          <w:p w14:paraId="6AD94F5F" w14:textId="0D6215CA"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0.150</w:t>
            </w:r>
          </w:p>
        </w:tc>
        <w:tc>
          <w:tcPr>
            <w:tcW w:w="483" w:type="pct"/>
            <w:tcBorders>
              <w:top w:val="dotted" w:sz="4" w:space="0" w:color="auto"/>
              <w:left w:val="single" w:sz="4" w:space="0" w:color="auto"/>
              <w:bottom w:val="single" w:sz="4" w:space="0" w:color="auto"/>
              <w:right w:val="single" w:sz="4" w:space="0" w:color="auto"/>
            </w:tcBorders>
            <w:noWrap/>
            <w:vAlign w:val="center"/>
          </w:tcPr>
          <w:p w14:paraId="2DC6DF62" w14:textId="06EAACD2"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0.048</w:t>
            </w:r>
          </w:p>
        </w:tc>
        <w:tc>
          <w:tcPr>
            <w:tcW w:w="628" w:type="pct"/>
            <w:tcBorders>
              <w:top w:val="dotted" w:sz="4" w:space="0" w:color="auto"/>
              <w:left w:val="single" w:sz="4" w:space="0" w:color="auto"/>
              <w:bottom w:val="single" w:sz="4" w:space="0" w:color="auto"/>
              <w:right w:val="single" w:sz="18" w:space="0" w:color="auto"/>
            </w:tcBorders>
            <w:noWrap/>
            <w:vAlign w:val="center"/>
          </w:tcPr>
          <w:p w14:paraId="41746D6C" w14:textId="73F49DDF"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0.026</w:t>
            </w:r>
          </w:p>
        </w:tc>
        <w:tc>
          <w:tcPr>
            <w:tcW w:w="533" w:type="pct"/>
            <w:tcBorders>
              <w:top w:val="dotted" w:sz="4" w:space="0" w:color="auto"/>
              <w:left w:val="single" w:sz="18" w:space="0" w:color="auto"/>
              <w:bottom w:val="single" w:sz="4" w:space="0" w:color="auto"/>
              <w:right w:val="single" w:sz="4" w:space="0" w:color="auto"/>
            </w:tcBorders>
            <w:noWrap/>
            <w:vAlign w:val="center"/>
          </w:tcPr>
          <w:p w14:paraId="2A969244" w14:textId="0A596CF3" w:rsidR="00F16887" w:rsidRPr="005031DC" w:rsidRDefault="00F16887" w:rsidP="00F16887">
            <w:pPr>
              <w:tabs>
                <w:tab w:val="decimal" w:pos="171"/>
              </w:tabs>
              <w:jc w:val="center"/>
              <w:rPr>
                <w:rFonts w:cstheme="minorHAnsi"/>
                <w:sz w:val="20"/>
                <w:szCs w:val="20"/>
              </w:rPr>
            </w:pPr>
            <w:r w:rsidRPr="005031DC">
              <w:rPr>
                <w:rFonts w:cstheme="minorHAnsi"/>
                <w:color w:val="000000"/>
                <w:sz w:val="20"/>
                <w:szCs w:val="20"/>
              </w:rPr>
              <w:t>-0.784</w:t>
            </w:r>
          </w:p>
        </w:tc>
        <w:tc>
          <w:tcPr>
            <w:tcW w:w="471" w:type="pct"/>
            <w:tcBorders>
              <w:top w:val="dotted" w:sz="4" w:space="0" w:color="auto"/>
              <w:left w:val="single" w:sz="4" w:space="0" w:color="auto"/>
              <w:bottom w:val="single" w:sz="4" w:space="0" w:color="auto"/>
              <w:right w:val="single" w:sz="18" w:space="0" w:color="auto"/>
            </w:tcBorders>
            <w:noWrap/>
            <w:vAlign w:val="center"/>
          </w:tcPr>
          <w:p w14:paraId="6D75FFDC" w14:textId="16B2D71D" w:rsidR="00F16887" w:rsidRPr="005031DC" w:rsidRDefault="00F16887" w:rsidP="00915A47">
            <w:pPr>
              <w:tabs>
                <w:tab w:val="decimal" w:pos="258"/>
              </w:tabs>
              <w:jc w:val="center"/>
              <w:rPr>
                <w:rFonts w:cstheme="minorHAnsi"/>
                <w:sz w:val="20"/>
                <w:szCs w:val="20"/>
              </w:rPr>
            </w:pPr>
            <w:r w:rsidRPr="005031DC">
              <w:rPr>
                <w:rFonts w:cstheme="minorHAnsi"/>
                <w:color w:val="000000"/>
                <w:sz w:val="20"/>
                <w:szCs w:val="20"/>
              </w:rPr>
              <w:t>-20.8</w:t>
            </w:r>
          </w:p>
        </w:tc>
      </w:tr>
      <w:tr w:rsidR="007B2D12" w:rsidRPr="005031DC" w14:paraId="619DBCF0" w14:textId="77777777" w:rsidTr="00F20213">
        <w:trPr>
          <w:trHeight w:val="259"/>
        </w:trPr>
        <w:tc>
          <w:tcPr>
            <w:tcW w:w="906" w:type="pct"/>
            <w:tcBorders>
              <w:top w:val="single" w:sz="4" w:space="0" w:color="auto"/>
              <w:left w:val="single" w:sz="18" w:space="0" w:color="auto"/>
              <w:bottom w:val="single" w:sz="18" w:space="0" w:color="auto"/>
              <w:right w:val="single" w:sz="4" w:space="0" w:color="auto"/>
            </w:tcBorders>
            <w:noWrap/>
            <w:vAlign w:val="center"/>
          </w:tcPr>
          <w:p w14:paraId="5CCC1232" w14:textId="4325CCDA" w:rsidR="007B2D12" w:rsidRPr="005031DC" w:rsidRDefault="007B2D12" w:rsidP="007B2D12">
            <w:pPr>
              <w:rPr>
                <w:rFonts w:cstheme="minorHAnsi"/>
                <w:sz w:val="20"/>
                <w:szCs w:val="20"/>
              </w:rPr>
            </w:pPr>
            <w:r w:rsidRPr="005031DC">
              <w:rPr>
                <w:rFonts w:cstheme="minorHAnsi"/>
                <w:sz w:val="20"/>
                <w:szCs w:val="20"/>
              </w:rPr>
              <w:t xml:space="preserve">Commute </w:t>
            </w:r>
            <w:r w:rsidR="00DE5831" w:rsidRPr="005031DC">
              <w:rPr>
                <w:rFonts w:cstheme="minorHAnsi"/>
                <w:sz w:val="20"/>
                <w:szCs w:val="20"/>
              </w:rPr>
              <w:t>d</w:t>
            </w:r>
            <w:r w:rsidRPr="005031DC">
              <w:rPr>
                <w:rFonts w:cstheme="minorHAnsi"/>
                <w:sz w:val="20"/>
                <w:szCs w:val="20"/>
              </w:rPr>
              <w:t>istance</w:t>
            </w:r>
          </w:p>
        </w:tc>
        <w:tc>
          <w:tcPr>
            <w:tcW w:w="628" w:type="pct"/>
            <w:tcBorders>
              <w:top w:val="single" w:sz="4" w:space="0" w:color="auto"/>
              <w:left w:val="single" w:sz="4" w:space="0" w:color="auto"/>
              <w:bottom w:val="single" w:sz="18" w:space="0" w:color="auto"/>
              <w:right w:val="single" w:sz="4" w:space="0" w:color="auto"/>
            </w:tcBorders>
            <w:noWrap/>
            <w:vAlign w:val="center"/>
          </w:tcPr>
          <w:p w14:paraId="1BE2DF15" w14:textId="041CA18C" w:rsidR="007B2D12" w:rsidRPr="005031DC" w:rsidRDefault="005031DC" w:rsidP="00DE5831">
            <w:pPr>
              <w:jc w:val="left"/>
              <w:rPr>
                <w:rFonts w:cstheme="minorHAnsi"/>
                <w:sz w:val="20"/>
                <w:szCs w:val="20"/>
              </w:rPr>
            </w:pPr>
            <w:r>
              <w:rPr>
                <w:rFonts w:cstheme="minorHAnsi"/>
                <w:color w:val="000000"/>
                <w:sz w:val="20"/>
                <w:szCs w:val="20"/>
              </w:rPr>
              <w:t xml:space="preserve">&lt; </w:t>
            </w:r>
            <w:r w:rsidR="007B2D12" w:rsidRPr="005031DC">
              <w:rPr>
                <w:rFonts w:cstheme="minorHAnsi"/>
                <w:color w:val="000000"/>
                <w:sz w:val="20"/>
                <w:szCs w:val="20"/>
              </w:rPr>
              <w:t xml:space="preserve">5 </w:t>
            </w:r>
            <w:r w:rsidR="00DE5831" w:rsidRPr="005031DC">
              <w:rPr>
                <w:rFonts w:cstheme="minorHAnsi"/>
                <w:color w:val="000000"/>
                <w:sz w:val="20"/>
                <w:szCs w:val="20"/>
              </w:rPr>
              <w:t>m</w:t>
            </w:r>
            <w:r w:rsidR="007B2D12" w:rsidRPr="005031DC">
              <w:rPr>
                <w:rFonts w:cstheme="minorHAnsi"/>
                <w:color w:val="000000"/>
                <w:sz w:val="20"/>
                <w:szCs w:val="20"/>
              </w:rPr>
              <w:t>iles</w:t>
            </w:r>
          </w:p>
        </w:tc>
        <w:tc>
          <w:tcPr>
            <w:tcW w:w="626" w:type="pct"/>
            <w:tcBorders>
              <w:top w:val="single" w:sz="4" w:space="0" w:color="auto"/>
              <w:left w:val="single" w:sz="4" w:space="0" w:color="auto"/>
              <w:bottom w:val="single" w:sz="18" w:space="0" w:color="auto"/>
              <w:right w:val="single" w:sz="18" w:space="0" w:color="auto"/>
            </w:tcBorders>
            <w:noWrap/>
            <w:vAlign w:val="center"/>
          </w:tcPr>
          <w:p w14:paraId="6994F714" w14:textId="66DA68B7" w:rsidR="007B2D12" w:rsidRPr="005031DC" w:rsidRDefault="005031DC" w:rsidP="00DE5831">
            <w:pPr>
              <w:jc w:val="left"/>
              <w:rPr>
                <w:rFonts w:cstheme="minorHAnsi"/>
                <w:sz w:val="20"/>
                <w:szCs w:val="20"/>
              </w:rPr>
            </w:pPr>
            <w:r>
              <w:rPr>
                <w:rFonts w:cstheme="minorHAnsi"/>
                <w:color w:val="000000"/>
                <w:sz w:val="20"/>
                <w:szCs w:val="20"/>
              </w:rPr>
              <w:t xml:space="preserve">≥ </w:t>
            </w:r>
            <w:r w:rsidR="00DE5831" w:rsidRPr="005031DC">
              <w:rPr>
                <w:rFonts w:cstheme="minorHAnsi"/>
                <w:color w:val="000000"/>
                <w:sz w:val="20"/>
                <w:szCs w:val="20"/>
              </w:rPr>
              <w:t>5 miles</w:t>
            </w:r>
          </w:p>
        </w:tc>
        <w:tc>
          <w:tcPr>
            <w:tcW w:w="387" w:type="pct"/>
            <w:tcBorders>
              <w:top w:val="single" w:sz="4" w:space="0" w:color="auto"/>
              <w:left w:val="single" w:sz="18" w:space="0" w:color="auto"/>
              <w:bottom w:val="single" w:sz="18" w:space="0" w:color="auto"/>
              <w:right w:val="single" w:sz="4" w:space="0" w:color="auto"/>
            </w:tcBorders>
            <w:noWrap/>
            <w:vAlign w:val="center"/>
          </w:tcPr>
          <w:p w14:paraId="12D79AED" w14:textId="0E699FB3" w:rsidR="007B2D12" w:rsidRPr="005031DC" w:rsidRDefault="007B2D12" w:rsidP="00A36204">
            <w:pPr>
              <w:tabs>
                <w:tab w:val="decimal" w:pos="171"/>
              </w:tabs>
              <w:jc w:val="center"/>
              <w:rPr>
                <w:rFonts w:cstheme="minorHAnsi"/>
                <w:sz w:val="20"/>
                <w:szCs w:val="20"/>
              </w:rPr>
            </w:pPr>
            <w:r w:rsidRPr="005031DC">
              <w:rPr>
                <w:rFonts w:cstheme="minorHAnsi"/>
                <w:color w:val="000000"/>
                <w:sz w:val="20"/>
                <w:szCs w:val="20"/>
              </w:rPr>
              <w:t>-0.044</w:t>
            </w:r>
          </w:p>
        </w:tc>
        <w:tc>
          <w:tcPr>
            <w:tcW w:w="338" w:type="pct"/>
            <w:tcBorders>
              <w:top w:val="single" w:sz="4" w:space="0" w:color="auto"/>
              <w:left w:val="single" w:sz="4" w:space="0" w:color="auto"/>
              <w:bottom w:val="single" w:sz="18" w:space="0" w:color="auto"/>
              <w:right w:val="single" w:sz="4" w:space="0" w:color="auto"/>
            </w:tcBorders>
            <w:noWrap/>
            <w:vAlign w:val="center"/>
          </w:tcPr>
          <w:p w14:paraId="745F35B5" w14:textId="0520465C" w:rsidR="007B2D12" w:rsidRPr="005031DC" w:rsidRDefault="007B2D12" w:rsidP="00A36204">
            <w:pPr>
              <w:tabs>
                <w:tab w:val="decimal" w:pos="171"/>
              </w:tabs>
              <w:jc w:val="center"/>
              <w:rPr>
                <w:rFonts w:cstheme="minorHAnsi"/>
                <w:sz w:val="20"/>
                <w:szCs w:val="20"/>
              </w:rPr>
            </w:pPr>
            <w:r w:rsidRPr="005031DC">
              <w:rPr>
                <w:rFonts w:cstheme="minorHAnsi"/>
                <w:color w:val="000000"/>
                <w:sz w:val="20"/>
                <w:szCs w:val="20"/>
              </w:rPr>
              <w:t>0.024</w:t>
            </w:r>
          </w:p>
        </w:tc>
        <w:tc>
          <w:tcPr>
            <w:tcW w:w="483" w:type="pct"/>
            <w:tcBorders>
              <w:top w:val="single" w:sz="4" w:space="0" w:color="auto"/>
              <w:left w:val="single" w:sz="4" w:space="0" w:color="auto"/>
              <w:bottom w:val="single" w:sz="18" w:space="0" w:color="auto"/>
              <w:right w:val="single" w:sz="4" w:space="0" w:color="auto"/>
            </w:tcBorders>
            <w:noWrap/>
            <w:vAlign w:val="center"/>
          </w:tcPr>
          <w:p w14:paraId="039C6921" w14:textId="4237F0F8" w:rsidR="007B2D12" w:rsidRPr="005031DC" w:rsidRDefault="007B2D12" w:rsidP="00A36204">
            <w:pPr>
              <w:tabs>
                <w:tab w:val="decimal" w:pos="171"/>
              </w:tabs>
              <w:jc w:val="center"/>
              <w:rPr>
                <w:rFonts w:cstheme="minorHAnsi"/>
                <w:sz w:val="20"/>
                <w:szCs w:val="20"/>
              </w:rPr>
            </w:pPr>
            <w:r w:rsidRPr="005031DC">
              <w:rPr>
                <w:rFonts w:cstheme="minorHAnsi"/>
                <w:color w:val="000000"/>
                <w:sz w:val="20"/>
                <w:szCs w:val="20"/>
              </w:rPr>
              <w:t>0.011</w:t>
            </w:r>
          </w:p>
        </w:tc>
        <w:tc>
          <w:tcPr>
            <w:tcW w:w="628" w:type="pct"/>
            <w:tcBorders>
              <w:top w:val="single" w:sz="4" w:space="0" w:color="auto"/>
              <w:left w:val="single" w:sz="4" w:space="0" w:color="auto"/>
              <w:bottom w:val="single" w:sz="18" w:space="0" w:color="auto"/>
              <w:right w:val="single" w:sz="18" w:space="0" w:color="auto"/>
            </w:tcBorders>
            <w:noWrap/>
            <w:vAlign w:val="center"/>
          </w:tcPr>
          <w:p w14:paraId="2279BA95" w14:textId="772420C0" w:rsidR="007B2D12" w:rsidRPr="005031DC" w:rsidRDefault="007B2D12" w:rsidP="00A36204">
            <w:pPr>
              <w:tabs>
                <w:tab w:val="decimal" w:pos="171"/>
              </w:tabs>
              <w:jc w:val="center"/>
              <w:rPr>
                <w:rFonts w:cstheme="minorHAnsi"/>
                <w:sz w:val="20"/>
                <w:szCs w:val="20"/>
              </w:rPr>
            </w:pPr>
            <w:r w:rsidRPr="005031DC">
              <w:rPr>
                <w:rFonts w:cstheme="minorHAnsi"/>
                <w:color w:val="000000"/>
                <w:sz w:val="20"/>
                <w:szCs w:val="20"/>
              </w:rPr>
              <w:t>0.009</w:t>
            </w:r>
          </w:p>
        </w:tc>
        <w:tc>
          <w:tcPr>
            <w:tcW w:w="533" w:type="pct"/>
            <w:tcBorders>
              <w:top w:val="single" w:sz="4" w:space="0" w:color="auto"/>
              <w:left w:val="single" w:sz="18" w:space="0" w:color="auto"/>
              <w:bottom w:val="single" w:sz="18" w:space="0" w:color="auto"/>
              <w:right w:val="single" w:sz="4" w:space="0" w:color="auto"/>
            </w:tcBorders>
            <w:noWrap/>
            <w:vAlign w:val="center"/>
          </w:tcPr>
          <w:p w14:paraId="32F7A452" w14:textId="40094A9B" w:rsidR="007B2D12" w:rsidRPr="005031DC" w:rsidRDefault="007B2D12" w:rsidP="00A36204">
            <w:pPr>
              <w:tabs>
                <w:tab w:val="decimal" w:pos="171"/>
              </w:tabs>
              <w:jc w:val="center"/>
              <w:rPr>
                <w:rFonts w:cstheme="minorHAnsi"/>
                <w:sz w:val="20"/>
                <w:szCs w:val="20"/>
              </w:rPr>
            </w:pPr>
            <w:r w:rsidRPr="005031DC">
              <w:rPr>
                <w:rFonts w:cstheme="minorHAnsi"/>
                <w:color w:val="000000"/>
                <w:sz w:val="20"/>
                <w:szCs w:val="20"/>
              </w:rPr>
              <w:t>-0.175</w:t>
            </w:r>
          </w:p>
        </w:tc>
        <w:tc>
          <w:tcPr>
            <w:tcW w:w="471" w:type="pct"/>
            <w:tcBorders>
              <w:top w:val="single" w:sz="4" w:space="0" w:color="auto"/>
              <w:left w:val="single" w:sz="4" w:space="0" w:color="auto"/>
              <w:bottom w:val="single" w:sz="18" w:space="0" w:color="auto"/>
              <w:right w:val="single" w:sz="18" w:space="0" w:color="auto"/>
            </w:tcBorders>
            <w:noWrap/>
            <w:vAlign w:val="center"/>
          </w:tcPr>
          <w:p w14:paraId="6167AE7C" w14:textId="4D88072D" w:rsidR="007B2D12" w:rsidRPr="005031DC" w:rsidRDefault="007B2D12" w:rsidP="00915A47">
            <w:pPr>
              <w:tabs>
                <w:tab w:val="decimal" w:pos="258"/>
              </w:tabs>
              <w:jc w:val="center"/>
              <w:rPr>
                <w:rFonts w:cstheme="minorHAnsi"/>
                <w:sz w:val="20"/>
                <w:szCs w:val="20"/>
              </w:rPr>
            </w:pPr>
            <w:r w:rsidRPr="005031DC">
              <w:rPr>
                <w:rFonts w:cstheme="minorHAnsi"/>
                <w:color w:val="000000"/>
                <w:sz w:val="20"/>
                <w:szCs w:val="20"/>
              </w:rPr>
              <w:t>-4.</w:t>
            </w:r>
            <w:r w:rsidR="000D3C45" w:rsidRPr="005031DC">
              <w:rPr>
                <w:rFonts w:cstheme="minorHAnsi"/>
                <w:color w:val="000000"/>
                <w:sz w:val="20"/>
                <w:szCs w:val="20"/>
              </w:rPr>
              <w:t>6</w:t>
            </w:r>
          </w:p>
        </w:tc>
      </w:tr>
    </w:tbl>
    <w:p w14:paraId="569F0E9F" w14:textId="77777777" w:rsidR="00DC51C5" w:rsidRDefault="00DC51C5" w:rsidP="009D5447">
      <w:pPr>
        <w:rPr>
          <w:rFonts w:ascii="Times New Roman" w:eastAsia="Calibri" w:hAnsi="Times New Roman" w:cs="Times New Roman"/>
          <w:b/>
          <w:bCs/>
        </w:rPr>
      </w:pPr>
    </w:p>
    <w:p w14:paraId="27F8FE91" w14:textId="77777777" w:rsidR="00133D5F" w:rsidRPr="00C77E14" w:rsidRDefault="00133D5F" w:rsidP="00133D5F">
      <w:pPr>
        <w:pStyle w:val="Heading1"/>
        <w:tabs>
          <w:tab w:val="decimal" w:pos="5310"/>
        </w:tabs>
      </w:pPr>
      <w:r>
        <w:t xml:space="preserve">6. </w:t>
      </w:r>
      <w:r w:rsidRPr="002A5549">
        <w:t>DISCUSSION AND CONCLUSIONS</w:t>
      </w:r>
    </w:p>
    <w:p w14:paraId="326B07B2" w14:textId="1B1A89D7" w:rsidR="004E4B87" w:rsidRPr="004E4B87" w:rsidRDefault="004E4B87" w:rsidP="004E4B87">
      <w:pPr>
        <w:rPr>
          <w:rFonts w:eastAsia="Calibri"/>
        </w:rPr>
      </w:pPr>
      <w:r w:rsidRPr="004E4B87">
        <w:rPr>
          <w:rFonts w:eastAsia="Calibri"/>
        </w:rPr>
        <w:t>This study examined work arrangements as a bundle of related behavioral outcomes involving work modality, work location, commute frequency, and motivations for working from home. Using revealed</w:t>
      </w:r>
      <w:r>
        <w:rPr>
          <w:rFonts w:eastAsia="Calibri"/>
        </w:rPr>
        <w:t xml:space="preserve"> </w:t>
      </w:r>
      <w:r w:rsidRPr="004E4B87">
        <w:rPr>
          <w:rFonts w:eastAsia="Calibri"/>
        </w:rPr>
        <w:t xml:space="preserve">preference data from the </w:t>
      </w:r>
      <w:r w:rsidR="00C32609">
        <w:rPr>
          <w:rFonts w:eastAsia="Calibri"/>
        </w:rPr>
        <w:t>second</w:t>
      </w:r>
      <w:r w:rsidR="00C32609" w:rsidRPr="004E4B87">
        <w:rPr>
          <w:rFonts w:eastAsia="Calibri"/>
        </w:rPr>
        <w:t xml:space="preserve"> </w:t>
      </w:r>
      <w:r w:rsidRPr="004E4B87">
        <w:rPr>
          <w:rFonts w:eastAsia="Calibri"/>
        </w:rPr>
        <w:t>wave of the Transportation Heartbeat of America Survey, a joint multivariate model was estimated for four work arrangements: fully in</w:t>
      </w:r>
      <w:r w:rsidR="004B3F8F">
        <w:rPr>
          <w:rFonts w:eastAsia="Calibri"/>
        </w:rPr>
        <w:t>-</w:t>
      </w:r>
      <w:r w:rsidRPr="004E4B87">
        <w:rPr>
          <w:rFonts w:eastAsia="Calibri"/>
        </w:rPr>
        <w:t xml:space="preserve">person, hybrid, fully remote </w:t>
      </w:r>
      <w:r w:rsidR="00915A47">
        <w:rPr>
          <w:rFonts w:eastAsia="Calibri"/>
        </w:rPr>
        <w:t>home-based (HB)</w:t>
      </w:r>
      <w:r w:rsidRPr="004E4B87">
        <w:rPr>
          <w:rFonts w:eastAsia="Calibri"/>
        </w:rPr>
        <w:t>, and fully remote</w:t>
      </w:r>
      <w:r w:rsidR="00915A47">
        <w:rPr>
          <w:rFonts w:eastAsia="Calibri"/>
        </w:rPr>
        <w:t xml:space="preserve"> third location-based (TLB)</w:t>
      </w:r>
      <w:r w:rsidRPr="004E4B87">
        <w:rPr>
          <w:rFonts w:eastAsia="Calibri"/>
        </w:rPr>
        <w:t xml:space="preserve">. The framework also modeled commute frequency among hybrid workers and four motivations for working from home: saving time, saving money, </w:t>
      </w:r>
      <w:r w:rsidR="00915A47">
        <w:rPr>
          <w:rFonts w:eastAsia="Calibri"/>
        </w:rPr>
        <w:t>facilitating</w:t>
      </w:r>
      <w:r w:rsidRPr="004E4B87">
        <w:rPr>
          <w:rFonts w:eastAsia="Calibri"/>
        </w:rPr>
        <w:t xml:space="preserve"> work-life balance, and </w:t>
      </w:r>
      <w:r w:rsidR="00915A47">
        <w:rPr>
          <w:rFonts w:eastAsia="Calibri"/>
        </w:rPr>
        <w:t>improving</w:t>
      </w:r>
      <w:r w:rsidRPr="004E4B87">
        <w:rPr>
          <w:rFonts w:eastAsia="Calibri"/>
        </w:rPr>
        <w:t xml:space="preserve"> </w:t>
      </w:r>
      <w:r w:rsidR="00915A47">
        <w:rPr>
          <w:rFonts w:eastAsia="Calibri"/>
        </w:rPr>
        <w:t>the</w:t>
      </w:r>
      <w:r w:rsidRPr="004E4B87">
        <w:rPr>
          <w:rFonts w:eastAsia="Calibri"/>
        </w:rPr>
        <w:t xml:space="preserve"> work environment. The model accounted for individual </w:t>
      </w:r>
      <w:r w:rsidR="00915A47">
        <w:rPr>
          <w:rFonts w:eastAsia="Calibri"/>
        </w:rPr>
        <w:t xml:space="preserve">socio-demographics, </w:t>
      </w:r>
      <w:r w:rsidRPr="004E4B87">
        <w:rPr>
          <w:rFonts w:eastAsia="Calibri"/>
        </w:rPr>
        <w:t xml:space="preserve">household characteristics, </w:t>
      </w:r>
      <w:r w:rsidR="00915A47" w:rsidRPr="004E4B87">
        <w:rPr>
          <w:rFonts w:eastAsia="Calibri"/>
        </w:rPr>
        <w:t xml:space="preserve">built-environment </w:t>
      </w:r>
      <w:r w:rsidR="00915A47">
        <w:rPr>
          <w:rFonts w:eastAsia="Calibri"/>
        </w:rPr>
        <w:t xml:space="preserve">attributes, </w:t>
      </w:r>
      <w:r w:rsidR="00915A47" w:rsidRPr="004E4B87">
        <w:rPr>
          <w:rFonts w:eastAsia="Calibri"/>
        </w:rPr>
        <w:t>employee control over work schedules and locations</w:t>
      </w:r>
      <w:r w:rsidR="00915A47">
        <w:rPr>
          <w:rFonts w:eastAsia="Calibri"/>
        </w:rPr>
        <w:t>, and commute distance</w:t>
      </w:r>
      <w:r w:rsidRPr="004E4B87">
        <w:rPr>
          <w:rFonts w:eastAsia="Calibri"/>
        </w:rPr>
        <w:t>. Average treatment effects were subsequently computed to translate model estimates into changes in work arrangement probabilities, commute frequency, and expected weekly commute VMT.</w:t>
      </w:r>
    </w:p>
    <w:p w14:paraId="4F1306CA" w14:textId="5032E615" w:rsidR="004E4B87" w:rsidRPr="004E4B87" w:rsidRDefault="004E4B87" w:rsidP="004E4B87">
      <w:pPr>
        <w:ind w:firstLine="720"/>
        <w:rPr>
          <w:rFonts w:eastAsia="Calibri"/>
        </w:rPr>
      </w:pPr>
      <w:r w:rsidRPr="004E4B87">
        <w:rPr>
          <w:rFonts w:eastAsia="Calibri"/>
        </w:rPr>
        <w:t xml:space="preserve">The findings reinforce the view that the future of work will not be defined by a simple transition from conventional workplaces to </w:t>
      </w:r>
      <w:r w:rsidR="00320D34">
        <w:rPr>
          <w:rFonts w:eastAsia="Calibri"/>
        </w:rPr>
        <w:t>HB</w:t>
      </w:r>
      <w:r w:rsidRPr="004E4B87">
        <w:rPr>
          <w:rFonts w:eastAsia="Calibri"/>
        </w:rPr>
        <w:t xml:space="preserve"> work. Hybrid arrangements appear likely to remain a central feature of working life, with individuals distributing paid activity across employer workplaces, homes, and third locations. This distinction matters because hybrid work changes commute frequency </w:t>
      </w:r>
      <w:r>
        <w:rPr>
          <w:rFonts w:eastAsia="Calibri"/>
        </w:rPr>
        <w:t>without</w:t>
      </w:r>
      <w:r w:rsidRPr="004E4B87">
        <w:rPr>
          <w:rFonts w:eastAsia="Calibri"/>
        </w:rPr>
        <w:t xml:space="preserve"> eliminating commute travel. Many hybrid workers in the sample continue to commute three or four days per week. The transportation consequences of hybrid work will therefore emerge through changes in weekday travel patterns, peak-period demand, and the concentration of workplace attendance on particular days. Transportation planners should anticipate a reorganization of commute travel rather than its disappearance.</w:t>
      </w:r>
    </w:p>
    <w:p w14:paraId="27F84608" w14:textId="3221A2FF" w:rsidR="004E4B87" w:rsidRPr="004E4B87" w:rsidRDefault="004E4B87" w:rsidP="004E4B87">
      <w:pPr>
        <w:ind w:firstLine="720"/>
        <w:rPr>
          <w:rFonts w:eastAsia="Calibri"/>
        </w:rPr>
      </w:pPr>
      <w:r w:rsidRPr="004E4B87">
        <w:rPr>
          <w:rFonts w:eastAsia="Calibri"/>
        </w:rPr>
        <w:t xml:space="preserve">These evolving patterns </w:t>
      </w:r>
      <w:r>
        <w:rPr>
          <w:rFonts w:eastAsia="Calibri"/>
        </w:rPr>
        <w:t xml:space="preserve">present </w:t>
      </w:r>
      <w:r w:rsidRPr="004E4B87">
        <w:rPr>
          <w:rFonts w:eastAsia="Calibri"/>
        </w:rPr>
        <w:t xml:space="preserve">a fundamental challenge for travel demand modeling and forecasting. Models cannot produce credible forecasts if they continue to assume that workers travel to a fixed workplace on </w:t>
      </w:r>
      <w:r>
        <w:rPr>
          <w:rFonts w:eastAsia="Calibri"/>
        </w:rPr>
        <w:t>a regular basis</w:t>
      </w:r>
      <w:r w:rsidRPr="004E4B87">
        <w:rPr>
          <w:rFonts w:eastAsia="Calibri"/>
        </w:rPr>
        <w:t xml:space="preserve">. The representation of telework must extend beyond a single binary indicator or aggregate adjustment factor. Forecasting systems need to account for </w:t>
      </w:r>
      <w:r>
        <w:rPr>
          <w:rFonts w:eastAsia="Calibri"/>
        </w:rPr>
        <w:lastRenderedPageBreak/>
        <w:t>heterogeneity in the propensity to</w:t>
      </w:r>
      <w:r w:rsidRPr="004E4B87">
        <w:rPr>
          <w:rFonts w:eastAsia="Calibri"/>
        </w:rPr>
        <w:t xml:space="preserve"> telework, how frequently workplace attendance occurs, where remote work is performed, and which personal or institutional conditions shape these choices. Failure to represent these dimensions may lead to inaccurate forecasts of traffic volumes, transit ridership, VMT, emissions, and time-of-day travel patterns.</w:t>
      </w:r>
    </w:p>
    <w:p w14:paraId="7AA361CA" w14:textId="2DFA0263" w:rsidR="004E4B87" w:rsidRPr="004E4B87" w:rsidRDefault="004E4B87" w:rsidP="004E4B87">
      <w:pPr>
        <w:ind w:firstLine="720"/>
        <w:rPr>
          <w:rFonts w:eastAsia="Calibri"/>
        </w:rPr>
      </w:pPr>
      <w:r w:rsidRPr="004E4B87">
        <w:rPr>
          <w:rFonts w:eastAsia="Calibri"/>
        </w:rPr>
        <w:t xml:space="preserve">The results also demonstrate the importance of treating work arrangements as an integrated behavioral choice bundle. Work modality, work location, commute frequency, and </w:t>
      </w:r>
      <w:r w:rsidR="005F6420">
        <w:rPr>
          <w:rFonts w:eastAsia="Calibri"/>
        </w:rPr>
        <w:t>work-from-home</w:t>
      </w:r>
      <w:r w:rsidR="005F6420" w:rsidRPr="00A321F3">
        <w:rPr>
          <w:rFonts w:eastAsia="Calibri"/>
        </w:rPr>
        <w:t xml:space="preserve"> </w:t>
      </w:r>
      <w:r w:rsidRPr="004E4B87">
        <w:rPr>
          <w:rFonts w:eastAsia="Calibri"/>
        </w:rPr>
        <w:t xml:space="preserve">motivations are closely connected. A worker who chooses hybrid work to manage caregiving responsibilities represents a different behavioral case from one who teleworks to avoid a lengthy and expensive commute. Similarly, a fully remote worker who remains home differs from one who regularly travels to a café, library, or coworking facility. The significant correlations across work arrangements and </w:t>
      </w:r>
      <w:r w:rsidR="005F6420">
        <w:rPr>
          <w:rFonts w:eastAsia="Calibri"/>
        </w:rPr>
        <w:t>work-from-home</w:t>
      </w:r>
      <w:r w:rsidR="005F6420" w:rsidRPr="00A321F3">
        <w:rPr>
          <w:rFonts w:eastAsia="Calibri"/>
        </w:rPr>
        <w:t xml:space="preserve"> </w:t>
      </w:r>
      <w:r w:rsidRPr="004E4B87">
        <w:rPr>
          <w:rFonts w:eastAsia="Calibri"/>
        </w:rPr>
        <w:t>motivations confirm that shared unobserved factors influence multiple outcomes. Joint modeling captures these relationships and offers a more behaviorally complete foundation than a sequence of separate models.</w:t>
      </w:r>
    </w:p>
    <w:p w14:paraId="68EB8E1F" w14:textId="2F4A14C6" w:rsidR="004E4B87" w:rsidRPr="004E4B87" w:rsidRDefault="004E4B87" w:rsidP="004E4B87">
      <w:pPr>
        <w:ind w:firstLine="720"/>
        <w:rPr>
          <w:rFonts w:eastAsia="Calibri"/>
        </w:rPr>
      </w:pPr>
      <w:r w:rsidRPr="004E4B87">
        <w:rPr>
          <w:rFonts w:eastAsia="Calibri"/>
        </w:rPr>
        <w:t xml:space="preserve">Employer policy emerges as one of the most powerful determinants of work arrangements and commute travel. Relative to workers whose schedules are determined by their employers, those with some control </w:t>
      </w:r>
      <w:r w:rsidR="00915A47">
        <w:rPr>
          <w:rFonts w:eastAsia="Calibri"/>
        </w:rPr>
        <w:t xml:space="preserve">over their work schedule </w:t>
      </w:r>
      <w:r w:rsidRPr="004E4B87">
        <w:rPr>
          <w:rFonts w:eastAsia="Calibri"/>
        </w:rPr>
        <w:t>are 17.1 percentage points less likely to work fully in</w:t>
      </w:r>
      <w:r w:rsidR="004B3F8F">
        <w:rPr>
          <w:rFonts w:eastAsia="Calibri"/>
        </w:rPr>
        <w:t>-</w:t>
      </w:r>
      <w:r w:rsidRPr="004E4B87">
        <w:rPr>
          <w:rFonts w:eastAsia="Calibri"/>
        </w:rPr>
        <w:t xml:space="preserve">person and generate 16.6 fewer miles of weekly commute VMT. Full schedule control reduces expected weekly commute VMT by 18.7 miles. Location control produces even larger shifts. Some location control increases the probability of hybrid work by 39.0 percentage points and reduces weekly commute VMT by 18.9 miles. Full location control yields the largest </w:t>
      </w:r>
      <w:r>
        <w:rPr>
          <w:rFonts w:eastAsia="Calibri"/>
        </w:rPr>
        <w:t xml:space="preserve">VMT </w:t>
      </w:r>
      <w:r w:rsidRPr="004E4B87">
        <w:rPr>
          <w:rFonts w:eastAsia="Calibri"/>
        </w:rPr>
        <w:t>reduction</w:t>
      </w:r>
      <w:r>
        <w:rPr>
          <w:rFonts w:eastAsia="Calibri"/>
        </w:rPr>
        <w:t xml:space="preserve"> as</w:t>
      </w:r>
      <w:r w:rsidRPr="004E4B87">
        <w:rPr>
          <w:rFonts w:eastAsia="Calibri"/>
        </w:rPr>
        <w:t xml:space="preserve"> shown in the treatment-effect analysis, at 20.8 miles per week. These findings suggest that employer partnerships should form a central part of transportation demand management strategies. Flexible work policies may produce larger travel reductions than broad efforts that encourage telework without addressing institutional constraints.</w:t>
      </w:r>
    </w:p>
    <w:p w14:paraId="2FB83253" w14:textId="77777777" w:rsidR="004E4B87" w:rsidRPr="004E4B87" w:rsidRDefault="004E4B87" w:rsidP="004E4B87">
      <w:pPr>
        <w:ind w:firstLine="720"/>
        <w:rPr>
          <w:rFonts w:eastAsia="Calibri"/>
        </w:rPr>
      </w:pPr>
      <w:r w:rsidRPr="004E4B87">
        <w:rPr>
          <w:rFonts w:eastAsia="Calibri"/>
        </w:rPr>
        <w:t>The transportation benefits of telework are not distributed uniformly. They are especially pronounced among workers who face substantial commute or mobility burdens. Workers with mobility challenges generate an estimated 9.1 fewer weekly commute miles, while those in vehicle-deficient households generate 4.3 fewer miles. Commutes of at least five miles are associated with a reduction of 4.6 weekly commute miles. These findings suggest that targeted telework programs may be more effective than uniform policies. Transportation agencies and employers could focus on workers with long commutes, limited vehicle access, mobility challenges, or especially burdensome travel conditions.</w:t>
      </w:r>
    </w:p>
    <w:p w14:paraId="486F65AE" w14:textId="0ADA9EAE" w:rsidR="004E4B87" w:rsidRPr="004E4B87" w:rsidRDefault="004E4B87" w:rsidP="004E4B87">
      <w:pPr>
        <w:ind w:firstLine="720"/>
        <w:rPr>
          <w:rFonts w:eastAsia="Calibri"/>
        </w:rPr>
      </w:pPr>
      <w:r w:rsidRPr="004E4B87">
        <w:rPr>
          <w:rFonts w:eastAsia="Calibri"/>
        </w:rPr>
        <w:t xml:space="preserve">Telework should also be viewed as an accessibility tool rather than merely an employment benefit. Individuals with mobility challenges are more likely to adopt all three telework arrangements and tend to commute less frequently when working in a hybrid arrangement. Remote work may reduce barriers to employment participation for individuals </w:t>
      </w:r>
      <w:r w:rsidR="00915A47">
        <w:rPr>
          <w:rFonts w:eastAsia="Calibri"/>
        </w:rPr>
        <w:t>face travel difficulties</w:t>
      </w:r>
      <w:r w:rsidRPr="004E4B87">
        <w:rPr>
          <w:rFonts w:eastAsia="Calibri"/>
        </w:rPr>
        <w:t xml:space="preserve"> (Ameri et al. 2023; Lake and Maidment 2023). However, access to telework remains unequal. Occupation, employer policy, housing conditions, technology, and the availability of suitable workspace all shape whether remote work is feasible. Homeowners in this study were more likely to adopt hybrid and </w:t>
      </w:r>
      <w:r w:rsidR="00320D34">
        <w:rPr>
          <w:rFonts w:eastAsia="Calibri"/>
        </w:rPr>
        <w:t>HB</w:t>
      </w:r>
      <w:r w:rsidRPr="004E4B87">
        <w:rPr>
          <w:rFonts w:eastAsia="Calibri"/>
        </w:rPr>
        <w:t xml:space="preserve"> remote arrangements, suggesting that housing circumstances may enable or constrain telework participation.</w:t>
      </w:r>
    </w:p>
    <w:p w14:paraId="749CA1A5" w14:textId="77777777" w:rsidR="004E4B87" w:rsidRPr="004E4B87" w:rsidRDefault="004E4B87" w:rsidP="004E4B87">
      <w:pPr>
        <w:ind w:firstLine="720"/>
        <w:rPr>
          <w:rFonts w:eastAsia="Calibri"/>
        </w:rPr>
      </w:pPr>
      <w:r w:rsidRPr="004E4B87">
        <w:rPr>
          <w:rFonts w:eastAsia="Calibri"/>
        </w:rPr>
        <w:t xml:space="preserve">Household and demographic patterns provide further evidence that telework serves different purposes across population groups. Families with children are substantially more likely to adopt hybrid work, but the effect on weekly commute VMT is nearly zero. For these households, hybrid work appears to provide flexibility rather than substitute extensively for workplace attendance. Higher-income workers are more likely to value time savings and work-life balance, </w:t>
      </w:r>
      <w:r w:rsidRPr="004E4B87">
        <w:rPr>
          <w:rFonts w:eastAsia="Calibri"/>
        </w:rPr>
        <w:lastRenderedPageBreak/>
        <w:t>while middle-income workers place greater emphasis on commute costs. Highly educated workers are more likely to adopt hybrid rather than fully remote arrangements and generate an additional 7.1 weekly commute miles relative to workers without a bachelor’s degree. Access to telework therefore does not automatically translate into lower VMT.</w:t>
      </w:r>
    </w:p>
    <w:p w14:paraId="37F22430" w14:textId="4356084F" w:rsidR="004E4B87" w:rsidRPr="004E4B87" w:rsidRDefault="00915A47" w:rsidP="004E4B87">
      <w:pPr>
        <w:ind w:firstLine="720"/>
        <w:rPr>
          <w:rFonts w:eastAsia="Calibri"/>
        </w:rPr>
      </w:pPr>
      <w:r>
        <w:rPr>
          <w:rFonts w:eastAsia="Calibri"/>
        </w:rPr>
        <w:t xml:space="preserve">The results indicate that </w:t>
      </w:r>
      <w:r w:rsidR="00474CC9">
        <w:rPr>
          <w:rFonts w:eastAsia="Calibri"/>
        </w:rPr>
        <w:t>TLB</w:t>
      </w:r>
      <w:r w:rsidR="004E4B87" w:rsidRPr="004E4B87">
        <w:rPr>
          <w:rFonts w:eastAsia="Calibri"/>
        </w:rPr>
        <w:t xml:space="preserve"> </w:t>
      </w:r>
      <w:r>
        <w:rPr>
          <w:rFonts w:eastAsia="Calibri"/>
        </w:rPr>
        <w:t>tele</w:t>
      </w:r>
      <w:r w:rsidR="004E4B87" w:rsidRPr="004E4B87">
        <w:rPr>
          <w:rFonts w:eastAsia="Calibri"/>
        </w:rPr>
        <w:t xml:space="preserve">work deserves greater attention in future research and planning practice. Libraries, cafés, coworking facilities, and other remote workspaces may function as decentralized employment nodes. They may shorten traditional commutes while generating local work trips and redistributing activity away from major employment centers (Caros et al. 2023; Li et al. 2024; Xia et al. 2026). </w:t>
      </w:r>
    </w:p>
    <w:p w14:paraId="5F6318FB" w14:textId="1D673D76" w:rsidR="004E4B87" w:rsidRPr="004E4B87" w:rsidRDefault="004E4B87" w:rsidP="004E4B87">
      <w:pPr>
        <w:ind w:firstLine="720"/>
        <w:rPr>
          <w:rFonts w:eastAsia="Calibri"/>
        </w:rPr>
      </w:pPr>
      <w:r w:rsidRPr="004E4B87">
        <w:rPr>
          <w:rFonts w:eastAsia="Calibri"/>
        </w:rPr>
        <w:t xml:space="preserve">Overall, the findings show that telework is neither a uniform behavior nor a universal transportation solution. Its effects depend on employer flexibility, commute burden, household circumstances, mobility resources, work location, and underlying motivations. Travel demand models must represent this heterogeneity </w:t>
      </w:r>
      <w:r>
        <w:rPr>
          <w:rFonts w:eastAsia="Calibri"/>
        </w:rPr>
        <w:t>to fully account for the</w:t>
      </w:r>
      <w:r w:rsidRPr="004E4B87">
        <w:rPr>
          <w:rFonts w:eastAsia="Calibri"/>
        </w:rPr>
        <w:t xml:space="preserve"> changing nature of work and produc</w:t>
      </w:r>
      <w:r>
        <w:rPr>
          <w:rFonts w:eastAsia="Calibri"/>
        </w:rPr>
        <w:t>e</w:t>
      </w:r>
      <w:r w:rsidRPr="004E4B87">
        <w:rPr>
          <w:rFonts w:eastAsia="Calibri"/>
        </w:rPr>
        <w:t xml:space="preserve"> reliable forecasts of future travel demand.</w:t>
      </w:r>
    </w:p>
    <w:p w14:paraId="164ABA39" w14:textId="77777777" w:rsidR="00133D5F" w:rsidRDefault="00133D5F" w:rsidP="00133D5F">
      <w:pPr>
        <w:rPr>
          <w:rFonts w:eastAsia="Calibri"/>
        </w:rPr>
      </w:pPr>
    </w:p>
    <w:p w14:paraId="24A347BE" w14:textId="77777777" w:rsidR="00F20213" w:rsidRPr="0016414D" w:rsidRDefault="00F20213" w:rsidP="00F20213">
      <w:pPr>
        <w:rPr>
          <w:rFonts w:eastAsia="Calibri"/>
        </w:rPr>
      </w:pPr>
      <w:r>
        <w:rPr>
          <w:rFonts w:eastAsia="Calibri"/>
          <w:b/>
          <w:bCs/>
        </w:rPr>
        <w:t>AI STATEMENT</w:t>
      </w:r>
    </w:p>
    <w:p w14:paraId="12947BAD" w14:textId="526459B2" w:rsidR="00F20213" w:rsidRPr="00F20213" w:rsidRDefault="00F20213" w:rsidP="0010797F">
      <w:pPr>
        <w:rPr>
          <w:rFonts w:eastAsia="Calibri"/>
        </w:rPr>
      </w:pPr>
      <w:r w:rsidRPr="0016414D">
        <w:rPr>
          <w:rFonts w:eastAsia="Calibri"/>
        </w:rPr>
        <w:t xml:space="preserve">Artificial intelligence tools </w:t>
      </w:r>
      <w:r>
        <w:rPr>
          <w:rFonts w:eastAsia="Calibri"/>
        </w:rPr>
        <w:t xml:space="preserve">– ChatGPT and Claude – </w:t>
      </w:r>
      <w:r w:rsidRPr="0016414D">
        <w:rPr>
          <w:rFonts w:eastAsia="Calibri"/>
        </w:rPr>
        <w:t>were</w:t>
      </w:r>
      <w:r>
        <w:rPr>
          <w:rFonts w:eastAsia="Calibri"/>
        </w:rPr>
        <w:t xml:space="preserve"> </w:t>
      </w:r>
      <w:r w:rsidRPr="0016414D">
        <w:rPr>
          <w:rFonts w:eastAsia="Calibri"/>
        </w:rPr>
        <w:t xml:space="preserve">used to support the preparation of this manuscript, assisting with </w:t>
      </w:r>
      <w:r>
        <w:rPr>
          <w:rFonts w:eastAsia="Calibri"/>
        </w:rPr>
        <w:t>formatting content and</w:t>
      </w:r>
      <w:r w:rsidRPr="0016414D">
        <w:rPr>
          <w:rFonts w:eastAsia="Calibri"/>
        </w:rPr>
        <w:t xml:space="preserve"> refining language. All AI-assisted output was critically reviewed, revised, and validated by the authors. The study design, analysis, interpretation of results, and conclusions reflect the authors</w:t>
      </w:r>
      <w:r>
        <w:rPr>
          <w:rFonts w:eastAsia="Calibri"/>
        </w:rPr>
        <w:t>’</w:t>
      </w:r>
      <w:r w:rsidRPr="0016414D">
        <w:rPr>
          <w:rFonts w:eastAsia="Calibri"/>
        </w:rPr>
        <w:t xml:space="preserve"> academic and professional judgment.</w:t>
      </w:r>
      <w:r w:rsidR="008472E9">
        <w:rPr>
          <w:rFonts w:eastAsia="Calibri"/>
        </w:rPr>
        <w:t xml:space="preserve"> </w:t>
      </w:r>
      <w:r w:rsidRPr="0016414D">
        <w:rPr>
          <w:rFonts w:eastAsia="Calibri"/>
        </w:rPr>
        <w:t>AI tools improved efficiency and communication but did not substitute for engineering judgment, technical review, or responsibility for the final content. The authors are solely responsible for all content, including any errors or omissions.</w:t>
      </w:r>
    </w:p>
    <w:p w14:paraId="745E8C00" w14:textId="77777777" w:rsidR="00F20213" w:rsidRDefault="00F20213" w:rsidP="0010797F">
      <w:pPr>
        <w:rPr>
          <w:rFonts w:ascii="Times New Roman" w:eastAsia="Calibri" w:hAnsi="Times New Roman" w:cs="Times New Roman"/>
        </w:rPr>
      </w:pPr>
    </w:p>
    <w:p w14:paraId="76B5C83A" w14:textId="77777777" w:rsidR="007B075C" w:rsidRPr="00751DFB" w:rsidRDefault="007B075C" w:rsidP="00C57322">
      <w:pPr>
        <w:pStyle w:val="Heading1"/>
      </w:pPr>
      <w:r w:rsidRPr="00751DFB">
        <w:t>ACKNOWLEDGMENTS</w:t>
      </w:r>
    </w:p>
    <w:p w14:paraId="038429F2" w14:textId="250B0568" w:rsidR="007B075C" w:rsidRDefault="007B075C" w:rsidP="009D5447">
      <w:pPr>
        <w:rPr>
          <w:rFonts w:ascii="Times New Roman" w:eastAsia="Calibri" w:hAnsi="Times New Roman" w:cs="Times New Roman"/>
        </w:rPr>
      </w:pPr>
      <w:r w:rsidRPr="00DD6039">
        <w:rPr>
          <w:rFonts w:ascii="Times New Roman" w:eastAsia="Calibri" w:hAnsi="Times New Roman" w:cs="Times New Roman"/>
        </w:rPr>
        <w:t xml:space="preserve">This research was partially supported </w:t>
      </w:r>
      <w:r>
        <w:rPr>
          <w:rFonts w:ascii="Times New Roman" w:eastAsia="Calibri" w:hAnsi="Times New Roman" w:cs="Times New Roman"/>
        </w:rPr>
        <w:t>by</w:t>
      </w:r>
      <w:r w:rsidRPr="00DD6039">
        <w:rPr>
          <w:rFonts w:ascii="Times New Roman" w:eastAsia="Calibri" w:hAnsi="Times New Roman" w:cs="Times New Roman"/>
        </w:rPr>
        <w:t xml:space="preserve"> </w:t>
      </w:r>
      <w:r>
        <w:rPr>
          <w:rFonts w:ascii="Times New Roman" w:eastAsia="Calibri" w:hAnsi="Times New Roman" w:cs="Times New Roman"/>
        </w:rPr>
        <w:t>t</w:t>
      </w:r>
      <w:r w:rsidRPr="00E82B77">
        <w:rPr>
          <w:rFonts w:ascii="Times New Roman" w:eastAsia="Calibri" w:hAnsi="Times New Roman" w:cs="Times New Roman"/>
        </w:rPr>
        <w:t xml:space="preserve">he </w:t>
      </w:r>
      <w:r w:rsidR="0010797F">
        <w:rPr>
          <w:rFonts w:ascii="Times New Roman" w:eastAsia="Calibri" w:hAnsi="Times New Roman" w:cs="Times New Roman"/>
        </w:rPr>
        <w:t xml:space="preserve">National </w:t>
      </w:r>
      <w:r w:rsidRPr="00E82B77">
        <w:rPr>
          <w:rFonts w:ascii="Times New Roman" w:eastAsia="Calibri" w:hAnsi="Times New Roman" w:cs="Times New Roman"/>
        </w:rPr>
        <w:t>Center for Understanding Future Travel Behavior and Demand (TBD)</w:t>
      </w:r>
      <w:r w:rsidR="0010797F">
        <w:rPr>
          <w:rFonts w:ascii="Times New Roman" w:eastAsia="Calibri" w:hAnsi="Times New Roman" w:cs="Times New Roman"/>
        </w:rPr>
        <w:t xml:space="preserve">, which is a </w:t>
      </w:r>
      <w:r w:rsidRPr="00DD6039">
        <w:rPr>
          <w:rFonts w:ascii="Times New Roman" w:eastAsia="Calibri" w:hAnsi="Times New Roman" w:cs="Times New Roman"/>
        </w:rPr>
        <w:t>University Transportation Center sponsored by the U</w:t>
      </w:r>
      <w:r w:rsidR="005E36CD">
        <w:rPr>
          <w:rFonts w:ascii="Times New Roman" w:eastAsia="Calibri" w:hAnsi="Times New Roman" w:cs="Times New Roman"/>
        </w:rPr>
        <w:t>.</w:t>
      </w:r>
      <w:r>
        <w:rPr>
          <w:rFonts w:ascii="Times New Roman" w:eastAsia="Calibri" w:hAnsi="Times New Roman" w:cs="Times New Roman"/>
        </w:rPr>
        <w:t>S</w:t>
      </w:r>
      <w:r w:rsidR="005E36CD">
        <w:rPr>
          <w:rFonts w:ascii="Times New Roman" w:eastAsia="Calibri" w:hAnsi="Times New Roman" w:cs="Times New Roman"/>
        </w:rPr>
        <w:t>.</w:t>
      </w:r>
      <w:r w:rsidRPr="00DD6039">
        <w:rPr>
          <w:rFonts w:ascii="Times New Roman" w:eastAsia="Calibri" w:hAnsi="Times New Roman" w:cs="Times New Roman"/>
        </w:rPr>
        <w:t xml:space="preserve"> Department of Transportation under grant </w:t>
      </w:r>
      <w:r>
        <w:rPr>
          <w:rFonts w:ascii="Times New Roman" w:eastAsia="Calibri" w:hAnsi="Times New Roman" w:cs="Times New Roman"/>
        </w:rPr>
        <w:t xml:space="preserve">numbers </w:t>
      </w:r>
      <w:r w:rsidRPr="00E82B77">
        <w:rPr>
          <w:rFonts w:ascii="Times New Roman" w:eastAsia="Calibri" w:hAnsi="Times New Roman" w:cs="Times New Roman"/>
        </w:rPr>
        <w:t>69A3552344815 and 69A3552348320</w:t>
      </w:r>
      <w:r w:rsidR="0010797F">
        <w:rPr>
          <w:rFonts w:ascii="Times New Roman" w:eastAsia="Calibri" w:hAnsi="Times New Roman" w:cs="Times New Roman"/>
        </w:rPr>
        <w:t>.</w:t>
      </w:r>
      <w:r w:rsidR="00080D33">
        <w:rPr>
          <w:rFonts w:ascii="Times New Roman" w:eastAsia="Calibri" w:hAnsi="Times New Roman" w:cs="Times New Roman"/>
        </w:rPr>
        <w:t xml:space="preserve"> </w:t>
      </w:r>
    </w:p>
    <w:p w14:paraId="7C264109" w14:textId="77777777" w:rsidR="00B4665C" w:rsidRDefault="00B4665C" w:rsidP="009D5447">
      <w:pPr>
        <w:rPr>
          <w:rFonts w:ascii="Times New Roman" w:eastAsia="Calibri" w:hAnsi="Times New Roman" w:cs="Times New Roman"/>
        </w:rPr>
      </w:pPr>
    </w:p>
    <w:p w14:paraId="2699269B" w14:textId="77777777" w:rsidR="00BB1C99" w:rsidRPr="00A808CF" w:rsidRDefault="00540D38" w:rsidP="00C57322">
      <w:pPr>
        <w:pStyle w:val="Heading1"/>
      </w:pPr>
      <w:r w:rsidRPr="00A808CF">
        <w:t>AUTHOR CONTRIBUTIONS</w:t>
      </w:r>
    </w:p>
    <w:p w14:paraId="5C6ACCCB" w14:textId="0EF1DDA8" w:rsidR="00211FD6" w:rsidRPr="00A808CF" w:rsidRDefault="00211FD6" w:rsidP="00A808CF">
      <w:pPr>
        <w:rPr>
          <w:rFonts w:ascii="Times New Roman" w:hAnsi="Times New Roman" w:cs="Times New Roman"/>
        </w:rPr>
      </w:pPr>
      <w:r w:rsidRPr="00CD2152">
        <w:rPr>
          <w:rFonts w:ascii="Times New Roman" w:hAnsi="Times New Roman" w:cs="Times New Roman"/>
        </w:rPr>
        <w:t xml:space="preserve">The authors confirm contribution to the paper as follows: study conception and design: </w:t>
      </w:r>
      <w:r w:rsidR="00CD2152" w:rsidRPr="00CD2152">
        <w:rPr>
          <w:rFonts w:ascii="Times New Roman" w:hAnsi="Times New Roman" w:cs="Times New Roman"/>
        </w:rPr>
        <w:t>A. Beliveau</w:t>
      </w:r>
      <w:r w:rsidRPr="00CD2152">
        <w:rPr>
          <w:rFonts w:ascii="Times New Roman" w:hAnsi="Times New Roman" w:cs="Times New Roman"/>
        </w:rPr>
        <w:t>,</w:t>
      </w:r>
      <w:r w:rsidR="00CD2152" w:rsidRPr="00CD2152">
        <w:rPr>
          <w:rFonts w:ascii="Times New Roman" w:hAnsi="Times New Roman" w:cs="Times New Roman"/>
        </w:rPr>
        <w:t xml:space="preserve"> D. Robbennolt, M.G. Rodriguez Ocana, I. Batur,</w:t>
      </w:r>
      <w:r w:rsidRPr="00CD2152">
        <w:rPr>
          <w:rFonts w:ascii="Times New Roman" w:hAnsi="Times New Roman" w:cs="Times New Roman"/>
        </w:rPr>
        <w:t xml:space="preserve"> </w:t>
      </w:r>
      <w:r w:rsidR="004D54D6" w:rsidRPr="00CD2152">
        <w:rPr>
          <w:rFonts w:ascii="Times New Roman" w:hAnsi="Times New Roman" w:cs="Times New Roman"/>
        </w:rPr>
        <w:t>R.M. Pendyala</w:t>
      </w:r>
      <w:r w:rsidR="00CD2152" w:rsidRPr="00CD2152">
        <w:rPr>
          <w:rFonts w:ascii="Times New Roman" w:hAnsi="Times New Roman" w:cs="Times New Roman"/>
        </w:rPr>
        <w:t>, C.R. Bhat</w:t>
      </w:r>
      <w:r w:rsidRPr="00CD2152">
        <w:rPr>
          <w:rFonts w:ascii="Times New Roman" w:hAnsi="Times New Roman" w:cs="Times New Roman"/>
        </w:rPr>
        <w:t xml:space="preserve">; data collection: </w:t>
      </w:r>
      <w:r w:rsidR="00CD2152" w:rsidRPr="00CD2152">
        <w:rPr>
          <w:rFonts w:ascii="Times New Roman" w:hAnsi="Times New Roman" w:cs="Times New Roman"/>
        </w:rPr>
        <w:t>A. Beliveau, D. Robbennolt, M.G. Rodriguez Ocana, I. Batur, R.M. Pendyala, C.R. Bhat</w:t>
      </w:r>
      <w:r w:rsidRPr="00CD2152">
        <w:rPr>
          <w:rFonts w:ascii="Times New Roman" w:hAnsi="Times New Roman" w:cs="Times New Roman"/>
        </w:rPr>
        <w:t xml:space="preserve">; analysis and interpretation of results: </w:t>
      </w:r>
      <w:r w:rsidR="00CD2152" w:rsidRPr="00CD2152">
        <w:rPr>
          <w:rFonts w:ascii="Times New Roman" w:hAnsi="Times New Roman" w:cs="Times New Roman"/>
        </w:rPr>
        <w:t>A. Beliveau, D. Robbennolt, M.G. Rodriguez Ocana, I. Batur, R.M. Pendyala, C.R. Bhat</w:t>
      </w:r>
      <w:r w:rsidRPr="00CD2152">
        <w:rPr>
          <w:rFonts w:ascii="Times New Roman" w:hAnsi="Times New Roman" w:cs="Times New Roman"/>
        </w:rPr>
        <w:t xml:space="preserve">; draft manuscript preparation: </w:t>
      </w:r>
      <w:r w:rsidR="00CD2152" w:rsidRPr="00CD2152">
        <w:rPr>
          <w:rFonts w:ascii="Times New Roman" w:hAnsi="Times New Roman" w:cs="Times New Roman"/>
        </w:rPr>
        <w:t>A. Beliveau, D. Robbennolt, M.G. Rodriguez Ocana, I. Batur, R.M. Pendyala, C.R. Bhat</w:t>
      </w:r>
      <w:r w:rsidRPr="00CD2152">
        <w:rPr>
          <w:rFonts w:ascii="Times New Roman" w:hAnsi="Times New Roman" w:cs="Times New Roman"/>
        </w:rPr>
        <w:t>. All authors reviewed the results and approved the final version of the manuscript.</w:t>
      </w:r>
    </w:p>
    <w:p w14:paraId="17D7B52C" w14:textId="77777777" w:rsidR="00080D33" w:rsidRPr="00A808CF" w:rsidRDefault="00080D33" w:rsidP="00A808CF">
      <w:pPr>
        <w:rPr>
          <w:rFonts w:ascii="Times New Roman" w:hAnsi="Times New Roman" w:cs="Times New Roman"/>
          <w:b/>
          <w:noProof/>
          <w:color w:val="000000" w:themeColor="text1"/>
        </w:rPr>
      </w:pPr>
    </w:p>
    <w:p w14:paraId="65DACF02" w14:textId="77777777" w:rsidR="00080D33" w:rsidRPr="00D64E75" w:rsidRDefault="0099587D" w:rsidP="00DC51C5">
      <w:pPr>
        <w:pStyle w:val="Heading1"/>
        <w:rPr>
          <w:noProof/>
          <w:lang w:val="pt-BR"/>
        </w:rPr>
      </w:pPr>
      <w:r w:rsidRPr="00D64E75">
        <w:rPr>
          <w:noProof/>
          <w:lang w:val="pt-BR"/>
        </w:rPr>
        <w:t>REFERENCES</w:t>
      </w:r>
      <w:bookmarkStart w:id="2" w:name="_Hlk173427171"/>
    </w:p>
    <w:bookmarkEnd w:id="2"/>
    <w:p w14:paraId="31CD4CBC" w14:textId="510F1062" w:rsidR="000A7775" w:rsidRDefault="000A7775" w:rsidP="00EC480F">
      <w:pPr>
        <w:pStyle w:val="NormalWeb"/>
        <w:spacing w:before="0" w:beforeAutospacing="0" w:after="0" w:afterAutospacing="0"/>
        <w:ind w:left="720" w:hanging="720"/>
      </w:pPr>
      <w:r w:rsidRPr="00EC480F">
        <w:rPr>
          <w:lang w:val="es-MX"/>
        </w:rPr>
        <w:t xml:space="preserve">Abreu e Silva, João de. 2022. </w:t>
      </w:r>
      <w:r w:rsidRPr="00EC480F">
        <w:t xml:space="preserve">“Residential Preferences, Telework Perceptions, and the Intention to Telework: Insights from the Lisbon Metropolitan Area during the COVID-19 Pandemic.” Regional Science Policy &amp; Practice 14 (S1): 142–61. </w:t>
      </w:r>
      <w:hyperlink r:id="rId237" w:history="1">
        <w:r w:rsidR="00EC480F" w:rsidRPr="00F84000">
          <w:rPr>
            <w:rStyle w:val="Hyperlink"/>
          </w:rPr>
          <w:t>https://doi.org/10.1111/rsp3.12558</w:t>
        </w:r>
      </w:hyperlink>
    </w:p>
    <w:p w14:paraId="2C05903B" w14:textId="26699E4C" w:rsidR="000A7775" w:rsidRDefault="000A7775" w:rsidP="00EC480F">
      <w:pPr>
        <w:pStyle w:val="NormalWeb"/>
        <w:spacing w:before="0" w:beforeAutospacing="0" w:after="0" w:afterAutospacing="0"/>
        <w:ind w:left="720" w:hanging="720"/>
      </w:pPr>
      <w:r w:rsidRPr="00EC480F">
        <w:t xml:space="preserve">Ameri, Mason, Douglas Kruse, So Ri Park, Yana Rodgers, and Lisa Schur. 2023. “Telework during the Pandemic: Patterns, Challenges, and Opportunities for People with Disabilities.” Disability and Health Journal 16 (2): 101406. </w:t>
      </w:r>
      <w:hyperlink r:id="rId238" w:history="1">
        <w:r w:rsidR="00EC480F" w:rsidRPr="00F84000">
          <w:rPr>
            <w:rStyle w:val="Hyperlink"/>
          </w:rPr>
          <w:t>https://doi.org/10.1016/j.dhjo.2022.101406</w:t>
        </w:r>
      </w:hyperlink>
    </w:p>
    <w:p w14:paraId="6C7AE94B" w14:textId="16FFFBA9" w:rsidR="000A7775" w:rsidRDefault="000A7775" w:rsidP="00EC480F">
      <w:pPr>
        <w:pStyle w:val="NormalWeb"/>
        <w:spacing w:before="0" w:beforeAutospacing="0" w:after="0" w:afterAutospacing="0"/>
        <w:ind w:left="720" w:hanging="720"/>
      </w:pPr>
      <w:r w:rsidRPr="00EC480F">
        <w:lastRenderedPageBreak/>
        <w:t xml:space="preserve">Anik, Md Asif Hasan, and Muhammad Ahsanul Habib. 2025. “Understanding Work-Arrangement Choices: Factors and Implications.” Transportation Letters 17 (8): 1454–70. </w:t>
      </w:r>
      <w:hyperlink r:id="rId239" w:history="1">
        <w:r w:rsidR="00EC480F" w:rsidRPr="00F84000">
          <w:rPr>
            <w:rStyle w:val="Hyperlink"/>
          </w:rPr>
          <w:t>https://doi.org/10.1080/19427867.2025.2456364</w:t>
        </w:r>
      </w:hyperlink>
    </w:p>
    <w:p w14:paraId="4B8EDDF9" w14:textId="3199C843" w:rsidR="000A7775" w:rsidRDefault="000A7775" w:rsidP="00EC480F">
      <w:pPr>
        <w:pStyle w:val="NormalWeb"/>
        <w:spacing w:before="0" w:beforeAutospacing="0" w:after="0" w:afterAutospacing="0"/>
        <w:ind w:left="720" w:hanging="720"/>
      </w:pPr>
      <w:r w:rsidRPr="00EC480F">
        <w:t xml:space="preserve">Asmussen, Katherine E., Aupal Mondal, and Chandra R. Bhat. 2022. “Adoption of Partially Automated Vehicle Technology Features and Impacts on Vehicle Miles of Travel (VMT).” Transportation Research Part A: Policy and Practice 158: 156–79. </w:t>
      </w:r>
      <w:hyperlink r:id="rId240" w:history="1">
        <w:r w:rsidR="00EC480F" w:rsidRPr="00F84000">
          <w:rPr>
            <w:rStyle w:val="Hyperlink"/>
          </w:rPr>
          <w:t>https://doi.org/10.1016/j.tra.2022.02.010</w:t>
        </w:r>
      </w:hyperlink>
    </w:p>
    <w:p w14:paraId="1D83208D" w14:textId="4CF325F1" w:rsidR="000A7775" w:rsidRPr="00EC480F" w:rsidRDefault="000A7775" w:rsidP="00EC480F">
      <w:pPr>
        <w:pStyle w:val="NormalWeb"/>
        <w:spacing w:before="0" w:beforeAutospacing="0" w:after="0" w:afterAutospacing="0"/>
        <w:ind w:left="720" w:hanging="720"/>
      </w:pPr>
      <w:r w:rsidRPr="00EC480F">
        <w:t xml:space="preserve">Asmussen, Katherine E., Aupal Mondal, Chandra R. Bhat, and Ram M. Pendyala. 2023. “On Modeling Future Workplace Location Decisions: An Analysis of Texas Employees.” Transportation Research Part A: Policy and Practice 172: 103671. </w:t>
      </w:r>
      <w:hyperlink r:id="rId241" w:history="1">
        <w:r w:rsidR="001E7B15" w:rsidRPr="00EC480F">
          <w:rPr>
            <w:rStyle w:val="Hyperlink"/>
          </w:rPr>
          <w:t>https://doi.org/10.1016/j.tra.2023.103671</w:t>
        </w:r>
      </w:hyperlink>
    </w:p>
    <w:p w14:paraId="023AB532" w14:textId="38B2A2D5" w:rsidR="000878AF" w:rsidRDefault="000878AF" w:rsidP="00EC480F">
      <w:pPr>
        <w:pStyle w:val="NormalWeb"/>
        <w:spacing w:before="0" w:beforeAutospacing="0" w:after="0" w:afterAutospacing="0"/>
        <w:ind w:left="720" w:hanging="720"/>
      </w:pPr>
      <w:r w:rsidRPr="00EC480F">
        <w:t xml:space="preserve">Asmussen, Katherine E., Aupal Mondal, and Chandra R. Bhat. 2024. “The Interplay between Teleworking Choice and Commute Distance.” Transportation Research Part C: Emerging Technologies 165: 104690. </w:t>
      </w:r>
      <w:hyperlink r:id="rId242" w:history="1">
        <w:r w:rsidRPr="00EC480F">
          <w:rPr>
            <w:rStyle w:val="Hyperlink"/>
          </w:rPr>
          <w:t>https://doi.org/10.1016/j.trc.2024.104690</w:t>
        </w:r>
      </w:hyperlink>
    </w:p>
    <w:p w14:paraId="4A8F0C6A" w14:textId="4594BE72" w:rsidR="000878AF" w:rsidRDefault="000878AF" w:rsidP="00EC480F">
      <w:pPr>
        <w:pStyle w:val="NormalWeb"/>
        <w:spacing w:before="0" w:beforeAutospacing="0" w:after="0" w:afterAutospacing="0"/>
        <w:ind w:left="720" w:hanging="720"/>
      </w:pPr>
      <w:r w:rsidRPr="00EC480F">
        <w:t xml:space="preserve">Asmussen, Katherine E., Aupal Mondal, Irfan Batur, Abbie Dirks, Ram M. Pendyala, and Chandra R. Bhat. 2024. “An Investigation of Individual-Level Telework Arrangements in the COVID-Era.” Transportation Research Part A: Policy and Practice 179: 103888. </w:t>
      </w:r>
      <w:hyperlink r:id="rId243" w:history="1">
        <w:r w:rsidR="00EC480F" w:rsidRPr="00F84000">
          <w:rPr>
            <w:rStyle w:val="Hyperlink"/>
          </w:rPr>
          <w:t>https://doi.org/10.1016/j.tra.2023.103888</w:t>
        </w:r>
      </w:hyperlink>
    </w:p>
    <w:p w14:paraId="2A8936EC" w14:textId="0975520E" w:rsidR="001E7B15" w:rsidRDefault="001E7B15" w:rsidP="00EC480F">
      <w:pPr>
        <w:pStyle w:val="NormalWeb"/>
        <w:spacing w:before="0" w:beforeAutospacing="0" w:after="0" w:afterAutospacing="0"/>
        <w:ind w:left="720" w:hanging="720"/>
      </w:pPr>
      <w:r w:rsidRPr="00EC480F">
        <w:t xml:space="preserve">Asmussen, Katherine E., Angela J. Haddad, and Chandra R. Bhat. 2026. “Telework-to-Play or Play-to-Telework? Investigating the Directional Relationship between Telework and Nonwork Travel.” Transportation Research Part A: Policy and Practice 206: 104857. </w:t>
      </w:r>
      <w:hyperlink r:id="rId244" w:history="1">
        <w:r w:rsidR="00EC480F" w:rsidRPr="00F84000">
          <w:rPr>
            <w:rStyle w:val="Hyperlink"/>
          </w:rPr>
          <w:t>https://doi.org/10.1016/j.tra.2025.104857</w:t>
        </w:r>
      </w:hyperlink>
    </w:p>
    <w:p w14:paraId="4A848927" w14:textId="6EA011FC" w:rsidR="000A7775" w:rsidRDefault="000A7775" w:rsidP="00EC480F">
      <w:pPr>
        <w:pStyle w:val="NormalWeb"/>
        <w:spacing w:before="0" w:beforeAutospacing="0" w:after="0" w:afterAutospacing="0"/>
        <w:ind w:left="720" w:hanging="720"/>
      </w:pPr>
      <w:r w:rsidRPr="00EC480F">
        <w:t xml:space="preserve">Barrero, José María, Nicholas Bloom, and Steven J. Davis. 2023. “The Evolution of Work from Home.” Journal of Economic Perspectives 37 (4): 23–50. </w:t>
      </w:r>
      <w:hyperlink r:id="rId245" w:history="1">
        <w:r w:rsidR="00EC480F" w:rsidRPr="00F84000">
          <w:rPr>
            <w:rStyle w:val="Hyperlink"/>
          </w:rPr>
          <w:t>https://doi.org/10.1257/jep.37.4.23</w:t>
        </w:r>
      </w:hyperlink>
    </w:p>
    <w:p w14:paraId="71DC7E99" w14:textId="12DE5557" w:rsidR="009E0D3A" w:rsidRPr="00EC480F" w:rsidRDefault="000A7775" w:rsidP="00EC480F">
      <w:pPr>
        <w:pStyle w:val="NormalWeb"/>
        <w:spacing w:before="0" w:beforeAutospacing="0" w:after="0" w:afterAutospacing="0"/>
        <w:ind w:left="720" w:hanging="720"/>
      </w:pPr>
      <w:r w:rsidRPr="00EC480F">
        <w:t xml:space="preserve">Beltran, </w:t>
      </w:r>
      <w:proofErr w:type="spellStart"/>
      <w:r w:rsidRPr="00EC480F">
        <w:t>Neeco</w:t>
      </w:r>
      <w:proofErr w:type="spellEnd"/>
      <w:r w:rsidRPr="00EC480F">
        <w:t xml:space="preserve">, and Gregory D. Erhardt. 2026. “Rebounds Are Half the Game: Estimating Total and Rebound Effects of Hybrid and Always Remote Work on Weekly Vehicle Miles Traveled.” SSRN Scholarly Paper No. 6762062. Social Science Research Network. </w:t>
      </w:r>
      <w:hyperlink r:id="rId246" w:history="1">
        <w:r w:rsidR="009E0D3A" w:rsidRPr="00EC480F">
          <w:rPr>
            <w:rStyle w:val="Hyperlink"/>
          </w:rPr>
          <w:t>https://doi.org/10.2139/ssrn.6762062</w:t>
        </w:r>
      </w:hyperlink>
    </w:p>
    <w:p w14:paraId="5313112A" w14:textId="5DF4831C" w:rsidR="009E0D3A" w:rsidRPr="00EC480F" w:rsidRDefault="009E0D3A" w:rsidP="00EC480F">
      <w:pPr>
        <w:pStyle w:val="NormalWeb"/>
        <w:spacing w:before="0" w:beforeAutospacing="0" w:after="0" w:afterAutospacing="0"/>
        <w:ind w:left="720" w:hanging="720"/>
      </w:pPr>
      <w:r w:rsidRPr="00EC480F">
        <w:t xml:space="preserve">Bhat, Chandra R. 2018. “New Matrix-Based Methods for the Analytic Evaluation of the Multivariate Cumulative Normal Distribution Function.” Transportation Research Part B: Methodological 109: 238–56. </w:t>
      </w:r>
      <w:hyperlink r:id="rId247" w:history="1">
        <w:r w:rsidR="000878AF" w:rsidRPr="00EC480F">
          <w:rPr>
            <w:rStyle w:val="Hyperlink"/>
          </w:rPr>
          <w:t>https://doi.org/10.1016/j.trb.2018.01.011</w:t>
        </w:r>
      </w:hyperlink>
    </w:p>
    <w:p w14:paraId="5EE61727" w14:textId="29E7923D" w:rsidR="000878AF" w:rsidRDefault="000878AF" w:rsidP="00EC480F">
      <w:pPr>
        <w:pStyle w:val="NormalWeb"/>
        <w:spacing w:before="0" w:beforeAutospacing="0" w:after="0" w:afterAutospacing="0"/>
        <w:ind w:left="720" w:hanging="720"/>
      </w:pPr>
      <w:r w:rsidRPr="00EC480F">
        <w:t xml:space="preserve">Bick, Alexander, Adam Blandin, and Karel Mertens. 2023. “Work from Home before and after the COVID-19 Outbreak - American Economic Association.” American Economic Journal: Macroeconomics 15 (4): 1–39. </w:t>
      </w:r>
      <w:hyperlink r:id="rId248" w:history="1">
        <w:r w:rsidR="00EC480F" w:rsidRPr="00F84000">
          <w:rPr>
            <w:rStyle w:val="Hyperlink"/>
          </w:rPr>
          <w:t>https://doi.org/10.1257/mac.20210061</w:t>
        </w:r>
      </w:hyperlink>
    </w:p>
    <w:p w14:paraId="4BA04091" w14:textId="5E2A6CCF" w:rsidR="000A7775" w:rsidRPr="00EC480F" w:rsidRDefault="000A7775" w:rsidP="00EC480F">
      <w:pPr>
        <w:pStyle w:val="NormalWeb"/>
        <w:spacing w:before="0" w:beforeAutospacing="0" w:after="0" w:afterAutospacing="0"/>
        <w:ind w:left="720" w:hanging="720"/>
      </w:pPr>
      <w:r w:rsidRPr="00EC480F">
        <w:t xml:space="preserve">Bricka, Stacey, Timothy Reuscher, Paul Schroeder, Mitchell Fisher, Justina Beard, and </w:t>
      </w:r>
      <w:proofErr w:type="spellStart"/>
      <w:r w:rsidRPr="00EC480F">
        <w:t>Xiaoyuan</w:t>
      </w:r>
      <w:proofErr w:type="spellEnd"/>
      <w:r w:rsidRPr="00EC480F">
        <w:t xml:space="preserve"> (Layla) Sun. 2024. Summary of Travel Trends: 2022 National Household Travel Survey. FHWA-HPL-24-009. US Department of Transportation. </w:t>
      </w:r>
      <w:hyperlink r:id="rId249" w:history="1">
        <w:r w:rsidR="000878AF" w:rsidRPr="00EC480F">
          <w:rPr>
            <w:rStyle w:val="Hyperlink"/>
          </w:rPr>
          <w:t>https://rosap.ntl.bts.gov</w:t>
        </w:r>
      </w:hyperlink>
    </w:p>
    <w:p w14:paraId="1FEE88FC" w14:textId="3800EFA3" w:rsidR="000878AF" w:rsidRDefault="000878AF" w:rsidP="00EC480F">
      <w:pPr>
        <w:pStyle w:val="NormalWeb"/>
        <w:spacing w:before="0" w:beforeAutospacing="0" w:after="0" w:afterAutospacing="0"/>
        <w:ind w:left="720" w:hanging="720"/>
      </w:pPr>
      <w:r w:rsidRPr="00EC480F">
        <w:t xml:space="preserve">Buckman, Shelby R., Jose Maria Barrero, Nicholas Bloom, and Steven J. Davis. 2025. “Measuring Work from Home.” Working Paper No. 33508. Working Paper Series. National Bureau of Economic Research. </w:t>
      </w:r>
      <w:hyperlink r:id="rId250" w:history="1">
        <w:r w:rsidR="00EC480F" w:rsidRPr="00F84000">
          <w:rPr>
            <w:rStyle w:val="Hyperlink"/>
          </w:rPr>
          <w:t>https://doi.org/10.3386/w33508</w:t>
        </w:r>
      </w:hyperlink>
    </w:p>
    <w:p w14:paraId="5DD9E273" w14:textId="1A459B63" w:rsidR="000A7775" w:rsidRDefault="000A7775" w:rsidP="00EC480F">
      <w:pPr>
        <w:pStyle w:val="NormalWeb"/>
        <w:spacing w:before="0" w:beforeAutospacing="0" w:after="0" w:afterAutospacing="0"/>
        <w:ind w:left="720" w:hanging="720"/>
      </w:pPr>
      <w:r w:rsidRPr="00EC480F">
        <w:t xml:space="preserve">Caros, Nicholas S., Xiaotong Guo, and Jinhua Zhao. 2023. “The Emerging Spectrum of Flexible Work Locations: Implications for Travel Demand and Carbon Emissions.” arXiv:2201.01281. Preprint, </w:t>
      </w:r>
      <w:proofErr w:type="spellStart"/>
      <w:r w:rsidRPr="00EC480F">
        <w:t>arXiv</w:t>
      </w:r>
      <w:proofErr w:type="spellEnd"/>
      <w:r w:rsidRPr="00EC480F">
        <w:t xml:space="preserve">. </w:t>
      </w:r>
      <w:hyperlink r:id="rId251" w:history="1">
        <w:r w:rsidR="00EC480F" w:rsidRPr="00F84000">
          <w:rPr>
            <w:rStyle w:val="Hyperlink"/>
          </w:rPr>
          <w:t>https://doi.org/10.48550/arXiv.2201.01281</w:t>
        </w:r>
      </w:hyperlink>
    </w:p>
    <w:p w14:paraId="0AD14593" w14:textId="2DB24952" w:rsidR="000A7775" w:rsidRDefault="000A7775" w:rsidP="005E36CD">
      <w:pPr>
        <w:pStyle w:val="NormalWeb"/>
        <w:keepLines/>
        <w:spacing w:before="0" w:beforeAutospacing="0" w:after="0" w:afterAutospacing="0"/>
        <w:ind w:left="720" w:hanging="720"/>
      </w:pPr>
      <w:r w:rsidRPr="00EC480F">
        <w:lastRenderedPageBreak/>
        <w:t>Chapman, Jim, Eric H. Fox, William Bachman, and Frank D. Lawrence. 2021. Smart Location Database Technical Documentation and User Guide Version 3.0. Environmental Protection Agency.</w:t>
      </w:r>
      <w:r w:rsidR="00EC480F">
        <w:t xml:space="preserve"> </w:t>
      </w:r>
      <w:hyperlink r:id="rId252" w:history="1">
        <w:r w:rsidR="00EC480F" w:rsidRPr="00F84000">
          <w:rPr>
            <w:rStyle w:val="Hyperlink"/>
          </w:rPr>
          <w:t>https://www.epa.gov/system/files/documents/2023-10/epa_sld_3.0_technicaldocumentationuserguide_may2021_0.pdf</w:t>
        </w:r>
      </w:hyperlink>
    </w:p>
    <w:p w14:paraId="1966CC2E" w14:textId="2CDEDE5F" w:rsidR="000A7775" w:rsidRDefault="000A7775" w:rsidP="00EC480F">
      <w:pPr>
        <w:pStyle w:val="NormalWeb"/>
        <w:spacing w:before="0" w:beforeAutospacing="0" w:after="0" w:afterAutospacing="0"/>
        <w:ind w:left="720" w:hanging="720"/>
      </w:pPr>
      <w:r w:rsidRPr="00EC480F">
        <w:t xml:space="preserve">Craig, Lyn, and Killian Mullan. 2010. “Parenthood, Gender and Work-Family Time in the United States, Australia, Italy, France, and Denmark.” Journal of Marriage and Family 72 (5): 1344–61. </w:t>
      </w:r>
      <w:hyperlink r:id="rId253" w:history="1">
        <w:r w:rsidR="00EC480F" w:rsidRPr="00F84000">
          <w:rPr>
            <w:rStyle w:val="Hyperlink"/>
          </w:rPr>
          <w:t>https://doi.org/10.1111/j.1741-3737.2010.00769.x</w:t>
        </w:r>
      </w:hyperlink>
    </w:p>
    <w:p w14:paraId="17B3C7E5" w14:textId="044E0DBA" w:rsidR="000A7775" w:rsidRDefault="000A7775" w:rsidP="00EC480F">
      <w:pPr>
        <w:pStyle w:val="NormalWeb"/>
        <w:spacing w:before="0" w:beforeAutospacing="0" w:after="0" w:afterAutospacing="0"/>
        <w:ind w:left="720" w:hanging="720"/>
      </w:pPr>
      <w:r w:rsidRPr="00EC480F">
        <w:t xml:space="preserve">Dale, Gemma. 2024. “What Is Healthy Hybrid Work? Exploring Employee Perceptions on Well-Being and Hybrid Work Arrangements.” International Journal of Workplace Health Management 17 (4): 335–52. </w:t>
      </w:r>
      <w:hyperlink r:id="rId254" w:history="1">
        <w:r w:rsidR="00EC480F" w:rsidRPr="00F84000">
          <w:rPr>
            <w:rStyle w:val="Hyperlink"/>
          </w:rPr>
          <w:t>https://doi.org/https://doi.org/10.1108/IJWHM-03-2024-0041</w:t>
        </w:r>
      </w:hyperlink>
    </w:p>
    <w:p w14:paraId="67086518" w14:textId="0BC1862F" w:rsidR="000A7775" w:rsidRDefault="000A7775" w:rsidP="00EC480F">
      <w:pPr>
        <w:pStyle w:val="NormalWeb"/>
        <w:spacing w:before="0" w:beforeAutospacing="0" w:after="0" w:afterAutospacing="0"/>
        <w:ind w:left="720" w:hanging="720"/>
      </w:pPr>
      <w:proofErr w:type="spellStart"/>
      <w:r w:rsidRPr="00EC480F">
        <w:t>Delbosc</w:t>
      </w:r>
      <w:proofErr w:type="spellEnd"/>
      <w:r w:rsidRPr="00EC480F">
        <w:t xml:space="preserve">, Alexa, and Jennifer Kent. 2024. “Employee Intentions and Employer Expectations: A Mixed-Methods Systematic Review of ‘Post-COVID’ Intentions to Work from Home.” Transport Reviews 44 (2): 248–71. </w:t>
      </w:r>
      <w:hyperlink r:id="rId255" w:history="1">
        <w:r w:rsidR="00EC480F" w:rsidRPr="00F84000">
          <w:rPr>
            <w:rStyle w:val="Hyperlink"/>
          </w:rPr>
          <w:t>https://doi.org/10.1080/01441647.2023.2259100</w:t>
        </w:r>
      </w:hyperlink>
    </w:p>
    <w:p w14:paraId="2C611FA7" w14:textId="674AEA99" w:rsidR="00EC480F" w:rsidRPr="00EC480F" w:rsidRDefault="000A7775" w:rsidP="00EC480F">
      <w:pPr>
        <w:pStyle w:val="NormalWeb"/>
        <w:spacing w:before="0" w:beforeAutospacing="0" w:after="0" w:afterAutospacing="0"/>
        <w:ind w:left="720" w:hanging="720"/>
      </w:pPr>
      <w:r w:rsidRPr="00EC480F">
        <w:t xml:space="preserve">Dong, Hongwei. 2021. “Evaluating the Impacts of Transit-Oriented Developments (TODs) on Household Transportation Expenditures in California.” Journal of Transport Geography 90: 102946. </w:t>
      </w:r>
      <w:hyperlink r:id="rId256" w:history="1">
        <w:r w:rsidR="00EC480F" w:rsidRPr="00F84000">
          <w:rPr>
            <w:rStyle w:val="Hyperlink"/>
          </w:rPr>
          <w:t>https://doi.org/10.1016/j.jtrangeo.2020.102946</w:t>
        </w:r>
      </w:hyperlink>
    </w:p>
    <w:p w14:paraId="50BBC1D6" w14:textId="5433CBEC" w:rsidR="000A7775" w:rsidRDefault="000A7775" w:rsidP="00EC480F">
      <w:pPr>
        <w:pStyle w:val="NormalWeb"/>
        <w:spacing w:before="0" w:beforeAutospacing="0" w:after="0" w:afterAutospacing="0"/>
        <w:ind w:left="720" w:hanging="720"/>
      </w:pPr>
      <w:r w:rsidRPr="00EC480F">
        <w:t xml:space="preserve">Han, </w:t>
      </w:r>
      <w:proofErr w:type="spellStart"/>
      <w:r w:rsidRPr="00EC480F">
        <w:t>Chaeyeon</w:t>
      </w:r>
      <w:proofErr w:type="spellEnd"/>
      <w:r w:rsidRPr="00EC480F">
        <w:t xml:space="preserve">, </w:t>
      </w:r>
      <w:proofErr w:type="spellStart"/>
      <w:r w:rsidRPr="00EC480F">
        <w:t>Subhrajit</w:t>
      </w:r>
      <w:proofErr w:type="spellEnd"/>
      <w:r w:rsidRPr="00EC480F">
        <w:t xml:space="preserve"> </w:t>
      </w:r>
      <w:proofErr w:type="spellStart"/>
      <w:r w:rsidRPr="00EC480F">
        <w:t>Guhathakurta</w:t>
      </w:r>
      <w:proofErr w:type="spellEnd"/>
      <w:r w:rsidRPr="00EC480F">
        <w:t xml:space="preserve">, Eric Hittinger, </w:t>
      </w:r>
      <w:proofErr w:type="spellStart"/>
      <w:r w:rsidRPr="00EC480F">
        <w:t>Kun</w:t>
      </w:r>
      <w:proofErr w:type="spellEnd"/>
      <w:r w:rsidRPr="00EC480F">
        <w:t xml:space="preserve"> Liu, and </w:t>
      </w:r>
      <w:proofErr w:type="spellStart"/>
      <w:r w:rsidRPr="00EC480F">
        <w:t>Sinoun</w:t>
      </w:r>
      <w:proofErr w:type="spellEnd"/>
      <w:r w:rsidRPr="00EC480F">
        <w:t xml:space="preserve"> </w:t>
      </w:r>
      <w:proofErr w:type="spellStart"/>
      <w:r w:rsidRPr="00EC480F">
        <w:t>Phoung</w:t>
      </w:r>
      <w:proofErr w:type="spellEnd"/>
      <w:r w:rsidRPr="00EC480F">
        <w:t xml:space="preserve">. 2026. “Unraveling Interactions between Telework and Vehicle Use among Vehicle-Owning Households.” Environmental Research: Infrastructure and Sustainability, ahead of print. </w:t>
      </w:r>
      <w:hyperlink r:id="rId257" w:history="1">
        <w:r w:rsidR="00EC480F" w:rsidRPr="00F84000">
          <w:rPr>
            <w:rStyle w:val="Hyperlink"/>
          </w:rPr>
          <w:t>https://doi.org/10.1088/2634-4505/ae8b5a</w:t>
        </w:r>
      </w:hyperlink>
    </w:p>
    <w:p w14:paraId="25636C1F" w14:textId="47832F13" w:rsidR="000A7775" w:rsidRDefault="000A7775" w:rsidP="00EC480F">
      <w:pPr>
        <w:pStyle w:val="NormalWeb"/>
        <w:spacing w:before="0" w:beforeAutospacing="0" w:after="0" w:afterAutospacing="0"/>
        <w:ind w:left="720" w:hanging="720"/>
      </w:pPr>
      <w:r w:rsidRPr="00EC480F">
        <w:t xml:space="preserve">Huda, Fuad Yasin, Graham Currie, and Md. </w:t>
      </w:r>
      <w:proofErr w:type="spellStart"/>
      <w:r w:rsidRPr="00EC480F">
        <w:t>Kamruzzaman</w:t>
      </w:r>
      <w:proofErr w:type="spellEnd"/>
      <w:r w:rsidRPr="00EC480F">
        <w:t xml:space="preserve">. 2023. “Understanding the Value of Autonomous Vehicles – an Empirical Meta-Synthesis.” Transport Reviews 43 (6): 1058–82. </w:t>
      </w:r>
      <w:hyperlink r:id="rId258" w:history="1">
        <w:r w:rsidR="00EC480F" w:rsidRPr="00F84000">
          <w:rPr>
            <w:rStyle w:val="Hyperlink"/>
          </w:rPr>
          <w:t>https://doi.org/10.1080/01441647.2023.2189324</w:t>
        </w:r>
      </w:hyperlink>
    </w:p>
    <w:p w14:paraId="7237AB70" w14:textId="68B07D6B" w:rsidR="000A7775" w:rsidRDefault="000A7775" w:rsidP="00EC480F">
      <w:pPr>
        <w:pStyle w:val="NormalWeb"/>
        <w:spacing w:before="0" w:beforeAutospacing="0" w:after="0" w:afterAutospacing="0"/>
        <w:ind w:left="720" w:hanging="720"/>
      </w:pPr>
      <w:proofErr w:type="spellStart"/>
      <w:r w:rsidRPr="00EC480F">
        <w:t>Iogansen</w:t>
      </w:r>
      <w:proofErr w:type="spellEnd"/>
      <w:r w:rsidRPr="00EC480F">
        <w:t xml:space="preserve">, </w:t>
      </w:r>
      <w:proofErr w:type="spellStart"/>
      <w:r w:rsidRPr="00EC480F">
        <w:t>Xiatian</w:t>
      </w:r>
      <w:proofErr w:type="spellEnd"/>
      <w:r w:rsidRPr="00EC480F">
        <w:t xml:space="preserve">, Jai K. Malik, Yongsung Lee, and Giovanni Circella. 2024. “Change in Work Arrangement during the COVID-19 Pandemic: A Large Shift to Remote and Hybrid Work.” Transportation Research Interdisciplinary Perspectives 25: 100969. </w:t>
      </w:r>
      <w:hyperlink r:id="rId259" w:history="1">
        <w:r w:rsidR="00EC480F" w:rsidRPr="00F84000">
          <w:rPr>
            <w:rStyle w:val="Hyperlink"/>
          </w:rPr>
          <w:t>https://doi.org/10.1016/j.trip.2023.100969</w:t>
        </w:r>
      </w:hyperlink>
    </w:p>
    <w:p w14:paraId="5CB8E125" w14:textId="0B45953A" w:rsidR="000A7775" w:rsidRDefault="000A7775" w:rsidP="00EC480F">
      <w:pPr>
        <w:pStyle w:val="NormalWeb"/>
        <w:spacing w:before="0" w:beforeAutospacing="0" w:after="0" w:afterAutospacing="0"/>
        <w:ind w:left="720" w:hanging="720"/>
      </w:pPr>
      <w:proofErr w:type="spellStart"/>
      <w:r w:rsidRPr="00EC480F">
        <w:t>Jammaers</w:t>
      </w:r>
      <w:proofErr w:type="spellEnd"/>
      <w:r w:rsidRPr="00EC480F">
        <w:t xml:space="preserve">, Eline, and </w:t>
      </w:r>
      <w:proofErr w:type="spellStart"/>
      <w:r w:rsidRPr="00EC480F">
        <w:t>Jannine</w:t>
      </w:r>
      <w:proofErr w:type="spellEnd"/>
      <w:r w:rsidRPr="00EC480F">
        <w:t xml:space="preserve"> Williams. 2021. “Care for the Self, Overcompensation and Bodily Crafting: The Work–Life Balance of Disabled People.” Gender, Work &amp; Organization 28 (1): 119–37. </w:t>
      </w:r>
      <w:hyperlink r:id="rId260" w:history="1">
        <w:r w:rsidR="00EC480F" w:rsidRPr="00F84000">
          <w:rPr>
            <w:rStyle w:val="Hyperlink"/>
          </w:rPr>
          <w:t>https://doi.org/10.1111/gwao.12531</w:t>
        </w:r>
      </w:hyperlink>
    </w:p>
    <w:p w14:paraId="3BA23337" w14:textId="159A5D2D" w:rsidR="000A7775" w:rsidRPr="00485DC5" w:rsidRDefault="000A7775" w:rsidP="00EC480F">
      <w:pPr>
        <w:pStyle w:val="NormalWeb"/>
        <w:spacing w:before="0" w:beforeAutospacing="0" w:after="0" w:afterAutospacing="0"/>
        <w:ind w:left="720" w:hanging="720"/>
      </w:pPr>
      <w:r w:rsidRPr="00EC480F">
        <w:t xml:space="preserve">Jones, Andrea M., Jonathan Fan, Leah Thomas-Olson, Wei Zhang, and Christopher B. McLeod. 2023. “Continuation of Telework in the Post-Pandemic Era: Healthcare Employees’ Preference and Determinants.” Healthcare Management Forum 36 (4): 256–62. </w:t>
      </w:r>
      <w:hyperlink r:id="rId261" w:history="1">
        <w:r w:rsidR="00EC480F" w:rsidRPr="00485DC5">
          <w:rPr>
            <w:rStyle w:val="Hyperlink"/>
          </w:rPr>
          <w:t>https://doi.org/10.1177/08404704231170733</w:t>
        </w:r>
      </w:hyperlink>
    </w:p>
    <w:p w14:paraId="58939899" w14:textId="7A43AD12" w:rsidR="000A7775" w:rsidRDefault="000A7775" w:rsidP="00EC480F">
      <w:pPr>
        <w:pStyle w:val="NormalWeb"/>
        <w:spacing w:before="0" w:beforeAutospacing="0" w:after="0" w:afterAutospacing="0"/>
        <w:ind w:left="720" w:hanging="720"/>
      </w:pPr>
      <w:proofErr w:type="spellStart"/>
      <w:r w:rsidRPr="00485DC5">
        <w:t>Kappler</w:t>
      </w:r>
      <w:proofErr w:type="spellEnd"/>
      <w:r w:rsidRPr="00485DC5">
        <w:t xml:space="preserve">, </w:t>
      </w:r>
      <w:proofErr w:type="spellStart"/>
      <w:r w:rsidRPr="00485DC5">
        <w:t>Laísa</w:t>
      </w:r>
      <w:proofErr w:type="spellEnd"/>
      <w:r w:rsidRPr="00485DC5">
        <w:t xml:space="preserve"> Braga, and João de Abreu e Silva. </w:t>
      </w:r>
      <w:r w:rsidRPr="00EC480F">
        <w:t xml:space="preserve">2025. “Telework Frequency and Travel Behaviour during the Later Stages of the COVID-19 Pandemic. A Study across Different Metropolitan Areas: Lisbon, Istanbul, and Porto Alegre.” Journal of Transport Geography 123: 104102. </w:t>
      </w:r>
      <w:hyperlink r:id="rId262" w:history="1">
        <w:r w:rsidR="00EC480F" w:rsidRPr="00F84000">
          <w:rPr>
            <w:rStyle w:val="Hyperlink"/>
          </w:rPr>
          <w:t>https://doi.org/10.1016/j.jtrangeo.2024.104102</w:t>
        </w:r>
      </w:hyperlink>
    </w:p>
    <w:p w14:paraId="31521AB2" w14:textId="5C6CBF0A" w:rsidR="000A7775" w:rsidRDefault="000A7775" w:rsidP="00EC480F">
      <w:pPr>
        <w:pStyle w:val="NormalWeb"/>
        <w:spacing w:before="0" w:beforeAutospacing="0" w:after="0" w:afterAutospacing="0"/>
        <w:ind w:left="720" w:hanging="720"/>
      </w:pPr>
      <w:proofErr w:type="spellStart"/>
      <w:r w:rsidRPr="00EC480F">
        <w:t>Kotýnková</w:t>
      </w:r>
      <w:proofErr w:type="spellEnd"/>
      <w:r w:rsidRPr="00EC480F">
        <w:t xml:space="preserve"> </w:t>
      </w:r>
      <w:proofErr w:type="spellStart"/>
      <w:r w:rsidRPr="00EC480F">
        <w:t>Krotká</w:t>
      </w:r>
      <w:proofErr w:type="spellEnd"/>
      <w:r w:rsidRPr="00EC480F">
        <w:t xml:space="preserve">, Veronika. 2025. “Flexible Work: Does It Really Mean More Autonomy? Time Poverty in Flexible Time-Space Working Arrangements.” Time &amp; Society 34 (2): 155–77. </w:t>
      </w:r>
      <w:hyperlink r:id="rId263" w:history="1">
        <w:r w:rsidR="00EC480F" w:rsidRPr="00F84000">
          <w:rPr>
            <w:rStyle w:val="Hyperlink"/>
          </w:rPr>
          <w:t>https://doi.org/10.1177/0961463X241261319</w:t>
        </w:r>
      </w:hyperlink>
    </w:p>
    <w:p w14:paraId="127B64E0" w14:textId="0AC45758" w:rsidR="000A7775" w:rsidRDefault="000A7775" w:rsidP="00EC480F">
      <w:pPr>
        <w:pStyle w:val="NormalWeb"/>
        <w:spacing w:before="0" w:beforeAutospacing="0" w:after="0" w:afterAutospacing="0"/>
        <w:ind w:left="720" w:hanging="720"/>
      </w:pPr>
      <w:r w:rsidRPr="00EC480F">
        <w:t xml:space="preserve">Lake, Betsy, and David W. Maidment. 2023. “‘Is This a New Dawn for Accessibility?’ A Qualitative Interview Study Assessing Remote Working Experiences in Adults with Physical Disabilities Post COVID-19.” WORK 76 (2): 437–51. </w:t>
      </w:r>
      <w:hyperlink r:id="rId264" w:history="1">
        <w:r w:rsidR="00EC480F" w:rsidRPr="00F84000">
          <w:rPr>
            <w:rStyle w:val="Hyperlink"/>
          </w:rPr>
          <w:t>https://doi.org/10.3233/WOR-220622</w:t>
        </w:r>
      </w:hyperlink>
    </w:p>
    <w:p w14:paraId="22D9A285" w14:textId="58578EC1" w:rsidR="000A7775" w:rsidRDefault="000A7775" w:rsidP="00EC480F">
      <w:pPr>
        <w:pStyle w:val="NormalWeb"/>
        <w:spacing w:before="0" w:beforeAutospacing="0" w:after="0" w:afterAutospacing="0"/>
        <w:ind w:left="720" w:hanging="720"/>
      </w:pPr>
      <w:r w:rsidRPr="00EC480F">
        <w:lastRenderedPageBreak/>
        <w:t xml:space="preserve">Lara-Pulido, Jose Alberto, and Adan L. Martinez-Cruz. 2022. “Stated Benefits of Teleworking in Mexico City: A Discrete Choice Experiment on Office Workers.” Transportation 50 (5): 1743–807. </w:t>
      </w:r>
      <w:hyperlink r:id="rId265" w:history="1">
        <w:r w:rsidR="00EC480F" w:rsidRPr="00F84000">
          <w:rPr>
            <w:rStyle w:val="Hyperlink"/>
          </w:rPr>
          <w:t>https://doi.org/10.1007/s11116-022-10293-w</w:t>
        </w:r>
      </w:hyperlink>
    </w:p>
    <w:p w14:paraId="123C8430" w14:textId="763F25ED" w:rsidR="000A7775" w:rsidRDefault="000A7775" w:rsidP="00EC480F">
      <w:pPr>
        <w:pStyle w:val="NormalWeb"/>
        <w:spacing w:before="0" w:beforeAutospacing="0" w:after="0" w:afterAutospacing="0"/>
        <w:ind w:left="720" w:hanging="720"/>
      </w:pPr>
      <w:r w:rsidRPr="00EC480F">
        <w:t xml:space="preserve">Li, </w:t>
      </w:r>
      <w:proofErr w:type="spellStart"/>
      <w:r w:rsidRPr="00EC480F">
        <w:t>Wenzhu</w:t>
      </w:r>
      <w:proofErr w:type="spellEnd"/>
      <w:r w:rsidRPr="00EC480F">
        <w:t xml:space="preserve">, </w:t>
      </w:r>
      <w:proofErr w:type="spellStart"/>
      <w:r w:rsidRPr="00EC480F">
        <w:t>Enjia</w:t>
      </w:r>
      <w:proofErr w:type="spellEnd"/>
      <w:r w:rsidRPr="00EC480F">
        <w:t xml:space="preserve"> Zhang, and Ying Long. 2024. “Unveiling Fine-Scale Urban Third Places for Remote Work Using Mobile Phone Big Data.” Sustainable Cities and Society 103: 105258. </w:t>
      </w:r>
      <w:hyperlink r:id="rId266" w:history="1">
        <w:r w:rsidR="00EC480F" w:rsidRPr="00F84000">
          <w:rPr>
            <w:rStyle w:val="Hyperlink"/>
          </w:rPr>
          <w:t>https://doi.org/10.1016/j.scs.2024.105258</w:t>
        </w:r>
      </w:hyperlink>
    </w:p>
    <w:p w14:paraId="36A7DDEF" w14:textId="66C23CAD" w:rsidR="000A7775" w:rsidRDefault="000A7775" w:rsidP="00EC480F">
      <w:pPr>
        <w:pStyle w:val="NormalWeb"/>
        <w:spacing w:before="0" w:beforeAutospacing="0" w:after="0" w:afterAutospacing="0"/>
        <w:ind w:left="720" w:hanging="720"/>
      </w:pPr>
      <w:r w:rsidRPr="00EC480F">
        <w:t>Motte-</w:t>
      </w:r>
      <w:proofErr w:type="spellStart"/>
      <w:r w:rsidRPr="00EC480F">
        <w:t>Baumvol</w:t>
      </w:r>
      <w:proofErr w:type="spellEnd"/>
      <w:r w:rsidRPr="00EC480F">
        <w:t xml:space="preserve">, Benjamin, and Tim Schwanen. 2026. “Work-from-Home Frequency across Metropolitan Contexts: A Comparison of Paris, New York and London.” Cities 175: 107196. </w:t>
      </w:r>
      <w:hyperlink r:id="rId267" w:history="1">
        <w:r w:rsidR="00EC480F" w:rsidRPr="00F84000">
          <w:rPr>
            <w:rStyle w:val="Hyperlink"/>
          </w:rPr>
          <w:t>https://doi.org/10.1016/j.cities.2026.107196</w:t>
        </w:r>
      </w:hyperlink>
    </w:p>
    <w:p w14:paraId="60F9F203" w14:textId="105CB735" w:rsidR="000A7775" w:rsidRDefault="000A7775" w:rsidP="00EC480F">
      <w:pPr>
        <w:pStyle w:val="NormalWeb"/>
        <w:spacing w:before="0" w:beforeAutospacing="0" w:after="0" w:afterAutospacing="0"/>
        <w:ind w:left="720" w:hanging="720"/>
      </w:pPr>
      <w:r w:rsidRPr="00EC480F">
        <w:t xml:space="preserve">Nagler, Markus, Johannes Rincke, and Erwin Winkler. 2024. “Working from Home, Commuting, and Gender.” Journal of Population Economics 37 (3): 58. </w:t>
      </w:r>
      <w:hyperlink r:id="rId268" w:history="1">
        <w:r w:rsidR="00EC480F" w:rsidRPr="00F84000">
          <w:rPr>
            <w:rStyle w:val="Hyperlink"/>
          </w:rPr>
          <w:t>https://doi.org/10.1007/s00148-024-01035-6</w:t>
        </w:r>
      </w:hyperlink>
    </w:p>
    <w:p w14:paraId="6FC65546" w14:textId="5AF59F40" w:rsidR="000A7775" w:rsidRDefault="000A7775" w:rsidP="00EC480F">
      <w:pPr>
        <w:pStyle w:val="NormalWeb"/>
        <w:spacing w:before="0" w:beforeAutospacing="0" w:after="0" w:afterAutospacing="0"/>
        <w:ind w:left="720" w:hanging="720"/>
      </w:pPr>
      <w:r w:rsidRPr="00EC480F">
        <w:t xml:space="preserve">Obeid, Hassan, Michael L. Anderson, Mohamed Amine Bouzaghrane, and Joan Walker. 2024. “Does Telecommuting Reduce Trip-Making? Evidence from a U.S. Panel during the COVID-19 Pandemic.” Transportation Research Part A: Policy and Practice 180: 103972. </w:t>
      </w:r>
      <w:hyperlink r:id="rId269" w:history="1">
        <w:r w:rsidR="00EC480F" w:rsidRPr="00F84000">
          <w:rPr>
            <w:rStyle w:val="Hyperlink"/>
          </w:rPr>
          <w:t>https://doi.org/10.1016/j.tra.2024.103972</w:t>
        </w:r>
      </w:hyperlink>
    </w:p>
    <w:p w14:paraId="26C245C2" w14:textId="0135922A" w:rsidR="000A7775" w:rsidRDefault="000A7775" w:rsidP="00EC480F">
      <w:pPr>
        <w:pStyle w:val="NormalWeb"/>
        <w:spacing w:before="0" w:beforeAutospacing="0" w:after="0" w:afterAutospacing="0"/>
        <w:ind w:left="720" w:hanging="720"/>
      </w:pPr>
      <w:r w:rsidRPr="00EC480F">
        <w:t xml:space="preserve">Ozbilen, Basar, Siddhartha </w:t>
      </w:r>
      <w:proofErr w:type="spellStart"/>
      <w:r w:rsidRPr="00EC480F">
        <w:t>Gulhare</w:t>
      </w:r>
      <w:proofErr w:type="spellEnd"/>
      <w:r w:rsidRPr="00EC480F">
        <w:t xml:space="preserve">, Keita Makino, et al. 2024. Barriers to Reducing the Carbon Footprint of Transportation Part 2: Investigating Evolving Travel Behaviors in the Post-Pandemic Period in California. </w:t>
      </w:r>
      <w:hyperlink r:id="rId270" w:history="1">
        <w:r w:rsidR="00EC480F" w:rsidRPr="00F84000">
          <w:rPr>
            <w:rStyle w:val="Hyperlink"/>
          </w:rPr>
          <w:t>https://escholarship.org/uc/item/59x3z9zb</w:t>
        </w:r>
      </w:hyperlink>
    </w:p>
    <w:p w14:paraId="05FAE98A" w14:textId="785DA08A" w:rsidR="000A7775" w:rsidRDefault="000A7775" w:rsidP="00EC480F">
      <w:pPr>
        <w:pStyle w:val="NormalWeb"/>
        <w:spacing w:before="0" w:beforeAutospacing="0" w:after="0" w:afterAutospacing="0"/>
        <w:ind w:left="720" w:hanging="720"/>
      </w:pPr>
      <w:r w:rsidRPr="00EC480F">
        <w:t xml:space="preserve">Rahman </w:t>
      </w:r>
      <w:proofErr w:type="spellStart"/>
      <w:r w:rsidRPr="00EC480F">
        <w:t>Fatmi</w:t>
      </w:r>
      <w:proofErr w:type="spellEnd"/>
      <w:r w:rsidRPr="00EC480F">
        <w:t xml:space="preserve">, Mahmudur, </w:t>
      </w:r>
      <w:proofErr w:type="spellStart"/>
      <w:r w:rsidRPr="00EC480F">
        <w:t>Muntahith</w:t>
      </w:r>
      <w:proofErr w:type="spellEnd"/>
      <w:r w:rsidRPr="00EC480F">
        <w:t xml:space="preserve"> </w:t>
      </w:r>
      <w:proofErr w:type="spellStart"/>
      <w:r w:rsidRPr="00EC480F">
        <w:t>Mehadil</w:t>
      </w:r>
      <w:proofErr w:type="spellEnd"/>
      <w:r w:rsidRPr="00EC480F">
        <w:t xml:space="preserve"> </w:t>
      </w:r>
      <w:proofErr w:type="spellStart"/>
      <w:r w:rsidRPr="00EC480F">
        <w:t>Orvin</w:t>
      </w:r>
      <w:proofErr w:type="spellEnd"/>
      <w:r w:rsidRPr="00EC480F">
        <w:t xml:space="preserve">, and Corrie Elizabeth Thirkell. 2022. “The Future of Telecommuting Post COVID-19 Pandemic.” Transportation Research Interdisciplinary Perspectives 16: 100685. </w:t>
      </w:r>
      <w:hyperlink r:id="rId271" w:history="1">
        <w:r w:rsidR="00EC480F" w:rsidRPr="00F84000">
          <w:rPr>
            <w:rStyle w:val="Hyperlink"/>
          </w:rPr>
          <w:t>https://doi.org/10.1016/j.trip.2022.100685</w:t>
        </w:r>
      </w:hyperlink>
    </w:p>
    <w:p w14:paraId="05DE003E" w14:textId="4B1D837E" w:rsidR="000A7775" w:rsidRDefault="000A7775" w:rsidP="00EC480F">
      <w:pPr>
        <w:pStyle w:val="NormalWeb"/>
        <w:spacing w:before="0" w:beforeAutospacing="0" w:after="0" w:afterAutospacing="0"/>
        <w:ind w:left="720" w:hanging="720"/>
      </w:pPr>
      <w:r w:rsidRPr="00EC480F">
        <w:t xml:space="preserve">Scheibe, Susanne, Lena Retzlaff, Sabine Hommelhoff, and Antje Schmitt. 2024. “Age-Related Differences in the Use of Boundary Management Tactics When Teleworking: Implications for Productivity and Work-Life Balance.” Journal of Occupational and Organizational Psychology 97 (4): 1330–52. </w:t>
      </w:r>
      <w:hyperlink r:id="rId272" w:history="1">
        <w:r w:rsidR="00EC480F" w:rsidRPr="00F84000">
          <w:rPr>
            <w:rStyle w:val="Hyperlink"/>
          </w:rPr>
          <w:t>https://doi.org/10.1111/joop.12512</w:t>
        </w:r>
      </w:hyperlink>
    </w:p>
    <w:p w14:paraId="30BC0B56" w14:textId="38E42F14" w:rsidR="000A7775" w:rsidRPr="00EC480F" w:rsidRDefault="000A7775" w:rsidP="00EC480F">
      <w:pPr>
        <w:pStyle w:val="NormalWeb"/>
        <w:spacing w:before="0" w:beforeAutospacing="0" w:after="0" w:afterAutospacing="0"/>
        <w:ind w:left="720" w:hanging="720"/>
      </w:pPr>
      <w:r w:rsidRPr="00EC480F">
        <w:t xml:space="preserve">Sener, Ipek N., and Chandra R. Bhat. 2011. “A Copula-Based Sample Selection Model of Telecommuting Choice and Frequency.” Environment and Planning A: Economy and Space 43 (1): 126–45. </w:t>
      </w:r>
      <w:hyperlink r:id="rId273" w:history="1">
        <w:r w:rsidR="00792F28" w:rsidRPr="00EC480F">
          <w:rPr>
            <w:rStyle w:val="Hyperlink"/>
          </w:rPr>
          <w:t>https://doi.org/10.1068/a43133</w:t>
        </w:r>
      </w:hyperlink>
      <w:r w:rsidRPr="00EC480F">
        <w:t>.</w:t>
      </w:r>
    </w:p>
    <w:p w14:paraId="5598C45F" w14:textId="4BDE88CA" w:rsidR="00792F28" w:rsidRDefault="00792F28" w:rsidP="00EC480F">
      <w:pPr>
        <w:pStyle w:val="NormalWeb"/>
        <w:spacing w:before="0" w:beforeAutospacing="0" w:after="0" w:afterAutospacing="0"/>
        <w:ind w:left="720" w:hanging="720"/>
      </w:pPr>
      <w:r w:rsidRPr="00EC480F">
        <w:t xml:space="preserve">Singh, </w:t>
      </w:r>
      <w:proofErr w:type="spellStart"/>
      <w:r w:rsidRPr="00EC480F">
        <w:t>Palvinder</w:t>
      </w:r>
      <w:proofErr w:type="spellEnd"/>
      <w:r w:rsidRPr="00EC480F">
        <w:t xml:space="preserve">, Rajesh Paleti, </w:t>
      </w:r>
      <w:proofErr w:type="spellStart"/>
      <w:r w:rsidRPr="00EC480F">
        <w:t>Syndney</w:t>
      </w:r>
      <w:proofErr w:type="spellEnd"/>
      <w:r w:rsidRPr="00EC480F">
        <w:t xml:space="preserve"> Jenkins, and Chandra R. Bhat. 2012. “On Modeling Telecommuting Behavior: Option, Choice, and Frequency.” Transportation 40 (2): 373–96. </w:t>
      </w:r>
      <w:hyperlink r:id="rId274" w:history="1">
        <w:r w:rsidR="00EC480F" w:rsidRPr="00F84000">
          <w:rPr>
            <w:rStyle w:val="Hyperlink"/>
          </w:rPr>
          <w:t>https://doi.org/10.1007/s11116-012-9429-2</w:t>
        </w:r>
      </w:hyperlink>
    </w:p>
    <w:p w14:paraId="390BC0A7" w14:textId="34A45E8F" w:rsidR="000A7775" w:rsidRDefault="000A7775" w:rsidP="00EC480F">
      <w:pPr>
        <w:pStyle w:val="NormalWeb"/>
        <w:spacing w:before="0" w:beforeAutospacing="0" w:after="0" w:afterAutospacing="0"/>
        <w:ind w:left="720" w:hanging="720"/>
      </w:pPr>
      <w:proofErr w:type="spellStart"/>
      <w:r w:rsidRPr="00EC480F">
        <w:t>Stefaniec</w:t>
      </w:r>
      <w:proofErr w:type="spellEnd"/>
      <w:r w:rsidRPr="00EC480F">
        <w:t xml:space="preserve">, Agnieszka, William Brazil, Warren Whitney, Wen Zhang, Barry Colleary, and Brian Caulfield. 2024. “Examining the Long-Term Reduction in Commuting Emissions from Working from Home.” Transportation Research Part D: Transport and Environment 127: 104063. </w:t>
      </w:r>
      <w:hyperlink r:id="rId275" w:history="1">
        <w:r w:rsidR="00EC480F" w:rsidRPr="00F84000">
          <w:rPr>
            <w:rStyle w:val="Hyperlink"/>
          </w:rPr>
          <w:t>https://doi.org/10.1016/j.trd.2024.104063</w:t>
        </w:r>
      </w:hyperlink>
    </w:p>
    <w:p w14:paraId="12EA9B6A" w14:textId="08A4F3ED" w:rsidR="000A7775" w:rsidRDefault="000A7775" w:rsidP="00EC480F">
      <w:pPr>
        <w:pStyle w:val="NormalWeb"/>
        <w:spacing w:before="0" w:beforeAutospacing="0" w:after="0" w:afterAutospacing="0"/>
        <w:ind w:left="720" w:hanging="720"/>
      </w:pPr>
      <w:r w:rsidRPr="00EC480F">
        <w:t xml:space="preserve">Sweet, Matthias, and Darren M. Scott. 2026. “Interpreting an Unfolding Future: Is Teleworking as Common after the Pandemic as We Expected? And What Does It Mean for Policy?” Travel Behaviour and Society 43: 101234. </w:t>
      </w:r>
      <w:hyperlink r:id="rId276" w:history="1">
        <w:r w:rsidR="00EC480F" w:rsidRPr="00F84000">
          <w:rPr>
            <w:rStyle w:val="Hyperlink"/>
          </w:rPr>
          <w:t>https://doi.org/10.1016/j.tbs.2026.101234</w:t>
        </w:r>
      </w:hyperlink>
    </w:p>
    <w:p w14:paraId="4D58F5B1" w14:textId="1A3AAE0F" w:rsidR="000A7775" w:rsidRDefault="000A7775" w:rsidP="00EC480F">
      <w:pPr>
        <w:pStyle w:val="NormalWeb"/>
        <w:spacing w:before="0" w:beforeAutospacing="0" w:after="0" w:afterAutospacing="0"/>
        <w:ind w:left="720" w:hanging="720"/>
      </w:pPr>
      <w:r w:rsidRPr="00EC480F">
        <w:t xml:space="preserve">Tahlyan, Divyakant, Maher Said, Hani Mahmassani, Amanda Stathopoulos, Joan Walker, and Susan Shaheen. 2022. “For Whom Did Telework Not Work during the Pandemic? Understanding the Factors Impacting Telework Satisfaction in the US Using a Multiple Indicator Multiple Cause (MIMIC) Model.” Transportation Research Part A: Policy and Practice 155: 387–402. </w:t>
      </w:r>
      <w:hyperlink r:id="rId277" w:history="1">
        <w:r w:rsidR="00EC480F" w:rsidRPr="00F84000">
          <w:rPr>
            <w:rStyle w:val="Hyperlink"/>
          </w:rPr>
          <w:t>https://doi.org/10.1016/j.tra.2021.11.025</w:t>
        </w:r>
      </w:hyperlink>
    </w:p>
    <w:p w14:paraId="68D66C60" w14:textId="659BDCB6" w:rsidR="000A7775" w:rsidRDefault="000A7775" w:rsidP="00EC480F">
      <w:pPr>
        <w:pStyle w:val="NormalWeb"/>
        <w:spacing w:before="0" w:beforeAutospacing="0" w:after="0" w:afterAutospacing="0"/>
        <w:ind w:left="720" w:hanging="720"/>
      </w:pPr>
      <w:r w:rsidRPr="00EC480F">
        <w:lastRenderedPageBreak/>
        <w:t xml:space="preserve">Tan, Simon, Kevin Fang, and T. William Lester. 2023. “Post-Pandemic Travel Patterns of Remote Tech Workers.” Transportation Research Interdisciplinary Perspectives 19: 100804. </w:t>
      </w:r>
      <w:hyperlink r:id="rId278" w:history="1">
        <w:r w:rsidR="00EC480F" w:rsidRPr="00F84000">
          <w:rPr>
            <w:rStyle w:val="Hyperlink"/>
          </w:rPr>
          <w:t>https://doi.org/10.1016/j.trip.2023.100804</w:t>
        </w:r>
      </w:hyperlink>
    </w:p>
    <w:p w14:paraId="0508A05B" w14:textId="16717125" w:rsidR="000A7775" w:rsidRDefault="000A7775" w:rsidP="00EC480F">
      <w:pPr>
        <w:pStyle w:val="NormalWeb"/>
        <w:spacing w:before="0" w:beforeAutospacing="0" w:after="0" w:afterAutospacing="0"/>
        <w:ind w:left="720" w:hanging="720"/>
      </w:pPr>
      <w:proofErr w:type="spellStart"/>
      <w:r w:rsidRPr="00EC480F">
        <w:t>Thakuriah</w:t>
      </w:r>
      <w:proofErr w:type="spellEnd"/>
      <w:r w:rsidRPr="00EC480F">
        <w:t xml:space="preserve">, </w:t>
      </w:r>
      <w:proofErr w:type="spellStart"/>
      <w:r w:rsidRPr="00EC480F">
        <w:t>Piyushimita</w:t>
      </w:r>
      <w:proofErr w:type="spellEnd"/>
      <w:r w:rsidRPr="00EC480F">
        <w:t xml:space="preserve"> </w:t>
      </w:r>
      <w:proofErr w:type="spellStart"/>
      <w:r w:rsidRPr="00EC480F">
        <w:t>Vonu</w:t>
      </w:r>
      <w:proofErr w:type="spellEnd"/>
      <w:r w:rsidRPr="00EC480F">
        <w:t xml:space="preserve">, Joseph </w:t>
      </w:r>
      <w:proofErr w:type="spellStart"/>
      <w:r w:rsidRPr="00EC480F">
        <w:t>Persky</w:t>
      </w:r>
      <w:proofErr w:type="spellEnd"/>
      <w:r w:rsidRPr="00EC480F">
        <w:t xml:space="preserve">, Siim Soot, and P. S. Sriraj. 2013. “Costs and Benefits of Employment Transportation for Low-Wage Workers: An Assessment of Job Access Public Transportation Services.” Evaluation and Program Planning 37: 31–42. </w:t>
      </w:r>
      <w:hyperlink r:id="rId279" w:history="1">
        <w:r w:rsidR="00EC480F" w:rsidRPr="00F84000">
          <w:rPr>
            <w:rStyle w:val="Hyperlink"/>
          </w:rPr>
          <w:t>https://doi.org/10.1016/j.evalprogplan.2012.11.004</w:t>
        </w:r>
      </w:hyperlink>
    </w:p>
    <w:p w14:paraId="36FC71BD" w14:textId="7D6AE47D" w:rsidR="000A7775" w:rsidRDefault="000A7775" w:rsidP="00EC480F">
      <w:pPr>
        <w:pStyle w:val="NormalWeb"/>
        <w:spacing w:before="0" w:beforeAutospacing="0" w:after="0" w:afterAutospacing="0"/>
        <w:ind w:left="720" w:hanging="720"/>
      </w:pPr>
      <w:r w:rsidRPr="00EC480F">
        <w:t xml:space="preserve">Thompson, Rebecca J., Stephanie C. Payne, Allison L. Alexander, Vanessa A. Gaskins, and Jaime B. Henning. 2022. “A Taxonomy of Employee Motives for Telework.” Occupational Health Science 6 (2): 149–78. </w:t>
      </w:r>
      <w:hyperlink r:id="rId280" w:history="1">
        <w:r w:rsidR="00EC480F" w:rsidRPr="00F84000">
          <w:rPr>
            <w:rStyle w:val="Hyperlink"/>
          </w:rPr>
          <w:t>https://doi.org/10.1007/s41542-021-00094-5</w:t>
        </w:r>
      </w:hyperlink>
    </w:p>
    <w:p w14:paraId="733F968C" w14:textId="18949111" w:rsidR="00EC480F" w:rsidRPr="00FB5B3D" w:rsidRDefault="000A7775" w:rsidP="00EC480F">
      <w:pPr>
        <w:pStyle w:val="NormalWeb"/>
        <w:spacing w:before="0" w:beforeAutospacing="0" w:after="0" w:afterAutospacing="0"/>
        <w:ind w:left="720" w:hanging="720"/>
      </w:pPr>
      <w:r w:rsidRPr="00EC480F">
        <w:t xml:space="preserve">Thulin, Eva, Bertil Vilhelmson, and Louise Brundin. 2023. “Telework after Confinement: Interrogating the </w:t>
      </w:r>
      <w:proofErr w:type="spellStart"/>
      <w:r w:rsidRPr="00EC480F">
        <w:t>Spatiotemporalities</w:t>
      </w:r>
      <w:proofErr w:type="spellEnd"/>
      <w:r w:rsidRPr="00EC480F">
        <w:t xml:space="preserve"> of Home-Based Work Life.” Journal of Transport Geography 113: 103740. </w:t>
      </w:r>
      <w:hyperlink r:id="rId281" w:history="1">
        <w:r w:rsidR="00EC480F" w:rsidRPr="00FB5B3D">
          <w:rPr>
            <w:rStyle w:val="Hyperlink"/>
          </w:rPr>
          <w:t>https://doi.org/10.1016/j.jtrangeo.2023.103740</w:t>
        </w:r>
      </w:hyperlink>
    </w:p>
    <w:p w14:paraId="712D4A6F" w14:textId="38717C88" w:rsidR="000A7775" w:rsidRDefault="000A7775" w:rsidP="00EC480F">
      <w:pPr>
        <w:pStyle w:val="NormalWeb"/>
        <w:spacing w:before="0" w:beforeAutospacing="0" w:after="0" w:afterAutospacing="0"/>
        <w:ind w:left="720" w:hanging="720"/>
      </w:pPr>
      <w:proofErr w:type="spellStart"/>
      <w:r w:rsidRPr="00FB5B3D">
        <w:t>Versigghel</w:t>
      </w:r>
      <w:proofErr w:type="spellEnd"/>
      <w:r w:rsidRPr="00FB5B3D">
        <w:t xml:space="preserve">, </w:t>
      </w:r>
      <w:proofErr w:type="spellStart"/>
      <w:r w:rsidRPr="00FB5B3D">
        <w:t>Jente</w:t>
      </w:r>
      <w:proofErr w:type="spellEnd"/>
      <w:r w:rsidRPr="00FB5B3D">
        <w:t xml:space="preserve">, Jonas De Vos, and Frank Witlox. </w:t>
      </w:r>
      <w:r w:rsidRPr="00EC480F">
        <w:t xml:space="preserve">2025. “Telework and Commuting Patterns. An Empirical Study of Workers in Flanders, Belgium.” Journal of Urban Mobility 7: 100125. </w:t>
      </w:r>
      <w:hyperlink r:id="rId282" w:history="1">
        <w:r w:rsidR="00EC480F" w:rsidRPr="00F84000">
          <w:rPr>
            <w:rStyle w:val="Hyperlink"/>
          </w:rPr>
          <w:t>https://doi.org/10.1016/j.urbmob.2025.100125</w:t>
        </w:r>
      </w:hyperlink>
    </w:p>
    <w:p w14:paraId="718D874C" w14:textId="1EF4CC65" w:rsidR="000A7775" w:rsidRDefault="000A7775" w:rsidP="00EC480F">
      <w:pPr>
        <w:pStyle w:val="NormalWeb"/>
        <w:spacing w:before="0" w:beforeAutospacing="0" w:after="0" w:afterAutospacing="0"/>
        <w:ind w:left="720" w:hanging="720"/>
      </w:pPr>
      <w:r w:rsidRPr="00EC480F">
        <w:t xml:space="preserve">Wang, Xinyi, Sung Hoo Kim, and Patricia L. Mokhtarian. 2023. “Teleworking Behavior Pre-, during, and Expected Post-COVID: Identification and Empirical Description of Trajectory Types.” Travel Behaviour and Society 33: 100628. </w:t>
      </w:r>
      <w:hyperlink r:id="rId283" w:history="1">
        <w:r w:rsidR="00EC480F" w:rsidRPr="00F84000">
          <w:rPr>
            <w:rStyle w:val="Hyperlink"/>
          </w:rPr>
          <w:t>https://doi.org/10.1016/j.tbs.2023.100628</w:t>
        </w:r>
      </w:hyperlink>
    </w:p>
    <w:p w14:paraId="5D8C5BEE" w14:textId="7DD6963D" w:rsidR="000A7775" w:rsidRDefault="000A7775" w:rsidP="00EC480F">
      <w:pPr>
        <w:pStyle w:val="NormalWeb"/>
        <w:spacing w:before="0" w:beforeAutospacing="0" w:after="0" w:afterAutospacing="0"/>
        <w:ind w:left="720" w:hanging="720"/>
      </w:pPr>
      <w:r w:rsidRPr="00EC480F">
        <w:t xml:space="preserve">Wang, Xinyi, Sung Hoo Kim, and Patricia L. Mokhtarian. 2024. “Identifying Teleworking-Related Motives and Comparing Telework Frequency Expectations in the Post-Pandemic World: A Latent Class Choice Modeling Approach.” Transportation Research Part A: Policy and Practice 186: 104070. </w:t>
      </w:r>
      <w:hyperlink r:id="rId284" w:history="1">
        <w:r w:rsidR="00EC480F" w:rsidRPr="00F84000">
          <w:rPr>
            <w:rStyle w:val="Hyperlink"/>
          </w:rPr>
          <w:t>https://doi.org/10.1016/j.tra.2024.104070</w:t>
        </w:r>
      </w:hyperlink>
    </w:p>
    <w:p w14:paraId="6CAF93E6" w14:textId="5701B553" w:rsidR="000A7775" w:rsidRPr="00EC480F" w:rsidRDefault="000A7775" w:rsidP="00EC480F">
      <w:pPr>
        <w:pStyle w:val="NormalWeb"/>
        <w:spacing w:before="0" w:beforeAutospacing="0" w:after="0" w:afterAutospacing="0"/>
        <w:ind w:left="720" w:hanging="720"/>
      </w:pPr>
      <w:r w:rsidRPr="00EC480F">
        <w:t xml:space="preserve">Wang, Xinyi, and Patricia L. Mokhtarian. 2024. “Examining the Treatment Effect of Teleworking on Vehicle-Miles Driven: Applying an Ordered Probit Selection Model and Incorporating the Role of Travel Stress.” Transportation Research Part A: Policy and Practice 186: 104072. </w:t>
      </w:r>
      <w:hyperlink r:id="rId285" w:history="1">
        <w:r w:rsidR="008472E9" w:rsidRPr="00EC480F">
          <w:rPr>
            <w:rStyle w:val="Hyperlink"/>
          </w:rPr>
          <w:t>https://doi.org/10.1016/j.tra.2024.104072</w:t>
        </w:r>
      </w:hyperlink>
    </w:p>
    <w:p w14:paraId="17F6A08B" w14:textId="70A8BCDD" w:rsidR="008472E9" w:rsidRDefault="008472E9" w:rsidP="00EC480F">
      <w:pPr>
        <w:pStyle w:val="NormalWeb"/>
        <w:spacing w:before="0" w:beforeAutospacing="0" w:after="0" w:afterAutospacing="0"/>
        <w:ind w:left="720" w:hanging="720"/>
      </w:pPr>
      <w:r w:rsidRPr="00EC480F">
        <w:t xml:space="preserve">WFH Research. 2026. “WFH Research | Survey of Working Arrangements and Attitudes.” </w:t>
      </w:r>
      <w:hyperlink r:id="rId286" w:history="1">
        <w:r w:rsidR="00EC480F" w:rsidRPr="00F84000">
          <w:rPr>
            <w:rStyle w:val="Hyperlink"/>
          </w:rPr>
          <w:t>https://wfhresearch.com/#</w:t>
        </w:r>
      </w:hyperlink>
    </w:p>
    <w:p w14:paraId="26C9C19D" w14:textId="7CA2294D" w:rsidR="000A7775" w:rsidRDefault="000A7775" w:rsidP="00EC480F">
      <w:pPr>
        <w:pStyle w:val="NormalWeb"/>
        <w:spacing w:before="0" w:beforeAutospacing="0" w:after="0" w:afterAutospacing="0"/>
        <w:ind w:left="720" w:hanging="720"/>
      </w:pPr>
      <w:r w:rsidRPr="00EC480F">
        <w:t xml:space="preserve">Xia, </w:t>
      </w:r>
      <w:proofErr w:type="spellStart"/>
      <w:r w:rsidRPr="00EC480F">
        <w:t>Junhao</w:t>
      </w:r>
      <w:proofErr w:type="spellEnd"/>
      <w:r w:rsidRPr="00EC480F">
        <w:t xml:space="preserve">, </w:t>
      </w:r>
      <w:proofErr w:type="spellStart"/>
      <w:r w:rsidRPr="00EC480F">
        <w:t>Wenzhu</w:t>
      </w:r>
      <w:proofErr w:type="spellEnd"/>
      <w:r w:rsidRPr="00EC480F">
        <w:t xml:space="preserve"> Li, </w:t>
      </w:r>
      <w:proofErr w:type="spellStart"/>
      <w:r w:rsidRPr="00EC480F">
        <w:t>Chunjiang</w:t>
      </w:r>
      <w:proofErr w:type="spellEnd"/>
      <w:r w:rsidRPr="00EC480F">
        <w:t xml:space="preserve"> Li, and Ying Long. 2026. “Unmasking the Spatial-Temporal Characteristics of Knowledge Workers’ Third-Place Remote Work.” Transactions in Urban Data, Science, and Technology, 27541231261444208. </w:t>
      </w:r>
      <w:hyperlink r:id="rId287" w:history="1">
        <w:r w:rsidR="00EC480F" w:rsidRPr="00F84000">
          <w:rPr>
            <w:rStyle w:val="Hyperlink"/>
          </w:rPr>
          <w:t>https://doi.org/10.1177/27541231261444208</w:t>
        </w:r>
      </w:hyperlink>
    </w:p>
    <w:p w14:paraId="25155C9C" w14:textId="00B3D5A5" w:rsidR="000A7775" w:rsidRDefault="000A7775" w:rsidP="00EC480F">
      <w:pPr>
        <w:pStyle w:val="NormalWeb"/>
        <w:spacing w:before="0" w:beforeAutospacing="0" w:after="0" w:afterAutospacing="0"/>
        <w:ind w:left="720" w:hanging="720"/>
      </w:pPr>
      <w:r w:rsidRPr="00EC480F">
        <w:t xml:space="preserve">Yang, </w:t>
      </w:r>
      <w:proofErr w:type="spellStart"/>
      <w:r w:rsidRPr="00EC480F">
        <w:t>Meilin</w:t>
      </w:r>
      <w:proofErr w:type="spellEnd"/>
      <w:r w:rsidRPr="00EC480F">
        <w:t xml:space="preserve">, </w:t>
      </w:r>
      <w:proofErr w:type="spellStart"/>
      <w:r w:rsidRPr="00EC480F">
        <w:t>Yunhan</w:t>
      </w:r>
      <w:proofErr w:type="spellEnd"/>
      <w:r w:rsidRPr="00EC480F">
        <w:t xml:space="preserve"> Zheng, </w:t>
      </w:r>
      <w:proofErr w:type="spellStart"/>
      <w:r w:rsidRPr="00EC480F">
        <w:t>Shenhao</w:t>
      </w:r>
      <w:proofErr w:type="spellEnd"/>
      <w:r w:rsidRPr="00EC480F">
        <w:t xml:space="preserve"> Wang, Xiaotong Guo, and Jinhua Zhao. 2025. “Impacts of the Built Environment on Remote Work Choices and Preferences.” Cities 163: 106034. </w:t>
      </w:r>
      <w:hyperlink r:id="rId288" w:history="1">
        <w:r w:rsidR="00EC480F" w:rsidRPr="00F84000">
          <w:rPr>
            <w:rStyle w:val="Hyperlink"/>
          </w:rPr>
          <w:t>https://doi.org/10.1016/j.cities.2025.106034</w:t>
        </w:r>
      </w:hyperlink>
    </w:p>
    <w:p w14:paraId="786026C3" w14:textId="091C22CC" w:rsidR="000878AF" w:rsidRPr="00A808CF" w:rsidRDefault="000A7775" w:rsidP="00EC480F">
      <w:pPr>
        <w:pStyle w:val="NormalWeb"/>
        <w:spacing w:before="0" w:beforeAutospacing="0" w:after="0" w:afterAutospacing="0"/>
        <w:ind w:left="720" w:hanging="720"/>
      </w:pPr>
      <w:proofErr w:type="spellStart"/>
      <w:r w:rsidRPr="00EC480F">
        <w:t>Z’Rotz</w:t>
      </w:r>
      <w:proofErr w:type="spellEnd"/>
      <w:r w:rsidRPr="00EC480F">
        <w:t xml:space="preserve">, Jana, Gabrielle </w:t>
      </w:r>
      <w:proofErr w:type="spellStart"/>
      <w:r w:rsidRPr="00EC480F">
        <w:t>Wanzenried</w:t>
      </w:r>
      <w:proofErr w:type="spellEnd"/>
      <w:r w:rsidRPr="00EC480F">
        <w:t xml:space="preserve">, and Sibylla Amstutz. 2026. “Exploring the Relationship between Telework and Housing Space: Empirical Evidence for Switzerland.” Urban Transitions 6: 100042. </w:t>
      </w:r>
      <w:hyperlink r:id="rId289" w:history="1">
        <w:r w:rsidR="007F3469" w:rsidRPr="00EC480F">
          <w:rPr>
            <w:rStyle w:val="Hyperlink"/>
          </w:rPr>
          <w:t>https://doi.org/10.1016/j.ubtr.2026.100042</w:t>
        </w:r>
      </w:hyperlink>
      <w:r>
        <w:t>.</w:t>
      </w:r>
    </w:p>
    <w:sectPr w:rsidR="000878AF" w:rsidRPr="00A808CF" w:rsidSect="005E36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4ABC7" w14:textId="77777777" w:rsidR="00F7103F" w:rsidRDefault="00F7103F" w:rsidP="00D913C8">
      <w:r>
        <w:separator/>
      </w:r>
    </w:p>
  </w:endnote>
  <w:endnote w:type="continuationSeparator" w:id="0">
    <w:p w14:paraId="4E25079B" w14:textId="77777777" w:rsidR="00F7103F" w:rsidRDefault="00F7103F"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4D3AADA3" w14:textId="77777777" w:rsidR="00FA697A" w:rsidRDefault="00FA697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5F242AB1" w14:textId="77777777" w:rsidR="00FA697A" w:rsidRDefault="00FA6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75051"/>
      <w:docPartObj>
        <w:docPartGallery w:val="Page Numbers (Bottom of Page)"/>
        <w:docPartUnique/>
      </w:docPartObj>
    </w:sdtPr>
    <w:sdtEndPr>
      <w:rPr>
        <w:noProof/>
      </w:rPr>
    </w:sdtEndPr>
    <w:sdtContent>
      <w:p w14:paraId="52CB48AA" w14:textId="096147BA" w:rsidR="00FA697A" w:rsidRDefault="003D6D39" w:rsidP="005E36CD">
        <w:pPr>
          <w:pStyle w:val="Footer"/>
          <w:jc w:val="center"/>
          <w:rPr>
            <w:noProof/>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57773" w14:textId="0FA50D25" w:rsidR="005E36CD" w:rsidRDefault="005E36CD" w:rsidP="005E36C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515153"/>
      <w:docPartObj>
        <w:docPartGallery w:val="Page Numbers (Bottom of Page)"/>
        <w:docPartUnique/>
      </w:docPartObj>
    </w:sdtPr>
    <w:sdtEndPr>
      <w:rPr>
        <w:noProof/>
      </w:rPr>
    </w:sdtEndPr>
    <w:sdtContent>
      <w:p w14:paraId="4B325AE5" w14:textId="77777777" w:rsidR="005E36CD" w:rsidRDefault="005E36CD" w:rsidP="005E36C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FA091" w14:textId="77777777" w:rsidR="00F7103F" w:rsidRDefault="00F7103F" w:rsidP="00D913C8">
      <w:r>
        <w:separator/>
      </w:r>
    </w:p>
  </w:footnote>
  <w:footnote w:type="continuationSeparator" w:id="0">
    <w:p w14:paraId="26915EF0" w14:textId="77777777" w:rsidR="00F7103F" w:rsidRDefault="00F7103F" w:rsidP="00D913C8">
      <w:r>
        <w:continuationSeparator/>
      </w:r>
    </w:p>
  </w:footnote>
  <w:footnote w:id="1">
    <w:p w14:paraId="325CEBC1" w14:textId="2DA0FD28" w:rsidR="001E7B15" w:rsidRDefault="001E7B15" w:rsidP="00E97CD8">
      <w:pPr>
        <w:pStyle w:val="FootnoteText"/>
      </w:pPr>
      <w:r>
        <w:rPr>
          <w:rStyle w:val="FootnoteReference"/>
        </w:rPr>
        <w:footnoteRef/>
      </w:r>
      <w:r>
        <w:t xml:space="preserve"> </w:t>
      </w:r>
      <w:r w:rsidR="00E97CD8" w:rsidRPr="00E97CD8">
        <w:t>Hybrid workers were not further segmented by remote work location because of the limited number of observations in some</w:t>
      </w:r>
      <w:r w:rsidR="00E97CD8">
        <w:t xml:space="preserve"> location</w:t>
      </w:r>
      <w:r w:rsidR="00E97CD8" w:rsidRPr="00E97CD8">
        <w:t xml:space="preserve"> categories. Among the 696 hybrid workers in the sample</w:t>
      </w:r>
      <w:r w:rsidR="006D35C4">
        <w:t>,</w:t>
      </w:r>
      <w:r w:rsidR="006D35C4" w:rsidRPr="006D35C4">
        <w:t xml:space="preserve"> 511 (73.4</w:t>
      </w:r>
      <w:r w:rsidR="00474CC9">
        <w:t xml:space="preserve"> percent</w:t>
      </w:r>
      <w:r w:rsidR="006D35C4" w:rsidRPr="006D35C4">
        <w:t xml:space="preserve">) </w:t>
      </w:r>
      <w:r w:rsidR="003014B6">
        <w:t>pursued</w:t>
      </w:r>
      <w:r w:rsidR="006D35C4" w:rsidRPr="006D35C4">
        <w:t xml:space="preserve"> remote work from home, 119 (17.1</w:t>
      </w:r>
      <w:r w:rsidR="00474CC9">
        <w:t xml:space="preserve"> percent</w:t>
      </w:r>
      <w:r w:rsidR="006D35C4" w:rsidRPr="006D35C4">
        <w:t xml:space="preserve">) </w:t>
      </w:r>
      <w:r w:rsidR="003014B6">
        <w:t>pursued</w:t>
      </w:r>
      <w:r w:rsidR="003014B6" w:rsidRPr="006D35C4">
        <w:t xml:space="preserve"> </w:t>
      </w:r>
      <w:r w:rsidR="006D35C4" w:rsidRPr="006D35C4">
        <w:t>remote work from both home and a third location, and only 66 (9.5</w:t>
      </w:r>
      <w:r w:rsidR="00474CC9">
        <w:t xml:space="preserve"> percent</w:t>
      </w:r>
      <w:r w:rsidR="006D35C4" w:rsidRPr="006D35C4">
        <w:t xml:space="preserve">) </w:t>
      </w:r>
      <w:r w:rsidR="003014B6">
        <w:t>pursued</w:t>
      </w:r>
      <w:r w:rsidR="003014B6" w:rsidRPr="006D35C4">
        <w:t xml:space="preserve"> </w:t>
      </w:r>
      <w:r w:rsidR="006D35C4" w:rsidRPr="006D35C4">
        <w:t>remote work exclusively from a third location.</w:t>
      </w:r>
      <w:r w:rsidR="00E97CD8" w:rsidRPr="00E97CD8">
        <w:t xml:space="preserve"> Consequently, a more disaggregate classification was not supported by the available sample.</w:t>
      </w:r>
      <w:r w:rsidR="003014B6">
        <w:t xml:space="preserve"> Such a more finely refined classification of hybrid workers by work location is left for future studies.</w:t>
      </w:r>
    </w:p>
  </w:footnote>
  <w:footnote w:id="2">
    <w:p w14:paraId="250C9600" w14:textId="3A9425C6" w:rsidR="005F6420" w:rsidRDefault="005F6420" w:rsidP="005F6420">
      <w:pPr>
        <w:pStyle w:val="FootnoteText"/>
        <w:keepLines/>
      </w:pPr>
      <w:r>
        <w:rPr>
          <w:rStyle w:val="FootnoteReference"/>
        </w:rPr>
        <w:footnoteRef/>
      </w:r>
      <w:r>
        <w:t xml:space="preserve"> Note that the work-from-home motivations captured in this study pertain specifically to remote work performed at home as opposed to at a third location. </w:t>
      </w:r>
      <w:r w:rsidR="003014B6">
        <w:t>Thus</w:t>
      </w:r>
      <w:r w:rsidRPr="006D35C4">
        <w:t>, hybrid workers who performed all remote work from third locations were not asked to report work-from-home motivations. Similarly, fully remote workers who worked exclusively from third locations were not asked to provide these motivations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A1D4" w14:textId="104B229F" w:rsidR="005F751E" w:rsidRPr="00F538DD" w:rsidRDefault="00AE0F5E">
    <w:pPr>
      <w:pStyle w:val="Header"/>
      <w:rPr>
        <w:rFonts w:ascii="Times New Roman" w:hAnsi="Times New Roman" w:cs="Times New Roman"/>
        <w:i/>
      </w:rPr>
    </w:pPr>
    <w:r>
      <w:rPr>
        <w:rFonts w:ascii="Times New Roman" w:hAnsi="Times New Roman" w:cs="Times New Roman"/>
        <w:i/>
      </w:rPr>
      <w:t xml:space="preserve">Beliveau, </w:t>
    </w:r>
    <w:r w:rsidR="00F538DD" w:rsidRPr="00F538DD">
      <w:rPr>
        <w:rFonts w:ascii="Times New Roman" w:hAnsi="Times New Roman" w:cs="Times New Roman"/>
        <w:i/>
      </w:rPr>
      <w:t>Robbennolt</w:t>
    </w:r>
    <w:r w:rsidR="00F538DD">
      <w:rPr>
        <w:rFonts w:ascii="Times New Roman" w:hAnsi="Times New Roman" w:cs="Times New Roman"/>
        <w:i/>
      </w:rPr>
      <w:t xml:space="preserve">, </w:t>
    </w:r>
    <w:r w:rsidR="00531386">
      <w:rPr>
        <w:rFonts w:ascii="Times New Roman" w:hAnsi="Times New Roman" w:cs="Times New Roman"/>
        <w:i/>
      </w:rPr>
      <w:t xml:space="preserve">Rodriguez Ocana, </w:t>
    </w:r>
    <w:r w:rsidR="00464AD9">
      <w:rPr>
        <w:rFonts w:ascii="Times New Roman" w:hAnsi="Times New Roman" w:cs="Times New Roman"/>
        <w:i/>
      </w:rPr>
      <w:t xml:space="preserve">Batur, </w:t>
    </w:r>
    <w:r w:rsidR="00F538DD">
      <w:rPr>
        <w:rFonts w:ascii="Times New Roman" w:hAnsi="Times New Roman" w:cs="Times New Roman"/>
        <w:i/>
      </w:rPr>
      <w:t>Pendyala, and Bhat</w:t>
    </w:r>
    <w:r w:rsidR="00F538DD">
      <w:rPr>
        <w:rFonts w:ascii="Times New Roman" w:hAnsi="Times New Roman" w:cs="Times New Roman"/>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5FB"/>
    <w:multiLevelType w:val="hybridMultilevel"/>
    <w:tmpl w:val="1FFA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25146"/>
    <w:multiLevelType w:val="hybridMultilevel"/>
    <w:tmpl w:val="A7026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B6827"/>
    <w:multiLevelType w:val="hybridMultilevel"/>
    <w:tmpl w:val="BE58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71BA6"/>
    <w:multiLevelType w:val="hybridMultilevel"/>
    <w:tmpl w:val="B7FE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30381"/>
    <w:multiLevelType w:val="hybridMultilevel"/>
    <w:tmpl w:val="CC521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7400FA"/>
    <w:multiLevelType w:val="hybridMultilevel"/>
    <w:tmpl w:val="403A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A83132"/>
    <w:multiLevelType w:val="hybridMultilevel"/>
    <w:tmpl w:val="5B16E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8E3008"/>
    <w:multiLevelType w:val="hybridMultilevel"/>
    <w:tmpl w:val="CD8C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22F76"/>
    <w:multiLevelType w:val="hybridMultilevel"/>
    <w:tmpl w:val="0F42C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83A51"/>
    <w:multiLevelType w:val="hybridMultilevel"/>
    <w:tmpl w:val="FAA06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D70E1"/>
    <w:multiLevelType w:val="hybridMultilevel"/>
    <w:tmpl w:val="120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1C6459"/>
    <w:multiLevelType w:val="hybridMultilevel"/>
    <w:tmpl w:val="FB70B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8A41F8"/>
    <w:multiLevelType w:val="hybridMultilevel"/>
    <w:tmpl w:val="08C6D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985589"/>
    <w:multiLevelType w:val="hybridMultilevel"/>
    <w:tmpl w:val="519A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C14678"/>
    <w:multiLevelType w:val="hybridMultilevel"/>
    <w:tmpl w:val="D3760A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C572EB"/>
    <w:multiLevelType w:val="hybridMultilevel"/>
    <w:tmpl w:val="F1947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6C61CC"/>
    <w:multiLevelType w:val="hybridMultilevel"/>
    <w:tmpl w:val="F35A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01603"/>
    <w:multiLevelType w:val="hybridMultilevel"/>
    <w:tmpl w:val="5AF0FDAC"/>
    <w:lvl w:ilvl="0" w:tplc="AF2C9A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75495C"/>
    <w:multiLevelType w:val="hybridMultilevel"/>
    <w:tmpl w:val="0826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A9233C"/>
    <w:multiLevelType w:val="hybridMultilevel"/>
    <w:tmpl w:val="C3F89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85552"/>
    <w:multiLevelType w:val="hybridMultilevel"/>
    <w:tmpl w:val="F0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61C1E"/>
    <w:multiLevelType w:val="hybridMultilevel"/>
    <w:tmpl w:val="CD32942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4D032130"/>
    <w:multiLevelType w:val="hybridMultilevel"/>
    <w:tmpl w:val="E446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092411"/>
    <w:multiLevelType w:val="hybridMultilevel"/>
    <w:tmpl w:val="BBC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A97EAE"/>
    <w:multiLevelType w:val="hybridMultilevel"/>
    <w:tmpl w:val="5BB6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F16242"/>
    <w:multiLevelType w:val="hybridMultilevel"/>
    <w:tmpl w:val="88F21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C60F37"/>
    <w:multiLevelType w:val="hybridMultilevel"/>
    <w:tmpl w:val="CFEC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5D6118"/>
    <w:multiLevelType w:val="hybridMultilevel"/>
    <w:tmpl w:val="4F26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D452C"/>
    <w:multiLevelType w:val="hybridMultilevel"/>
    <w:tmpl w:val="FA06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742FC"/>
    <w:multiLevelType w:val="hybridMultilevel"/>
    <w:tmpl w:val="2432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C5504E"/>
    <w:multiLevelType w:val="hybridMultilevel"/>
    <w:tmpl w:val="0FC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93F09"/>
    <w:multiLevelType w:val="hybridMultilevel"/>
    <w:tmpl w:val="1D4A0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EE5BC4"/>
    <w:multiLevelType w:val="hybridMultilevel"/>
    <w:tmpl w:val="7540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22B91"/>
    <w:multiLevelType w:val="hybridMultilevel"/>
    <w:tmpl w:val="C0A6568A"/>
    <w:lvl w:ilvl="0" w:tplc="0EAE755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2F74CF"/>
    <w:multiLevelType w:val="hybridMultilevel"/>
    <w:tmpl w:val="DB3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3654DB"/>
    <w:multiLevelType w:val="hybridMultilevel"/>
    <w:tmpl w:val="3CF04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5A6342"/>
    <w:multiLevelType w:val="hybridMultilevel"/>
    <w:tmpl w:val="61FA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9A43A0"/>
    <w:multiLevelType w:val="hybridMultilevel"/>
    <w:tmpl w:val="F6444932"/>
    <w:lvl w:ilvl="0" w:tplc="39746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3612631"/>
    <w:multiLevelType w:val="hybridMultilevel"/>
    <w:tmpl w:val="C2DE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73BBF"/>
    <w:multiLevelType w:val="hybridMultilevel"/>
    <w:tmpl w:val="A7A4E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18"/>
  </w:num>
  <w:num w:numId="3">
    <w:abstractNumId w:val="19"/>
  </w:num>
  <w:num w:numId="4">
    <w:abstractNumId w:val="24"/>
  </w:num>
  <w:num w:numId="5">
    <w:abstractNumId w:val="4"/>
  </w:num>
  <w:num w:numId="6">
    <w:abstractNumId w:val="3"/>
  </w:num>
  <w:num w:numId="7">
    <w:abstractNumId w:val="2"/>
  </w:num>
  <w:num w:numId="8">
    <w:abstractNumId w:val="35"/>
  </w:num>
  <w:num w:numId="9">
    <w:abstractNumId w:val="0"/>
  </w:num>
  <w:num w:numId="10">
    <w:abstractNumId w:val="31"/>
  </w:num>
  <w:num w:numId="11">
    <w:abstractNumId w:val="37"/>
  </w:num>
  <w:num w:numId="12">
    <w:abstractNumId w:val="21"/>
  </w:num>
  <w:num w:numId="13">
    <w:abstractNumId w:val="29"/>
  </w:num>
  <w:num w:numId="14">
    <w:abstractNumId w:val="28"/>
  </w:num>
  <w:num w:numId="15">
    <w:abstractNumId w:val="16"/>
  </w:num>
  <w:num w:numId="16">
    <w:abstractNumId w:val="15"/>
  </w:num>
  <w:num w:numId="17">
    <w:abstractNumId w:val="34"/>
  </w:num>
  <w:num w:numId="18">
    <w:abstractNumId w:val="42"/>
  </w:num>
  <w:num w:numId="19">
    <w:abstractNumId w:val="23"/>
  </w:num>
  <w:num w:numId="20">
    <w:abstractNumId w:val="25"/>
  </w:num>
  <w:num w:numId="21">
    <w:abstractNumId w:val="11"/>
  </w:num>
  <w:num w:numId="22">
    <w:abstractNumId w:val="12"/>
  </w:num>
  <w:num w:numId="23">
    <w:abstractNumId w:val="40"/>
  </w:num>
  <w:num w:numId="24">
    <w:abstractNumId w:val="5"/>
  </w:num>
  <w:num w:numId="25">
    <w:abstractNumId w:val="36"/>
  </w:num>
  <w:num w:numId="26">
    <w:abstractNumId w:val="39"/>
  </w:num>
  <w:num w:numId="27">
    <w:abstractNumId w:val="7"/>
  </w:num>
  <w:num w:numId="28">
    <w:abstractNumId w:val="8"/>
  </w:num>
  <w:num w:numId="29">
    <w:abstractNumId w:val="10"/>
  </w:num>
  <w:num w:numId="30">
    <w:abstractNumId w:val="27"/>
  </w:num>
  <w:num w:numId="31">
    <w:abstractNumId w:val="22"/>
  </w:num>
  <w:num w:numId="32">
    <w:abstractNumId w:val="17"/>
  </w:num>
  <w:num w:numId="33">
    <w:abstractNumId w:val="14"/>
  </w:num>
  <w:num w:numId="34">
    <w:abstractNumId w:val="30"/>
  </w:num>
  <w:num w:numId="35">
    <w:abstractNumId w:val="13"/>
  </w:num>
  <w:num w:numId="36">
    <w:abstractNumId w:val="41"/>
  </w:num>
  <w:num w:numId="37">
    <w:abstractNumId w:val="9"/>
  </w:num>
  <w:num w:numId="38">
    <w:abstractNumId w:val="26"/>
  </w:num>
  <w:num w:numId="39">
    <w:abstractNumId w:val="33"/>
  </w:num>
  <w:num w:numId="40">
    <w:abstractNumId w:val="32"/>
  </w:num>
  <w:num w:numId="41">
    <w:abstractNumId w:val="6"/>
  </w:num>
  <w:num w:numId="42">
    <w:abstractNumId w:val="1"/>
  </w:num>
  <w:num w:numId="43">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1919"/>
    <w:rsid w:val="000019C3"/>
    <w:rsid w:val="00002A4D"/>
    <w:rsid w:val="000036FA"/>
    <w:rsid w:val="0000460A"/>
    <w:rsid w:val="000046FE"/>
    <w:rsid w:val="000078D6"/>
    <w:rsid w:val="00011A4C"/>
    <w:rsid w:val="00012AA4"/>
    <w:rsid w:val="00012F00"/>
    <w:rsid w:val="00014799"/>
    <w:rsid w:val="00014A82"/>
    <w:rsid w:val="000156D7"/>
    <w:rsid w:val="00015CD0"/>
    <w:rsid w:val="000161A6"/>
    <w:rsid w:val="00017C4C"/>
    <w:rsid w:val="00017D54"/>
    <w:rsid w:val="00017E8F"/>
    <w:rsid w:val="00020FBA"/>
    <w:rsid w:val="00022014"/>
    <w:rsid w:val="000226F3"/>
    <w:rsid w:val="00022E2B"/>
    <w:rsid w:val="000234F7"/>
    <w:rsid w:val="00023A1C"/>
    <w:rsid w:val="00024C0C"/>
    <w:rsid w:val="00025214"/>
    <w:rsid w:val="000252E0"/>
    <w:rsid w:val="00026A66"/>
    <w:rsid w:val="00027662"/>
    <w:rsid w:val="0003017E"/>
    <w:rsid w:val="000310AE"/>
    <w:rsid w:val="000312D4"/>
    <w:rsid w:val="000328B4"/>
    <w:rsid w:val="000334B8"/>
    <w:rsid w:val="00033793"/>
    <w:rsid w:val="000356DD"/>
    <w:rsid w:val="0003581D"/>
    <w:rsid w:val="00035AE6"/>
    <w:rsid w:val="00035C82"/>
    <w:rsid w:val="00036871"/>
    <w:rsid w:val="00037538"/>
    <w:rsid w:val="000376C0"/>
    <w:rsid w:val="0004012C"/>
    <w:rsid w:val="00040419"/>
    <w:rsid w:val="0004075F"/>
    <w:rsid w:val="0004093B"/>
    <w:rsid w:val="00040B4D"/>
    <w:rsid w:val="00041722"/>
    <w:rsid w:val="000418B9"/>
    <w:rsid w:val="00044324"/>
    <w:rsid w:val="000449B4"/>
    <w:rsid w:val="0004534F"/>
    <w:rsid w:val="00045821"/>
    <w:rsid w:val="00045D7E"/>
    <w:rsid w:val="00046E3C"/>
    <w:rsid w:val="0005040E"/>
    <w:rsid w:val="00051768"/>
    <w:rsid w:val="000519E9"/>
    <w:rsid w:val="0005402E"/>
    <w:rsid w:val="00055C60"/>
    <w:rsid w:val="00055E6C"/>
    <w:rsid w:val="00056BF9"/>
    <w:rsid w:val="0005706D"/>
    <w:rsid w:val="00057631"/>
    <w:rsid w:val="00057652"/>
    <w:rsid w:val="00057A80"/>
    <w:rsid w:val="00057FBB"/>
    <w:rsid w:val="000605F7"/>
    <w:rsid w:val="00060C04"/>
    <w:rsid w:val="00060E16"/>
    <w:rsid w:val="00061B34"/>
    <w:rsid w:val="00062127"/>
    <w:rsid w:val="00062A09"/>
    <w:rsid w:val="00062D2C"/>
    <w:rsid w:val="0006347C"/>
    <w:rsid w:val="0006531D"/>
    <w:rsid w:val="000653D0"/>
    <w:rsid w:val="000660FA"/>
    <w:rsid w:val="00067313"/>
    <w:rsid w:val="0006773E"/>
    <w:rsid w:val="000677E2"/>
    <w:rsid w:val="0006791B"/>
    <w:rsid w:val="00067BB0"/>
    <w:rsid w:val="00070675"/>
    <w:rsid w:val="000712BF"/>
    <w:rsid w:val="00071FEE"/>
    <w:rsid w:val="00072478"/>
    <w:rsid w:val="0007328E"/>
    <w:rsid w:val="00073837"/>
    <w:rsid w:val="00073D1B"/>
    <w:rsid w:val="000742CD"/>
    <w:rsid w:val="00074437"/>
    <w:rsid w:val="00074820"/>
    <w:rsid w:val="000754FF"/>
    <w:rsid w:val="000759AE"/>
    <w:rsid w:val="00076C47"/>
    <w:rsid w:val="0007734A"/>
    <w:rsid w:val="00077AF8"/>
    <w:rsid w:val="00077D54"/>
    <w:rsid w:val="00080715"/>
    <w:rsid w:val="00080C0D"/>
    <w:rsid w:val="00080D33"/>
    <w:rsid w:val="00080DDC"/>
    <w:rsid w:val="00080F98"/>
    <w:rsid w:val="0008109D"/>
    <w:rsid w:val="00082822"/>
    <w:rsid w:val="00083000"/>
    <w:rsid w:val="0008314A"/>
    <w:rsid w:val="00083506"/>
    <w:rsid w:val="0008414E"/>
    <w:rsid w:val="00084330"/>
    <w:rsid w:val="000845DE"/>
    <w:rsid w:val="0008479B"/>
    <w:rsid w:val="00085489"/>
    <w:rsid w:val="0008582E"/>
    <w:rsid w:val="00085D20"/>
    <w:rsid w:val="0008617D"/>
    <w:rsid w:val="0008743C"/>
    <w:rsid w:val="0008765D"/>
    <w:rsid w:val="000878AF"/>
    <w:rsid w:val="000901C8"/>
    <w:rsid w:val="000906E8"/>
    <w:rsid w:val="00091529"/>
    <w:rsid w:val="0009211B"/>
    <w:rsid w:val="0009295D"/>
    <w:rsid w:val="00092AB7"/>
    <w:rsid w:val="000936E8"/>
    <w:rsid w:val="000936FF"/>
    <w:rsid w:val="000937BB"/>
    <w:rsid w:val="00094FE0"/>
    <w:rsid w:val="00095F5B"/>
    <w:rsid w:val="0009623F"/>
    <w:rsid w:val="0009644B"/>
    <w:rsid w:val="000967A5"/>
    <w:rsid w:val="000969C9"/>
    <w:rsid w:val="000A08AB"/>
    <w:rsid w:val="000A0EFC"/>
    <w:rsid w:val="000A1449"/>
    <w:rsid w:val="000A21F5"/>
    <w:rsid w:val="000A32B3"/>
    <w:rsid w:val="000A3665"/>
    <w:rsid w:val="000A3CAE"/>
    <w:rsid w:val="000A4140"/>
    <w:rsid w:val="000A4B11"/>
    <w:rsid w:val="000A5901"/>
    <w:rsid w:val="000A5F9C"/>
    <w:rsid w:val="000A7775"/>
    <w:rsid w:val="000A79E7"/>
    <w:rsid w:val="000B1EBE"/>
    <w:rsid w:val="000B23F5"/>
    <w:rsid w:val="000B4182"/>
    <w:rsid w:val="000B5701"/>
    <w:rsid w:val="000B5D88"/>
    <w:rsid w:val="000B5E0F"/>
    <w:rsid w:val="000B7A1E"/>
    <w:rsid w:val="000C036C"/>
    <w:rsid w:val="000C12ED"/>
    <w:rsid w:val="000C1529"/>
    <w:rsid w:val="000C3E3A"/>
    <w:rsid w:val="000C438A"/>
    <w:rsid w:val="000C43DE"/>
    <w:rsid w:val="000C4A23"/>
    <w:rsid w:val="000C55AE"/>
    <w:rsid w:val="000C5DA1"/>
    <w:rsid w:val="000C5F4D"/>
    <w:rsid w:val="000C6D3F"/>
    <w:rsid w:val="000C6E36"/>
    <w:rsid w:val="000C7D34"/>
    <w:rsid w:val="000D0542"/>
    <w:rsid w:val="000D1191"/>
    <w:rsid w:val="000D1A81"/>
    <w:rsid w:val="000D1CB6"/>
    <w:rsid w:val="000D32AB"/>
    <w:rsid w:val="000D398A"/>
    <w:rsid w:val="000D3C45"/>
    <w:rsid w:val="000D42F2"/>
    <w:rsid w:val="000D43F0"/>
    <w:rsid w:val="000D639D"/>
    <w:rsid w:val="000D67C4"/>
    <w:rsid w:val="000D7730"/>
    <w:rsid w:val="000D794D"/>
    <w:rsid w:val="000D7D9C"/>
    <w:rsid w:val="000E0798"/>
    <w:rsid w:val="000E08B3"/>
    <w:rsid w:val="000E0BB2"/>
    <w:rsid w:val="000E1221"/>
    <w:rsid w:val="000E1921"/>
    <w:rsid w:val="000E2BA8"/>
    <w:rsid w:val="000E2E43"/>
    <w:rsid w:val="000E36E0"/>
    <w:rsid w:val="000E38FD"/>
    <w:rsid w:val="000E4331"/>
    <w:rsid w:val="000E5285"/>
    <w:rsid w:val="000E5B1F"/>
    <w:rsid w:val="000E76B5"/>
    <w:rsid w:val="000E7EBA"/>
    <w:rsid w:val="000F14B7"/>
    <w:rsid w:val="000F218C"/>
    <w:rsid w:val="000F2C22"/>
    <w:rsid w:val="000F35B0"/>
    <w:rsid w:val="000F3A20"/>
    <w:rsid w:val="000F3CBF"/>
    <w:rsid w:val="000F4203"/>
    <w:rsid w:val="000F5B97"/>
    <w:rsid w:val="000F5D9A"/>
    <w:rsid w:val="000F720E"/>
    <w:rsid w:val="000F72A3"/>
    <w:rsid w:val="000F772E"/>
    <w:rsid w:val="0010021E"/>
    <w:rsid w:val="00100427"/>
    <w:rsid w:val="001006C5"/>
    <w:rsid w:val="00100E90"/>
    <w:rsid w:val="00101366"/>
    <w:rsid w:val="001015E3"/>
    <w:rsid w:val="00102E9C"/>
    <w:rsid w:val="00102FC2"/>
    <w:rsid w:val="00103CFA"/>
    <w:rsid w:val="00103FE5"/>
    <w:rsid w:val="00106323"/>
    <w:rsid w:val="00106364"/>
    <w:rsid w:val="0010797F"/>
    <w:rsid w:val="00107CBD"/>
    <w:rsid w:val="0011139C"/>
    <w:rsid w:val="001114CF"/>
    <w:rsid w:val="0011162E"/>
    <w:rsid w:val="001120BA"/>
    <w:rsid w:val="00112F2F"/>
    <w:rsid w:val="00113F57"/>
    <w:rsid w:val="0011530A"/>
    <w:rsid w:val="001158AD"/>
    <w:rsid w:val="00116671"/>
    <w:rsid w:val="00116C13"/>
    <w:rsid w:val="00120108"/>
    <w:rsid w:val="001209DC"/>
    <w:rsid w:val="00120C02"/>
    <w:rsid w:val="0012168B"/>
    <w:rsid w:val="00121780"/>
    <w:rsid w:val="0012191E"/>
    <w:rsid w:val="00122450"/>
    <w:rsid w:val="0012263B"/>
    <w:rsid w:val="001228C8"/>
    <w:rsid w:val="00122F10"/>
    <w:rsid w:val="00123CBC"/>
    <w:rsid w:val="00124865"/>
    <w:rsid w:val="00124BFA"/>
    <w:rsid w:val="00125618"/>
    <w:rsid w:val="00125C26"/>
    <w:rsid w:val="001266B2"/>
    <w:rsid w:val="0013095F"/>
    <w:rsid w:val="00131574"/>
    <w:rsid w:val="001324C4"/>
    <w:rsid w:val="00132507"/>
    <w:rsid w:val="00133D5F"/>
    <w:rsid w:val="001352B7"/>
    <w:rsid w:val="001354BF"/>
    <w:rsid w:val="00135633"/>
    <w:rsid w:val="001361CF"/>
    <w:rsid w:val="001365C3"/>
    <w:rsid w:val="00136B26"/>
    <w:rsid w:val="00136B27"/>
    <w:rsid w:val="00137832"/>
    <w:rsid w:val="00137B3C"/>
    <w:rsid w:val="00137E6C"/>
    <w:rsid w:val="0014001E"/>
    <w:rsid w:val="001405BC"/>
    <w:rsid w:val="00140A9A"/>
    <w:rsid w:val="00140EA2"/>
    <w:rsid w:val="00142606"/>
    <w:rsid w:val="0014289F"/>
    <w:rsid w:val="00142BEA"/>
    <w:rsid w:val="00143182"/>
    <w:rsid w:val="00143C7F"/>
    <w:rsid w:val="001442F8"/>
    <w:rsid w:val="00144957"/>
    <w:rsid w:val="00145396"/>
    <w:rsid w:val="0014566E"/>
    <w:rsid w:val="00151205"/>
    <w:rsid w:val="00151A85"/>
    <w:rsid w:val="00153105"/>
    <w:rsid w:val="001539F6"/>
    <w:rsid w:val="00154330"/>
    <w:rsid w:val="00154D41"/>
    <w:rsid w:val="001555C1"/>
    <w:rsid w:val="001555ED"/>
    <w:rsid w:val="00156043"/>
    <w:rsid w:val="00156A08"/>
    <w:rsid w:val="00157315"/>
    <w:rsid w:val="001579AD"/>
    <w:rsid w:val="0016050C"/>
    <w:rsid w:val="00160AC6"/>
    <w:rsid w:val="00162BFD"/>
    <w:rsid w:val="00162C50"/>
    <w:rsid w:val="00163C35"/>
    <w:rsid w:val="0016493D"/>
    <w:rsid w:val="00164EB4"/>
    <w:rsid w:val="00165105"/>
    <w:rsid w:val="00165659"/>
    <w:rsid w:val="00165FB2"/>
    <w:rsid w:val="00166E15"/>
    <w:rsid w:val="00167E1A"/>
    <w:rsid w:val="00171568"/>
    <w:rsid w:val="001715FF"/>
    <w:rsid w:val="0017184D"/>
    <w:rsid w:val="00172664"/>
    <w:rsid w:val="00172A15"/>
    <w:rsid w:val="00172B8D"/>
    <w:rsid w:val="00174A76"/>
    <w:rsid w:val="00174BC1"/>
    <w:rsid w:val="00175447"/>
    <w:rsid w:val="00176143"/>
    <w:rsid w:val="0017680C"/>
    <w:rsid w:val="00176B94"/>
    <w:rsid w:val="00176BE8"/>
    <w:rsid w:val="00176E20"/>
    <w:rsid w:val="00177F5A"/>
    <w:rsid w:val="001806B4"/>
    <w:rsid w:val="00181DDC"/>
    <w:rsid w:val="00181DF8"/>
    <w:rsid w:val="00183141"/>
    <w:rsid w:val="00184020"/>
    <w:rsid w:val="00185F90"/>
    <w:rsid w:val="0018651B"/>
    <w:rsid w:val="001865A2"/>
    <w:rsid w:val="001867F2"/>
    <w:rsid w:val="001870AB"/>
    <w:rsid w:val="001873D4"/>
    <w:rsid w:val="001917DD"/>
    <w:rsid w:val="001919C0"/>
    <w:rsid w:val="00194191"/>
    <w:rsid w:val="00194659"/>
    <w:rsid w:val="00194693"/>
    <w:rsid w:val="001949B6"/>
    <w:rsid w:val="00195730"/>
    <w:rsid w:val="00196643"/>
    <w:rsid w:val="00196D66"/>
    <w:rsid w:val="001978F4"/>
    <w:rsid w:val="00197915"/>
    <w:rsid w:val="001A01A9"/>
    <w:rsid w:val="001A044E"/>
    <w:rsid w:val="001A08FA"/>
    <w:rsid w:val="001A0961"/>
    <w:rsid w:val="001A1ED9"/>
    <w:rsid w:val="001A33FA"/>
    <w:rsid w:val="001A3DC7"/>
    <w:rsid w:val="001A4736"/>
    <w:rsid w:val="001A51FB"/>
    <w:rsid w:val="001A6639"/>
    <w:rsid w:val="001A6D1C"/>
    <w:rsid w:val="001A76DD"/>
    <w:rsid w:val="001A775D"/>
    <w:rsid w:val="001A796C"/>
    <w:rsid w:val="001B010A"/>
    <w:rsid w:val="001B02C0"/>
    <w:rsid w:val="001B0397"/>
    <w:rsid w:val="001B0EDB"/>
    <w:rsid w:val="001B143E"/>
    <w:rsid w:val="001B1D4A"/>
    <w:rsid w:val="001B1DAB"/>
    <w:rsid w:val="001B27E7"/>
    <w:rsid w:val="001B4BF4"/>
    <w:rsid w:val="001B5A54"/>
    <w:rsid w:val="001B6127"/>
    <w:rsid w:val="001B7499"/>
    <w:rsid w:val="001C04D0"/>
    <w:rsid w:val="001C1CA9"/>
    <w:rsid w:val="001C29E7"/>
    <w:rsid w:val="001C2A35"/>
    <w:rsid w:val="001C50F8"/>
    <w:rsid w:val="001C5114"/>
    <w:rsid w:val="001C54C3"/>
    <w:rsid w:val="001C5518"/>
    <w:rsid w:val="001C64C3"/>
    <w:rsid w:val="001C7D5B"/>
    <w:rsid w:val="001D0417"/>
    <w:rsid w:val="001D12FA"/>
    <w:rsid w:val="001D1AFC"/>
    <w:rsid w:val="001D2D58"/>
    <w:rsid w:val="001D2F9D"/>
    <w:rsid w:val="001D43C3"/>
    <w:rsid w:val="001D4DB4"/>
    <w:rsid w:val="001D5408"/>
    <w:rsid w:val="001D5A0D"/>
    <w:rsid w:val="001D5AE6"/>
    <w:rsid w:val="001D7610"/>
    <w:rsid w:val="001D7BFA"/>
    <w:rsid w:val="001E131E"/>
    <w:rsid w:val="001E15AC"/>
    <w:rsid w:val="001E191E"/>
    <w:rsid w:val="001E3B7C"/>
    <w:rsid w:val="001E3EC1"/>
    <w:rsid w:val="001E49D9"/>
    <w:rsid w:val="001E6A59"/>
    <w:rsid w:val="001E72BC"/>
    <w:rsid w:val="001E7A47"/>
    <w:rsid w:val="001E7B15"/>
    <w:rsid w:val="001F0206"/>
    <w:rsid w:val="001F08B3"/>
    <w:rsid w:val="001F1128"/>
    <w:rsid w:val="001F1F85"/>
    <w:rsid w:val="001F22AC"/>
    <w:rsid w:val="001F2CD2"/>
    <w:rsid w:val="001F3264"/>
    <w:rsid w:val="001F32CB"/>
    <w:rsid w:val="001F39DA"/>
    <w:rsid w:val="001F3A45"/>
    <w:rsid w:val="001F4731"/>
    <w:rsid w:val="001F4BA0"/>
    <w:rsid w:val="001F6C75"/>
    <w:rsid w:val="001F7030"/>
    <w:rsid w:val="001F7F26"/>
    <w:rsid w:val="00200634"/>
    <w:rsid w:val="00201187"/>
    <w:rsid w:val="00202138"/>
    <w:rsid w:val="00202613"/>
    <w:rsid w:val="00202764"/>
    <w:rsid w:val="00202EBC"/>
    <w:rsid w:val="00204020"/>
    <w:rsid w:val="002041BE"/>
    <w:rsid w:val="002048A5"/>
    <w:rsid w:val="00204A81"/>
    <w:rsid w:val="00205D8B"/>
    <w:rsid w:val="002068A2"/>
    <w:rsid w:val="00206D6F"/>
    <w:rsid w:val="00207881"/>
    <w:rsid w:val="00210CBB"/>
    <w:rsid w:val="00211FD6"/>
    <w:rsid w:val="0021202D"/>
    <w:rsid w:val="00212218"/>
    <w:rsid w:val="0021277A"/>
    <w:rsid w:val="00212F15"/>
    <w:rsid w:val="002131FC"/>
    <w:rsid w:val="00213C92"/>
    <w:rsid w:val="002146D1"/>
    <w:rsid w:val="00220D28"/>
    <w:rsid w:val="00221951"/>
    <w:rsid w:val="00221C90"/>
    <w:rsid w:val="00222BF1"/>
    <w:rsid w:val="002232B6"/>
    <w:rsid w:val="002234E2"/>
    <w:rsid w:val="00223CCA"/>
    <w:rsid w:val="00223FFF"/>
    <w:rsid w:val="0022472B"/>
    <w:rsid w:val="00226123"/>
    <w:rsid w:val="00226288"/>
    <w:rsid w:val="00226E48"/>
    <w:rsid w:val="0022789E"/>
    <w:rsid w:val="00227BB3"/>
    <w:rsid w:val="002305BA"/>
    <w:rsid w:val="00230633"/>
    <w:rsid w:val="00230637"/>
    <w:rsid w:val="00230F1D"/>
    <w:rsid w:val="00231A8C"/>
    <w:rsid w:val="0023338C"/>
    <w:rsid w:val="0023363C"/>
    <w:rsid w:val="0023402D"/>
    <w:rsid w:val="00234354"/>
    <w:rsid w:val="0023493A"/>
    <w:rsid w:val="00235754"/>
    <w:rsid w:val="00236673"/>
    <w:rsid w:val="00241367"/>
    <w:rsid w:val="002419C8"/>
    <w:rsid w:val="00241D10"/>
    <w:rsid w:val="00242AD1"/>
    <w:rsid w:val="00243D80"/>
    <w:rsid w:val="00245FD0"/>
    <w:rsid w:val="002464B3"/>
    <w:rsid w:val="00246890"/>
    <w:rsid w:val="00246B0A"/>
    <w:rsid w:val="00246D8D"/>
    <w:rsid w:val="002506AE"/>
    <w:rsid w:val="00250A51"/>
    <w:rsid w:val="00250F5C"/>
    <w:rsid w:val="00254C6B"/>
    <w:rsid w:val="00256073"/>
    <w:rsid w:val="00256227"/>
    <w:rsid w:val="00257A18"/>
    <w:rsid w:val="00257F3E"/>
    <w:rsid w:val="00260BFE"/>
    <w:rsid w:val="00261B70"/>
    <w:rsid w:val="00263404"/>
    <w:rsid w:val="00263BAA"/>
    <w:rsid w:val="0026686E"/>
    <w:rsid w:val="002668EA"/>
    <w:rsid w:val="00270182"/>
    <w:rsid w:val="002703A9"/>
    <w:rsid w:val="0027052A"/>
    <w:rsid w:val="00270D95"/>
    <w:rsid w:val="0027115E"/>
    <w:rsid w:val="00271218"/>
    <w:rsid w:val="0027130D"/>
    <w:rsid w:val="002718D3"/>
    <w:rsid w:val="00271957"/>
    <w:rsid w:val="00271F00"/>
    <w:rsid w:val="00272353"/>
    <w:rsid w:val="00272640"/>
    <w:rsid w:val="002729F2"/>
    <w:rsid w:val="00272E02"/>
    <w:rsid w:val="00273392"/>
    <w:rsid w:val="00273904"/>
    <w:rsid w:val="00273A6C"/>
    <w:rsid w:val="00274941"/>
    <w:rsid w:val="00275499"/>
    <w:rsid w:val="002757B4"/>
    <w:rsid w:val="00275D1F"/>
    <w:rsid w:val="00276B5B"/>
    <w:rsid w:val="00277563"/>
    <w:rsid w:val="002778F0"/>
    <w:rsid w:val="00277A55"/>
    <w:rsid w:val="00277C90"/>
    <w:rsid w:val="00280295"/>
    <w:rsid w:val="00281AD6"/>
    <w:rsid w:val="00282D58"/>
    <w:rsid w:val="00282ECB"/>
    <w:rsid w:val="0028317E"/>
    <w:rsid w:val="00283A17"/>
    <w:rsid w:val="002842E2"/>
    <w:rsid w:val="00284BAF"/>
    <w:rsid w:val="00284E09"/>
    <w:rsid w:val="0028580E"/>
    <w:rsid w:val="00286C14"/>
    <w:rsid w:val="00287BAF"/>
    <w:rsid w:val="0029041A"/>
    <w:rsid w:val="00290C55"/>
    <w:rsid w:val="00291D34"/>
    <w:rsid w:val="00292F02"/>
    <w:rsid w:val="00293D75"/>
    <w:rsid w:val="0029533E"/>
    <w:rsid w:val="002954CA"/>
    <w:rsid w:val="00295A46"/>
    <w:rsid w:val="00295E9D"/>
    <w:rsid w:val="00296959"/>
    <w:rsid w:val="00297572"/>
    <w:rsid w:val="002A0824"/>
    <w:rsid w:val="002A093F"/>
    <w:rsid w:val="002A0CD9"/>
    <w:rsid w:val="002A1D41"/>
    <w:rsid w:val="002A1DC8"/>
    <w:rsid w:val="002A21D8"/>
    <w:rsid w:val="002A493E"/>
    <w:rsid w:val="002A6645"/>
    <w:rsid w:val="002A6D6E"/>
    <w:rsid w:val="002B0285"/>
    <w:rsid w:val="002B06C0"/>
    <w:rsid w:val="002B1ED5"/>
    <w:rsid w:val="002B20AA"/>
    <w:rsid w:val="002B2C04"/>
    <w:rsid w:val="002B3463"/>
    <w:rsid w:val="002B4F71"/>
    <w:rsid w:val="002B5AB4"/>
    <w:rsid w:val="002B5AEF"/>
    <w:rsid w:val="002B666A"/>
    <w:rsid w:val="002B6690"/>
    <w:rsid w:val="002B67B7"/>
    <w:rsid w:val="002B6838"/>
    <w:rsid w:val="002C00AB"/>
    <w:rsid w:val="002C15B4"/>
    <w:rsid w:val="002C1652"/>
    <w:rsid w:val="002C193F"/>
    <w:rsid w:val="002C2778"/>
    <w:rsid w:val="002C2AAF"/>
    <w:rsid w:val="002C3085"/>
    <w:rsid w:val="002C34F1"/>
    <w:rsid w:val="002C35BB"/>
    <w:rsid w:val="002C4088"/>
    <w:rsid w:val="002C43D5"/>
    <w:rsid w:val="002C4784"/>
    <w:rsid w:val="002C5069"/>
    <w:rsid w:val="002C56B8"/>
    <w:rsid w:val="002C6278"/>
    <w:rsid w:val="002C70F2"/>
    <w:rsid w:val="002D2928"/>
    <w:rsid w:val="002D2ED6"/>
    <w:rsid w:val="002D3383"/>
    <w:rsid w:val="002D33FD"/>
    <w:rsid w:val="002D3BF4"/>
    <w:rsid w:val="002D4420"/>
    <w:rsid w:val="002D52B5"/>
    <w:rsid w:val="002D579A"/>
    <w:rsid w:val="002D5B7F"/>
    <w:rsid w:val="002D67AE"/>
    <w:rsid w:val="002D6E67"/>
    <w:rsid w:val="002D7553"/>
    <w:rsid w:val="002E1EEC"/>
    <w:rsid w:val="002E1F6E"/>
    <w:rsid w:val="002E269F"/>
    <w:rsid w:val="002E3710"/>
    <w:rsid w:val="002E3C8D"/>
    <w:rsid w:val="002E3D0E"/>
    <w:rsid w:val="002E4136"/>
    <w:rsid w:val="002E5622"/>
    <w:rsid w:val="002E5A53"/>
    <w:rsid w:val="002E5B28"/>
    <w:rsid w:val="002E6209"/>
    <w:rsid w:val="002F00A2"/>
    <w:rsid w:val="002F00E6"/>
    <w:rsid w:val="002F112E"/>
    <w:rsid w:val="002F1802"/>
    <w:rsid w:val="002F19B1"/>
    <w:rsid w:val="002F1F8B"/>
    <w:rsid w:val="002F24EA"/>
    <w:rsid w:val="002F45A0"/>
    <w:rsid w:val="002F61D5"/>
    <w:rsid w:val="002F6C27"/>
    <w:rsid w:val="003002B1"/>
    <w:rsid w:val="003011D6"/>
    <w:rsid w:val="003014B6"/>
    <w:rsid w:val="00301724"/>
    <w:rsid w:val="003026B9"/>
    <w:rsid w:val="0030285C"/>
    <w:rsid w:val="003034F5"/>
    <w:rsid w:val="003049E1"/>
    <w:rsid w:val="003051F6"/>
    <w:rsid w:val="003056E4"/>
    <w:rsid w:val="00305868"/>
    <w:rsid w:val="00305DB6"/>
    <w:rsid w:val="003061F0"/>
    <w:rsid w:val="00306E5A"/>
    <w:rsid w:val="00307184"/>
    <w:rsid w:val="00307495"/>
    <w:rsid w:val="003074CA"/>
    <w:rsid w:val="00310705"/>
    <w:rsid w:val="0031086E"/>
    <w:rsid w:val="00310A24"/>
    <w:rsid w:val="00311051"/>
    <w:rsid w:val="003114D2"/>
    <w:rsid w:val="00311AD2"/>
    <w:rsid w:val="00312DBC"/>
    <w:rsid w:val="00315CB6"/>
    <w:rsid w:val="00315F31"/>
    <w:rsid w:val="00316088"/>
    <w:rsid w:val="0031633B"/>
    <w:rsid w:val="00316379"/>
    <w:rsid w:val="0031648B"/>
    <w:rsid w:val="00320D34"/>
    <w:rsid w:val="00321131"/>
    <w:rsid w:val="0032139C"/>
    <w:rsid w:val="00321681"/>
    <w:rsid w:val="00321AD4"/>
    <w:rsid w:val="003225C5"/>
    <w:rsid w:val="00324671"/>
    <w:rsid w:val="00324964"/>
    <w:rsid w:val="00324EB8"/>
    <w:rsid w:val="00324EDB"/>
    <w:rsid w:val="003252FE"/>
    <w:rsid w:val="003268A5"/>
    <w:rsid w:val="00326E18"/>
    <w:rsid w:val="00327FC1"/>
    <w:rsid w:val="003302F4"/>
    <w:rsid w:val="00331234"/>
    <w:rsid w:val="00332362"/>
    <w:rsid w:val="00333698"/>
    <w:rsid w:val="003343E8"/>
    <w:rsid w:val="00334ACF"/>
    <w:rsid w:val="00336683"/>
    <w:rsid w:val="00340CA3"/>
    <w:rsid w:val="00342933"/>
    <w:rsid w:val="00342BA5"/>
    <w:rsid w:val="00344A23"/>
    <w:rsid w:val="00344DDC"/>
    <w:rsid w:val="0034599C"/>
    <w:rsid w:val="00345A6D"/>
    <w:rsid w:val="0034603A"/>
    <w:rsid w:val="00347EFF"/>
    <w:rsid w:val="00350E4E"/>
    <w:rsid w:val="00351233"/>
    <w:rsid w:val="00351C6E"/>
    <w:rsid w:val="00351ED8"/>
    <w:rsid w:val="00353E69"/>
    <w:rsid w:val="00354480"/>
    <w:rsid w:val="00354B8B"/>
    <w:rsid w:val="00355DB7"/>
    <w:rsid w:val="003567B2"/>
    <w:rsid w:val="00357E4F"/>
    <w:rsid w:val="00360A08"/>
    <w:rsid w:val="00361433"/>
    <w:rsid w:val="00363C10"/>
    <w:rsid w:val="003643DE"/>
    <w:rsid w:val="0036537A"/>
    <w:rsid w:val="00365BEA"/>
    <w:rsid w:val="00365D08"/>
    <w:rsid w:val="003663C2"/>
    <w:rsid w:val="0036650E"/>
    <w:rsid w:val="00366814"/>
    <w:rsid w:val="003713F8"/>
    <w:rsid w:val="00371BE0"/>
    <w:rsid w:val="00373FAE"/>
    <w:rsid w:val="0037472D"/>
    <w:rsid w:val="003747D4"/>
    <w:rsid w:val="0037481C"/>
    <w:rsid w:val="00374E25"/>
    <w:rsid w:val="00376D52"/>
    <w:rsid w:val="00376E9C"/>
    <w:rsid w:val="00377149"/>
    <w:rsid w:val="00377543"/>
    <w:rsid w:val="00377C74"/>
    <w:rsid w:val="003808F0"/>
    <w:rsid w:val="00380FD5"/>
    <w:rsid w:val="00381EA6"/>
    <w:rsid w:val="00381F9D"/>
    <w:rsid w:val="00383763"/>
    <w:rsid w:val="00384045"/>
    <w:rsid w:val="00384959"/>
    <w:rsid w:val="003849CE"/>
    <w:rsid w:val="00385AB1"/>
    <w:rsid w:val="00386400"/>
    <w:rsid w:val="00386733"/>
    <w:rsid w:val="00387038"/>
    <w:rsid w:val="00387558"/>
    <w:rsid w:val="003901B3"/>
    <w:rsid w:val="0039170B"/>
    <w:rsid w:val="00392DD9"/>
    <w:rsid w:val="00393A90"/>
    <w:rsid w:val="00394DA0"/>
    <w:rsid w:val="00395473"/>
    <w:rsid w:val="0039625B"/>
    <w:rsid w:val="00396A87"/>
    <w:rsid w:val="003A0155"/>
    <w:rsid w:val="003A0249"/>
    <w:rsid w:val="003A03FD"/>
    <w:rsid w:val="003A07DA"/>
    <w:rsid w:val="003A1032"/>
    <w:rsid w:val="003A1856"/>
    <w:rsid w:val="003A27F7"/>
    <w:rsid w:val="003A2D0D"/>
    <w:rsid w:val="003A2F13"/>
    <w:rsid w:val="003A303E"/>
    <w:rsid w:val="003A398E"/>
    <w:rsid w:val="003A45E2"/>
    <w:rsid w:val="003A4983"/>
    <w:rsid w:val="003A552C"/>
    <w:rsid w:val="003A64FD"/>
    <w:rsid w:val="003A79B3"/>
    <w:rsid w:val="003A7A9C"/>
    <w:rsid w:val="003B1F74"/>
    <w:rsid w:val="003B23AE"/>
    <w:rsid w:val="003B27A6"/>
    <w:rsid w:val="003B329D"/>
    <w:rsid w:val="003B375C"/>
    <w:rsid w:val="003B38DE"/>
    <w:rsid w:val="003B6426"/>
    <w:rsid w:val="003B6E20"/>
    <w:rsid w:val="003C07F3"/>
    <w:rsid w:val="003C0FFD"/>
    <w:rsid w:val="003C1121"/>
    <w:rsid w:val="003C1172"/>
    <w:rsid w:val="003C143B"/>
    <w:rsid w:val="003C207D"/>
    <w:rsid w:val="003C2554"/>
    <w:rsid w:val="003C2665"/>
    <w:rsid w:val="003C30E3"/>
    <w:rsid w:val="003C364E"/>
    <w:rsid w:val="003C38AC"/>
    <w:rsid w:val="003C3D3C"/>
    <w:rsid w:val="003C41E1"/>
    <w:rsid w:val="003C5000"/>
    <w:rsid w:val="003C5A2E"/>
    <w:rsid w:val="003C6019"/>
    <w:rsid w:val="003C61D5"/>
    <w:rsid w:val="003C684D"/>
    <w:rsid w:val="003C6B6B"/>
    <w:rsid w:val="003D0C73"/>
    <w:rsid w:val="003D2CE9"/>
    <w:rsid w:val="003D3320"/>
    <w:rsid w:val="003D3622"/>
    <w:rsid w:val="003D3E25"/>
    <w:rsid w:val="003D4392"/>
    <w:rsid w:val="003D4AD4"/>
    <w:rsid w:val="003D506A"/>
    <w:rsid w:val="003D54DF"/>
    <w:rsid w:val="003D63AD"/>
    <w:rsid w:val="003D6965"/>
    <w:rsid w:val="003E0C30"/>
    <w:rsid w:val="003E15C7"/>
    <w:rsid w:val="003E1CFC"/>
    <w:rsid w:val="003E2854"/>
    <w:rsid w:val="003E3076"/>
    <w:rsid w:val="003E3ADA"/>
    <w:rsid w:val="003E42BB"/>
    <w:rsid w:val="003E4A66"/>
    <w:rsid w:val="003E5A9A"/>
    <w:rsid w:val="003E60D2"/>
    <w:rsid w:val="003E74B6"/>
    <w:rsid w:val="003E7EFA"/>
    <w:rsid w:val="003F031A"/>
    <w:rsid w:val="003F09B8"/>
    <w:rsid w:val="003F1131"/>
    <w:rsid w:val="003F140F"/>
    <w:rsid w:val="003F2385"/>
    <w:rsid w:val="003F2425"/>
    <w:rsid w:val="003F3493"/>
    <w:rsid w:val="003F3D2D"/>
    <w:rsid w:val="003F3E22"/>
    <w:rsid w:val="003F78C7"/>
    <w:rsid w:val="003F7D46"/>
    <w:rsid w:val="004001B8"/>
    <w:rsid w:val="00400F56"/>
    <w:rsid w:val="0040122F"/>
    <w:rsid w:val="00402425"/>
    <w:rsid w:val="004036A0"/>
    <w:rsid w:val="00403704"/>
    <w:rsid w:val="00403CD9"/>
    <w:rsid w:val="00404432"/>
    <w:rsid w:val="00405560"/>
    <w:rsid w:val="00405CD6"/>
    <w:rsid w:val="00405F1B"/>
    <w:rsid w:val="0040655F"/>
    <w:rsid w:val="00406648"/>
    <w:rsid w:val="00407E1E"/>
    <w:rsid w:val="0041002A"/>
    <w:rsid w:val="004148A6"/>
    <w:rsid w:val="00415343"/>
    <w:rsid w:val="00416271"/>
    <w:rsid w:val="0041751C"/>
    <w:rsid w:val="00417E60"/>
    <w:rsid w:val="00420318"/>
    <w:rsid w:val="004228B1"/>
    <w:rsid w:val="00422D39"/>
    <w:rsid w:val="004241CB"/>
    <w:rsid w:val="00424AB7"/>
    <w:rsid w:val="00424B51"/>
    <w:rsid w:val="00425D14"/>
    <w:rsid w:val="00426280"/>
    <w:rsid w:val="0042644B"/>
    <w:rsid w:val="00426BD7"/>
    <w:rsid w:val="00430362"/>
    <w:rsid w:val="00430DE6"/>
    <w:rsid w:val="00431E3D"/>
    <w:rsid w:val="00431E60"/>
    <w:rsid w:val="004326B9"/>
    <w:rsid w:val="00432B6C"/>
    <w:rsid w:val="0043341E"/>
    <w:rsid w:val="00433F4E"/>
    <w:rsid w:val="00433F81"/>
    <w:rsid w:val="00434260"/>
    <w:rsid w:val="00435129"/>
    <w:rsid w:val="004358A5"/>
    <w:rsid w:val="004358E0"/>
    <w:rsid w:val="00436812"/>
    <w:rsid w:val="004379CC"/>
    <w:rsid w:val="00437ABC"/>
    <w:rsid w:val="00440AB9"/>
    <w:rsid w:val="00440AFC"/>
    <w:rsid w:val="00442BA6"/>
    <w:rsid w:val="0044351D"/>
    <w:rsid w:val="00444977"/>
    <w:rsid w:val="00444ADE"/>
    <w:rsid w:val="00444CBA"/>
    <w:rsid w:val="00444D33"/>
    <w:rsid w:val="0044619B"/>
    <w:rsid w:val="00446B6C"/>
    <w:rsid w:val="00450FBF"/>
    <w:rsid w:val="004523AA"/>
    <w:rsid w:val="00454D4D"/>
    <w:rsid w:val="00455803"/>
    <w:rsid w:val="00455DEE"/>
    <w:rsid w:val="004568FC"/>
    <w:rsid w:val="00457BB1"/>
    <w:rsid w:val="00460085"/>
    <w:rsid w:val="0046035C"/>
    <w:rsid w:val="004637C0"/>
    <w:rsid w:val="00464129"/>
    <w:rsid w:val="00464AD9"/>
    <w:rsid w:val="004660A2"/>
    <w:rsid w:val="00466277"/>
    <w:rsid w:val="00466693"/>
    <w:rsid w:val="004668DF"/>
    <w:rsid w:val="00466F2D"/>
    <w:rsid w:val="004671FD"/>
    <w:rsid w:val="0047147F"/>
    <w:rsid w:val="00471FF1"/>
    <w:rsid w:val="00473082"/>
    <w:rsid w:val="0047314D"/>
    <w:rsid w:val="00473224"/>
    <w:rsid w:val="00474CC9"/>
    <w:rsid w:val="00475B43"/>
    <w:rsid w:val="00475B95"/>
    <w:rsid w:val="00475E1C"/>
    <w:rsid w:val="00475F99"/>
    <w:rsid w:val="00476554"/>
    <w:rsid w:val="00480C3B"/>
    <w:rsid w:val="00480C56"/>
    <w:rsid w:val="00480DBA"/>
    <w:rsid w:val="00481EF3"/>
    <w:rsid w:val="004820EA"/>
    <w:rsid w:val="00484E09"/>
    <w:rsid w:val="00485DC5"/>
    <w:rsid w:val="00487390"/>
    <w:rsid w:val="00487B7B"/>
    <w:rsid w:val="00487EC6"/>
    <w:rsid w:val="0049004C"/>
    <w:rsid w:val="00490F29"/>
    <w:rsid w:val="0049172A"/>
    <w:rsid w:val="004943A7"/>
    <w:rsid w:val="004944BD"/>
    <w:rsid w:val="00494533"/>
    <w:rsid w:val="004946C9"/>
    <w:rsid w:val="00494730"/>
    <w:rsid w:val="00495B8F"/>
    <w:rsid w:val="00495D83"/>
    <w:rsid w:val="0049690F"/>
    <w:rsid w:val="00497C91"/>
    <w:rsid w:val="00497DF9"/>
    <w:rsid w:val="004A0CEA"/>
    <w:rsid w:val="004A19EB"/>
    <w:rsid w:val="004A1F07"/>
    <w:rsid w:val="004A234F"/>
    <w:rsid w:val="004A2654"/>
    <w:rsid w:val="004A31CE"/>
    <w:rsid w:val="004A481C"/>
    <w:rsid w:val="004A4D87"/>
    <w:rsid w:val="004A6641"/>
    <w:rsid w:val="004A77D0"/>
    <w:rsid w:val="004B15A9"/>
    <w:rsid w:val="004B1736"/>
    <w:rsid w:val="004B22E1"/>
    <w:rsid w:val="004B3A44"/>
    <w:rsid w:val="004B3B7C"/>
    <w:rsid w:val="004B3F8F"/>
    <w:rsid w:val="004B4210"/>
    <w:rsid w:val="004B45B8"/>
    <w:rsid w:val="004B46BA"/>
    <w:rsid w:val="004B4798"/>
    <w:rsid w:val="004B78D3"/>
    <w:rsid w:val="004B7D60"/>
    <w:rsid w:val="004C0855"/>
    <w:rsid w:val="004C08C7"/>
    <w:rsid w:val="004C099A"/>
    <w:rsid w:val="004C0B0B"/>
    <w:rsid w:val="004C0F37"/>
    <w:rsid w:val="004C1635"/>
    <w:rsid w:val="004C1E10"/>
    <w:rsid w:val="004C3732"/>
    <w:rsid w:val="004C3917"/>
    <w:rsid w:val="004C567E"/>
    <w:rsid w:val="004C5F0C"/>
    <w:rsid w:val="004C7305"/>
    <w:rsid w:val="004C734D"/>
    <w:rsid w:val="004C7CE5"/>
    <w:rsid w:val="004D0259"/>
    <w:rsid w:val="004D093C"/>
    <w:rsid w:val="004D1DFE"/>
    <w:rsid w:val="004D209F"/>
    <w:rsid w:val="004D2592"/>
    <w:rsid w:val="004D2868"/>
    <w:rsid w:val="004D2CC5"/>
    <w:rsid w:val="004D3148"/>
    <w:rsid w:val="004D35CF"/>
    <w:rsid w:val="004D3884"/>
    <w:rsid w:val="004D3DE4"/>
    <w:rsid w:val="004D520D"/>
    <w:rsid w:val="004D54D6"/>
    <w:rsid w:val="004D5B8A"/>
    <w:rsid w:val="004D5F26"/>
    <w:rsid w:val="004D692A"/>
    <w:rsid w:val="004D71BC"/>
    <w:rsid w:val="004D795D"/>
    <w:rsid w:val="004E0705"/>
    <w:rsid w:val="004E0923"/>
    <w:rsid w:val="004E0A4D"/>
    <w:rsid w:val="004E13CF"/>
    <w:rsid w:val="004E1917"/>
    <w:rsid w:val="004E1E5E"/>
    <w:rsid w:val="004E23AF"/>
    <w:rsid w:val="004E4004"/>
    <w:rsid w:val="004E4B87"/>
    <w:rsid w:val="004E5A64"/>
    <w:rsid w:val="004E6096"/>
    <w:rsid w:val="004E6706"/>
    <w:rsid w:val="004E6A0C"/>
    <w:rsid w:val="004F0583"/>
    <w:rsid w:val="004F168F"/>
    <w:rsid w:val="004F1A1E"/>
    <w:rsid w:val="004F3270"/>
    <w:rsid w:val="004F38BC"/>
    <w:rsid w:val="004F39A7"/>
    <w:rsid w:val="004F553F"/>
    <w:rsid w:val="00501221"/>
    <w:rsid w:val="0050211C"/>
    <w:rsid w:val="0050228B"/>
    <w:rsid w:val="00502A06"/>
    <w:rsid w:val="00502CCA"/>
    <w:rsid w:val="00502D17"/>
    <w:rsid w:val="005030D7"/>
    <w:rsid w:val="005031DC"/>
    <w:rsid w:val="00503E4B"/>
    <w:rsid w:val="005046A7"/>
    <w:rsid w:val="00504BAF"/>
    <w:rsid w:val="00505CE7"/>
    <w:rsid w:val="00505E86"/>
    <w:rsid w:val="00506C7B"/>
    <w:rsid w:val="0050718E"/>
    <w:rsid w:val="00507582"/>
    <w:rsid w:val="00507CAD"/>
    <w:rsid w:val="00507F51"/>
    <w:rsid w:val="00507F95"/>
    <w:rsid w:val="005100D0"/>
    <w:rsid w:val="0051022F"/>
    <w:rsid w:val="00510EFB"/>
    <w:rsid w:val="00511271"/>
    <w:rsid w:val="005126F6"/>
    <w:rsid w:val="005141FF"/>
    <w:rsid w:val="005151DE"/>
    <w:rsid w:val="00515608"/>
    <w:rsid w:val="00515909"/>
    <w:rsid w:val="00516DF9"/>
    <w:rsid w:val="0051744B"/>
    <w:rsid w:val="005177CA"/>
    <w:rsid w:val="00517D02"/>
    <w:rsid w:val="00520C2B"/>
    <w:rsid w:val="00520E5B"/>
    <w:rsid w:val="0052248D"/>
    <w:rsid w:val="00522731"/>
    <w:rsid w:val="00522750"/>
    <w:rsid w:val="005237FD"/>
    <w:rsid w:val="00524953"/>
    <w:rsid w:val="00524BB3"/>
    <w:rsid w:val="0052548E"/>
    <w:rsid w:val="00526391"/>
    <w:rsid w:val="005275AC"/>
    <w:rsid w:val="0053007D"/>
    <w:rsid w:val="00530B03"/>
    <w:rsid w:val="00531386"/>
    <w:rsid w:val="00532250"/>
    <w:rsid w:val="00532829"/>
    <w:rsid w:val="0053287E"/>
    <w:rsid w:val="005336D9"/>
    <w:rsid w:val="00533753"/>
    <w:rsid w:val="0053517A"/>
    <w:rsid w:val="00535409"/>
    <w:rsid w:val="00536BBC"/>
    <w:rsid w:val="00537A45"/>
    <w:rsid w:val="00540D38"/>
    <w:rsid w:val="0054163A"/>
    <w:rsid w:val="005416F4"/>
    <w:rsid w:val="00541844"/>
    <w:rsid w:val="00541951"/>
    <w:rsid w:val="00541A75"/>
    <w:rsid w:val="005425E1"/>
    <w:rsid w:val="00543005"/>
    <w:rsid w:val="00545164"/>
    <w:rsid w:val="0054581C"/>
    <w:rsid w:val="00545901"/>
    <w:rsid w:val="0054627E"/>
    <w:rsid w:val="00546814"/>
    <w:rsid w:val="00547472"/>
    <w:rsid w:val="00547CA8"/>
    <w:rsid w:val="0055040D"/>
    <w:rsid w:val="0055156C"/>
    <w:rsid w:val="00551DCA"/>
    <w:rsid w:val="005528B9"/>
    <w:rsid w:val="00552DF4"/>
    <w:rsid w:val="00553119"/>
    <w:rsid w:val="00553F12"/>
    <w:rsid w:val="0055483D"/>
    <w:rsid w:val="005557F2"/>
    <w:rsid w:val="005559BA"/>
    <w:rsid w:val="00555B15"/>
    <w:rsid w:val="00555FED"/>
    <w:rsid w:val="00556C8A"/>
    <w:rsid w:val="005617A0"/>
    <w:rsid w:val="00563752"/>
    <w:rsid w:val="00563B95"/>
    <w:rsid w:val="005641EF"/>
    <w:rsid w:val="00564306"/>
    <w:rsid w:val="00564654"/>
    <w:rsid w:val="00565985"/>
    <w:rsid w:val="00566158"/>
    <w:rsid w:val="00566918"/>
    <w:rsid w:val="00570A1F"/>
    <w:rsid w:val="0057588D"/>
    <w:rsid w:val="00576F95"/>
    <w:rsid w:val="005775FF"/>
    <w:rsid w:val="00577AE9"/>
    <w:rsid w:val="00577B04"/>
    <w:rsid w:val="0058054D"/>
    <w:rsid w:val="00582254"/>
    <w:rsid w:val="0058304E"/>
    <w:rsid w:val="005849DB"/>
    <w:rsid w:val="00584D15"/>
    <w:rsid w:val="0058564D"/>
    <w:rsid w:val="0058591E"/>
    <w:rsid w:val="00585FAC"/>
    <w:rsid w:val="00586163"/>
    <w:rsid w:val="00586873"/>
    <w:rsid w:val="00587430"/>
    <w:rsid w:val="00590188"/>
    <w:rsid w:val="005909E9"/>
    <w:rsid w:val="005914F7"/>
    <w:rsid w:val="005946CC"/>
    <w:rsid w:val="00595021"/>
    <w:rsid w:val="00595462"/>
    <w:rsid w:val="00595E1C"/>
    <w:rsid w:val="0059682C"/>
    <w:rsid w:val="005973BE"/>
    <w:rsid w:val="00597B70"/>
    <w:rsid w:val="005A0B58"/>
    <w:rsid w:val="005A1870"/>
    <w:rsid w:val="005A21E3"/>
    <w:rsid w:val="005A3E98"/>
    <w:rsid w:val="005A43B8"/>
    <w:rsid w:val="005A46E3"/>
    <w:rsid w:val="005A558C"/>
    <w:rsid w:val="005A6AAA"/>
    <w:rsid w:val="005A766A"/>
    <w:rsid w:val="005A79BF"/>
    <w:rsid w:val="005B0930"/>
    <w:rsid w:val="005B1711"/>
    <w:rsid w:val="005B3058"/>
    <w:rsid w:val="005B45B5"/>
    <w:rsid w:val="005B5BE3"/>
    <w:rsid w:val="005B5E49"/>
    <w:rsid w:val="005B6269"/>
    <w:rsid w:val="005B6571"/>
    <w:rsid w:val="005B6E34"/>
    <w:rsid w:val="005B7248"/>
    <w:rsid w:val="005C0077"/>
    <w:rsid w:val="005C05C6"/>
    <w:rsid w:val="005C185C"/>
    <w:rsid w:val="005C38F1"/>
    <w:rsid w:val="005C4B46"/>
    <w:rsid w:val="005C4CCA"/>
    <w:rsid w:val="005C66CE"/>
    <w:rsid w:val="005D072E"/>
    <w:rsid w:val="005D073D"/>
    <w:rsid w:val="005D0DFD"/>
    <w:rsid w:val="005D0E91"/>
    <w:rsid w:val="005D1312"/>
    <w:rsid w:val="005D190D"/>
    <w:rsid w:val="005D1AED"/>
    <w:rsid w:val="005D1C4D"/>
    <w:rsid w:val="005D1DC4"/>
    <w:rsid w:val="005D20BC"/>
    <w:rsid w:val="005D2375"/>
    <w:rsid w:val="005D2834"/>
    <w:rsid w:val="005D2B15"/>
    <w:rsid w:val="005D2BE1"/>
    <w:rsid w:val="005D49BF"/>
    <w:rsid w:val="005D57D7"/>
    <w:rsid w:val="005D6972"/>
    <w:rsid w:val="005D6F37"/>
    <w:rsid w:val="005D6FB3"/>
    <w:rsid w:val="005E1FE0"/>
    <w:rsid w:val="005E2316"/>
    <w:rsid w:val="005E248A"/>
    <w:rsid w:val="005E2837"/>
    <w:rsid w:val="005E33C9"/>
    <w:rsid w:val="005E36CD"/>
    <w:rsid w:val="005E3B8B"/>
    <w:rsid w:val="005E3B8E"/>
    <w:rsid w:val="005E4264"/>
    <w:rsid w:val="005E4913"/>
    <w:rsid w:val="005E4ABA"/>
    <w:rsid w:val="005E50A3"/>
    <w:rsid w:val="005E5388"/>
    <w:rsid w:val="005E5793"/>
    <w:rsid w:val="005E58F9"/>
    <w:rsid w:val="005E5B09"/>
    <w:rsid w:val="005E5B53"/>
    <w:rsid w:val="005E6200"/>
    <w:rsid w:val="005E75CF"/>
    <w:rsid w:val="005F011D"/>
    <w:rsid w:val="005F35E2"/>
    <w:rsid w:val="005F5FBE"/>
    <w:rsid w:val="005F6420"/>
    <w:rsid w:val="005F681D"/>
    <w:rsid w:val="005F6994"/>
    <w:rsid w:val="005F6AEA"/>
    <w:rsid w:val="005F751E"/>
    <w:rsid w:val="005F7746"/>
    <w:rsid w:val="005F7E82"/>
    <w:rsid w:val="006002AC"/>
    <w:rsid w:val="00600E69"/>
    <w:rsid w:val="00601B45"/>
    <w:rsid w:val="00604D0D"/>
    <w:rsid w:val="006050EE"/>
    <w:rsid w:val="0060522A"/>
    <w:rsid w:val="0060561C"/>
    <w:rsid w:val="0060734D"/>
    <w:rsid w:val="006073B8"/>
    <w:rsid w:val="00607C87"/>
    <w:rsid w:val="0061065B"/>
    <w:rsid w:val="006108EC"/>
    <w:rsid w:val="006113A2"/>
    <w:rsid w:val="0061146B"/>
    <w:rsid w:val="006121F5"/>
    <w:rsid w:val="00612493"/>
    <w:rsid w:val="00612695"/>
    <w:rsid w:val="00613466"/>
    <w:rsid w:val="00614018"/>
    <w:rsid w:val="006142C5"/>
    <w:rsid w:val="00614EEB"/>
    <w:rsid w:val="00616375"/>
    <w:rsid w:val="0061653D"/>
    <w:rsid w:val="0062033F"/>
    <w:rsid w:val="00620943"/>
    <w:rsid w:val="00620E11"/>
    <w:rsid w:val="006218B8"/>
    <w:rsid w:val="00621C6D"/>
    <w:rsid w:val="006221E8"/>
    <w:rsid w:val="00622590"/>
    <w:rsid w:val="00622885"/>
    <w:rsid w:val="006231A5"/>
    <w:rsid w:val="006239AF"/>
    <w:rsid w:val="00623D73"/>
    <w:rsid w:val="00625E55"/>
    <w:rsid w:val="00626037"/>
    <w:rsid w:val="006262D4"/>
    <w:rsid w:val="00626944"/>
    <w:rsid w:val="00627F23"/>
    <w:rsid w:val="006305AD"/>
    <w:rsid w:val="0063084A"/>
    <w:rsid w:val="00630B46"/>
    <w:rsid w:val="00631E57"/>
    <w:rsid w:val="0063416B"/>
    <w:rsid w:val="0063612E"/>
    <w:rsid w:val="006411BD"/>
    <w:rsid w:val="006413BE"/>
    <w:rsid w:val="00641596"/>
    <w:rsid w:val="0064280A"/>
    <w:rsid w:val="006430C5"/>
    <w:rsid w:val="006442B5"/>
    <w:rsid w:val="00644CD4"/>
    <w:rsid w:val="00645A4D"/>
    <w:rsid w:val="00645CEC"/>
    <w:rsid w:val="00645D09"/>
    <w:rsid w:val="00646E9F"/>
    <w:rsid w:val="00647344"/>
    <w:rsid w:val="00647864"/>
    <w:rsid w:val="00650575"/>
    <w:rsid w:val="00652664"/>
    <w:rsid w:val="00652D77"/>
    <w:rsid w:val="006531F7"/>
    <w:rsid w:val="00654420"/>
    <w:rsid w:val="0065511F"/>
    <w:rsid w:val="006558B1"/>
    <w:rsid w:val="006565E2"/>
    <w:rsid w:val="00656600"/>
    <w:rsid w:val="006573B6"/>
    <w:rsid w:val="0066111D"/>
    <w:rsid w:val="00661934"/>
    <w:rsid w:val="00663381"/>
    <w:rsid w:val="0066338D"/>
    <w:rsid w:val="00663DD4"/>
    <w:rsid w:val="006644CB"/>
    <w:rsid w:val="00665F1A"/>
    <w:rsid w:val="006667C8"/>
    <w:rsid w:val="00667B83"/>
    <w:rsid w:val="00670256"/>
    <w:rsid w:val="0067055E"/>
    <w:rsid w:val="00670600"/>
    <w:rsid w:val="00671869"/>
    <w:rsid w:val="00673FEA"/>
    <w:rsid w:val="0067437F"/>
    <w:rsid w:val="00675378"/>
    <w:rsid w:val="0067772D"/>
    <w:rsid w:val="00677AB2"/>
    <w:rsid w:val="00680190"/>
    <w:rsid w:val="006817A6"/>
    <w:rsid w:val="00681B26"/>
    <w:rsid w:val="00682C97"/>
    <w:rsid w:val="00683966"/>
    <w:rsid w:val="00683AF3"/>
    <w:rsid w:val="00685071"/>
    <w:rsid w:val="0068533F"/>
    <w:rsid w:val="00685D1A"/>
    <w:rsid w:val="006865DC"/>
    <w:rsid w:val="00687F90"/>
    <w:rsid w:val="006900F6"/>
    <w:rsid w:val="00690376"/>
    <w:rsid w:val="0069060D"/>
    <w:rsid w:val="00690EED"/>
    <w:rsid w:val="00691A10"/>
    <w:rsid w:val="00691F42"/>
    <w:rsid w:val="006937A1"/>
    <w:rsid w:val="00693828"/>
    <w:rsid w:val="00694380"/>
    <w:rsid w:val="00694AD6"/>
    <w:rsid w:val="006959B0"/>
    <w:rsid w:val="00696485"/>
    <w:rsid w:val="0069655C"/>
    <w:rsid w:val="006967AF"/>
    <w:rsid w:val="00696949"/>
    <w:rsid w:val="006971EE"/>
    <w:rsid w:val="0069737E"/>
    <w:rsid w:val="00697A8E"/>
    <w:rsid w:val="006A0F17"/>
    <w:rsid w:val="006A2FCA"/>
    <w:rsid w:val="006A459F"/>
    <w:rsid w:val="006A4915"/>
    <w:rsid w:val="006A5291"/>
    <w:rsid w:val="006B0404"/>
    <w:rsid w:val="006B11AF"/>
    <w:rsid w:val="006B1225"/>
    <w:rsid w:val="006B12CB"/>
    <w:rsid w:val="006B1ABE"/>
    <w:rsid w:val="006B1EE7"/>
    <w:rsid w:val="006B216F"/>
    <w:rsid w:val="006B24AA"/>
    <w:rsid w:val="006B2660"/>
    <w:rsid w:val="006B2C9E"/>
    <w:rsid w:val="006B2D92"/>
    <w:rsid w:val="006B33C9"/>
    <w:rsid w:val="006B36B2"/>
    <w:rsid w:val="006B3B84"/>
    <w:rsid w:val="006B3F1F"/>
    <w:rsid w:val="006B4AA8"/>
    <w:rsid w:val="006B7152"/>
    <w:rsid w:val="006C0114"/>
    <w:rsid w:val="006C0261"/>
    <w:rsid w:val="006C05DA"/>
    <w:rsid w:val="006C0CFA"/>
    <w:rsid w:val="006C1277"/>
    <w:rsid w:val="006C1FBC"/>
    <w:rsid w:val="006C2446"/>
    <w:rsid w:val="006C2DA1"/>
    <w:rsid w:val="006C31B7"/>
    <w:rsid w:val="006C5880"/>
    <w:rsid w:val="006C6839"/>
    <w:rsid w:val="006C6F6C"/>
    <w:rsid w:val="006D0168"/>
    <w:rsid w:val="006D0302"/>
    <w:rsid w:val="006D0ADB"/>
    <w:rsid w:val="006D127A"/>
    <w:rsid w:val="006D35C4"/>
    <w:rsid w:val="006D3AC1"/>
    <w:rsid w:val="006D45F4"/>
    <w:rsid w:val="006D4A68"/>
    <w:rsid w:val="006D50B1"/>
    <w:rsid w:val="006D5368"/>
    <w:rsid w:val="006D66E6"/>
    <w:rsid w:val="006D66F9"/>
    <w:rsid w:val="006D706E"/>
    <w:rsid w:val="006D75CC"/>
    <w:rsid w:val="006D76B8"/>
    <w:rsid w:val="006E0420"/>
    <w:rsid w:val="006E0F05"/>
    <w:rsid w:val="006E12F7"/>
    <w:rsid w:val="006E1B2C"/>
    <w:rsid w:val="006E2F13"/>
    <w:rsid w:val="006E4921"/>
    <w:rsid w:val="006E49CB"/>
    <w:rsid w:val="006E4A73"/>
    <w:rsid w:val="006E4DEE"/>
    <w:rsid w:val="006E59CE"/>
    <w:rsid w:val="006E6398"/>
    <w:rsid w:val="006E6529"/>
    <w:rsid w:val="006E6E1E"/>
    <w:rsid w:val="006E74B0"/>
    <w:rsid w:val="006E769C"/>
    <w:rsid w:val="006F0617"/>
    <w:rsid w:val="006F0F3A"/>
    <w:rsid w:val="006F1061"/>
    <w:rsid w:val="006F16D8"/>
    <w:rsid w:val="006F1A1D"/>
    <w:rsid w:val="006F2AA4"/>
    <w:rsid w:val="006F3047"/>
    <w:rsid w:val="006F3B00"/>
    <w:rsid w:val="006F5A8A"/>
    <w:rsid w:val="006F5AD7"/>
    <w:rsid w:val="006F6064"/>
    <w:rsid w:val="006F6DF6"/>
    <w:rsid w:val="00700A15"/>
    <w:rsid w:val="00700F75"/>
    <w:rsid w:val="007017AE"/>
    <w:rsid w:val="00701C09"/>
    <w:rsid w:val="00704ADF"/>
    <w:rsid w:val="00704EFD"/>
    <w:rsid w:val="00704F60"/>
    <w:rsid w:val="007068FD"/>
    <w:rsid w:val="00706E69"/>
    <w:rsid w:val="00707A93"/>
    <w:rsid w:val="00710633"/>
    <w:rsid w:val="0071071D"/>
    <w:rsid w:val="00710FC2"/>
    <w:rsid w:val="007113BC"/>
    <w:rsid w:val="007115D9"/>
    <w:rsid w:val="00712713"/>
    <w:rsid w:val="00712AB0"/>
    <w:rsid w:val="00713920"/>
    <w:rsid w:val="00713F42"/>
    <w:rsid w:val="0071475B"/>
    <w:rsid w:val="00714D34"/>
    <w:rsid w:val="0071515A"/>
    <w:rsid w:val="00715C16"/>
    <w:rsid w:val="00720799"/>
    <w:rsid w:val="00720C09"/>
    <w:rsid w:val="00720E7E"/>
    <w:rsid w:val="007214E8"/>
    <w:rsid w:val="00721527"/>
    <w:rsid w:val="007218C5"/>
    <w:rsid w:val="007236CE"/>
    <w:rsid w:val="007239C7"/>
    <w:rsid w:val="00725451"/>
    <w:rsid w:val="007268A8"/>
    <w:rsid w:val="0072753F"/>
    <w:rsid w:val="00730157"/>
    <w:rsid w:val="00730192"/>
    <w:rsid w:val="00730193"/>
    <w:rsid w:val="007302EC"/>
    <w:rsid w:val="00730B86"/>
    <w:rsid w:val="00730DCF"/>
    <w:rsid w:val="007318C5"/>
    <w:rsid w:val="00731B57"/>
    <w:rsid w:val="00733624"/>
    <w:rsid w:val="00733C51"/>
    <w:rsid w:val="0073590C"/>
    <w:rsid w:val="00735A0B"/>
    <w:rsid w:val="00735F9F"/>
    <w:rsid w:val="007369D8"/>
    <w:rsid w:val="0073708B"/>
    <w:rsid w:val="007374DF"/>
    <w:rsid w:val="00737C79"/>
    <w:rsid w:val="00737EA1"/>
    <w:rsid w:val="007422FE"/>
    <w:rsid w:val="00742606"/>
    <w:rsid w:val="007426EA"/>
    <w:rsid w:val="00744048"/>
    <w:rsid w:val="007448C8"/>
    <w:rsid w:val="00744C47"/>
    <w:rsid w:val="007462B9"/>
    <w:rsid w:val="0074672A"/>
    <w:rsid w:val="0075127A"/>
    <w:rsid w:val="00751D4E"/>
    <w:rsid w:val="00751DFB"/>
    <w:rsid w:val="00752C8D"/>
    <w:rsid w:val="0075357E"/>
    <w:rsid w:val="00753E19"/>
    <w:rsid w:val="0075439A"/>
    <w:rsid w:val="00754937"/>
    <w:rsid w:val="0075535D"/>
    <w:rsid w:val="00755AC4"/>
    <w:rsid w:val="00756ABB"/>
    <w:rsid w:val="007574D8"/>
    <w:rsid w:val="00761A7E"/>
    <w:rsid w:val="00761CC9"/>
    <w:rsid w:val="00762ADB"/>
    <w:rsid w:val="00762DEC"/>
    <w:rsid w:val="00763B83"/>
    <w:rsid w:val="00763DD0"/>
    <w:rsid w:val="00764DAD"/>
    <w:rsid w:val="00764E3C"/>
    <w:rsid w:val="00765815"/>
    <w:rsid w:val="007659C5"/>
    <w:rsid w:val="00765DD3"/>
    <w:rsid w:val="0076660A"/>
    <w:rsid w:val="0076663B"/>
    <w:rsid w:val="00766967"/>
    <w:rsid w:val="00767BD4"/>
    <w:rsid w:val="00770310"/>
    <w:rsid w:val="0077083C"/>
    <w:rsid w:val="00770DEF"/>
    <w:rsid w:val="00770F8B"/>
    <w:rsid w:val="0077178C"/>
    <w:rsid w:val="00772F7C"/>
    <w:rsid w:val="00773BC6"/>
    <w:rsid w:val="00773BFF"/>
    <w:rsid w:val="00773CA6"/>
    <w:rsid w:val="00773F88"/>
    <w:rsid w:val="00774588"/>
    <w:rsid w:val="00774FFE"/>
    <w:rsid w:val="00776135"/>
    <w:rsid w:val="00780A42"/>
    <w:rsid w:val="007811BD"/>
    <w:rsid w:val="00781764"/>
    <w:rsid w:val="007817A2"/>
    <w:rsid w:val="00782FF2"/>
    <w:rsid w:val="00784463"/>
    <w:rsid w:val="00784F88"/>
    <w:rsid w:val="0078596C"/>
    <w:rsid w:val="00791B95"/>
    <w:rsid w:val="00792226"/>
    <w:rsid w:val="007926C5"/>
    <w:rsid w:val="00792E6C"/>
    <w:rsid w:val="00792F28"/>
    <w:rsid w:val="007934EE"/>
    <w:rsid w:val="00795674"/>
    <w:rsid w:val="007962F9"/>
    <w:rsid w:val="00797583"/>
    <w:rsid w:val="007A05E6"/>
    <w:rsid w:val="007A098A"/>
    <w:rsid w:val="007A0B8A"/>
    <w:rsid w:val="007A135D"/>
    <w:rsid w:val="007A240A"/>
    <w:rsid w:val="007A2A95"/>
    <w:rsid w:val="007A41D0"/>
    <w:rsid w:val="007A5EDA"/>
    <w:rsid w:val="007A659F"/>
    <w:rsid w:val="007A67D2"/>
    <w:rsid w:val="007A6B15"/>
    <w:rsid w:val="007A7B31"/>
    <w:rsid w:val="007A7EF7"/>
    <w:rsid w:val="007B0736"/>
    <w:rsid w:val="007B075C"/>
    <w:rsid w:val="007B119E"/>
    <w:rsid w:val="007B1DF5"/>
    <w:rsid w:val="007B2D12"/>
    <w:rsid w:val="007B33CA"/>
    <w:rsid w:val="007B3411"/>
    <w:rsid w:val="007B3913"/>
    <w:rsid w:val="007B3B86"/>
    <w:rsid w:val="007B4243"/>
    <w:rsid w:val="007B4761"/>
    <w:rsid w:val="007B5B19"/>
    <w:rsid w:val="007B65E4"/>
    <w:rsid w:val="007C04CC"/>
    <w:rsid w:val="007C2E0B"/>
    <w:rsid w:val="007C3B61"/>
    <w:rsid w:val="007C41C8"/>
    <w:rsid w:val="007C4675"/>
    <w:rsid w:val="007C4EFB"/>
    <w:rsid w:val="007C55C9"/>
    <w:rsid w:val="007C5BC9"/>
    <w:rsid w:val="007C5F21"/>
    <w:rsid w:val="007C623B"/>
    <w:rsid w:val="007C67A9"/>
    <w:rsid w:val="007C6D80"/>
    <w:rsid w:val="007C7200"/>
    <w:rsid w:val="007D0903"/>
    <w:rsid w:val="007D0C59"/>
    <w:rsid w:val="007D15DC"/>
    <w:rsid w:val="007D30BA"/>
    <w:rsid w:val="007D42B6"/>
    <w:rsid w:val="007D69F0"/>
    <w:rsid w:val="007D7FDD"/>
    <w:rsid w:val="007E09E1"/>
    <w:rsid w:val="007E1B82"/>
    <w:rsid w:val="007E22FA"/>
    <w:rsid w:val="007E31DE"/>
    <w:rsid w:val="007E39C5"/>
    <w:rsid w:val="007E59A4"/>
    <w:rsid w:val="007E6471"/>
    <w:rsid w:val="007E68B0"/>
    <w:rsid w:val="007E6FE5"/>
    <w:rsid w:val="007F175B"/>
    <w:rsid w:val="007F306A"/>
    <w:rsid w:val="007F3469"/>
    <w:rsid w:val="007F35B5"/>
    <w:rsid w:val="007F3CEA"/>
    <w:rsid w:val="007F40C7"/>
    <w:rsid w:val="007F4EA3"/>
    <w:rsid w:val="007F557A"/>
    <w:rsid w:val="007F724D"/>
    <w:rsid w:val="007F7474"/>
    <w:rsid w:val="008007FA"/>
    <w:rsid w:val="00800D29"/>
    <w:rsid w:val="008020A7"/>
    <w:rsid w:val="00803149"/>
    <w:rsid w:val="008042BC"/>
    <w:rsid w:val="00804474"/>
    <w:rsid w:val="00805A90"/>
    <w:rsid w:val="00805CA1"/>
    <w:rsid w:val="00805CA6"/>
    <w:rsid w:val="00805E67"/>
    <w:rsid w:val="00805EBD"/>
    <w:rsid w:val="00805EC1"/>
    <w:rsid w:val="0080779A"/>
    <w:rsid w:val="008103A1"/>
    <w:rsid w:val="00812A7C"/>
    <w:rsid w:val="00813CC0"/>
    <w:rsid w:val="00813CDE"/>
    <w:rsid w:val="0081411E"/>
    <w:rsid w:val="00814479"/>
    <w:rsid w:val="00814FA7"/>
    <w:rsid w:val="008153ED"/>
    <w:rsid w:val="0081584A"/>
    <w:rsid w:val="008167EA"/>
    <w:rsid w:val="00817159"/>
    <w:rsid w:val="00817CAF"/>
    <w:rsid w:val="008202D8"/>
    <w:rsid w:val="00820399"/>
    <w:rsid w:val="00820432"/>
    <w:rsid w:val="00821476"/>
    <w:rsid w:val="008220B0"/>
    <w:rsid w:val="008238F9"/>
    <w:rsid w:val="00823D0C"/>
    <w:rsid w:val="0082430E"/>
    <w:rsid w:val="008247DA"/>
    <w:rsid w:val="0082495A"/>
    <w:rsid w:val="00824A24"/>
    <w:rsid w:val="00825459"/>
    <w:rsid w:val="00825A80"/>
    <w:rsid w:val="00826814"/>
    <w:rsid w:val="00826A2E"/>
    <w:rsid w:val="00827A6A"/>
    <w:rsid w:val="00830665"/>
    <w:rsid w:val="008306F5"/>
    <w:rsid w:val="0083317C"/>
    <w:rsid w:val="008336FF"/>
    <w:rsid w:val="008348B7"/>
    <w:rsid w:val="008374FE"/>
    <w:rsid w:val="00837A5D"/>
    <w:rsid w:val="00837CF6"/>
    <w:rsid w:val="00840375"/>
    <w:rsid w:val="008404EF"/>
    <w:rsid w:val="0084076D"/>
    <w:rsid w:val="00840893"/>
    <w:rsid w:val="00841A3B"/>
    <w:rsid w:val="00841B1B"/>
    <w:rsid w:val="0084239A"/>
    <w:rsid w:val="00842A64"/>
    <w:rsid w:val="00843479"/>
    <w:rsid w:val="00843745"/>
    <w:rsid w:val="00843A95"/>
    <w:rsid w:val="00843D3F"/>
    <w:rsid w:val="008456CD"/>
    <w:rsid w:val="0084631B"/>
    <w:rsid w:val="00846E28"/>
    <w:rsid w:val="0084718C"/>
    <w:rsid w:val="008472E9"/>
    <w:rsid w:val="00847CCF"/>
    <w:rsid w:val="00851CDE"/>
    <w:rsid w:val="008527E7"/>
    <w:rsid w:val="00852E86"/>
    <w:rsid w:val="00853F5A"/>
    <w:rsid w:val="00854A30"/>
    <w:rsid w:val="00854B34"/>
    <w:rsid w:val="008578CC"/>
    <w:rsid w:val="00860ACC"/>
    <w:rsid w:val="00860E38"/>
    <w:rsid w:val="00861BD5"/>
    <w:rsid w:val="008641B3"/>
    <w:rsid w:val="00864371"/>
    <w:rsid w:val="00864DC0"/>
    <w:rsid w:val="00864E7A"/>
    <w:rsid w:val="00864FAF"/>
    <w:rsid w:val="008654E8"/>
    <w:rsid w:val="00865BCD"/>
    <w:rsid w:val="008668DA"/>
    <w:rsid w:val="008671E6"/>
    <w:rsid w:val="008700B7"/>
    <w:rsid w:val="00870204"/>
    <w:rsid w:val="0087106E"/>
    <w:rsid w:val="008719DD"/>
    <w:rsid w:val="0087213D"/>
    <w:rsid w:val="008722AF"/>
    <w:rsid w:val="00873679"/>
    <w:rsid w:val="00873AAC"/>
    <w:rsid w:val="00875887"/>
    <w:rsid w:val="008758CC"/>
    <w:rsid w:val="00875F55"/>
    <w:rsid w:val="008763BA"/>
    <w:rsid w:val="008779F5"/>
    <w:rsid w:val="008800A2"/>
    <w:rsid w:val="0088059E"/>
    <w:rsid w:val="00880AAB"/>
    <w:rsid w:val="00881A0C"/>
    <w:rsid w:val="00881CB2"/>
    <w:rsid w:val="00881DB0"/>
    <w:rsid w:val="00883A08"/>
    <w:rsid w:val="00885565"/>
    <w:rsid w:val="00885922"/>
    <w:rsid w:val="008861D6"/>
    <w:rsid w:val="00886441"/>
    <w:rsid w:val="00890F55"/>
    <w:rsid w:val="00891E3D"/>
    <w:rsid w:val="008925F3"/>
    <w:rsid w:val="00892F01"/>
    <w:rsid w:val="00893DA7"/>
    <w:rsid w:val="008943BB"/>
    <w:rsid w:val="00895B3E"/>
    <w:rsid w:val="008964E6"/>
    <w:rsid w:val="00896A75"/>
    <w:rsid w:val="008973A7"/>
    <w:rsid w:val="008975BD"/>
    <w:rsid w:val="008976D2"/>
    <w:rsid w:val="00897C83"/>
    <w:rsid w:val="00897EE3"/>
    <w:rsid w:val="008A14C0"/>
    <w:rsid w:val="008A1784"/>
    <w:rsid w:val="008A191E"/>
    <w:rsid w:val="008A1A8A"/>
    <w:rsid w:val="008A20EA"/>
    <w:rsid w:val="008A2CA9"/>
    <w:rsid w:val="008A3401"/>
    <w:rsid w:val="008A372D"/>
    <w:rsid w:val="008A44E1"/>
    <w:rsid w:val="008A455C"/>
    <w:rsid w:val="008A4E7F"/>
    <w:rsid w:val="008A4EB9"/>
    <w:rsid w:val="008A5D6C"/>
    <w:rsid w:val="008B12EF"/>
    <w:rsid w:val="008B2178"/>
    <w:rsid w:val="008B22E6"/>
    <w:rsid w:val="008B2859"/>
    <w:rsid w:val="008B2D3A"/>
    <w:rsid w:val="008B37BA"/>
    <w:rsid w:val="008B44C8"/>
    <w:rsid w:val="008B5F9F"/>
    <w:rsid w:val="008B68E7"/>
    <w:rsid w:val="008B6ADB"/>
    <w:rsid w:val="008C0740"/>
    <w:rsid w:val="008C0B11"/>
    <w:rsid w:val="008C1FE7"/>
    <w:rsid w:val="008C2379"/>
    <w:rsid w:val="008C2D18"/>
    <w:rsid w:val="008C2E6C"/>
    <w:rsid w:val="008C35AF"/>
    <w:rsid w:val="008C4335"/>
    <w:rsid w:val="008C5353"/>
    <w:rsid w:val="008C6689"/>
    <w:rsid w:val="008D2A10"/>
    <w:rsid w:val="008D2A2A"/>
    <w:rsid w:val="008D2AF5"/>
    <w:rsid w:val="008D301E"/>
    <w:rsid w:val="008D3053"/>
    <w:rsid w:val="008D34D7"/>
    <w:rsid w:val="008D37B0"/>
    <w:rsid w:val="008D3E4E"/>
    <w:rsid w:val="008D4263"/>
    <w:rsid w:val="008D4603"/>
    <w:rsid w:val="008D525A"/>
    <w:rsid w:val="008D54B0"/>
    <w:rsid w:val="008D55A7"/>
    <w:rsid w:val="008D5A64"/>
    <w:rsid w:val="008D6481"/>
    <w:rsid w:val="008D6806"/>
    <w:rsid w:val="008E02A8"/>
    <w:rsid w:val="008E08EE"/>
    <w:rsid w:val="008E12AF"/>
    <w:rsid w:val="008E1433"/>
    <w:rsid w:val="008E1E20"/>
    <w:rsid w:val="008E254E"/>
    <w:rsid w:val="008E31F2"/>
    <w:rsid w:val="008E35EC"/>
    <w:rsid w:val="008E3727"/>
    <w:rsid w:val="008E4A46"/>
    <w:rsid w:val="008E5807"/>
    <w:rsid w:val="008E6FB3"/>
    <w:rsid w:val="008E7345"/>
    <w:rsid w:val="008F139D"/>
    <w:rsid w:val="008F1E11"/>
    <w:rsid w:val="008F2036"/>
    <w:rsid w:val="008F2A8C"/>
    <w:rsid w:val="008F329F"/>
    <w:rsid w:val="008F3FB2"/>
    <w:rsid w:val="008F4F95"/>
    <w:rsid w:val="008F5126"/>
    <w:rsid w:val="008F58D0"/>
    <w:rsid w:val="008F5F12"/>
    <w:rsid w:val="008F618E"/>
    <w:rsid w:val="008F6E35"/>
    <w:rsid w:val="008F7A9D"/>
    <w:rsid w:val="008F7AC8"/>
    <w:rsid w:val="008F7CA8"/>
    <w:rsid w:val="00900250"/>
    <w:rsid w:val="00900423"/>
    <w:rsid w:val="009012DD"/>
    <w:rsid w:val="009024FB"/>
    <w:rsid w:val="00903DB2"/>
    <w:rsid w:val="00905034"/>
    <w:rsid w:val="00905C88"/>
    <w:rsid w:val="00906A55"/>
    <w:rsid w:val="00906F93"/>
    <w:rsid w:val="009105C7"/>
    <w:rsid w:val="00910CE1"/>
    <w:rsid w:val="0091151C"/>
    <w:rsid w:val="0091389F"/>
    <w:rsid w:val="00913FAF"/>
    <w:rsid w:val="00914261"/>
    <w:rsid w:val="0091443B"/>
    <w:rsid w:val="00915079"/>
    <w:rsid w:val="00915795"/>
    <w:rsid w:val="00915A47"/>
    <w:rsid w:val="00915AAD"/>
    <w:rsid w:val="009166EB"/>
    <w:rsid w:val="00917915"/>
    <w:rsid w:val="00917F25"/>
    <w:rsid w:val="00920457"/>
    <w:rsid w:val="009204A4"/>
    <w:rsid w:val="00921A61"/>
    <w:rsid w:val="00922F58"/>
    <w:rsid w:val="009232B8"/>
    <w:rsid w:val="009233A3"/>
    <w:rsid w:val="00924201"/>
    <w:rsid w:val="0092432D"/>
    <w:rsid w:val="00924777"/>
    <w:rsid w:val="009260D6"/>
    <w:rsid w:val="009267B2"/>
    <w:rsid w:val="00926CB9"/>
    <w:rsid w:val="00926D3D"/>
    <w:rsid w:val="00927003"/>
    <w:rsid w:val="009271A4"/>
    <w:rsid w:val="00931658"/>
    <w:rsid w:val="00931BAB"/>
    <w:rsid w:val="00931C49"/>
    <w:rsid w:val="0093279B"/>
    <w:rsid w:val="00932F06"/>
    <w:rsid w:val="009338A9"/>
    <w:rsid w:val="00933942"/>
    <w:rsid w:val="00935A8F"/>
    <w:rsid w:val="00935F2D"/>
    <w:rsid w:val="00936AAC"/>
    <w:rsid w:val="00936E70"/>
    <w:rsid w:val="00937885"/>
    <w:rsid w:val="00940377"/>
    <w:rsid w:val="0094165D"/>
    <w:rsid w:val="00942541"/>
    <w:rsid w:val="00942550"/>
    <w:rsid w:val="009425C1"/>
    <w:rsid w:val="00942B88"/>
    <w:rsid w:val="00943233"/>
    <w:rsid w:val="009432FE"/>
    <w:rsid w:val="009435DE"/>
    <w:rsid w:val="0094391D"/>
    <w:rsid w:val="009446E5"/>
    <w:rsid w:val="009448AA"/>
    <w:rsid w:val="00944E83"/>
    <w:rsid w:val="00944EAA"/>
    <w:rsid w:val="00945D17"/>
    <w:rsid w:val="00946220"/>
    <w:rsid w:val="00946DED"/>
    <w:rsid w:val="00947293"/>
    <w:rsid w:val="00950B46"/>
    <w:rsid w:val="00951045"/>
    <w:rsid w:val="009515E8"/>
    <w:rsid w:val="00951EEF"/>
    <w:rsid w:val="00952C8A"/>
    <w:rsid w:val="00952C90"/>
    <w:rsid w:val="009535A8"/>
    <w:rsid w:val="00955DB8"/>
    <w:rsid w:val="00955F0A"/>
    <w:rsid w:val="0095688D"/>
    <w:rsid w:val="00956A58"/>
    <w:rsid w:val="00957DFC"/>
    <w:rsid w:val="0096028E"/>
    <w:rsid w:val="0096073E"/>
    <w:rsid w:val="00960999"/>
    <w:rsid w:val="00960E1A"/>
    <w:rsid w:val="00961084"/>
    <w:rsid w:val="00961B5D"/>
    <w:rsid w:val="00962278"/>
    <w:rsid w:val="009635EF"/>
    <w:rsid w:val="0096506F"/>
    <w:rsid w:val="00965684"/>
    <w:rsid w:val="00965937"/>
    <w:rsid w:val="009659CE"/>
    <w:rsid w:val="00966738"/>
    <w:rsid w:val="00966A8B"/>
    <w:rsid w:val="00966AAA"/>
    <w:rsid w:val="0096708E"/>
    <w:rsid w:val="00967128"/>
    <w:rsid w:val="00967E44"/>
    <w:rsid w:val="009704C8"/>
    <w:rsid w:val="009705A5"/>
    <w:rsid w:val="00970C4B"/>
    <w:rsid w:val="00971B8E"/>
    <w:rsid w:val="00971F1A"/>
    <w:rsid w:val="00974554"/>
    <w:rsid w:val="00974733"/>
    <w:rsid w:val="0097502A"/>
    <w:rsid w:val="0097628C"/>
    <w:rsid w:val="0097657D"/>
    <w:rsid w:val="009765C2"/>
    <w:rsid w:val="00976E24"/>
    <w:rsid w:val="00976EBB"/>
    <w:rsid w:val="0097740F"/>
    <w:rsid w:val="00977836"/>
    <w:rsid w:val="00977A8E"/>
    <w:rsid w:val="00977DBE"/>
    <w:rsid w:val="00977F94"/>
    <w:rsid w:val="0098079A"/>
    <w:rsid w:val="009812CE"/>
    <w:rsid w:val="00981897"/>
    <w:rsid w:val="00982287"/>
    <w:rsid w:val="0098379E"/>
    <w:rsid w:val="0098432C"/>
    <w:rsid w:val="009846AF"/>
    <w:rsid w:val="009846B7"/>
    <w:rsid w:val="00985450"/>
    <w:rsid w:val="00985C7D"/>
    <w:rsid w:val="00985D0E"/>
    <w:rsid w:val="00985F33"/>
    <w:rsid w:val="00986B38"/>
    <w:rsid w:val="009872FF"/>
    <w:rsid w:val="00987342"/>
    <w:rsid w:val="00987FBB"/>
    <w:rsid w:val="009906CA"/>
    <w:rsid w:val="0099223E"/>
    <w:rsid w:val="00993634"/>
    <w:rsid w:val="00993890"/>
    <w:rsid w:val="0099484F"/>
    <w:rsid w:val="00994B1D"/>
    <w:rsid w:val="00995692"/>
    <w:rsid w:val="0099587D"/>
    <w:rsid w:val="00995CE2"/>
    <w:rsid w:val="0099787B"/>
    <w:rsid w:val="009A174A"/>
    <w:rsid w:val="009A1D90"/>
    <w:rsid w:val="009A354A"/>
    <w:rsid w:val="009A3FD5"/>
    <w:rsid w:val="009A42DA"/>
    <w:rsid w:val="009A5346"/>
    <w:rsid w:val="009A5C64"/>
    <w:rsid w:val="009B0342"/>
    <w:rsid w:val="009B0F77"/>
    <w:rsid w:val="009B13BA"/>
    <w:rsid w:val="009B1B7F"/>
    <w:rsid w:val="009B2A81"/>
    <w:rsid w:val="009B38D0"/>
    <w:rsid w:val="009B7762"/>
    <w:rsid w:val="009B7E5A"/>
    <w:rsid w:val="009C0681"/>
    <w:rsid w:val="009C1C78"/>
    <w:rsid w:val="009C22AF"/>
    <w:rsid w:val="009C22F5"/>
    <w:rsid w:val="009C2694"/>
    <w:rsid w:val="009C4185"/>
    <w:rsid w:val="009C575B"/>
    <w:rsid w:val="009C5B0A"/>
    <w:rsid w:val="009C7079"/>
    <w:rsid w:val="009C70E2"/>
    <w:rsid w:val="009C7DBD"/>
    <w:rsid w:val="009D17E4"/>
    <w:rsid w:val="009D2EB5"/>
    <w:rsid w:val="009D3371"/>
    <w:rsid w:val="009D3E4F"/>
    <w:rsid w:val="009D3E51"/>
    <w:rsid w:val="009D5447"/>
    <w:rsid w:val="009D6BDB"/>
    <w:rsid w:val="009D6E35"/>
    <w:rsid w:val="009D70CE"/>
    <w:rsid w:val="009E0D3A"/>
    <w:rsid w:val="009E1269"/>
    <w:rsid w:val="009E1C42"/>
    <w:rsid w:val="009E4354"/>
    <w:rsid w:val="009E4B19"/>
    <w:rsid w:val="009E60EF"/>
    <w:rsid w:val="009E6360"/>
    <w:rsid w:val="009E7064"/>
    <w:rsid w:val="009E710D"/>
    <w:rsid w:val="009E7197"/>
    <w:rsid w:val="009E7E0B"/>
    <w:rsid w:val="009E7E91"/>
    <w:rsid w:val="009E7F07"/>
    <w:rsid w:val="009E7F39"/>
    <w:rsid w:val="009F0065"/>
    <w:rsid w:val="009F01B0"/>
    <w:rsid w:val="009F03C3"/>
    <w:rsid w:val="009F05B2"/>
    <w:rsid w:val="009F1363"/>
    <w:rsid w:val="009F27E6"/>
    <w:rsid w:val="009F394F"/>
    <w:rsid w:val="009F3CE4"/>
    <w:rsid w:val="009F46E6"/>
    <w:rsid w:val="009F4DD5"/>
    <w:rsid w:val="009F508B"/>
    <w:rsid w:val="009F59C9"/>
    <w:rsid w:val="009F5CEE"/>
    <w:rsid w:val="009F67A2"/>
    <w:rsid w:val="009F7252"/>
    <w:rsid w:val="009F7612"/>
    <w:rsid w:val="00A0049E"/>
    <w:rsid w:val="00A00BA5"/>
    <w:rsid w:val="00A011D1"/>
    <w:rsid w:val="00A0182A"/>
    <w:rsid w:val="00A02352"/>
    <w:rsid w:val="00A036BA"/>
    <w:rsid w:val="00A04D74"/>
    <w:rsid w:val="00A06D65"/>
    <w:rsid w:val="00A07060"/>
    <w:rsid w:val="00A0735A"/>
    <w:rsid w:val="00A07658"/>
    <w:rsid w:val="00A114EF"/>
    <w:rsid w:val="00A115B9"/>
    <w:rsid w:val="00A12397"/>
    <w:rsid w:val="00A125EA"/>
    <w:rsid w:val="00A127B2"/>
    <w:rsid w:val="00A1318B"/>
    <w:rsid w:val="00A1378A"/>
    <w:rsid w:val="00A13ABD"/>
    <w:rsid w:val="00A13E58"/>
    <w:rsid w:val="00A1473C"/>
    <w:rsid w:val="00A152EC"/>
    <w:rsid w:val="00A16AC5"/>
    <w:rsid w:val="00A1740D"/>
    <w:rsid w:val="00A17763"/>
    <w:rsid w:val="00A17FBF"/>
    <w:rsid w:val="00A20294"/>
    <w:rsid w:val="00A20DB8"/>
    <w:rsid w:val="00A212FD"/>
    <w:rsid w:val="00A21C5C"/>
    <w:rsid w:val="00A223BB"/>
    <w:rsid w:val="00A2257A"/>
    <w:rsid w:val="00A2276C"/>
    <w:rsid w:val="00A227DE"/>
    <w:rsid w:val="00A24207"/>
    <w:rsid w:val="00A24525"/>
    <w:rsid w:val="00A24E9A"/>
    <w:rsid w:val="00A24FDF"/>
    <w:rsid w:val="00A31BB2"/>
    <w:rsid w:val="00A321F3"/>
    <w:rsid w:val="00A331B2"/>
    <w:rsid w:val="00A33C0D"/>
    <w:rsid w:val="00A35062"/>
    <w:rsid w:val="00A35380"/>
    <w:rsid w:val="00A35C71"/>
    <w:rsid w:val="00A35FAF"/>
    <w:rsid w:val="00A35FC9"/>
    <w:rsid w:val="00A36204"/>
    <w:rsid w:val="00A36778"/>
    <w:rsid w:val="00A372C3"/>
    <w:rsid w:val="00A4183F"/>
    <w:rsid w:val="00A41C27"/>
    <w:rsid w:val="00A42296"/>
    <w:rsid w:val="00A42D64"/>
    <w:rsid w:val="00A43232"/>
    <w:rsid w:val="00A435AB"/>
    <w:rsid w:val="00A43BCB"/>
    <w:rsid w:val="00A44643"/>
    <w:rsid w:val="00A44BC5"/>
    <w:rsid w:val="00A47BA3"/>
    <w:rsid w:val="00A47C8B"/>
    <w:rsid w:val="00A47DCC"/>
    <w:rsid w:val="00A47F2E"/>
    <w:rsid w:val="00A50465"/>
    <w:rsid w:val="00A50B24"/>
    <w:rsid w:val="00A52C7A"/>
    <w:rsid w:val="00A52EB6"/>
    <w:rsid w:val="00A52FAD"/>
    <w:rsid w:val="00A534E6"/>
    <w:rsid w:val="00A549EA"/>
    <w:rsid w:val="00A558FC"/>
    <w:rsid w:val="00A60A68"/>
    <w:rsid w:val="00A60B94"/>
    <w:rsid w:val="00A6222D"/>
    <w:rsid w:val="00A62520"/>
    <w:rsid w:val="00A628FF"/>
    <w:rsid w:val="00A63208"/>
    <w:rsid w:val="00A635EB"/>
    <w:rsid w:val="00A65929"/>
    <w:rsid w:val="00A66D45"/>
    <w:rsid w:val="00A66FE8"/>
    <w:rsid w:val="00A6760F"/>
    <w:rsid w:val="00A67AAB"/>
    <w:rsid w:val="00A7101B"/>
    <w:rsid w:val="00A71C83"/>
    <w:rsid w:val="00A720CC"/>
    <w:rsid w:val="00A72416"/>
    <w:rsid w:val="00A72894"/>
    <w:rsid w:val="00A72918"/>
    <w:rsid w:val="00A73C4F"/>
    <w:rsid w:val="00A73C81"/>
    <w:rsid w:val="00A749E9"/>
    <w:rsid w:val="00A74BBE"/>
    <w:rsid w:val="00A74E61"/>
    <w:rsid w:val="00A759A5"/>
    <w:rsid w:val="00A76305"/>
    <w:rsid w:val="00A76582"/>
    <w:rsid w:val="00A768CD"/>
    <w:rsid w:val="00A77729"/>
    <w:rsid w:val="00A77A1D"/>
    <w:rsid w:val="00A77B71"/>
    <w:rsid w:val="00A80200"/>
    <w:rsid w:val="00A802A9"/>
    <w:rsid w:val="00A80499"/>
    <w:rsid w:val="00A808CF"/>
    <w:rsid w:val="00A8111E"/>
    <w:rsid w:val="00A82FA3"/>
    <w:rsid w:val="00A83A02"/>
    <w:rsid w:val="00A841B9"/>
    <w:rsid w:val="00A8547B"/>
    <w:rsid w:val="00A86D6C"/>
    <w:rsid w:val="00A90211"/>
    <w:rsid w:val="00A904FE"/>
    <w:rsid w:val="00A90BDF"/>
    <w:rsid w:val="00A92778"/>
    <w:rsid w:val="00A92C8A"/>
    <w:rsid w:val="00A93FFB"/>
    <w:rsid w:val="00A958D3"/>
    <w:rsid w:val="00A95BEA"/>
    <w:rsid w:val="00A9654F"/>
    <w:rsid w:val="00A97E66"/>
    <w:rsid w:val="00A97F7E"/>
    <w:rsid w:val="00AA09A4"/>
    <w:rsid w:val="00AA1A56"/>
    <w:rsid w:val="00AA1F9A"/>
    <w:rsid w:val="00AA26BF"/>
    <w:rsid w:val="00AA2925"/>
    <w:rsid w:val="00AA2C3D"/>
    <w:rsid w:val="00AA2F91"/>
    <w:rsid w:val="00AA47EB"/>
    <w:rsid w:val="00AA6473"/>
    <w:rsid w:val="00AA6780"/>
    <w:rsid w:val="00AA6CED"/>
    <w:rsid w:val="00AA73DF"/>
    <w:rsid w:val="00AA7D6B"/>
    <w:rsid w:val="00AB0229"/>
    <w:rsid w:val="00AB0477"/>
    <w:rsid w:val="00AB08BB"/>
    <w:rsid w:val="00AB0A73"/>
    <w:rsid w:val="00AB0ED6"/>
    <w:rsid w:val="00AB0FB1"/>
    <w:rsid w:val="00AB21DD"/>
    <w:rsid w:val="00AB4490"/>
    <w:rsid w:val="00AB460E"/>
    <w:rsid w:val="00AB4EC8"/>
    <w:rsid w:val="00AB5ED1"/>
    <w:rsid w:val="00AB74DD"/>
    <w:rsid w:val="00AC08AF"/>
    <w:rsid w:val="00AC1478"/>
    <w:rsid w:val="00AC1BD0"/>
    <w:rsid w:val="00AC26DB"/>
    <w:rsid w:val="00AC28ED"/>
    <w:rsid w:val="00AC2D6D"/>
    <w:rsid w:val="00AC3398"/>
    <w:rsid w:val="00AC3644"/>
    <w:rsid w:val="00AC36DB"/>
    <w:rsid w:val="00AC40AB"/>
    <w:rsid w:val="00AC4448"/>
    <w:rsid w:val="00AC4A17"/>
    <w:rsid w:val="00AC4D81"/>
    <w:rsid w:val="00AC4E93"/>
    <w:rsid w:val="00AC5484"/>
    <w:rsid w:val="00AC699A"/>
    <w:rsid w:val="00AC71D6"/>
    <w:rsid w:val="00AC733F"/>
    <w:rsid w:val="00AC74C0"/>
    <w:rsid w:val="00AD072C"/>
    <w:rsid w:val="00AD0A3B"/>
    <w:rsid w:val="00AD1369"/>
    <w:rsid w:val="00AD1A8F"/>
    <w:rsid w:val="00AD1D7D"/>
    <w:rsid w:val="00AD26D4"/>
    <w:rsid w:val="00AD26DC"/>
    <w:rsid w:val="00AD290D"/>
    <w:rsid w:val="00AD29AB"/>
    <w:rsid w:val="00AD2E8E"/>
    <w:rsid w:val="00AD3393"/>
    <w:rsid w:val="00AD3CFC"/>
    <w:rsid w:val="00AD5ED6"/>
    <w:rsid w:val="00AD677F"/>
    <w:rsid w:val="00AD68C0"/>
    <w:rsid w:val="00AD72E7"/>
    <w:rsid w:val="00AD79F6"/>
    <w:rsid w:val="00AE0F5E"/>
    <w:rsid w:val="00AE2922"/>
    <w:rsid w:val="00AE39C3"/>
    <w:rsid w:val="00AE3A9F"/>
    <w:rsid w:val="00AE3BC9"/>
    <w:rsid w:val="00AE3C55"/>
    <w:rsid w:val="00AE3D5E"/>
    <w:rsid w:val="00AE46EC"/>
    <w:rsid w:val="00AE4D22"/>
    <w:rsid w:val="00AE5EE4"/>
    <w:rsid w:val="00AE7494"/>
    <w:rsid w:val="00AF0B45"/>
    <w:rsid w:val="00AF1A90"/>
    <w:rsid w:val="00AF22BD"/>
    <w:rsid w:val="00AF3C22"/>
    <w:rsid w:val="00AF4865"/>
    <w:rsid w:val="00AF4D22"/>
    <w:rsid w:val="00AF5000"/>
    <w:rsid w:val="00AF517C"/>
    <w:rsid w:val="00AF5FF7"/>
    <w:rsid w:val="00AF7C12"/>
    <w:rsid w:val="00AF7D8B"/>
    <w:rsid w:val="00B00266"/>
    <w:rsid w:val="00B002BF"/>
    <w:rsid w:val="00B00994"/>
    <w:rsid w:val="00B00A53"/>
    <w:rsid w:val="00B00A5B"/>
    <w:rsid w:val="00B02B74"/>
    <w:rsid w:val="00B02D10"/>
    <w:rsid w:val="00B035FA"/>
    <w:rsid w:val="00B03C6B"/>
    <w:rsid w:val="00B03EBA"/>
    <w:rsid w:val="00B0406A"/>
    <w:rsid w:val="00B048F5"/>
    <w:rsid w:val="00B05781"/>
    <w:rsid w:val="00B076A7"/>
    <w:rsid w:val="00B11569"/>
    <w:rsid w:val="00B11D58"/>
    <w:rsid w:val="00B13024"/>
    <w:rsid w:val="00B13A27"/>
    <w:rsid w:val="00B14AA3"/>
    <w:rsid w:val="00B15225"/>
    <w:rsid w:val="00B152B3"/>
    <w:rsid w:val="00B157E0"/>
    <w:rsid w:val="00B16507"/>
    <w:rsid w:val="00B16CBB"/>
    <w:rsid w:val="00B16E6F"/>
    <w:rsid w:val="00B17D26"/>
    <w:rsid w:val="00B21838"/>
    <w:rsid w:val="00B222C7"/>
    <w:rsid w:val="00B23050"/>
    <w:rsid w:val="00B25A32"/>
    <w:rsid w:val="00B25E0A"/>
    <w:rsid w:val="00B26643"/>
    <w:rsid w:val="00B270C9"/>
    <w:rsid w:val="00B27219"/>
    <w:rsid w:val="00B31716"/>
    <w:rsid w:val="00B31916"/>
    <w:rsid w:val="00B31F48"/>
    <w:rsid w:val="00B33CD4"/>
    <w:rsid w:val="00B34A2A"/>
    <w:rsid w:val="00B34B81"/>
    <w:rsid w:val="00B351CC"/>
    <w:rsid w:val="00B35AB9"/>
    <w:rsid w:val="00B35D3F"/>
    <w:rsid w:val="00B3676A"/>
    <w:rsid w:val="00B36915"/>
    <w:rsid w:val="00B36C67"/>
    <w:rsid w:val="00B37048"/>
    <w:rsid w:val="00B37FC8"/>
    <w:rsid w:val="00B40709"/>
    <w:rsid w:val="00B427F4"/>
    <w:rsid w:val="00B43F29"/>
    <w:rsid w:val="00B44BFF"/>
    <w:rsid w:val="00B452CD"/>
    <w:rsid w:val="00B461AD"/>
    <w:rsid w:val="00B4665C"/>
    <w:rsid w:val="00B46895"/>
    <w:rsid w:val="00B46904"/>
    <w:rsid w:val="00B47380"/>
    <w:rsid w:val="00B5012D"/>
    <w:rsid w:val="00B501FA"/>
    <w:rsid w:val="00B50FFF"/>
    <w:rsid w:val="00B5221B"/>
    <w:rsid w:val="00B529B1"/>
    <w:rsid w:val="00B533D7"/>
    <w:rsid w:val="00B53C37"/>
    <w:rsid w:val="00B54C9E"/>
    <w:rsid w:val="00B56FD6"/>
    <w:rsid w:val="00B57474"/>
    <w:rsid w:val="00B57B09"/>
    <w:rsid w:val="00B57E80"/>
    <w:rsid w:val="00B60489"/>
    <w:rsid w:val="00B60ABC"/>
    <w:rsid w:val="00B610E9"/>
    <w:rsid w:val="00B6426E"/>
    <w:rsid w:val="00B656E5"/>
    <w:rsid w:val="00B65B4B"/>
    <w:rsid w:val="00B672EB"/>
    <w:rsid w:val="00B70073"/>
    <w:rsid w:val="00B703C9"/>
    <w:rsid w:val="00B71013"/>
    <w:rsid w:val="00B72CD5"/>
    <w:rsid w:val="00B7320E"/>
    <w:rsid w:val="00B73835"/>
    <w:rsid w:val="00B748B5"/>
    <w:rsid w:val="00B74B8B"/>
    <w:rsid w:val="00B759B6"/>
    <w:rsid w:val="00B759C3"/>
    <w:rsid w:val="00B75C53"/>
    <w:rsid w:val="00B75E2E"/>
    <w:rsid w:val="00B75EF5"/>
    <w:rsid w:val="00B761B6"/>
    <w:rsid w:val="00B76297"/>
    <w:rsid w:val="00B777C3"/>
    <w:rsid w:val="00B80C4E"/>
    <w:rsid w:val="00B81A55"/>
    <w:rsid w:val="00B82025"/>
    <w:rsid w:val="00B8253C"/>
    <w:rsid w:val="00B830EA"/>
    <w:rsid w:val="00B832CE"/>
    <w:rsid w:val="00B83A81"/>
    <w:rsid w:val="00B83AD8"/>
    <w:rsid w:val="00B84738"/>
    <w:rsid w:val="00B85E90"/>
    <w:rsid w:val="00B8713B"/>
    <w:rsid w:val="00B905E6"/>
    <w:rsid w:val="00B90986"/>
    <w:rsid w:val="00B90F72"/>
    <w:rsid w:val="00B92DD6"/>
    <w:rsid w:val="00B934A9"/>
    <w:rsid w:val="00B93680"/>
    <w:rsid w:val="00B940D7"/>
    <w:rsid w:val="00B95CAC"/>
    <w:rsid w:val="00B96311"/>
    <w:rsid w:val="00B96923"/>
    <w:rsid w:val="00B96B03"/>
    <w:rsid w:val="00BA046D"/>
    <w:rsid w:val="00BA17EF"/>
    <w:rsid w:val="00BA2063"/>
    <w:rsid w:val="00BA2737"/>
    <w:rsid w:val="00BA4EE2"/>
    <w:rsid w:val="00BA7557"/>
    <w:rsid w:val="00BA796F"/>
    <w:rsid w:val="00BA7D44"/>
    <w:rsid w:val="00BB01A3"/>
    <w:rsid w:val="00BB0A2A"/>
    <w:rsid w:val="00BB1C99"/>
    <w:rsid w:val="00BB264A"/>
    <w:rsid w:val="00BB2DD7"/>
    <w:rsid w:val="00BB3C8D"/>
    <w:rsid w:val="00BB4209"/>
    <w:rsid w:val="00BB4BFE"/>
    <w:rsid w:val="00BB4D18"/>
    <w:rsid w:val="00BB4F08"/>
    <w:rsid w:val="00BB5301"/>
    <w:rsid w:val="00BB6052"/>
    <w:rsid w:val="00BB654F"/>
    <w:rsid w:val="00BB699A"/>
    <w:rsid w:val="00BB6DEE"/>
    <w:rsid w:val="00BB79A0"/>
    <w:rsid w:val="00BC01D6"/>
    <w:rsid w:val="00BC15C7"/>
    <w:rsid w:val="00BC16F4"/>
    <w:rsid w:val="00BC19D8"/>
    <w:rsid w:val="00BC21A7"/>
    <w:rsid w:val="00BC25D4"/>
    <w:rsid w:val="00BC2B3E"/>
    <w:rsid w:val="00BC4EA1"/>
    <w:rsid w:val="00BC5781"/>
    <w:rsid w:val="00BC5D16"/>
    <w:rsid w:val="00BC5DFB"/>
    <w:rsid w:val="00BC5F96"/>
    <w:rsid w:val="00BC6523"/>
    <w:rsid w:val="00BD07E4"/>
    <w:rsid w:val="00BD0DB1"/>
    <w:rsid w:val="00BD1D99"/>
    <w:rsid w:val="00BD21BE"/>
    <w:rsid w:val="00BD28FA"/>
    <w:rsid w:val="00BD43E9"/>
    <w:rsid w:val="00BD4DCC"/>
    <w:rsid w:val="00BD5F2E"/>
    <w:rsid w:val="00BD6239"/>
    <w:rsid w:val="00BE21DE"/>
    <w:rsid w:val="00BE25E6"/>
    <w:rsid w:val="00BE2991"/>
    <w:rsid w:val="00BE2B6C"/>
    <w:rsid w:val="00BE3417"/>
    <w:rsid w:val="00BE4232"/>
    <w:rsid w:val="00BE5814"/>
    <w:rsid w:val="00BE5BDE"/>
    <w:rsid w:val="00BE5E54"/>
    <w:rsid w:val="00BE67F6"/>
    <w:rsid w:val="00BE713F"/>
    <w:rsid w:val="00BF02B8"/>
    <w:rsid w:val="00BF0370"/>
    <w:rsid w:val="00BF178D"/>
    <w:rsid w:val="00BF1F6B"/>
    <w:rsid w:val="00BF2362"/>
    <w:rsid w:val="00BF2612"/>
    <w:rsid w:val="00BF29BC"/>
    <w:rsid w:val="00BF2E17"/>
    <w:rsid w:val="00BF3183"/>
    <w:rsid w:val="00BF32CF"/>
    <w:rsid w:val="00BF385B"/>
    <w:rsid w:val="00BF3AEA"/>
    <w:rsid w:val="00BF3D8A"/>
    <w:rsid w:val="00BF408B"/>
    <w:rsid w:val="00BF4FA2"/>
    <w:rsid w:val="00BF67D3"/>
    <w:rsid w:val="00C03784"/>
    <w:rsid w:val="00C03B4F"/>
    <w:rsid w:val="00C03E8A"/>
    <w:rsid w:val="00C04D62"/>
    <w:rsid w:val="00C04F3F"/>
    <w:rsid w:val="00C05330"/>
    <w:rsid w:val="00C057BE"/>
    <w:rsid w:val="00C05827"/>
    <w:rsid w:val="00C073D3"/>
    <w:rsid w:val="00C10034"/>
    <w:rsid w:val="00C11DE8"/>
    <w:rsid w:val="00C1205A"/>
    <w:rsid w:val="00C1280E"/>
    <w:rsid w:val="00C12A19"/>
    <w:rsid w:val="00C12C38"/>
    <w:rsid w:val="00C12F0B"/>
    <w:rsid w:val="00C13EA0"/>
    <w:rsid w:val="00C15240"/>
    <w:rsid w:val="00C15DB5"/>
    <w:rsid w:val="00C16FFF"/>
    <w:rsid w:val="00C204DA"/>
    <w:rsid w:val="00C2078E"/>
    <w:rsid w:val="00C208A7"/>
    <w:rsid w:val="00C214E2"/>
    <w:rsid w:val="00C21AE3"/>
    <w:rsid w:val="00C23429"/>
    <w:rsid w:val="00C236A6"/>
    <w:rsid w:val="00C23B03"/>
    <w:rsid w:val="00C242F0"/>
    <w:rsid w:val="00C254CA"/>
    <w:rsid w:val="00C25CE6"/>
    <w:rsid w:val="00C26E46"/>
    <w:rsid w:val="00C27A32"/>
    <w:rsid w:val="00C27E24"/>
    <w:rsid w:val="00C300EC"/>
    <w:rsid w:val="00C31556"/>
    <w:rsid w:val="00C31DBF"/>
    <w:rsid w:val="00C32609"/>
    <w:rsid w:val="00C32B3D"/>
    <w:rsid w:val="00C32E61"/>
    <w:rsid w:val="00C33FC7"/>
    <w:rsid w:val="00C34839"/>
    <w:rsid w:val="00C35600"/>
    <w:rsid w:val="00C3605E"/>
    <w:rsid w:val="00C36997"/>
    <w:rsid w:val="00C37148"/>
    <w:rsid w:val="00C41143"/>
    <w:rsid w:val="00C41800"/>
    <w:rsid w:val="00C43ED2"/>
    <w:rsid w:val="00C441E6"/>
    <w:rsid w:val="00C44B49"/>
    <w:rsid w:val="00C452A7"/>
    <w:rsid w:val="00C4544D"/>
    <w:rsid w:val="00C45D0F"/>
    <w:rsid w:val="00C45FE7"/>
    <w:rsid w:val="00C46EF1"/>
    <w:rsid w:val="00C47505"/>
    <w:rsid w:val="00C479CD"/>
    <w:rsid w:val="00C47F62"/>
    <w:rsid w:val="00C5018D"/>
    <w:rsid w:val="00C5043B"/>
    <w:rsid w:val="00C51810"/>
    <w:rsid w:val="00C528A8"/>
    <w:rsid w:val="00C52D64"/>
    <w:rsid w:val="00C52DF6"/>
    <w:rsid w:val="00C537AF"/>
    <w:rsid w:val="00C55344"/>
    <w:rsid w:val="00C556F3"/>
    <w:rsid w:val="00C558EC"/>
    <w:rsid w:val="00C565D2"/>
    <w:rsid w:val="00C56630"/>
    <w:rsid w:val="00C5670B"/>
    <w:rsid w:val="00C57322"/>
    <w:rsid w:val="00C576AE"/>
    <w:rsid w:val="00C57BA9"/>
    <w:rsid w:val="00C57DA1"/>
    <w:rsid w:val="00C60650"/>
    <w:rsid w:val="00C617B7"/>
    <w:rsid w:val="00C61D8F"/>
    <w:rsid w:val="00C62665"/>
    <w:rsid w:val="00C62F92"/>
    <w:rsid w:val="00C64422"/>
    <w:rsid w:val="00C648AD"/>
    <w:rsid w:val="00C64E22"/>
    <w:rsid w:val="00C661BC"/>
    <w:rsid w:val="00C67706"/>
    <w:rsid w:val="00C67AB3"/>
    <w:rsid w:val="00C67C57"/>
    <w:rsid w:val="00C70A73"/>
    <w:rsid w:val="00C70F7F"/>
    <w:rsid w:val="00C71541"/>
    <w:rsid w:val="00C71D97"/>
    <w:rsid w:val="00C72E8E"/>
    <w:rsid w:val="00C735B8"/>
    <w:rsid w:val="00C74610"/>
    <w:rsid w:val="00C74702"/>
    <w:rsid w:val="00C75E1B"/>
    <w:rsid w:val="00C7606E"/>
    <w:rsid w:val="00C7652B"/>
    <w:rsid w:val="00C7654A"/>
    <w:rsid w:val="00C766AB"/>
    <w:rsid w:val="00C76F25"/>
    <w:rsid w:val="00C77679"/>
    <w:rsid w:val="00C77E14"/>
    <w:rsid w:val="00C802A9"/>
    <w:rsid w:val="00C81891"/>
    <w:rsid w:val="00C81BB1"/>
    <w:rsid w:val="00C820C4"/>
    <w:rsid w:val="00C82411"/>
    <w:rsid w:val="00C82716"/>
    <w:rsid w:val="00C82C3C"/>
    <w:rsid w:val="00C831AD"/>
    <w:rsid w:val="00C83264"/>
    <w:rsid w:val="00C84542"/>
    <w:rsid w:val="00C84952"/>
    <w:rsid w:val="00C86144"/>
    <w:rsid w:val="00C867B9"/>
    <w:rsid w:val="00C86856"/>
    <w:rsid w:val="00C869EC"/>
    <w:rsid w:val="00C87E17"/>
    <w:rsid w:val="00C915D9"/>
    <w:rsid w:val="00C919DF"/>
    <w:rsid w:val="00C9210B"/>
    <w:rsid w:val="00C92555"/>
    <w:rsid w:val="00C93971"/>
    <w:rsid w:val="00C94034"/>
    <w:rsid w:val="00C94DD7"/>
    <w:rsid w:val="00C958F5"/>
    <w:rsid w:val="00C959CE"/>
    <w:rsid w:val="00C97020"/>
    <w:rsid w:val="00C976DF"/>
    <w:rsid w:val="00C97858"/>
    <w:rsid w:val="00CA0CBB"/>
    <w:rsid w:val="00CA18DB"/>
    <w:rsid w:val="00CA1DA5"/>
    <w:rsid w:val="00CA26DF"/>
    <w:rsid w:val="00CA3075"/>
    <w:rsid w:val="00CA3258"/>
    <w:rsid w:val="00CA340D"/>
    <w:rsid w:val="00CA3B48"/>
    <w:rsid w:val="00CA46EB"/>
    <w:rsid w:val="00CA5386"/>
    <w:rsid w:val="00CA72AA"/>
    <w:rsid w:val="00CA74DB"/>
    <w:rsid w:val="00CB007A"/>
    <w:rsid w:val="00CB02A1"/>
    <w:rsid w:val="00CB05D3"/>
    <w:rsid w:val="00CB061E"/>
    <w:rsid w:val="00CB0854"/>
    <w:rsid w:val="00CB1D5F"/>
    <w:rsid w:val="00CB1DBE"/>
    <w:rsid w:val="00CB27DA"/>
    <w:rsid w:val="00CB3AD2"/>
    <w:rsid w:val="00CB4856"/>
    <w:rsid w:val="00CB5D66"/>
    <w:rsid w:val="00CB686F"/>
    <w:rsid w:val="00CC23E7"/>
    <w:rsid w:val="00CC33B2"/>
    <w:rsid w:val="00CC3839"/>
    <w:rsid w:val="00CC6900"/>
    <w:rsid w:val="00CC6D09"/>
    <w:rsid w:val="00CC75A9"/>
    <w:rsid w:val="00CC7662"/>
    <w:rsid w:val="00CD154F"/>
    <w:rsid w:val="00CD2152"/>
    <w:rsid w:val="00CD34EE"/>
    <w:rsid w:val="00CD391B"/>
    <w:rsid w:val="00CD3C56"/>
    <w:rsid w:val="00CD4F3D"/>
    <w:rsid w:val="00CD4FC6"/>
    <w:rsid w:val="00CD5443"/>
    <w:rsid w:val="00CD55D6"/>
    <w:rsid w:val="00CD5C82"/>
    <w:rsid w:val="00CD5FB2"/>
    <w:rsid w:val="00CD6070"/>
    <w:rsid w:val="00CD709F"/>
    <w:rsid w:val="00CD7626"/>
    <w:rsid w:val="00CE15B9"/>
    <w:rsid w:val="00CE16CE"/>
    <w:rsid w:val="00CE17D4"/>
    <w:rsid w:val="00CE1DA2"/>
    <w:rsid w:val="00CE20E6"/>
    <w:rsid w:val="00CE31A2"/>
    <w:rsid w:val="00CE372D"/>
    <w:rsid w:val="00CE3C79"/>
    <w:rsid w:val="00CE3D52"/>
    <w:rsid w:val="00CE419B"/>
    <w:rsid w:val="00CE47BA"/>
    <w:rsid w:val="00CE5132"/>
    <w:rsid w:val="00CE515A"/>
    <w:rsid w:val="00CE6475"/>
    <w:rsid w:val="00CE66FB"/>
    <w:rsid w:val="00CE6839"/>
    <w:rsid w:val="00CE6E1A"/>
    <w:rsid w:val="00CE7C5E"/>
    <w:rsid w:val="00CF02ED"/>
    <w:rsid w:val="00CF03B4"/>
    <w:rsid w:val="00CF06B9"/>
    <w:rsid w:val="00CF0AF6"/>
    <w:rsid w:val="00CF12AF"/>
    <w:rsid w:val="00CF22A1"/>
    <w:rsid w:val="00CF2393"/>
    <w:rsid w:val="00CF479A"/>
    <w:rsid w:val="00CF4D33"/>
    <w:rsid w:val="00CF61C4"/>
    <w:rsid w:val="00CF6487"/>
    <w:rsid w:val="00CF730F"/>
    <w:rsid w:val="00D00762"/>
    <w:rsid w:val="00D01E49"/>
    <w:rsid w:val="00D02052"/>
    <w:rsid w:val="00D03808"/>
    <w:rsid w:val="00D0393D"/>
    <w:rsid w:val="00D03A1E"/>
    <w:rsid w:val="00D03D7D"/>
    <w:rsid w:val="00D0400A"/>
    <w:rsid w:val="00D04AD7"/>
    <w:rsid w:val="00D04F91"/>
    <w:rsid w:val="00D05F99"/>
    <w:rsid w:val="00D068C0"/>
    <w:rsid w:val="00D10567"/>
    <w:rsid w:val="00D1239D"/>
    <w:rsid w:val="00D124FE"/>
    <w:rsid w:val="00D1290D"/>
    <w:rsid w:val="00D12D27"/>
    <w:rsid w:val="00D13B0F"/>
    <w:rsid w:val="00D142FB"/>
    <w:rsid w:val="00D15CC8"/>
    <w:rsid w:val="00D2108F"/>
    <w:rsid w:val="00D210F1"/>
    <w:rsid w:val="00D2145B"/>
    <w:rsid w:val="00D222F0"/>
    <w:rsid w:val="00D23B5C"/>
    <w:rsid w:val="00D242A1"/>
    <w:rsid w:val="00D24AE2"/>
    <w:rsid w:val="00D25182"/>
    <w:rsid w:val="00D264A0"/>
    <w:rsid w:val="00D26B3F"/>
    <w:rsid w:val="00D27752"/>
    <w:rsid w:val="00D303AA"/>
    <w:rsid w:val="00D317F8"/>
    <w:rsid w:val="00D3210A"/>
    <w:rsid w:val="00D32ABF"/>
    <w:rsid w:val="00D32BB2"/>
    <w:rsid w:val="00D339F5"/>
    <w:rsid w:val="00D34D0F"/>
    <w:rsid w:val="00D35873"/>
    <w:rsid w:val="00D36F7D"/>
    <w:rsid w:val="00D37924"/>
    <w:rsid w:val="00D408A9"/>
    <w:rsid w:val="00D41176"/>
    <w:rsid w:val="00D42E02"/>
    <w:rsid w:val="00D43FD3"/>
    <w:rsid w:val="00D45502"/>
    <w:rsid w:val="00D45C37"/>
    <w:rsid w:val="00D4639D"/>
    <w:rsid w:val="00D47054"/>
    <w:rsid w:val="00D47C1E"/>
    <w:rsid w:val="00D51FF7"/>
    <w:rsid w:val="00D52514"/>
    <w:rsid w:val="00D5293A"/>
    <w:rsid w:val="00D52DFE"/>
    <w:rsid w:val="00D53850"/>
    <w:rsid w:val="00D53C7B"/>
    <w:rsid w:val="00D54958"/>
    <w:rsid w:val="00D54B2D"/>
    <w:rsid w:val="00D55424"/>
    <w:rsid w:val="00D5551C"/>
    <w:rsid w:val="00D5593C"/>
    <w:rsid w:val="00D56301"/>
    <w:rsid w:val="00D56565"/>
    <w:rsid w:val="00D60A99"/>
    <w:rsid w:val="00D63859"/>
    <w:rsid w:val="00D64E75"/>
    <w:rsid w:val="00D650A5"/>
    <w:rsid w:val="00D659B3"/>
    <w:rsid w:val="00D666BA"/>
    <w:rsid w:val="00D66750"/>
    <w:rsid w:val="00D673F6"/>
    <w:rsid w:val="00D6782D"/>
    <w:rsid w:val="00D70A7A"/>
    <w:rsid w:val="00D70F4F"/>
    <w:rsid w:val="00D710FB"/>
    <w:rsid w:val="00D71DF2"/>
    <w:rsid w:val="00D727EF"/>
    <w:rsid w:val="00D7293C"/>
    <w:rsid w:val="00D72D46"/>
    <w:rsid w:val="00D72D92"/>
    <w:rsid w:val="00D72E99"/>
    <w:rsid w:val="00D73180"/>
    <w:rsid w:val="00D7505C"/>
    <w:rsid w:val="00D7568F"/>
    <w:rsid w:val="00D75DCD"/>
    <w:rsid w:val="00D761AF"/>
    <w:rsid w:val="00D76297"/>
    <w:rsid w:val="00D771A6"/>
    <w:rsid w:val="00D77486"/>
    <w:rsid w:val="00D77D29"/>
    <w:rsid w:val="00D77D43"/>
    <w:rsid w:val="00D77DD6"/>
    <w:rsid w:val="00D81408"/>
    <w:rsid w:val="00D81A0A"/>
    <w:rsid w:val="00D81BC9"/>
    <w:rsid w:val="00D835F2"/>
    <w:rsid w:val="00D83B9E"/>
    <w:rsid w:val="00D8404A"/>
    <w:rsid w:val="00D84E53"/>
    <w:rsid w:val="00D862BF"/>
    <w:rsid w:val="00D86554"/>
    <w:rsid w:val="00D868B0"/>
    <w:rsid w:val="00D877BF"/>
    <w:rsid w:val="00D913C8"/>
    <w:rsid w:val="00D9228A"/>
    <w:rsid w:val="00D92399"/>
    <w:rsid w:val="00D932CB"/>
    <w:rsid w:val="00D93F2D"/>
    <w:rsid w:val="00D94AF5"/>
    <w:rsid w:val="00D951AA"/>
    <w:rsid w:val="00D95D8B"/>
    <w:rsid w:val="00D96A76"/>
    <w:rsid w:val="00D96D2A"/>
    <w:rsid w:val="00DA2052"/>
    <w:rsid w:val="00DA2E08"/>
    <w:rsid w:val="00DA3AC5"/>
    <w:rsid w:val="00DA4F13"/>
    <w:rsid w:val="00DA5183"/>
    <w:rsid w:val="00DA7803"/>
    <w:rsid w:val="00DA790B"/>
    <w:rsid w:val="00DA7B88"/>
    <w:rsid w:val="00DB1EE4"/>
    <w:rsid w:val="00DB2AD6"/>
    <w:rsid w:val="00DB2AF1"/>
    <w:rsid w:val="00DB3478"/>
    <w:rsid w:val="00DB3514"/>
    <w:rsid w:val="00DB375B"/>
    <w:rsid w:val="00DB390C"/>
    <w:rsid w:val="00DB45BC"/>
    <w:rsid w:val="00DB4C7D"/>
    <w:rsid w:val="00DB58AB"/>
    <w:rsid w:val="00DB638E"/>
    <w:rsid w:val="00DB663B"/>
    <w:rsid w:val="00DB666C"/>
    <w:rsid w:val="00DB6C21"/>
    <w:rsid w:val="00DB7294"/>
    <w:rsid w:val="00DB7F25"/>
    <w:rsid w:val="00DC11D5"/>
    <w:rsid w:val="00DC1B40"/>
    <w:rsid w:val="00DC33ED"/>
    <w:rsid w:val="00DC4A18"/>
    <w:rsid w:val="00DC4B89"/>
    <w:rsid w:val="00DC51C5"/>
    <w:rsid w:val="00DC5CF4"/>
    <w:rsid w:val="00DC6852"/>
    <w:rsid w:val="00DC699E"/>
    <w:rsid w:val="00DD0AA7"/>
    <w:rsid w:val="00DD161A"/>
    <w:rsid w:val="00DD23C4"/>
    <w:rsid w:val="00DD30A4"/>
    <w:rsid w:val="00DD33D8"/>
    <w:rsid w:val="00DD387A"/>
    <w:rsid w:val="00DD3DB0"/>
    <w:rsid w:val="00DD48E3"/>
    <w:rsid w:val="00DD4A2D"/>
    <w:rsid w:val="00DD514C"/>
    <w:rsid w:val="00DD5FAD"/>
    <w:rsid w:val="00DD6039"/>
    <w:rsid w:val="00DD635F"/>
    <w:rsid w:val="00DD63E9"/>
    <w:rsid w:val="00DD76BD"/>
    <w:rsid w:val="00DE07A4"/>
    <w:rsid w:val="00DE1C8A"/>
    <w:rsid w:val="00DE20F7"/>
    <w:rsid w:val="00DE2B14"/>
    <w:rsid w:val="00DE2EC6"/>
    <w:rsid w:val="00DE3512"/>
    <w:rsid w:val="00DE4A25"/>
    <w:rsid w:val="00DE50CE"/>
    <w:rsid w:val="00DE5831"/>
    <w:rsid w:val="00DE6AE9"/>
    <w:rsid w:val="00DE6ED4"/>
    <w:rsid w:val="00DE7488"/>
    <w:rsid w:val="00DE78F1"/>
    <w:rsid w:val="00DE7AC4"/>
    <w:rsid w:val="00DF0054"/>
    <w:rsid w:val="00DF034D"/>
    <w:rsid w:val="00DF04CC"/>
    <w:rsid w:val="00DF0534"/>
    <w:rsid w:val="00DF0B20"/>
    <w:rsid w:val="00DF0BF9"/>
    <w:rsid w:val="00DF13AE"/>
    <w:rsid w:val="00DF23F8"/>
    <w:rsid w:val="00DF2639"/>
    <w:rsid w:val="00DF2D77"/>
    <w:rsid w:val="00DF2E81"/>
    <w:rsid w:val="00DF4E1B"/>
    <w:rsid w:val="00DF5380"/>
    <w:rsid w:val="00DF5608"/>
    <w:rsid w:val="00DF57BB"/>
    <w:rsid w:val="00DF5A96"/>
    <w:rsid w:val="00DF5D87"/>
    <w:rsid w:val="00E003FF"/>
    <w:rsid w:val="00E00C10"/>
    <w:rsid w:val="00E010C3"/>
    <w:rsid w:val="00E016CA"/>
    <w:rsid w:val="00E0246A"/>
    <w:rsid w:val="00E02672"/>
    <w:rsid w:val="00E0395C"/>
    <w:rsid w:val="00E05086"/>
    <w:rsid w:val="00E05619"/>
    <w:rsid w:val="00E06D19"/>
    <w:rsid w:val="00E07EC0"/>
    <w:rsid w:val="00E11784"/>
    <w:rsid w:val="00E12387"/>
    <w:rsid w:val="00E13039"/>
    <w:rsid w:val="00E13A4F"/>
    <w:rsid w:val="00E13E67"/>
    <w:rsid w:val="00E13FA8"/>
    <w:rsid w:val="00E15E6A"/>
    <w:rsid w:val="00E16A6B"/>
    <w:rsid w:val="00E16C4E"/>
    <w:rsid w:val="00E172A8"/>
    <w:rsid w:val="00E20609"/>
    <w:rsid w:val="00E2079E"/>
    <w:rsid w:val="00E20DB7"/>
    <w:rsid w:val="00E20FEC"/>
    <w:rsid w:val="00E21043"/>
    <w:rsid w:val="00E22990"/>
    <w:rsid w:val="00E22C1D"/>
    <w:rsid w:val="00E2339F"/>
    <w:rsid w:val="00E23CFD"/>
    <w:rsid w:val="00E24083"/>
    <w:rsid w:val="00E2435A"/>
    <w:rsid w:val="00E24BC9"/>
    <w:rsid w:val="00E258FF"/>
    <w:rsid w:val="00E25B40"/>
    <w:rsid w:val="00E264E4"/>
    <w:rsid w:val="00E2780B"/>
    <w:rsid w:val="00E27E7F"/>
    <w:rsid w:val="00E3029E"/>
    <w:rsid w:val="00E30993"/>
    <w:rsid w:val="00E30BF7"/>
    <w:rsid w:val="00E314A2"/>
    <w:rsid w:val="00E31653"/>
    <w:rsid w:val="00E330EC"/>
    <w:rsid w:val="00E33AB6"/>
    <w:rsid w:val="00E341C0"/>
    <w:rsid w:val="00E366F8"/>
    <w:rsid w:val="00E369C6"/>
    <w:rsid w:val="00E37DCB"/>
    <w:rsid w:val="00E40E4F"/>
    <w:rsid w:val="00E4148E"/>
    <w:rsid w:val="00E41D4E"/>
    <w:rsid w:val="00E42DD5"/>
    <w:rsid w:val="00E43746"/>
    <w:rsid w:val="00E4448B"/>
    <w:rsid w:val="00E44769"/>
    <w:rsid w:val="00E464FE"/>
    <w:rsid w:val="00E47397"/>
    <w:rsid w:val="00E50D05"/>
    <w:rsid w:val="00E51DD8"/>
    <w:rsid w:val="00E52083"/>
    <w:rsid w:val="00E5370A"/>
    <w:rsid w:val="00E53941"/>
    <w:rsid w:val="00E540A0"/>
    <w:rsid w:val="00E540C8"/>
    <w:rsid w:val="00E54798"/>
    <w:rsid w:val="00E56986"/>
    <w:rsid w:val="00E56D27"/>
    <w:rsid w:val="00E5767B"/>
    <w:rsid w:val="00E57882"/>
    <w:rsid w:val="00E60F3D"/>
    <w:rsid w:val="00E62CA8"/>
    <w:rsid w:val="00E63066"/>
    <w:rsid w:val="00E633D2"/>
    <w:rsid w:val="00E63957"/>
    <w:rsid w:val="00E64278"/>
    <w:rsid w:val="00E66B04"/>
    <w:rsid w:val="00E66C14"/>
    <w:rsid w:val="00E66F1A"/>
    <w:rsid w:val="00E67FDA"/>
    <w:rsid w:val="00E700C2"/>
    <w:rsid w:val="00E7085F"/>
    <w:rsid w:val="00E7146C"/>
    <w:rsid w:val="00E75542"/>
    <w:rsid w:val="00E75AB2"/>
    <w:rsid w:val="00E75AD1"/>
    <w:rsid w:val="00E77324"/>
    <w:rsid w:val="00E804B3"/>
    <w:rsid w:val="00E80538"/>
    <w:rsid w:val="00E80C90"/>
    <w:rsid w:val="00E81DE0"/>
    <w:rsid w:val="00E82DF6"/>
    <w:rsid w:val="00E831E3"/>
    <w:rsid w:val="00E83895"/>
    <w:rsid w:val="00E83F88"/>
    <w:rsid w:val="00E84A90"/>
    <w:rsid w:val="00E850B7"/>
    <w:rsid w:val="00E853E6"/>
    <w:rsid w:val="00E855FF"/>
    <w:rsid w:val="00E85744"/>
    <w:rsid w:val="00E85A97"/>
    <w:rsid w:val="00E860B3"/>
    <w:rsid w:val="00E8632E"/>
    <w:rsid w:val="00E8695D"/>
    <w:rsid w:val="00E86AC3"/>
    <w:rsid w:val="00E86DCF"/>
    <w:rsid w:val="00E86F2B"/>
    <w:rsid w:val="00E87CA9"/>
    <w:rsid w:val="00E9078A"/>
    <w:rsid w:val="00E909F2"/>
    <w:rsid w:val="00E90DFA"/>
    <w:rsid w:val="00E90F24"/>
    <w:rsid w:val="00E9124E"/>
    <w:rsid w:val="00E923F2"/>
    <w:rsid w:val="00E94DC6"/>
    <w:rsid w:val="00E95972"/>
    <w:rsid w:val="00E96AB0"/>
    <w:rsid w:val="00E97CD8"/>
    <w:rsid w:val="00EA076B"/>
    <w:rsid w:val="00EA10CC"/>
    <w:rsid w:val="00EA19E9"/>
    <w:rsid w:val="00EA1C6A"/>
    <w:rsid w:val="00EA204C"/>
    <w:rsid w:val="00EA211C"/>
    <w:rsid w:val="00EA285E"/>
    <w:rsid w:val="00EA3304"/>
    <w:rsid w:val="00EA35D6"/>
    <w:rsid w:val="00EA390C"/>
    <w:rsid w:val="00EA3F45"/>
    <w:rsid w:val="00EA4B8A"/>
    <w:rsid w:val="00EA5BF3"/>
    <w:rsid w:val="00EA5C20"/>
    <w:rsid w:val="00EA5EF3"/>
    <w:rsid w:val="00EA600E"/>
    <w:rsid w:val="00EB010C"/>
    <w:rsid w:val="00EB1A23"/>
    <w:rsid w:val="00EB269A"/>
    <w:rsid w:val="00EB2F48"/>
    <w:rsid w:val="00EB307A"/>
    <w:rsid w:val="00EB5B33"/>
    <w:rsid w:val="00EB623C"/>
    <w:rsid w:val="00EB6314"/>
    <w:rsid w:val="00EB6AD9"/>
    <w:rsid w:val="00EB6CFE"/>
    <w:rsid w:val="00EC1FF6"/>
    <w:rsid w:val="00EC285C"/>
    <w:rsid w:val="00EC3492"/>
    <w:rsid w:val="00EC3B93"/>
    <w:rsid w:val="00EC3D04"/>
    <w:rsid w:val="00EC4431"/>
    <w:rsid w:val="00EC480F"/>
    <w:rsid w:val="00EC4BCC"/>
    <w:rsid w:val="00EC54C7"/>
    <w:rsid w:val="00EC5AF9"/>
    <w:rsid w:val="00EC66C4"/>
    <w:rsid w:val="00EC7E47"/>
    <w:rsid w:val="00ED2000"/>
    <w:rsid w:val="00ED3079"/>
    <w:rsid w:val="00ED3ED8"/>
    <w:rsid w:val="00ED52E9"/>
    <w:rsid w:val="00ED53F2"/>
    <w:rsid w:val="00ED541D"/>
    <w:rsid w:val="00ED573D"/>
    <w:rsid w:val="00ED5DDB"/>
    <w:rsid w:val="00ED606E"/>
    <w:rsid w:val="00ED677B"/>
    <w:rsid w:val="00ED69DA"/>
    <w:rsid w:val="00ED6D47"/>
    <w:rsid w:val="00ED70AF"/>
    <w:rsid w:val="00ED7487"/>
    <w:rsid w:val="00ED7D3B"/>
    <w:rsid w:val="00EE1619"/>
    <w:rsid w:val="00EE21C1"/>
    <w:rsid w:val="00EE3380"/>
    <w:rsid w:val="00EE34DE"/>
    <w:rsid w:val="00EE4B71"/>
    <w:rsid w:val="00EE4E25"/>
    <w:rsid w:val="00EE50C4"/>
    <w:rsid w:val="00EE547B"/>
    <w:rsid w:val="00EE6BE7"/>
    <w:rsid w:val="00EF0E5F"/>
    <w:rsid w:val="00EF28DE"/>
    <w:rsid w:val="00EF2A3D"/>
    <w:rsid w:val="00EF2D0A"/>
    <w:rsid w:val="00EF4D1F"/>
    <w:rsid w:val="00EF5282"/>
    <w:rsid w:val="00EF598D"/>
    <w:rsid w:val="00EF5B60"/>
    <w:rsid w:val="00EF779F"/>
    <w:rsid w:val="00F0134D"/>
    <w:rsid w:val="00F041CB"/>
    <w:rsid w:val="00F04234"/>
    <w:rsid w:val="00F0433D"/>
    <w:rsid w:val="00F05586"/>
    <w:rsid w:val="00F05E66"/>
    <w:rsid w:val="00F06762"/>
    <w:rsid w:val="00F06924"/>
    <w:rsid w:val="00F10A5B"/>
    <w:rsid w:val="00F10D91"/>
    <w:rsid w:val="00F10F4E"/>
    <w:rsid w:val="00F11687"/>
    <w:rsid w:val="00F11D3E"/>
    <w:rsid w:val="00F11DF6"/>
    <w:rsid w:val="00F14732"/>
    <w:rsid w:val="00F16887"/>
    <w:rsid w:val="00F169E0"/>
    <w:rsid w:val="00F16AF0"/>
    <w:rsid w:val="00F172CB"/>
    <w:rsid w:val="00F17F8A"/>
    <w:rsid w:val="00F20213"/>
    <w:rsid w:val="00F20AFC"/>
    <w:rsid w:val="00F20C81"/>
    <w:rsid w:val="00F21D0D"/>
    <w:rsid w:val="00F2352C"/>
    <w:rsid w:val="00F23594"/>
    <w:rsid w:val="00F253ED"/>
    <w:rsid w:val="00F25544"/>
    <w:rsid w:val="00F2667C"/>
    <w:rsid w:val="00F269D7"/>
    <w:rsid w:val="00F30864"/>
    <w:rsid w:val="00F313D5"/>
    <w:rsid w:val="00F3180C"/>
    <w:rsid w:val="00F31B1E"/>
    <w:rsid w:val="00F31BEF"/>
    <w:rsid w:val="00F326EF"/>
    <w:rsid w:val="00F33003"/>
    <w:rsid w:val="00F33279"/>
    <w:rsid w:val="00F33C0B"/>
    <w:rsid w:val="00F33E30"/>
    <w:rsid w:val="00F345A4"/>
    <w:rsid w:val="00F3495E"/>
    <w:rsid w:val="00F349F2"/>
    <w:rsid w:val="00F34D0F"/>
    <w:rsid w:val="00F35BC3"/>
    <w:rsid w:val="00F365CE"/>
    <w:rsid w:val="00F36850"/>
    <w:rsid w:val="00F371FE"/>
    <w:rsid w:val="00F37599"/>
    <w:rsid w:val="00F42141"/>
    <w:rsid w:val="00F42642"/>
    <w:rsid w:val="00F42C4C"/>
    <w:rsid w:val="00F44F0B"/>
    <w:rsid w:val="00F44F96"/>
    <w:rsid w:val="00F45CC5"/>
    <w:rsid w:val="00F45CF3"/>
    <w:rsid w:val="00F46254"/>
    <w:rsid w:val="00F46850"/>
    <w:rsid w:val="00F46FD4"/>
    <w:rsid w:val="00F47AEF"/>
    <w:rsid w:val="00F503D3"/>
    <w:rsid w:val="00F50AD6"/>
    <w:rsid w:val="00F5111D"/>
    <w:rsid w:val="00F51298"/>
    <w:rsid w:val="00F5182A"/>
    <w:rsid w:val="00F51B9D"/>
    <w:rsid w:val="00F525C2"/>
    <w:rsid w:val="00F527C6"/>
    <w:rsid w:val="00F5375C"/>
    <w:rsid w:val="00F538DD"/>
    <w:rsid w:val="00F53F08"/>
    <w:rsid w:val="00F54ECF"/>
    <w:rsid w:val="00F559D0"/>
    <w:rsid w:val="00F5689F"/>
    <w:rsid w:val="00F56CDD"/>
    <w:rsid w:val="00F579B2"/>
    <w:rsid w:val="00F57BA8"/>
    <w:rsid w:val="00F60C6B"/>
    <w:rsid w:val="00F616F6"/>
    <w:rsid w:val="00F63C59"/>
    <w:rsid w:val="00F6438F"/>
    <w:rsid w:val="00F65226"/>
    <w:rsid w:val="00F6637F"/>
    <w:rsid w:val="00F6752D"/>
    <w:rsid w:val="00F7103F"/>
    <w:rsid w:val="00F71549"/>
    <w:rsid w:val="00F71983"/>
    <w:rsid w:val="00F72B98"/>
    <w:rsid w:val="00F73920"/>
    <w:rsid w:val="00F74034"/>
    <w:rsid w:val="00F74928"/>
    <w:rsid w:val="00F75F2B"/>
    <w:rsid w:val="00F768BF"/>
    <w:rsid w:val="00F76C23"/>
    <w:rsid w:val="00F77539"/>
    <w:rsid w:val="00F77D81"/>
    <w:rsid w:val="00F80373"/>
    <w:rsid w:val="00F80A10"/>
    <w:rsid w:val="00F80DFD"/>
    <w:rsid w:val="00F81BF0"/>
    <w:rsid w:val="00F82061"/>
    <w:rsid w:val="00F825EE"/>
    <w:rsid w:val="00F85567"/>
    <w:rsid w:val="00F858C6"/>
    <w:rsid w:val="00F85F71"/>
    <w:rsid w:val="00F862B2"/>
    <w:rsid w:val="00F864B2"/>
    <w:rsid w:val="00F864C6"/>
    <w:rsid w:val="00F86BEE"/>
    <w:rsid w:val="00F8709F"/>
    <w:rsid w:val="00F8733F"/>
    <w:rsid w:val="00F901EA"/>
    <w:rsid w:val="00F90822"/>
    <w:rsid w:val="00F913A7"/>
    <w:rsid w:val="00F91C33"/>
    <w:rsid w:val="00F91D8E"/>
    <w:rsid w:val="00F9229A"/>
    <w:rsid w:val="00F937D6"/>
    <w:rsid w:val="00F94CC5"/>
    <w:rsid w:val="00F950CA"/>
    <w:rsid w:val="00F95D88"/>
    <w:rsid w:val="00F97004"/>
    <w:rsid w:val="00F97487"/>
    <w:rsid w:val="00F979FD"/>
    <w:rsid w:val="00F97D7E"/>
    <w:rsid w:val="00FA056D"/>
    <w:rsid w:val="00FA0D15"/>
    <w:rsid w:val="00FA1265"/>
    <w:rsid w:val="00FA2674"/>
    <w:rsid w:val="00FA353D"/>
    <w:rsid w:val="00FA3750"/>
    <w:rsid w:val="00FA43F8"/>
    <w:rsid w:val="00FA44A5"/>
    <w:rsid w:val="00FA51C6"/>
    <w:rsid w:val="00FA5ECA"/>
    <w:rsid w:val="00FA697A"/>
    <w:rsid w:val="00FA6E3B"/>
    <w:rsid w:val="00FA7082"/>
    <w:rsid w:val="00FA73CD"/>
    <w:rsid w:val="00FA7CD0"/>
    <w:rsid w:val="00FB08D3"/>
    <w:rsid w:val="00FB09B9"/>
    <w:rsid w:val="00FB0A8B"/>
    <w:rsid w:val="00FB0D0E"/>
    <w:rsid w:val="00FB1315"/>
    <w:rsid w:val="00FB13DC"/>
    <w:rsid w:val="00FB1893"/>
    <w:rsid w:val="00FB2137"/>
    <w:rsid w:val="00FB2146"/>
    <w:rsid w:val="00FB25A8"/>
    <w:rsid w:val="00FB372F"/>
    <w:rsid w:val="00FB4D5F"/>
    <w:rsid w:val="00FB54FB"/>
    <w:rsid w:val="00FB5B3D"/>
    <w:rsid w:val="00FB78B9"/>
    <w:rsid w:val="00FB799B"/>
    <w:rsid w:val="00FC07C0"/>
    <w:rsid w:val="00FC09ED"/>
    <w:rsid w:val="00FC1F7F"/>
    <w:rsid w:val="00FC22B2"/>
    <w:rsid w:val="00FC4614"/>
    <w:rsid w:val="00FC4C8A"/>
    <w:rsid w:val="00FC4F22"/>
    <w:rsid w:val="00FC603A"/>
    <w:rsid w:val="00FC61F1"/>
    <w:rsid w:val="00FD0B9B"/>
    <w:rsid w:val="00FD16A6"/>
    <w:rsid w:val="00FD1F97"/>
    <w:rsid w:val="00FD39A9"/>
    <w:rsid w:val="00FD3F45"/>
    <w:rsid w:val="00FD4D4B"/>
    <w:rsid w:val="00FD502A"/>
    <w:rsid w:val="00FD51A6"/>
    <w:rsid w:val="00FD56FE"/>
    <w:rsid w:val="00FD65E5"/>
    <w:rsid w:val="00FD67F0"/>
    <w:rsid w:val="00FD783E"/>
    <w:rsid w:val="00FE0AF0"/>
    <w:rsid w:val="00FE0C77"/>
    <w:rsid w:val="00FE1516"/>
    <w:rsid w:val="00FE1777"/>
    <w:rsid w:val="00FE1A10"/>
    <w:rsid w:val="00FE1FCB"/>
    <w:rsid w:val="00FE21E3"/>
    <w:rsid w:val="00FE3C65"/>
    <w:rsid w:val="00FE599B"/>
    <w:rsid w:val="00FE60D0"/>
    <w:rsid w:val="00FE61B0"/>
    <w:rsid w:val="00FE6A9E"/>
    <w:rsid w:val="00FE700C"/>
    <w:rsid w:val="00FE7237"/>
    <w:rsid w:val="00FE7947"/>
    <w:rsid w:val="00FE7D8D"/>
    <w:rsid w:val="00FF024C"/>
    <w:rsid w:val="00FF0FF4"/>
    <w:rsid w:val="00FF2E4B"/>
    <w:rsid w:val="00FF3B9A"/>
    <w:rsid w:val="00FF40FC"/>
    <w:rsid w:val="00FF4765"/>
    <w:rsid w:val="00FF57DE"/>
    <w:rsid w:val="00FF6605"/>
    <w:rsid w:val="00FF666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2"/>
    <o:shapelayout v:ext="edit">
      <o:idmap v:ext="edit" data="2"/>
    </o:shapelayout>
  </w:shapeDefaults>
  <w:decimalSymbol w:val="."/>
  <w:listSeparator w:val=","/>
  <w14:docId w14:val="61CEEFE4"/>
  <w15:docId w15:val="{32ABA707-9335-49F8-9992-3243C144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33"/>
    <w:pPr>
      <w:jc w:val="both"/>
    </w:pPr>
  </w:style>
  <w:style w:type="paragraph" w:styleId="Heading1">
    <w:name w:val="heading 1"/>
    <w:basedOn w:val="Normal"/>
    <w:next w:val="Normal"/>
    <w:link w:val="Heading1Char"/>
    <w:uiPriority w:val="9"/>
    <w:qFormat/>
    <w:rsid w:val="00DF034D"/>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 w:val="22"/>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DF034D"/>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DF034D"/>
    <w:pPr>
      <w:contextualSpacing/>
    </w:pPr>
    <w:rPr>
      <w:rFonts w:asciiTheme="majorHAnsi" w:eastAsiaTheme="majorEastAsia" w:hAnsiTheme="majorHAnsi" w:cstheme="majorBidi"/>
      <w:b/>
      <w:spacing w:val="-10"/>
      <w:kern w:val="28"/>
      <w:sz w:val="28"/>
      <w:szCs w:val="56"/>
    </w:rPr>
  </w:style>
  <w:style w:type="character" w:customStyle="1" w:styleId="TitleChar">
    <w:name w:val="Title Char"/>
    <w:basedOn w:val="DefaultParagraphFont"/>
    <w:link w:val="Title"/>
    <w:uiPriority w:val="10"/>
    <w:rsid w:val="00DF034D"/>
    <w:rPr>
      <w:rFonts w:asciiTheme="majorHAnsi" w:eastAsiaTheme="majorEastAsia" w:hAnsiTheme="majorHAnsi" w:cstheme="majorBidi"/>
      <w:b/>
      <w:spacing w:val="-10"/>
      <w:kern w:val="28"/>
      <w:sz w:val="28"/>
      <w:szCs w:val="56"/>
    </w:rPr>
  </w:style>
  <w:style w:type="paragraph" w:styleId="Bibliography">
    <w:name w:val="Bibliography"/>
    <w:basedOn w:val="Normal"/>
    <w:next w:val="Normal"/>
    <w:uiPriority w:val="37"/>
    <w:unhideWhenUsed/>
    <w:rsid w:val="00C057BE"/>
    <w:pPr>
      <w:spacing w:after="240"/>
      <w:ind w:left="720" w:hanging="720"/>
      <w:jc w:val="left"/>
    </w:pPr>
    <w:rPr>
      <w:kern w:val="2"/>
      <w14:ligatures w14:val="standardContextual"/>
    </w:rPr>
  </w:style>
  <w:style w:type="character" w:styleId="EndnoteReference">
    <w:name w:val="endnote reference"/>
    <w:basedOn w:val="DefaultParagraphFont"/>
    <w:uiPriority w:val="99"/>
    <w:semiHidden/>
    <w:unhideWhenUsed/>
    <w:rsid w:val="00DC51C5"/>
    <w:rPr>
      <w:vertAlign w:val="superscript"/>
    </w:rPr>
  </w:style>
  <w:style w:type="paragraph" w:customStyle="1" w:styleId="MTDisplayEquation">
    <w:name w:val="MTDisplayEquation"/>
    <w:basedOn w:val="Normal"/>
    <w:next w:val="Normal"/>
    <w:link w:val="MTDisplayEquationChar"/>
    <w:rsid w:val="004A4D87"/>
    <w:pPr>
      <w:shd w:val="clear" w:color="auto" w:fill="FFFFFF"/>
      <w:tabs>
        <w:tab w:val="center" w:pos="4680"/>
        <w:tab w:val="right" w:pos="9360"/>
      </w:tabs>
    </w:pPr>
    <w:rPr>
      <w:rFonts w:ascii="Times New Roman" w:hAnsi="Times New Roman"/>
      <w:kern w:val="2"/>
      <w14:ligatures w14:val="standardContextual"/>
    </w:rPr>
  </w:style>
  <w:style w:type="character" w:customStyle="1" w:styleId="MTDisplayEquationChar">
    <w:name w:val="MTDisplayEquation Char"/>
    <w:basedOn w:val="DefaultParagraphFont"/>
    <w:link w:val="MTDisplayEquation"/>
    <w:rsid w:val="004A4D87"/>
    <w:rPr>
      <w:rFonts w:ascii="Times New Roman" w:hAnsi="Times New Roman"/>
      <w:kern w:val="2"/>
      <w:shd w:val="clear" w:color="auto" w:fill="FFFFFF"/>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 w:id="126884763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233395164">
          <w:marLeft w:val="0"/>
          <w:marRight w:val="0"/>
          <w:marTop w:val="0"/>
          <w:marBottom w:val="0"/>
          <w:divBdr>
            <w:top w:val="none" w:sz="0" w:space="0" w:color="auto"/>
            <w:left w:val="none" w:sz="0" w:space="0" w:color="auto"/>
            <w:bottom w:val="none" w:sz="0" w:space="0" w:color="auto"/>
            <w:right w:val="none" w:sz="0" w:space="0" w:color="auto"/>
          </w:divBdr>
        </w:div>
        <w:div w:id="1550922891">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1510214698">
          <w:marLeft w:val="0"/>
          <w:marRight w:val="0"/>
          <w:marTop w:val="0"/>
          <w:marBottom w:val="0"/>
          <w:divBdr>
            <w:top w:val="none" w:sz="0" w:space="0" w:color="auto"/>
            <w:left w:val="none" w:sz="0" w:space="0" w:color="auto"/>
            <w:bottom w:val="none" w:sz="0" w:space="0" w:color="auto"/>
            <w:right w:val="none" w:sz="0" w:space="0" w:color="auto"/>
          </w:divBdr>
        </w:div>
        <w:div w:id="2092851796">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1" Type="http://schemas.openxmlformats.org/officeDocument/2006/relationships/oleObject" Target="embeddings/oleObject1.bin"/><Relationship Id="rId63" Type="http://schemas.openxmlformats.org/officeDocument/2006/relationships/image" Target="media/image24.wmf"/><Relationship Id="rId159" Type="http://schemas.openxmlformats.org/officeDocument/2006/relationships/oleObject" Target="embeddings/oleObject72.bin"/><Relationship Id="rId170" Type="http://schemas.openxmlformats.org/officeDocument/2006/relationships/image" Target="media/image76.wmf"/><Relationship Id="rId226" Type="http://schemas.openxmlformats.org/officeDocument/2006/relationships/image" Target="media/image102.wmf"/><Relationship Id="rId268" Type="http://schemas.openxmlformats.org/officeDocument/2006/relationships/hyperlink" Target="https://doi.org/10.1007/s00148-024-01035-6" TargetMode="External"/><Relationship Id="rId32" Type="http://schemas.openxmlformats.org/officeDocument/2006/relationships/image" Target="media/image9.wmf"/><Relationship Id="rId74" Type="http://schemas.openxmlformats.org/officeDocument/2006/relationships/oleObject" Target="embeddings/oleObject28.bin"/><Relationship Id="rId128" Type="http://schemas.openxmlformats.org/officeDocument/2006/relationships/image" Target="media/image56.wmf"/><Relationship Id="rId5" Type="http://schemas.openxmlformats.org/officeDocument/2006/relationships/webSettings" Target="webSettings.xml"/><Relationship Id="rId181" Type="http://schemas.openxmlformats.org/officeDocument/2006/relationships/image" Target="media/image81.wmf"/><Relationship Id="rId237" Type="http://schemas.openxmlformats.org/officeDocument/2006/relationships/hyperlink" Target="https://doi.org/10.1111/rsp3.12558" TargetMode="External"/><Relationship Id="rId279" Type="http://schemas.openxmlformats.org/officeDocument/2006/relationships/hyperlink" Target="https://doi.org/10.1016/j.evalprogplan.2012.11.004" TargetMode="External"/><Relationship Id="rId43" Type="http://schemas.openxmlformats.org/officeDocument/2006/relationships/image" Target="media/image14.wmf"/><Relationship Id="rId139" Type="http://schemas.openxmlformats.org/officeDocument/2006/relationships/image" Target="media/image61.wmf"/><Relationship Id="rId290" Type="http://schemas.openxmlformats.org/officeDocument/2006/relationships/fontTable" Target="fontTable.xml"/><Relationship Id="rId85" Type="http://schemas.openxmlformats.org/officeDocument/2006/relationships/image" Target="media/image35.wmf"/><Relationship Id="rId150" Type="http://schemas.openxmlformats.org/officeDocument/2006/relationships/oleObject" Target="embeddings/oleObject67.bin"/><Relationship Id="rId192" Type="http://schemas.openxmlformats.org/officeDocument/2006/relationships/image" Target="media/image85.wmf"/><Relationship Id="rId206" Type="http://schemas.openxmlformats.org/officeDocument/2006/relationships/image" Target="media/image92.wmf"/><Relationship Id="rId248" Type="http://schemas.openxmlformats.org/officeDocument/2006/relationships/hyperlink" Target="https://doi.org/10.1257/mac.20210061" TargetMode="External"/><Relationship Id="rId269" Type="http://schemas.openxmlformats.org/officeDocument/2006/relationships/hyperlink" Target="https://doi.org/10.1016/j.tra.2024.103972" TargetMode="External"/><Relationship Id="rId12" Type="http://schemas.openxmlformats.org/officeDocument/2006/relationships/hyperlink" Target="mailto:ram.pendyala@asu.edu" TargetMode="External"/><Relationship Id="rId33" Type="http://schemas.openxmlformats.org/officeDocument/2006/relationships/oleObject" Target="embeddings/oleObject7.bin"/><Relationship Id="rId108" Type="http://schemas.openxmlformats.org/officeDocument/2006/relationships/oleObject" Target="embeddings/oleObject45.bin"/><Relationship Id="rId129" Type="http://schemas.openxmlformats.org/officeDocument/2006/relationships/oleObject" Target="embeddings/oleObject56.bin"/><Relationship Id="rId280" Type="http://schemas.openxmlformats.org/officeDocument/2006/relationships/hyperlink" Target="https://doi.org/10.1007/s41542-021-00094-5" TargetMode="External"/><Relationship Id="rId54" Type="http://schemas.openxmlformats.org/officeDocument/2006/relationships/oleObject" Target="embeddings/oleObject18.bin"/><Relationship Id="rId75" Type="http://schemas.openxmlformats.org/officeDocument/2006/relationships/image" Target="media/image30.wmf"/><Relationship Id="rId96" Type="http://schemas.openxmlformats.org/officeDocument/2006/relationships/oleObject" Target="embeddings/oleObject39.bin"/><Relationship Id="rId140" Type="http://schemas.openxmlformats.org/officeDocument/2006/relationships/oleObject" Target="embeddings/oleObject62.bin"/><Relationship Id="rId161" Type="http://schemas.openxmlformats.org/officeDocument/2006/relationships/oleObject" Target="embeddings/oleObject73.bin"/><Relationship Id="rId182" Type="http://schemas.openxmlformats.org/officeDocument/2006/relationships/oleObject" Target="embeddings/oleObject84.bin"/><Relationship Id="rId217" Type="http://schemas.openxmlformats.org/officeDocument/2006/relationships/oleObject" Target="embeddings/oleObject103.bin"/><Relationship Id="rId6" Type="http://schemas.openxmlformats.org/officeDocument/2006/relationships/footnotes" Target="footnotes.xml"/><Relationship Id="rId238" Type="http://schemas.openxmlformats.org/officeDocument/2006/relationships/hyperlink" Target="https://doi.org/10.1016/j.dhjo.2022.101406" TargetMode="External"/><Relationship Id="rId259" Type="http://schemas.openxmlformats.org/officeDocument/2006/relationships/hyperlink" Target="https://doi.org/10.1016/j.trip.2023.100969" TargetMode="External"/><Relationship Id="rId23" Type="http://schemas.openxmlformats.org/officeDocument/2006/relationships/oleObject" Target="embeddings/oleObject2.bin"/><Relationship Id="rId119" Type="http://schemas.openxmlformats.org/officeDocument/2006/relationships/oleObject" Target="embeddings/oleObject51.bin"/><Relationship Id="rId270" Type="http://schemas.openxmlformats.org/officeDocument/2006/relationships/hyperlink" Target="https://escholarship.org/uc/item/59x3z9zb" TargetMode="External"/><Relationship Id="rId291" Type="http://schemas.openxmlformats.org/officeDocument/2006/relationships/theme" Target="theme/theme1.xml"/><Relationship Id="rId44" Type="http://schemas.openxmlformats.org/officeDocument/2006/relationships/oleObject" Target="embeddings/oleObject13.bin"/><Relationship Id="rId65" Type="http://schemas.openxmlformats.org/officeDocument/2006/relationships/image" Target="media/image25.wmf"/><Relationship Id="rId86" Type="http://schemas.openxmlformats.org/officeDocument/2006/relationships/oleObject" Target="embeddings/oleObject34.bin"/><Relationship Id="rId130" Type="http://schemas.openxmlformats.org/officeDocument/2006/relationships/image" Target="media/image57.wmf"/><Relationship Id="rId151" Type="http://schemas.openxmlformats.org/officeDocument/2006/relationships/image" Target="media/image67.wmf"/><Relationship Id="rId172" Type="http://schemas.openxmlformats.org/officeDocument/2006/relationships/oleObject" Target="embeddings/oleObject79.bin"/><Relationship Id="rId193" Type="http://schemas.openxmlformats.org/officeDocument/2006/relationships/oleObject" Target="embeddings/oleObject91.bin"/><Relationship Id="rId207" Type="http://schemas.openxmlformats.org/officeDocument/2006/relationships/oleObject" Target="embeddings/oleObject98.bin"/><Relationship Id="rId228" Type="http://schemas.openxmlformats.org/officeDocument/2006/relationships/footer" Target="footer4.xml"/><Relationship Id="rId249" Type="http://schemas.openxmlformats.org/officeDocument/2006/relationships/hyperlink" Target="https://rosap.ntl.bts.gov" TargetMode="External"/><Relationship Id="rId13" Type="http://schemas.openxmlformats.org/officeDocument/2006/relationships/footer" Target="footer1.xml"/><Relationship Id="rId109" Type="http://schemas.openxmlformats.org/officeDocument/2006/relationships/image" Target="media/image47.wmf"/><Relationship Id="rId260" Type="http://schemas.openxmlformats.org/officeDocument/2006/relationships/hyperlink" Target="https://doi.org/10.1111/gwao.12531" TargetMode="External"/><Relationship Id="rId281" Type="http://schemas.openxmlformats.org/officeDocument/2006/relationships/hyperlink" Target="https://doi.org/10.1016/j.jtrangeo.2023.103740" TargetMode="External"/><Relationship Id="rId34" Type="http://schemas.openxmlformats.org/officeDocument/2006/relationships/image" Target="media/image10.wmf"/><Relationship Id="rId55" Type="http://schemas.openxmlformats.org/officeDocument/2006/relationships/image" Target="media/image20.wmf"/><Relationship Id="rId76" Type="http://schemas.openxmlformats.org/officeDocument/2006/relationships/oleObject" Target="embeddings/oleObject29.bin"/><Relationship Id="rId97" Type="http://schemas.openxmlformats.org/officeDocument/2006/relationships/image" Target="media/image41.wmf"/><Relationship Id="rId120" Type="http://schemas.openxmlformats.org/officeDocument/2006/relationships/image" Target="media/image52.wmf"/><Relationship Id="rId141" Type="http://schemas.openxmlformats.org/officeDocument/2006/relationships/image" Target="media/image62.wmf"/><Relationship Id="rId7" Type="http://schemas.openxmlformats.org/officeDocument/2006/relationships/endnotes" Target="endnotes.xml"/><Relationship Id="rId162" Type="http://schemas.openxmlformats.org/officeDocument/2006/relationships/image" Target="media/image72.wmf"/><Relationship Id="rId183" Type="http://schemas.openxmlformats.org/officeDocument/2006/relationships/oleObject" Target="embeddings/oleObject85.bin"/><Relationship Id="rId218" Type="http://schemas.openxmlformats.org/officeDocument/2006/relationships/image" Target="media/image98.wmf"/><Relationship Id="rId239" Type="http://schemas.openxmlformats.org/officeDocument/2006/relationships/hyperlink" Target="https://doi.org/10.1080/19427867.2025.2456364" TargetMode="External"/><Relationship Id="rId250" Type="http://schemas.openxmlformats.org/officeDocument/2006/relationships/hyperlink" Target="https://doi.org/10.3386/w33508" TargetMode="External"/><Relationship Id="rId271" Type="http://schemas.openxmlformats.org/officeDocument/2006/relationships/hyperlink" Target="https://doi.org/10.1016/j.trip.2022.100685" TargetMode="External"/><Relationship Id="rId24" Type="http://schemas.openxmlformats.org/officeDocument/2006/relationships/image" Target="media/image5.wmf"/><Relationship Id="rId45" Type="http://schemas.openxmlformats.org/officeDocument/2006/relationships/image" Target="media/image15.wmf"/><Relationship Id="rId66" Type="http://schemas.openxmlformats.org/officeDocument/2006/relationships/oleObject" Target="embeddings/oleObject24.bin"/><Relationship Id="rId87" Type="http://schemas.openxmlformats.org/officeDocument/2006/relationships/image" Target="media/image36.wmf"/><Relationship Id="rId110" Type="http://schemas.openxmlformats.org/officeDocument/2006/relationships/oleObject" Target="embeddings/oleObject46.bin"/><Relationship Id="rId131" Type="http://schemas.openxmlformats.org/officeDocument/2006/relationships/oleObject" Target="embeddings/oleObject57.bin"/><Relationship Id="rId152" Type="http://schemas.openxmlformats.org/officeDocument/2006/relationships/oleObject" Target="embeddings/oleObject68.bin"/><Relationship Id="rId173" Type="http://schemas.openxmlformats.org/officeDocument/2006/relationships/image" Target="media/image77.wmf"/><Relationship Id="rId194" Type="http://schemas.openxmlformats.org/officeDocument/2006/relationships/image" Target="media/image86.wmf"/><Relationship Id="rId208" Type="http://schemas.openxmlformats.org/officeDocument/2006/relationships/image" Target="media/image93.wmf"/><Relationship Id="rId229" Type="http://schemas.openxmlformats.org/officeDocument/2006/relationships/image" Target="media/image103.wmf"/><Relationship Id="rId240" Type="http://schemas.openxmlformats.org/officeDocument/2006/relationships/hyperlink" Target="https://doi.org/10.1016/j.tra.2022.02.010" TargetMode="External"/><Relationship Id="rId261" Type="http://schemas.openxmlformats.org/officeDocument/2006/relationships/hyperlink" Target="https://doi.org/10.1177/08404704231170733" TargetMode="External"/><Relationship Id="rId14" Type="http://schemas.openxmlformats.org/officeDocument/2006/relationships/footer" Target="footer2.xml"/><Relationship Id="rId35" Type="http://schemas.openxmlformats.org/officeDocument/2006/relationships/oleObject" Target="embeddings/oleObject8.bin"/><Relationship Id="rId56" Type="http://schemas.openxmlformats.org/officeDocument/2006/relationships/oleObject" Target="embeddings/oleObject19.bin"/><Relationship Id="rId77" Type="http://schemas.openxmlformats.org/officeDocument/2006/relationships/image" Target="media/image31.wmf"/><Relationship Id="rId100" Type="http://schemas.openxmlformats.org/officeDocument/2006/relationships/oleObject" Target="embeddings/oleObject41.bin"/><Relationship Id="rId282" Type="http://schemas.openxmlformats.org/officeDocument/2006/relationships/hyperlink" Target="https://doi.org/10.1016/j.urbmob.2025.100125" TargetMode="External"/><Relationship Id="rId8" Type="http://schemas.openxmlformats.org/officeDocument/2006/relationships/hyperlink" Target="mailto:annabeliveau@utexas.edu" TargetMode="External"/><Relationship Id="rId98" Type="http://schemas.openxmlformats.org/officeDocument/2006/relationships/oleObject" Target="embeddings/oleObject40.bin"/><Relationship Id="rId121" Type="http://schemas.openxmlformats.org/officeDocument/2006/relationships/oleObject" Target="embeddings/oleObject52.bin"/><Relationship Id="rId142" Type="http://schemas.openxmlformats.org/officeDocument/2006/relationships/oleObject" Target="embeddings/oleObject63.bin"/><Relationship Id="rId163" Type="http://schemas.openxmlformats.org/officeDocument/2006/relationships/oleObject" Target="embeddings/oleObject74.bin"/><Relationship Id="rId184" Type="http://schemas.openxmlformats.org/officeDocument/2006/relationships/image" Target="media/image82.wmf"/><Relationship Id="rId219" Type="http://schemas.openxmlformats.org/officeDocument/2006/relationships/oleObject" Target="embeddings/oleObject104.bin"/><Relationship Id="rId230" Type="http://schemas.openxmlformats.org/officeDocument/2006/relationships/oleObject" Target="embeddings/oleObject109.bin"/><Relationship Id="rId251" Type="http://schemas.openxmlformats.org/officeDocument/2006/relationships/hyperlink" Target="https://doi.org/10.48550/arXiv.2201.01281" TargetMode="External"/><Relationship Id="rId25" Type="http://schemas.openxmlformats.org/officeDocument/2006/relationships/oleObject" Target="embeddings/oleObject3.bin"/><Relationship Id="rId46" Type="http://schemas.openxmlformats.org/officeDocument/2006/relationships/oleObject" Target="embeddings/oleObject14.bin"/><Relationship Id="rId67" Type="http://schemas.openxmlformats.org/officeDocument/2006/relationships/image" Target="media/image26.wmf"/><Relationship Id="rId272" Type="http://schemas.openxmlformats.org/officeDocument/2006/relationships/hyperlink" Target="https://doi.org/10.1111/joop.12512" TargetMode="External"/><Relationship Id="rId88" Type="http://schemas.openxmlformats.org/officeDocument/2006/relationships/oleObject" Target="embeddings/oleObject35.bin"/><Relationship Id="rId111" Type="http://schemas.openxmlformats.org/officeDocument/2006/relationships/image" Target="media/image48.wmf"/><Relationship Id="rId132" Type="http://schemas.openxmlformats.org/officeDocument/2006/relationships/image" Target="media/image58.wmf"/><Relationship Id="rId153" Type="http://schemas.openxmlformats.org/officeDocument/2006/relationships/image" Target="media/image68.wmf"/><Relationship Id="rId174" Type="http://schemas.openxmlformats.org/officeDocument/2006/relationships/oleObject" Target="embeddings/oleObject80.bin"/><Relationship Id="rId195" Type="http://schemas.openxmlformats.org/officeDocument/2006/relationships/oleObject" Target="embeddings/oleObject92.bin"/><Relationship Id="rId209" Type="http://schemas.openxmlformats.org/officeDocument/2006/relationships/oleObject" Target="embeddings/oleObject99.bin"/><Relationship Id="rId220" Type="http://schemas.openxmlformats.org/officeDocument/2006/relationships/image" Target="media/image99.wmf"/><Relationship Id="rId241" Type="http://schemas.openxmlformats.org/officeDocument/2006/relationships/hyperlink" Target="https://doi.org/10.1016/j.tra.2023.103671" TargetMode="External"/><Relationship Id="rId15" Type="http://schemas.openxmlformats.org/officeDocument/2006/relationships/hyperlink" Target="mailto:bhat@mail.utexas.edu" TargetMode="External"/><Relationship Id="rId36" Type="http://schemas.openxmlformats.org/officeDocument/2006/relationships/image" Target="media/image11.wmf"/><Relationship Id="rId57" Type="http://schemas.openxmlformats.org/officeDocument/2006/relationships/image" Target="media/image21.wmf"/><Relationship Id="rId262" Type="http://schemas.openxmlformats.org/officeDocument/2006/relationships/hyperlink" Target="https://doi.org/10.1016/j.jtrangeo.2024.104102" TargetMode="External"/><Relationship Id="rId283" Type="http://schemas.openxmlformats.org/officeDocument/2006/relationships/hyperlink" Target="https://doi.org/10.1016/j.tbs.2023.100628" TargetMode="External"/><Relationship Id="rId78" Type="http://schemas.openxmlformats.org/officeDocument/2006/relationships/oleObject" Target="embeddings/oleObject30.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3.wmf"/><Relationship Id="rId143" Type="http://schemas.openxmlformats.org/officeDocument/2006/relationships/image" Target="media/image63.wmf"/><Relationship Id="rId164" Type="http://schemas.openxmlformats.org/officeDocument/2006/relationships/image" Target="media/image73.wmf"/><Relationship Id="rId185" Type="http://schemas.openxmlformats.org/officeDocument/2006/relationships/oleObject" Target="embeddings/oleObject86.bin"/><Relationship Id="rId9" Type="http://schemas.openxmlformats.org/officeDocument/2006/relationships/hyperlink" Target="mailto:dar4836@utexas.edu" TargetMode="External"/><Relationship Id="rId210" Type="http://schemas.openxmlformats.org/officeDocument/2006/relationships/image" Target="media/image94.wmf"/><Relationship Id="rId26" Type="http://schemas.openxmlformats.org/officeDocument/2006/relationships/image" Target="media/image6.wmf"/><Relationship Id="rId231" Type="http://schemas.openxmlformats.org/officeDocument/2006/relationships/image" Target="media/image104.wmf"/><Relationship Id="rId252" Type="http://schemas.openxmlformats.org/officeDocument/2006/relationships/hyperlink" Target="https://www.epa.gov/system/files/documents/2023-10/epa_sld_3.0_technicaldocumentationuserguide_may2021_0.pdf" TargetMode="External"/><Relationship Id="rId273" Type="http://schemas.openxmlformats.org/officeDocument/2006/relationships/hyperlink" Target="https://doi.org/10.1068/a43133" TargetMode="External"/><Relationship Id="rId47" Type="http://schemas.openxmlformats.org/officeDocument/2006/relationships/image" Target="media/image16.wmf"/><Relationship Id="rId68" Type="http://schemas.openxmlformats.org/officeDocument/2006/relationships/oleObject" Target="embeddings/oleObject25.bin"/><Relationship Id="rId89" Type="http://schemas.openxmlformats.org/officeDocument/2006/relationships/image" Target="media/image37.wmf"/><Relationship Id="rId112" Type="http://schemas.openxmlformats.org/officeDocument/2006/relationships/oleObject" Target="embeddings/oleObject47.bin"/><Relationship Id="rId133" Type="http://schemas.openxmlformats.org/officeDocument/2006/relationships/oleObject" Target="embeddings/oleObject58.bin"/><Relationship Id="rId154" Type="http://schemas.openxmlformats.org/officeDocument/2006/relationships/oleObject" Target="embeddings/oleObject69.bin"/><Relationship Id="rId175" Type="http://schemas.openxmlformats.org/officeDocument/2006/relationships/image" Target="media/image78.wmf"/><Relationship Id="rId196" Type="http://schemas.openxmlformats.org/officeDocument/2006/relationships/image" Target="media/image87.wmf"/><Relationship Id="rId200" Type="http://schemas.openxmlformats.org/officeDocument/2006/relationships/image" Target="media/image89.wmf"/><Relationship Id="rId16" Type="http://schemas.openxmlformats.org/officeDocument/2006/relationships/footer" Target="footer3.xml"/><Relationship Id="rId221" Type="http://schemas.openxmlformats.org/officeDocument/2006/relationships/oleObject" Target="embeddings/oleObject105.bin"/><Relationship Id="rId242" Type="http://schemas.openxmlformats.org/officeDocument/2006/relationships/hyperlink" Target="https://doi.org/10.1016/j.trc.2024.104690" TargetMode="External"/><Relationship Id="rId263" Type="http://schemas.openxmlformats.org/officeDocument/2006/relationships/hyperlink" Target="https://doi.org/10.1177/0961463X241261319" TargetMode="External"/><Relationship Id="rId284" Type="http://schemas.openxmlformats.org/officeDocument/2006/relationships/hyperlink" Target="https://doi.org/10.1016/j.tra.2024.104070" TargetMode="External"/><Relationship Id="rId37" Type="http://schemas.openxmlformats.org/officeDocument/2006/relationships/oleObject" Target="embeddings/oleObject9.bin"/><Relationship Id="rId58" Type="http://schemas.openxmlformats.org/officeDocument/2006/relationships/oleObject" Target="embeddings/oleObject20.bin"/><Relationship Id="rId79" Type="http://schemas.openxmlformats.org/officeDocument/2006/relationships/image" Target="media/image32.wmf"/><Relationship Id="rId102" Type="http://schemas.openxmlformats.org/officeDocument/2006/relationships/oleObject" Target="embeddings/oleObject42.bin"/><Relationship Id="rId123" Type="http://schemas.openxmlformats.org/officeDocument/2006/relationships/oleObject" Target="embeddings/oleObject53.bin"/><Relationship Id="rId144" Type="http://schemas.openxmlformats.org/officeDocument/2006/relationships/oleObject" Target="embeddings/oleObject64.bin"/><Relationship Id="rId90" Type="http://schemas.openxmlformats.org/officeDocument/2006/relationships/oleObject" Target="embeddings/oleObject36.bin"/><Relationship Id="rId165" Type="http://schemas.openxmlformats.org/officeDocument/2006/relationships/oleObject" Target="embeddings/oleObject75.bin"/><Relationship Id="rId186" Type="http://schemas.openxmlformats.org/officeDocument/2006/relationships/oleObject" Target="embeddings/oleObject87.bin"/><Relationship Id="rId211" Type="http://schemas.openxmlformats.org/officeDocument/2006/relationships/oleObject" Target="embeddings/oleObject100.bin"/><Relationship Id="rId232" Type="http://schemas.openxmlformats.org/officeDocument/2006/relationships/oleObject" Target="embeddings/oleObject110.bin"/><Relationship Id="rId253" Type="http://schemas.openxmlformats.org/officeDocument/2006/relationships/hyperlink" Target="https://doi.org/10.1111/j.1741-3737.2010.00769.x" TargetMode="External"/><Relationship Id="rId274" Type="http://schemas.openxmlformats.org/officeDocument/2006/relationships/hyperlink" Target="https://doi.org/10.1007/s11116-012-9429-2" TargetMode="External"/><Relationship Id="rId27" Type="http://schemas.openxmlformats.org/officeDocument/2006/relationships/oleObject" Target="embeddings/oleObject4.bin"/><Relationship Id="rId48" Type="http://schemas.openxmlformats.org/officeDocument/2006/relationships/oleObject" Target="embeddings/oleObject15.bin"/><Relationship Id="rId69" Type="http://schemas.openxmlformats.org/officeDocument/2006/relationships/image" Target="media/image27.wmf"/><Relationship Id="rId113" Type="http://schemas.openxmlformats.org/officeDocument/2006/relationships/oleObject" Target="embeddings/oleObject48.bin"/><Relationship Id="rId134" Type="http://schemas.openxmlformats.org/officeDocument/2006/relationships/image" Target="media/image59.wmf"/><Relationship Id="rId80" Type="http://schemas.openxmlformats.org/officeDocument/2006/relationships/oleObject" Target="embeddings/oleObject31.bin"/><Relationship Id="rId155" Type="http://schemas.openxmlformats.org/officeDocument/2006/relationships/image" Target="media/image69.wmf"/><Relationship Id="rId176" Type="http://schemas.openxmlformats.org/officeDocument/2006/relationships/oleObject" Target="embeddings/oleObject81.bin"/><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00.wmf"/><Relationship Id="rId243" Type="http://schemas.openxmlformats.org/officeDocument/2006/relationships/hyperlink" Target="https://doi.org/10.1016/j.tra.2023.103888" TargetMode="External"/><Relationship Id="rId264" Type="http://schemas.openxmlformats.org/officeDocument/2006/relationships/hyperlink" Target="https://doi.org/10.3233/WOR-220622" TargetMode="External"/><Relationship Id="rId285" Type="http://schemas.openxmlformats.org/officeDocument/2006/relationships/hyperlink" Target="https://doi.org/10.1016/j.tra.2024.104072" TargetMode="External"/><Relationship Id="rId17" Type="http://schemas.openxmlformats.org/officeDocument/2006/relationships/header" Target="header1.xml"/><Relationship Id="rId38" Type="http://schemas.openxmlformats.org/officeDocument/2006/relationships/oleObject" Target="embeddings/oleObject10.bin"/><Relationship Id="rId59" Type="http://schemas.openxmlformats.org/officeDocument/2006/relationships/image" Target="media/image22.wmf"/><Relationship Id="rId103" Type="http://schemas.openxmlformats.org/officeDocument/2006/relationships/image" Target="media/image44.wmf"/><Relationship Id="rId124" Type="http://schemas.openxmlformats.org/officeDocument/2006/relationships/image" Target="media/image54.wmf"/><Relationship Id="rId70" Type="http://schemas.openxmlformats.org/officeDocument/2006/relationships/oleObject" Target="embeddings/oleObject26.bin"/><Relationship Id="rId91" Type="http://schemas.openxmlformats.org/officeDocument/2006/relationships/image" Target="media/image38.wmf"/><Relationship Id="rId145" Type="http://schemas.openxmlformats.org/officeDocument/2006/relationships/image" Target="media/image64.wmf"/><Relationship Id="rId166" Type="http://schemas.openxmlformats.org/officeDocument/2006/relationships/image" Target="media/image74.wmf"/><Relationship Id="rId187" Type="http://schemas.openxmlformats.org/officeDocument/2006/relationships/oleObject" Target="embeddings/oleObject88.bin"/><Relationship Id="rId1" Type="http://schemas.openxmlformats.org/officeDocument/2006/relationships/customXml" Target="../customXml/item1.xml"/><Relationship Id="rId212" Type="http://schemas.openxmlformats.org/officeDocument/2006/relationships/image" Target="media/image95.wmf"/><Relationship Id="rId233" Type="http://schemas.openxmlformats.org/officeDocument/2006/relationships/image" Target="media/image105.wmf"/><Relationship Id="rId254" Type="http://schemas.openxmlformats.org/officeDocument/2006/relationships/hyperlink" Target="https://doi.org/https://doi.org/10.1108/IJWHM-03-2024-0041" TargetMode="External"/><Relationship Id="rId28" Type="http://schemas.openxmlformats.org/officeDocument/2006/relationships/image" Target="media/image7.wmf"/><Relationship Id="rId49" Type="http://schemas.openxmlformats.org/officeDocument/2006/relationships/image" Target="media/image17.wmf"/><Relationship Id="rId114" Type="http://schemas.openxmlformats.org/officeDocument/2006/relationships/image" Target="media/image49.wmf"/><Relationship Id="rId275" Type="http://schemas.openxmlformats.org/officeDocument/2006/relationships/hyperlink" Target="https://doi.org/10.1016/j.trd.2024.104063" TargetMode="External"/><Relationship Id="rId60" Type="http://schemas.openxmlformats.org/officeDocument/2006/relationships/oleObject" Target="embeddings/oleObject21.bin"/><Relationship Id="rId81" Type="http://schemas.openxmlformats.org/officeDocument/2006/relationships/image" Target="media/image33.wmf"/><Relationship Id="rId135" Type="http://schemas.openxmlformats.org/officeDocument/2006/relationships/oleObject" Target="embeddings/oleObject59.bin"/><Relationship Id="rId156" Type="http://schemas.openxmlformats.org/officeDocument/2006/relationships/oleObject" Target="embeddings/oleObject70.bin"/><Relationship Id="rId177" Type="http://schemas.openxmlformats.org/officeDocument/2006/relationships/image" Target="media/image79.wmf"/><Relationship Id="rId198" Type="http://schemas.openxmlformats.org/officeDocument/2006/relationships/image" Target="media/image88.wmf"/><Relationship Id="rId202" Type="http://schemas.openxmlformats.org/officeDocument/2006/relationships/image" Target="media/image90.wmf"/><Relationship Id="rId223" Type="http://schemas.openxmlformats.org/officeDocument/2006/relationships/oleObject" Target="embeddings/oleObject106.bin"/><Relationship Id="rId244" Type="http://schemas.openxmlformats.org/officeDocument/2006/relationships/hyperlink" Target="https://doi.org/10.1016/j.tra.2025.104857" TargetMode="External"/><Relationship Id="rId18" Type="http://schemas.openxmlformats.org/officeDocument/2006/relationships/image" Target="media/image1.png"/><Relationship Id="rId39" Type="http://schemas.openxmlformats.org/officeDocument/2006/relationships/image" Target="media/image12.wmf"/><Relationship Id="rId265" Type="http://schemas.openxmlformats.org/officeDocument/2006/relationships/hyperlink" Target="https://doi.org/10.1007/s11116-022-10293-w" TargetMode="External"/><Relationship Id="rId286" Type="http://schemas.openxmlformats.org/officeDocument/2006/relationships/hyperlink" Target="https://wfhresearch.com/" TargetMode="External"/><Relationship Id="rId50" Type="http://schemas.openxmlformats.org/officeDocument/2006/relationships/oleObject" Target="embeddings/oleObject16.bin"/><Relationship Id="rId104" Type="http://schemas.openxmlformats.org/officeDocument/2006/relationships/oleObject" Target="embeddings/oleObject43.bin"/><Relationship Id="rId125" Type="http://schemas.openxmlformats.org/officeDocument/2006/relationships/oleObject" Target="embeddings/oleObject54.bin"/><Relationship Id="rId146" Type="http://schemas.openxmlformats.org/officeDocument/2006/relationships/oleObject" Target="embeddings/oleObject65.bin"/><Relationship Id="rId167" Type="http://schemas.openxmlformats.org/officeDocument/2006/relationships/oleObject" Target="embeddings/oleObject76.bin"/><Relationship Id="rId188" Type="http://schemas.openxmlformats.org/officeDocument/2006/relationships/image" Target="media/image83.wmf"/><Relationship Id="rId71" Type="http://schemas.openxmlformats.org/officeDocument/2006/relationships/image" Target="media/image28.wmf"/><Relationship Id="rId92" Type="http://schemas.openxmlformats.org/officeDocument/2006/relationships/oleObject" Target="embeddings/oleObject37.bin"/><Relationship Id="rId213" Type="http://schemas.openxmlformats.org/officeDocument/2006/relationships/oleObject" Target="embeddings/oleObject101.bin"/><Relationship Id="rId234" Type="http://schemas.openxmlformats.org/officeDocument/2006/relationships/oleObject" Target="embeddings/oleObject111.bin"/><Relationship Id="rId2" Type="http://schemas.openxmlformats.org/officeDocument/2006/relationships/numbering" Target="numbering.xml"/><Relationship Id="rId29" Type="http://schemas.openxmlformats.org/officeDocument/2006/relationships/oleObject" Target="embeddings/oleObject5.bin"/><Relationship Id="rId255" Type="http://schemas.openxmlformats.org/officeDocument/2006/relationships/hyperlink" Target="https://doi.org/10.1080/01441647.2023.2259100" TargetMode="External"/><Relationship Id="rId276" Type="http://schemas.openxmlformats.org/officeDocument/2006/relationships/hyperlink" Target="https://doi.org/10.1016/j.tbs.2026.101234" TargetMode="External"/><Relationship Id="rId40" Type="http://schemas.openxmlformats.org/officeDocument/2006/relationships/oleObject" Target="embeddings/oleObject11.bin"/><Relationship Id="rId115" Type="http://schemas.openxmlformats.org/officeDocument/2006/relationships/oleObject" Target="embeddings/oleObject49.bin"/><Relationship Id="rId136" Type="http://schemas.openxmlformats.org/officeDocument/2006/relationships/image" Target="media/image60.wmf"/><Relationship Id="rId157" Type="http://schemas.openxmlformats.org/officeDocument/2006/relationships/oleObject" Target="embeddings/oleObject71.bin"/><Relationship Id="rId178" Type="http://schemas.openxmlformats.org/officeDocument/2006/relationships/oleObject" Target="embeddings/oleObject82.bin"/><Relationship Id="rId61" Type="http://schemas.openxmlformats.org/officeDocument/2006/relationships/image" Target="media/image23.wmf"/><Relationship Id="rId82" Type="http://schemas.openxmlformats.org/officeDocument/2006/relationships/oleObject" Target="embeddings/oleObject32.bin"/><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image" Target="media/image2.png"/><Relationship Id="rId224" Type="http://schemas.openxmlformats.org/officeDocument/2006/relationships/image" Target="media/image101.wmf"/><Relationship Id="rId245" Type="http://schemas.openxmlformats.org/officeDocument/2006/relationships/hyperlink" Target="https://doi.org/10.1257/jep.37.4.23" TargetMode="External"/><Relationship Id="rId266" Type="http://schemas.openxmlformats.org/officeDocument/2006/relationships/hyperlink" Target="https://doi.org/10.1016/j.scs.2024.105258" TargetMode="External"/><Relationship Id="rId287" Type="http://schemas.openxmlformats.org/officeDocument/2006/relationships/hyperlink" Target="https://doi.org/10.1177/27541231261444208" TargetMode="External"/><Relationship Id="rId30" Type="http://schemas.openxmlformats.org/officeDocument/2006/relationships/image" Target="media/image8.wmf"/><Relationship Id="rId105" Type="http://schemas.openxmlformats.org/officeDocument/2006/relationships/image" Target="media/image45.wmf"/><Relationship Id="rId126" Type="http://schemas.openxmlformats.org/officeDocument/2006/relationships/image" Target="media/image55.wmf"/><Relationship Id="rId147" Type="http://schemas.openxmlformats.org/officeDocument/2006/relationships/image" Target="media/image65.wmf"/><Relationship Id="rId168" Type="http://schemas.openxmlformats.org/officeDocument/2006/relationships/image" Target="media/image75.wmf"/><Relationship Id="rId51" Type="http://schemas.openxmlformats.org/officeDocument/2006/relationships/image" Target="media/image18.wmf"/><Relationship Id="rId72" Type="http://schemas.openxmlformats.org/officeDocument/2006/relationships/oleObject" Target="embeddings/oleObject27.bin"/><Relationship Id="rId93" Type="http://schemas.openxmlformats.org/officeDocument/2006/relationships/image" Target="media/image39.wmf"/><Relationship Id="rId189" Type="http://schemas.openxmlformats.org/officeDocument/2006/relationships/oleObject" Target="embeddings/oleObject89.bin"/><Relationship Id="rId3" Type="http://schemas.openxmlformats.org/officeDocument/2006/relationships/styles" Target="styles.xml"/><Relationship Id="rId214" Type="http://schemas.openxmlformats.org/officeDocument/2006/relationships/image" Target="media/image96.wmf"/><Relationship Id="rId235" Type="http://schemas.openxmlformats.org/officeDocument/2006/relationships/image" Target="media/image106.wmf"/><Relationship Id="rId256" Type="http://schemas.openxmlformats.org/officeDocument/2006/relationships/hyperlink" Target="https://doi.org/10.1016/j.jtrangeo.2020.102946" TargetMode="External"/><Relationship Id="rId277" Type="http://schemas.openxmlformats.org/officeDocument/2006/relationships/hyperlink" Target="https://doi.org/10.1016/j.tra.2021.11.025" TargetMode="External"/><Relationship Id="rId116" Type="http://schemas.openxmlformats.org/officeDocument/2006/relationships/image" Target="media/image50.wmf"/><Relationship Id="rId137" Type="http://schemas.openxmlformats.org/officeDocument/2006/relationships/oleObject" Target="embeddings/oleObject60.bin"/><Relationship Id="rId158" Type="http://schemas.openxmlformats.org/officeDocument/2006/relationships/image" Target="media/image70.wmf"/><Relationship Id="rId20" Type="http://schemas.openxmlformats.org/officeDocument/2006/relationships/image" Target="media/image3.wmf"/><Relationship Id="rId41" Type="http://schemas.openxmlformats.org/officeDocument/2006/relationships/image" Target="media/image13.wmf"/><Relationship Id="rId62" Type="http://schemas.openxmlformats.org/officeDocument/2006/relationships/oleObject" Target="embeddings/oleObject22.bin"/><Relationship Id="rId83" Type="http://schemas.openxmlformats.org/officeDocument/2006/relationships/image" Target="media/image34.wmf"/><Relationship Id="rId179" Type="http://schemas.openxmlformats.org/officeDocument/2006/relationships/image" Target="media/image80.wmf"/><Relationship Id="rId190" Type="http://schemas.openxmlformats.org/officeDocument/2006/relationships/image" Target="media/image84.wmf"/><Relationship Id="rId204" Type="http://schemas.openxmlformats.org/officeDocument/2006/relationships/image" Target="media/image91.wmf"/><Relationship Id="rId225" Type="http://schemas.openxmlformats.org/officeDocument/2006/relationships/oleObject" Target="embeddings/oleObject107.bin"/><Relationship Id="rId246" Type="http://schemas.openxmlformats.org/officeDocument/2006/relationships/hyperlink" Target="https://doi.org/10.2139/ssrn.6762062" TargetMode="External"/><Relationship Id="rId267" Type="http://schemas.openxmlformats.org/officeDocument/2006/relationships/hyperlink" Target="https://doi.org/10.1016/j.cities.2026.107196" TargetMode="External"/><Relationship Id="rId288" Type="http://schemas.openxmlformats.org/officeDocument/2006/relationships/hyperlink" Target="https://doi.org/10.1016/j.cities.2025.106034" TargetMode="External"/><Relationship Id="rId106" Type="http://schemas.openxmlformats.org/officeDocument/2006/relationships/oleObject" Target="embeddings/oleObject44.bin"/><Relationship Id="rId127" Type="http://schemas.openxmlformats.org/officeDocument/2006/relationships/oleObject" Target="embeddings/oleObject55.bin"/><Relationship Id="rId10" Type="http://schemas.openxmlformats.org/officeDocument/2006/relationships/hyperlink" Target="mailto:mgrodr15@asu.edu" TargetMode="External"/><Relationship Id="rId31" Type="http://schemas.openxmlformats.org/officeDocument/2006/relationships/oleObject" Target="embeddings/oleObject6.bin"/><Relationship Id="rId52" Type="http://schemas.openxmlformats.org/officeDocument/2006/relationships/oleObject" Target="embeddings/oleObject17.bin"/><Relationship Id="rId73" Type="http://schemas.openxmlformats.org/officeDocument/2006/relationships/image" Target="media/image29.wmf"/><Relationship Id="rId94" Type="http://schemas.openxmlformats.org/officeDocument/2006/relationships/oleObject" Target="embeddings/oleObject38.bin"/><Relationship Id="rId148" Type="http://schemas.openxmlformats.org/officeDocument/2006/relationships/oleObject" Target="embeddings/oleObject66.bin"/><Relationship Id="rId169" Type="http://schemas.openxmlformats.org/officeDocument/2006/relationships/oleObject" Target="embeddings/oleObject77.bin"/><Relationship Id="rId4" Type="http://schemas.openxmlformats.org/officeDocument/2006/relationships/settings" Target="settings.xml"/><Relationship Id="rId180" Type="http://schemas.openxmlformats.org/officeDocument/2006/relationships/oleObject" Target="embeddings/oleObject83.bin"/><Relationship Id="rId215" Type="http://schemas.openxmlformats.org/officeDocument/2006/relationships/oleObject" Target="embeddings/oleObject102.bin"/><Relationship Id="rId236" Type="http://schemas.openxmlformats.org/officeDocument/2006/relationships/oleObject" Target="embeddings/oleObject112.bin"/><Relationship Id="rId257" Type="http://schemas.openxmlformats.org/officeDocument/2006/relationships/hyperlink" Target="https://doi.org/10.1088/2634-4505/ae8b5a" TargetMode="External"/><Relationship Id="rId278" Type="http://schemas.openxmlformats.org/officeDocument/2006/relationships/hyperlink" Target="https://doi.org/10.1016/j.trip.2023.100804" TargetMode="External"/><Relationship Id="rId42" Type="http://schemas.openxmlformats.org/officeDocument/2006/relationships/oleObject" Target="embeddings/oleObject12.bin"/><Relationship Id="rId84" Type="http://schemas.openxmlformats.org/officeDocument/2006/relationships/oleObject" Target="embeddings/oleObject33.bin"/><Relationship Id="rId138" Type="http://schemas.openxmlformats.org/officeDocument/2006/relationships/oleObject" Target="embeddings/oleObject61.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hyperlink" Target="https://doi.org/10.1016/j.trb.2018.01.011" TargetMode="External"/><Relationship Id="rId107" Type="http://schemas.openxmlformats.org/officeDocument/2006/relationships/image" Target="media/image46.wmf"/><Relationship Id="rId289" Type="http://schemas.openxmlformats.org/officeDocument/2006/relationships/hyperlink" Target="https://doi.org/10.1016/j.ubtr.2026.100042" TargetMode="External"/><Relationship Id="rId11" Type="http://schemas.openxmlformats.org/officeDocument/2006/relationships/hyperlink" Target="mailto:ibatur@asu.edu" TargetMode="External"/><Relationship Id="rId53" Type="http://schemas.openxmlformats.org/officeDocument/2006/relationships/image" Target="media/image19.wmf"/><Relationship Id="rId149" Type="http://schemas.openxmlformats.org/officeDocument/2006/relationships/image" Target="media/image66.wmf"/><Relationship Id="rId95" Type="http://schemas.openxmlformats.org/officeDocument/2006/relationships/image" Target="media/image40.wmf"/><Relationship Id="rId160" Type="http://schemas.openxmlformats.org/officeDocument/2006/relationships/image" Target="media/image71.wmf"/><Relationship Id="rId216" Type="http://schemas.openxmlformats.org/officeDocument/2006/relationships/image" Target="media/image97.wmf"/><Relationship Id="rId258" Type="http://schemas.openxmlformats.org/officeDocument/2006/relationships/hyperlink" Target="https://doi.org/10.1080/01441647.2023.2189324" TargetMode="External"/><Relationship Id="rId22" Type="http://schemas.openxmlformats.org/officeDocument/2006/relationships/image" Target="media/image4.wmf"/><Relationship Id="rId64" Type="http://schemas.openxmlformats.org/officeDocument/2006/relationships/oleObject" Target="embeddings/oleObject23.bin"/><Relationship Id="rId118" Type="http://schemas.openxmlformats.org/officeDocument/2006/relationships/image" Target="media/image51.wmf"/><Relationship Id="rId171" Type="http://schemas.openxmlformats.org/officeDocument/2006/relationships/oleObject" Target="embeddings/oleObject78.bin"/><Relationship Id="rId227" Type="http://schemas.openxmlformats.org/officeDocument/2006/relationships/oleObject" Target="embeddings/oleObject108.bin"/></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13716</Words>
  <Characters>116673</Characters>
  <Application>Microsoft Office Word</Application>
  <DocSecurity>0</DocSecurity>
  <Lines>972</Lines>
  <Paragraphs>260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TRR Editorial Office</dc:creator>
  <cp:keywords/>
  <dc:description/>
  <cp:lastModifiedBy>Macias, Lisa J</cp:lastModifiedBy>
  <cp:revision>2</cp:revision>
  <cp:lastPrinted>2024-08-06T21:31:00Z</cp:lastPrinted>
  <dcterms:created xsi:type="dcterms:W3CDTF">2026-08-04T18:08:00Z</dcterms:created>
  <dcterms:modified xsi:type="dcterms:W3CDTF">2026-08-04T18:08:00Z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y fmtid="{D5CDD505-2E9C-101B-9397-08002B2CF9AE}" pid="26" name="ZOTERO_PREF_1">
    <vt:lpwstr>&lt;data data-version="3" zotero-version="9.0.6"&gt;&lt;session id="oZ8hzv4B"/&gt;&lt;style id="http://www.zotero.org/styles/chicago-author-date" locale="en-US" hasBibliography="1" bibliographyStyleHasBeenSet="1"/&gt;&lt;prefs&gt;&lt;pref name="fieldType" value="Field"/&gt;&lt;pref name=</vt:lpwstr>
  </property>
  <property fmtid="{D5CDD505-2E9C-101B-9397-08002B2CF9AE}" pid="27" name="ZOTERO_PREF_2">
    <vt:lpwstr>"automaticJournalAbbreviations" value="true"/&gt;&lt;/prefs&gt;&lt;/data&gt;</vt:lpwstr>
  </property>
  <property fmtid="{D5CDD505-2E9C-101B-9397-08002B2CF9AE}" pid="28" name="MTWinEqns">
    <vt:bool>true</vt:bool>
  </property>
</Properties>
</file>