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3DCCD" w14:textId="77777777" w:rsidR="00944E80" w:rsidRPr="00C84332" w:rsidRDefault="00944E80" w:rsidP="00FE38B5">
      <w:pPr>
        <w:autoSpaceDE w:val="0"/>
        <w:autoSpaceDN w:val="0"/>
        <w:adjustRightInd w:val="0"/>
        <w:spacing w:line="276" w:lineRule="auto"/>
        <w:rPr>
          <w:szCs w:val="24"/>
        </w:rPr>
      </w:pPr>
    </w:p>
    <w:p w14:paraId="726A79BD" w14:textId="77777777" w:rsidR="00944E80" w:rsidRPr="00C84332" w:rsidRDefault="00944E80" w:rsidP="00FE38B5">
      <w:pPr>
        <w:autoSpaceDE w:val="0"/>
        <w:autoSpaceDN w:val="0"/>
        <w:adjustRightInd w:val="0"/>
        <w:spacing w:line="276" w:lineRule="auto"/>
        <w:jc w:val="center"/>
        <w:rPr>
          <w:szCs w:val="24"/>
        </w:rPr>
      </w:pPr>
    </w:p>
    <w:p w14:paraId="20CF2752" w14:textId="77777777" w:rsidR="00FE38B5" w:rsidRDefault="00FE38B5" w:rsidP="00FE38B5">
      <w:pPr>
        <w:spacing w:line="276" w:lineRule="auto"/>
        <w:jc w:val="center"/>
        <w:rPr>
          <w:rFonts w:cs="Times New Roman"/>
          <w:b/>
          <w:bCs/>
          <w:color w:val="000000"/>
          <w:szCs w:val="24"/>
        </w:rPr>
      </w:pPr>
    </w:p>
    <w:p w14:paraId="77068965" w14:textId="77777777" w:rsidR="00FE38B5" w:rsidRDefault="00FE38B5" w:rsidP="00FE38B5">
      <w:pPr>
        <w:spacing w:line="276" w:lineRule="auto"/>
        <w:jc w:val="center"/>
        <w:rPr>
          <w:rFonts w:cs="Times New Roman"/>
          <w:b/>
          <w:bCs/>
          <w:color w:val="000000"/>
          <w:szCs w:val="24"/>
        </w:rPr>
      </w:pPr>
    </w:p>
    <w:p w14:paraId="1D6708A3" w14:textId="77777777" w:rsidR="00FE38B5" w:rsidRDefault="00FE38B5" w:rsidP="00FE38B5">
      <w:pPr>
        <w:spacing w:line="276" w:lineRule="auto"/>
        <w:jc w:val="center"/>
        <w:rPr>
          <w:rFonts w:cs="Times New Roman"/>
          <w:b/>
          <w:bCs/>
          <w:color w:val="000000"/>
          <w:szCs w:val="24"/>
        </w:rPr>
      </w:pPr>
    </w:p>
    <w:p w14:paraId="1A7BD11A" w14:textId="77777777" w:rsidR="00FE38B5" w:rsidRDefault="00FE38B5" w:rsidP="00FE38B5">
      <w:pPr>
        <w:spacing w:line="276" w:lineRule="auto"/>
        <w:jc w:val="center"/>
        <w:rPr>
          <w:rFonts w:cs="Times New Roman"/>
          <w:b/>
          <w:bCs/>
          <w:color w:val="000000"/>
          <w:szCs w:val="24"/>
        </w:rPr>
      </w:pPr>
    </w:p>
    <w:p w14:paraId="0DF1B661" w14:textId="77777777" w:rsidR="00FE38B5" w:rsidRDefault="00FE38B5" w:rsidP="00FE38B5">
      <w:pPr>
        <w:spacing w:line="276" w:lineRule="auto"/>
        <w:jc w:val="center"/>
        <w:rPr>
          <w:rFonts w:cs="Times New Roman"/>
          <w:b/>
          <w:bCs/>
          <w:color w:val="000000"/>
          <w:szCs w:val="24"/>
        </w:rPr>
      </w:pPr>
    </w:p>
    <w:p w14:paraId="2F8B0B1C" w14:textId="77777777" w:rsidR="00FE38B5" w:rsidRDefault="00FE38B5" w:rsidP="00FE38B5">
      <w:pPr>
        <w:spacing w:line="276" w:lineRule="auto"/>
        <w:jc w:val="center"/>
        <w:rPr>
          <w:rFonts w:cs="Times New Roman"/>
          <w:b/>
          <w:bCs/>
          <w:color w:val="000000"/>
          <w:szCs w:val="24"/>
        </w:rPr>
      </w:pPr>
    </w:p>
    <w:p w14:paraId="519B8E6E" w14:textId="66CF1BE2" w:rsidR="00944E80" w:rsidRPr="00FE38B5" w:rsidRDefault="00FA3AD7" w:rsidP="00FE38B5">
      <w:pPr>
        <w:spacing w:line="276" w:lineRule="auto"/>
        <w:jc w:val="center"/>
        <w:rPr>
          <w:rFonts w:cs="Times New Roman"/>
          <w:b/>
          <w:bCs/>
          <w:color w:val="000000"/>
          <w:szCs w:val="24"/>
        </w:rPr>
      </w:pPr>
      <w:bookmarkStart w:id="0" w:name="_Hlk170197031"/>
      <w:r w:rsidRPr="00FE38B5">
        <w:rPr>
          <w:rFonts w:cs="Times New Roman"/>
          <w:b/>
          <w:bCs/>
          <w:color w:val="000000"/>
          <w:szCs w:val="24"/>
        </w:rPr>
        <w:t xml:space="preserve">Transformation-Based </w:t>
      </w:r>
      <w:r w:rsidR="00302D48">
        <w:rPr>
          <w:rFonts w:cs="Times New Roman"/>
          <w:b/>
          <w:bCs/>
          <w:color w:val="000000"/>
          <w:szCs w:val="24"/>
        </w:rPr>
        <w:t>Flexible Error Structures for Choice Modeling</w:t>
      </w:r>
    </w:p>
    <w:bookmarkEnd w:id="0"/>
    <w:p w14:paraId="2EBCBF4C" w14:textId="1A03968F" w:rsidR="00FA3AD7" w:rsidRPr="00FE38B5" w:rsidRDefault="00FA3AD7" w:rsidP="00FE38B5">
      <w:pPr>
        <w:spacing w:line="276" w:lineRule="auto"/>
        <w:jc w:val="center"/>
        <w:rPr>
          <w:rFonts w:cs="Times New Roman"/>
          <w:b/>
          <w:bCs/>
          <w:color w:val="000000"/>
          <w:szCs w:val="24"/>
        </w:rPr>
      </w:pPr>
    </w:p>
    <w:p w14:paraId="16B3BE86" w14:textId="2B7755F8" w:rsidR="00FA3AD7" w:rsidRPr="001F00FC" w:rsidRDefault="00FA3AD7" w:rsidP="00FE38B5">
      <w:pPr>
        <w:spacing w:line="276" w:lineRule="auto"/>
        <w:jc w:val="center"/>
        <w:rPr>
          <w:rFonts w:cs="Times New Roman"/>
          <w:szCs w:val="24"/>
        </w:rPr>
      </w:pPr>
    </w:p>
    <w:p w14:paraId="57B3F6BD" w14:textId="77777777" w:rsidR="00944E80" w:rsidRPr="001F00FC" w:rsidRDefault="00944E80" w:rsidP="00FE38B5">
      <w:pPr>
        <w:spacing w:line="276" w:lineRule="auto"/>
      </w:pPr>
    </w:p>
    <w:p w14:paraId="2E0D9644" w14:textId="77777777" w:rsidR="00944E80" w:rsidRPr="001F00FC" w:rsidRDefault="00944E80" w:rsidP="00FE38B5">
      <w:pPr>
        <w:spacing w:line="276" w:lineRule="auto"/>
        <w:jc w:val="center"/>
        <w:rPr>
          <w:rFonts w:cs="Times New Roman"/>
          <w:szCs w:val="24"/>
        </w:rPr>
      </w:pPr>
    </w:p>
    <w:p w14:paraId="5A4A6DDE" w14:textId="77777777" w:rsidR="00944E80" w:rsidRPr="001F00FC" w:rsidRDefault="00944E80" w:rsidP="00FE38B5">
      <w:pPr>
        <w:spacing w:line="276" w:lineRule="auto"/>
        <w:jc w:val="center"/>
        <w:rPr>
          <w:rFonts w:cs="Times New Roman"/>
          <w:szCs w:val="24"/>
        </w:rPr>
      </w:pPr>
    </w:p>
    <w:p w14:paraId="7465BC34" w14:textId="77777777" w:rsidR="00944E80" w:rsidRPr="001F00FC" w:rsidRDefault="00944E80" w:rsidP="00FE38B5">
      <w:pPr>
        <w:spacing w:line="276" w:lineRule="auto"/>
        <w:jc w:val="center"/>
        <w:rPr>
          <w:rFonts w:cs="Times New Roman"/>
          <w:szCs w:val="24"/>
        </w:rPr>
      </w:pPr>
    </w:p>
    <w:p w14:paraId="4317D9A1" w14:textId="0436034C" w:rsidR="00944E80" w:rsidRDefault="00944E80" w:rsidP="00FE38B5">
      <w:pPr>
        <w:spacing w:line="276" w:lineRule="auto"/>
        <w:jc w:val="center"/>
        <w:rPr>
          <w:rFonts w:cs="Times New Roman"/>
          <w:szCs w:val="24"/>
        </w:rPr>
      </w:pPr>
    </w:p>
    <w:p w14:paraId="27293116" w14:textId="724CCE7D" w:rsidR="00FE38B5" w:rsidRDefault="00FE38B5" w:rsidP="00FE38B5">
      <w:pPr>
        <w:spacing w:line="276" w:lineRule="auto"/>
        <w:jc w:val="center"/>
        <w:rPr>
          <w:rFonts w:cs="Times New Roman"/>
          <w:szCs w:val="24"/>
        </w:rPr>
      </w:pPr>
    </w:p>
    <w:p w14:paraId="079A85C7" w14:textId="77777777" w:rsidR="00FE38B5" w:rsidRPr="001F00FC" w:rsidRDefault="00FE38B5" w:rsidP="00FE38B5">
      <w:pPr>
        <w:spacing w:line="276" w:lineRule="auto"/>
        <w:jc w:val="center"/>
        <w:rPr>
          <w:rFonts w:cs="Times New Roman"/>
          <w:szCs w:val="24"/>
        </w:rPr>
      </w:pPr>
    </w:p>
    <w:p w14:paraId="0504DC38" w14:textId="0D0ABAF9" w:rsidR="00944E80" w:rsidRPr="001F00FC" w:rsidRDefault="00944E80" w:rsidP="00FE38B5">
      <w:pPr>
        <w:spacing w:line="276" w:lineRule="auto"/>
        <w:jc w:val="center"/>
        <w:rPr>
          <w:rFonts w:cs="Times New Roman"/>
          <w:b/>
          <w:szCs w:val="24"/>
          <w:lang w:val="fr-FR"/>
        </w:rPr>
      </w:pPr>
      <w:r w:rsidRPr="001F00FC">
        <w:rPr>
          <w:rFonts w:cs="Times New Roman"/>
          <w:b/>
          <w:szCs w:val="24"/>
          <w:lang w:val="fr-FR"/>
        </w:rPr>
        <w:t>Chandra R. Bhat</w:t>
      </w:r>
    </w:p>
    <w:p w14:paraId="268104F2" w14:textId="77777777" w:rsidR="00944E80" w:rsidRPr="001F00FC" w:rsidRDefault="00944E80" w:rsidP="00FE38B5">
      <w:pPr>
        <w:spacing w:line="276" w:lineRule="auto"/>
        <w:jc w:val="center"/>
        <w:rPr>
          <w:rFonts w:cs="Times New Roman"/>
          <w:szCs w:val="24"/>
        </w:rPr>
      </w:pPr>
      <w:r w:rsidRPr="001F00FC">
        <w:rPr>
          <w:rFonts w:cs="Times New Roman"/>
          <w:szCs w:val="24"/>
        </w:rPr>
        <w:t>The University of Texas at Austin</w:t>
      </w:r>
    </w:p>
    <w:p w14:paraId="3EA77F05" w14:textId="77777777" w:rsidR="00944E80" w:rsidRPr="001F00FC" w:rsidRDefault="00944E80" w:rsidP="00FE38B5">
      <w:pPr>
        <w:spacing w:line="276" w:lineRule="auto"/>
        <w:jc w:val="center"/>
        <w:rPr>
          <w:rFonts w:cs="Times New Roman"/>
          <w:szCs w:val="24"/>
        </w:rPr>
      </w:pPr>
      <w:r w:rsidRPr="001F00FC">
        <w:rPr>
          <w:rFonts w:cs="Times New Roman"/>
          <w:szCs w:val="24"/>
        </w:rPr>
        <w:t>Dept of Civil, Architectural and Environmental Engineering</w:t>
      </w:r>
    </w:p>
    <w:p w14:paraId="3AC0CB1E" w14:textId="77777777" w:rsidR="00944E80" w:rsidRPr="001F00FC" w:rsidRDefault="00944E80" w:rsidP="00FE38B5">
      <w:pPr>
        <w:spacing w:line="276" w:lineRule="auto"/>
        <w:jc w:val="center"/>
        <w:rPr>
          <w:rFonts w:cs="Times New Roman"/>
          <w:szCs w:val="24"/>
        </w:rPr>
      </w:pPr>
      <w:r w:rsidRPr="001F00FC">
        <w:rPr>
          <w:rFonts w:cs="Times New Roman"/>
          <w:szCs w:val="24"/>
        </w:rPr>
        <w:t>301 E. Dean Keeton St. Stop C1761, Austin TX 78712-1172</w:t>
      </w:r>
    </w:p>
    <w:p w14:paraId="113D11BF" w14:textId="77777777" w:rsidR="00944E80" w:rsidRPr="001F00FC" w:rsidRDefault="00944E80" w:rsidP="00FE38B5">
      <w:pPr>
        <w:spacing w:line="276" w:lineRule="auto"/>
        <w:jc w:val="center"/>
        <w:rPr>
          <w:rFonts w:cs="Times New Roman"/>
          <w:szCs w:val="24"/>
        </w:rPr>
      </w:pPr>
      <w:r w:rsidRPr="001F00FC">
        <w:rPr>
          <w:rFonts w:cs="Times New Roman"/>
          <w:szCs w:val="24"/>
        </w:rPr>
        <w:t>Phone: 512-471-4535, Fax: 512-475-8744</w:t>
      </w:r>
    </w:p>
    <w:p w14:paraId="6EDE89AD" w14:textId="5A3B580D" w:rsidR="00944E80" w:rsidRPr="001F00FC" w:rsidRDefault="00944E80" w:rsidP="00FE38B5">
      <w:pPr>
        <w:spacing w:line="276" w:lineRule="auto"/>
        <w:jc w:val="center"/>
        <w:rPr>
          <w:rFonts w:cs="Times New Roman"/>
          <w:szCs w:val="24"/>
        </w:rPr>
      </w:pPr>
      <w:r w:rsidRPr="001F00FC">
        <w:rPr>
          <w:rFonts w:cs="Times New Roman"/>
          <w:szCs w:val="24"/>
        </w:rPr>
        <w:t xml:space="preserve">Email: </w:t>
      </w:r>
      <w:hyperlink r:id="rId8" w:history="1">
        <w:r w:rsidRPr="001F00FC">
          <w:rPr>
            <w:rFonts w:cs="Times New Roman"/>
            <w:szCs w:val="24"/>
          </w:rPr>
          <w:t>bhat@mail.utexas.edu</w:t>
        </w:r>
      </w:hyperlink>
      <w:r w:rsidR="00A8718B">
        <w:rPr>
          <w:rFonts w:cs="Times New Roman"/>
          <w:szCs w:val="24"/>
        </w:rPr>
        <w:t xml:space="preserve"> </w:t>
      </w:r>
    </w:p>
    <w:p w14:paraId="6A54A203" w14:textId="77777777" w:rsidR="00944E80" w:rsidRPr="001F00FC" w:rsidRDefault="00944E80" w:rsidP="00FE38B5">
      <w:pPr>
        <w:spacing w:line="276" w:lineRule="auto"/>
        <w:jc w:val="center"/>
        <w:rPr>
          <w:rFonts w:cs="Times New Roman"/>
          <w:szCs w:val="24"/>
        </w:rPr>
      </w:pPr>
    </w:p>
    <w:p w14:paraId="43A14D5A" w14:textId="77777777" w:rsidR="00944E80" w:rsidRPr="001F00FC" w:rsidRDefault="00944E80" w:rsidP="00FE38B5">
      <w:pPr>
        <w:spacing w:line="276" w:lineRule="auto"/>
        <w:jc w:val="center"/>
        <w:rPr>
          <w:rFonts w:cs="Times New Roman"/>
          <w:szCs w:val="24"/>
        </w:rPr>
      </w:pPr>
    </w:p>
    <w:p w14:paraId="1E213C5B" w14:textId="77777777" w:rsidR="00944E80" w:rsidRPr="00D73B66" w:rsidRDefault="00944E80" w:rsidP="00FE38B5">
      <w:pPr>
        <w:spacing w:line="276" w:lineRule="auto"/>
        <w:jc w:val="center"/>
        <w:rPr>
          <w:szCs w:val="24"/>
        </w:rPr>
      </w:pPr>
    </w:p>
    <w:p w14:paraId="7C152D8C" w14:textId="77777777" w:rsidR="00944E80" w:rsidRPr="00D73B66" w:rsidRDefault="00944E80" w:rsidP="00FE38B5">
      <w:pPr>
        <w:spacing w:line="276" w:lineRule="auto"/>
        <w:jc w:val="center"/>
        <w:rPr>
          <w:szCs w:val="24"/>
        </w:rPr>
      </w:pPr>
    </w:p>
    <w:p w14:paraId="5381406E" w14:textId="77777777" w:rsidR="00944E80" w:rsidRPr="00D73B66" w:rsidRDefault="00944E80" w:rsidP="00FE38B5">
      <w:pPr>
        <w:spacing w:line="276" w:lineRule="auto"/>
        <w:jc w:val="center"/>
        <w:rPr>
          <w:szCs w:val="24"/>
        </w:rPr>
      </w:pPr>
    </w:p>
    <w:p w14:paraId="20919D72" w14:textId="77777777" w:rsidR="00944E80" w:rsidRPr="00D73B66" w:rsidRDefault="00944E80" w:rsidP="00FE38B5">
      <w:pPr>
        <w:spacing w:line="276" w:lineRule="auto"/>
        <w:jc w:val="center"/>
        <w:rPr>
          <w:szCs w:val="24"/>
        </w:rPr>
      </w:pPr>
    </w:p>
    <w:p w14:paraId="0D51DDF5" w14:textId="77777777" w:rsidR="00944E80" w:rsidRPr="00D73B66" w:rsidRDefault="00944E80" w:rsidP="00FE38B5">
      <w:pPr>
        <w:spacing w:line="276" w:lineRule="auto"/>
        <w:rPr>
          <w:szCs w:val="24"/>
        </w:rPr>
        <w:sectPr w:rsidR="00944E80" w:rsidRPr="00D73B66" w:rsidSect="00D34286">
          <w:footerReference w:type="first" r:id="rId9"/>
          <w:pgSz w:w="12240" w:h="15840"/>
          <w:pgMar w:top="1440" w:right="1440" w:bottom="1440" w:left="1440" w:header="720" w:footer="720" w:gutter="0"/>
          <w:cols w:space="720"/>
          <w:docGrid w:linePitch="360"/>
        </w:sectPr>
      </w:pPr>
    </w:p>
    <w:p w14:paraId="18BCB4AE" w14:textId="77777777" w:rsidR="00944E80" w:rsidRPr="001F00FC" w:rsidRDefault="00944E80" w:rsidP="00B4106B">
      <w:pPr>
        <w:spacing w:line="276" w:lineRule="auto"/>
        <w:rPr>
          <w:rFonts w:cs="Times New Roman"/>
          <w:b/>
          <w:caps/>
          <w:szCs w:val="24"/>
        </w:rPr>
      </w:pPr>
      <w:r w:rsidRPr="001F00FC">
        <w:rPr>
          <w:rFonts w:cs="Times New Roman"/>
          <w:b/>
          <w:caps/>
          <w:szCs w:val="24"/>
        </w:rPr>
        <w:lastRenderedPageBreak/>
        <w:t>Abstract</w:t>
      </w:r>
    </w:p>
    <w:p w14:paraId="127046E0" w14:textId="7AAD85F1" w:rsidR="00FA3AD7" w:rsidRPr="001F00FC" w:rsidRDefault="00FA3AD7" w:rsidP="00B4106B">
      <w:pPr>
        <w:spacing w:line="276" w:lineRule="auto"/>
        <w:jc w:val="both"/>
        <w:rPr>
          <w:rFonts w:cs="Times New Roman"/>
          <w:szCs w:val="24"/>
        </w:rPr>
      </w:pPr>
      <w:r w:rsidRPr="001F00FC">
        <w:rPr>
          <w:rFonts w:cs="Times New Roman"/>
          <w:szCs w:val="24"/>
        </w:rPr>
        <w:t xml:space="preserve">In this paper, we propose a </w:t>
      </w:r>
      <w:r w:rsidR="00724CEC">
        <w:rPr>
          <w:rFonts w:cs="Times New Roman"/>
          <w:szCs w:val="24"/>
        </w:rPr>
        <w:t xml:space="preserve">reverse </w:t>
      </w:r>
      <w:r w:rsidRPr="001F00FC">
        <w:rPr>
          <w:rFonts w:cs="Times New Roman"/>
          <w:szCs w:val="24"/>
        </w:rPr>
        <w:t xml:space="preserve">Yeonjoo-Johnson (YJ) transformation to accommodate flexible </w:t>
      </w:r>
      <w:r w:rsidR="00724CEC">
        <w:rPr>
          <w:rFonts w:cs="Times New Roman"/>
          <w:szCs w:val="24"/>
        </w:rPr>
        <w:t xml:space="preserve">skewed and fat-tailed </w:t>
      </w:r>
      <w:r w:rsidRPr="001F00FC">
        <w:rPr>
          <w:rFonts w:cs="Times New Roman"/>
          <w:szCs w:val="24"/>
        </w:rPr>
        <w:t>specifications of stochastic terms in multivariate</w:t>
      </w:r>
      <w:r w:rsidR="00FD0DDA">
        <w:rPr>
          <w:rFonts w:cs="Times New Roman"/>
          <w:szCs w:val="24"/>
        </w:rPr>
        <w:t xml:space="preserve"> choice </w:t>
      </w:r>
      <w:r w:rsidRPr="001F00FC">
        <w:rPr>
          <w:rFonts w:cs="Times New Roman"/>
          <w:szCs w:val="24"/>
        </w:rPr>
        <w:t>models</w:t>
      </w:r>
      <w:r w:rsidR="00FD0DDA">
        <w:rPr>
          <w:rFonts w:cs="Times New Roman"/>
          <w:szCs w:val="24"/>
        </w:rPr>
        <w:t>.</w:t>
      </w:r>
      <w:r w:rsidRPr="001F00FC">
        <w:rPr>
          <w:rFonts w:cs="Times New Roman"/>
          <w:szCs w:val="24"/>
        </w:rPr>
        <w:t xml:space="preserve"> </w:t>
      </w:r>
      <w:r w:rsidR="00724CEC">
        <w:rPr>
          <w:rFonts w:cs="Times New Roman"/>
          <w:szCs w:val="24"/>
        </w:rPr>
        <w:t xml:space="preserve">Essentially, we specify a YJ transformation of the univariate error terms to a univariate symmetric distribution, and then tie the resulting transformed </w:t>
      </w:r>
      <w:r w:rsidR="00ED1042">
        <w:rPr>
          <w:rFonts w:cs="Times New Roman"/>
          <w:szCs w:val="24"/>
        </w:rPr>
        <w:t xml:space="preserve">univariate </w:t>
      </w:r>
      <w:r w:rsidR="00724CEC">
        <w:rPr>
          <w:rFonts w:cs="Times New Roman"/>
          <w:szCs w:val="24"/>
        </w:rPr>
        <w:t xml:space="preserve">symmetric </w:t>
      </w:r>
      <w:r w:rsidR="00ED1042">
        <w:rPr>
          <w:rFonts w:cs="Times New Roman"/>
          <w:szCs w:val="24"/>
        </w:rPr>
        <w:t xml:space="preserve">terms </w:t>
      </w:r>
      <w:r w:rsidR="00724CEC">
        <w:rPr>
          <w:rFonts w:cs="Times New Roman"/>
          <w:szCs w:val="24"/>
        </w:rPr>
        <w:t xml:space="preserve">into a convenient symmetric multivariate distribution. In this paper, we use a normal distribution for the transformed univariate </w:t>
      </w:r>
      <w:r w:rsidR="00ED1042">
        <w:rPr>
          <w:rFonts w:cs="Times New Roman"/>
          <w:szCs w:val="24"/>
        </w:rPr>
        <w:t xml:space="preserve">symmetric </w:t>
      </w:r>
      <w:r w:rsidR="00724CEC">
        <w:rPr>
          <w:rFonts w:cs="Times New Roman"/>
          <w:szCs w:val="24"/>
        </w:rPr>
        <w:t xml:space="preserve">terms and bring these together using a multivariate normal distribution. In this way, the original non-normal error terms become reverse YJ-transformed. </w:t>
      </w:r>
      <w:r w:rsidRPr="001F00FC">
        <w:rPr>
          <w:rFonts w:cs="Times New Roman"/>
          <w:szCs w:val="24"/>
        </w:rPr>
        <w:t xml:space="preserve">The use of such a flexible parametric distribution lends additional robustness to the maximum likelihood (ML) estimator. The proposed approach can be applied to a number of different univariate and multivariate mixed modeling </w:t>
      </w:r>
      <w:r w:rsidR="00ED1042">
        <w:rPr>
          <w:rFonts w:cs="Times New Roman"/>
          <w:szCs w:val="24"/>
        </w:rPr>
        <w:t xml:space="preserve">choice </w:t>
      </w:r>
      <w:r w:rsidRPr="001F00FC">
        <w:rPr>
          <w:rFonts w:cs="Times New Roman"/>
          <w:szCs w:val="24"/>
        </w:rPr>
        <w:t>structures</w:t>
      </w:r>
      <w:r w:rsidR="001F00FC" w:rsidRPr="001F00FC">
        <w:rPr>
          <w:rFonts w:cs="Times New Roman"/>
          <w:szCs w:val="24"/>
        </w:rPr>
        <w:t>.</w:t>
      </w:r>
      <w:r w:rsidRPr="001F00FC">
        <w:rPr>
          <w:rFonts w:cs="Times New Roman"/>
          <w:szCs w:val="24"/>
        </w:rPr>
        <w:t xml:space="preserve"> </w:t>
      </w:r>
      <w:r w:rsidR="001F00FC" w:rsidRPr="001F00FC">
        <w:rPr>
          <w:rFonts w:cs="Times New Roman"/>
          <w:szCs w:val="24"/>
        </w:rPr>
        <w:t>I</w:t>
      </w:r>
      <w:r w:rsidRPr="001F00FC">
        <w:rPr>
          <w:rFonts w:cs="Times New Roman"/>
          <w:szCs w:val="24"/>
        </w:rPr>
        <w:t xml:space="preserve">n </w:t>
      </w:r>
      <w:r w:rsidR="001F00FC" w:rsidRPr="001F00FC">
        <w:rPr>
          <w:rFonts w:cs="Times New Roman"/>
          <w:szCs w:val="24"/>
        </w:rPr>
        <w:t xml:space="preserve">a demonstration application, in </w:t>
      </w:r>
      <w:r w:rsidRPr="001F00FC">
        <w:rPr>
          <w:rFonts w:cs="Times New Roman"/>
          <w:szCs w:val="24"/>
        </w:rPr>
        <w:t>the current paper</w:t>
      </w:r>
      <w:r w:rsidR="001F00FC" w:rsidRPr="001F00FC">
        <w:rPr>
          <w:rFonts w:cs="Times New Roman"/>
          <w:szCs w:val="24"/>
        </w:rPr>
        <w:t>, the proposed model is applied</w:t>
      </w:r>
      <w:r w:rsidRPr="001F00FC">
        <w:rPr>
          <w:rFonts w:cs="Times New Roman"/>
          <w:szCs w:val="24"/>
        </w:rPr>
        <w:t xml:space="preserve"> to investigate the effect of urban living on walking frequency, considering the choice of urban living as being endogenous to walking frequency. </w:t>
      </w:r>
    </w:p>
    <w:p w14:paraId="46AAE5B3" w14:textId="77777777" w:rsidR="00944E80" w:rsidRPr="001F00FC" w:rsidRDefault="00944E80" w:rsidP="00B4106B">
      <w:pPr>
        <w:spacing w:line="276" w:lineRule="auto"/>
        <w:jc w:val="both"/>
        <w:rPr>
          <w:rFonts w:cs="Times New Roman"/>
          <w:szCs w:val="24"/>
        </w:rPr>
      </w:pPr>
    </w:p>
    <w:p w14:paraId="253AD840" w14:textId="37878456" w:rsidR="00944E80" w:rsidRPr="001F00FC" w:rsidRDefault="00944E80" w:rsidP="00B4106B">
      <w:pPr>
        <w:spacing w:line="276" w:lineRule="auto"/>
        <w:jc w:val="both"/>
        <w:rPr>
          <w:rFonts w:cs="Times New Roman"/>
          <w:szCs w:val="24"/>
        </w:rPr>
      </w:pPr>
      <w:bookmarkStart w:id="1" w:name="_Hlk170230128"/>
      <w:r w:rsidRPr="001F00FC">
        <w:rPr>
          <w:rFonts w:cs="Times New Roman"/>
          <w:b/>
          <w:szCs w:val="24"/>
        </w:rPr>
        <w:t>Keywords</w:t>
      </w:r>
      <w:r w:rsidRPr="001F00FC">
        <w:rPr>
          <w:rFonts w:cs="Times New Roman"/>
          <w:szCs w:val="24"/>
        </w:rPr>
        <w:t>:</w:t>
      </w:r>
      <w:r w:rsidR="001F00FC" w:rsidRPr="001F00FC">
        <w:rPr>
          <w:rFonts w:cs="Times New Roman"/>
          <w:szCs w:val="24"/>
        </w:rPr>
        <w:t xml:space="preserve"> </w:t>
      </w:r>
      <w:r w:rsidR="00ED1042">
        <w:rPr>
          <w:rFonts w:cs="Times New Roman"/>
          <w:szCs w:val="24"/>
        </w:rPr>
        <w:t xml:space="preserve">Multivariate </w:t>
      </w:r>
      <w:r w:rsidR="00221F15">
        <w:rPr>
          <w:rFonts w:cs="Times New Roman"/>
          <w:szCs w:val="24"/>
        </w:rPr>
        <w:t>c</w:t>
      </w:r>
      <w:r w:rsidR="00ED1042">
        <w:rPr>
          <w:rFonts w:cs="Times New Roman"/>
          <w:szCs w:val="24"/>
        </w:rPr>
        <w:t xml:space="preserve">hoice, YJ transformation, Non-normality, Skewed </w:t>
      </w:r>
      <w:r w:rsidR="00221F15">
        <w:rPr>
          <w:rFonts w:cs="Times New Roman"/>
          <w:szCs w:val="24"/>
        </w:rPr>
        <w:t>d</w:t>
      </w:r>
      <w:r w:rsidR="00ED1042">
        <w:rPr>
          <w:rFonts w:cs="Times New Roman"/>
          <w:szCs w:val="24"/>
        </w:rPr>
        <w:t xml:space="preserve">istributions, </w:t>
      </w:r>
      <w:r w:rsidR="00221F15">
        <w:rPr>
          <w:rFonts w:cs="Times New Roman"/>
          <w:szCs w:val="24"/>
        </w:rPr>
        <w:t>W</w:t>
      </w:r>
      <w:r w:rsidR="00D1775E">
        <w:rPr>
          <w:rFonts w:cs="Times New Roman"/>
          <w:szCs w:val="24"/>
        </w:rPr>
        <w:t>alking frequency</w:t>
      </w:r>
      <w:bookmarkEnd w:id="1"/>
      <w:r w:rsidR="00ED1042">
        <w:rPr>
          <w:rFonts w:cs="Times New Roman"/>
          <w:szCs w:val="24"/>
        </w:rPr>
        <w:t xml:space="preserve">. </w:t>
      </w:r>
    </w:p>
    <w:p w14:paraId="5D86C905" w14:textId="77777777" w:rsidR="00944E80" w:rsidRPr="00D73B66" w:rsidRDefault="00944E80" w:rsidP="00B4106B">
      <w:pPr>
        <w:spacing w:line="276" w:lineRule="auto"/>
        <w:rPr>
          <w:szCs w:val="24"/>
        </w:rPr>
        <w:sectPr w:rsidR="00944E80" w:rsidRPr="00D73B66" w:rsidSect="00942200">
          <w:footerReference w:type="default" r:id="rId10"/>
          <w:pgSz w:w="12240" w:h="15840"/>
          <w:pgMar w:top="1440" w:right="1440" w:bottom="1440" w:left="1440" w:header="720" w:footer="720" w:gutter="0"/>
          <w:cols w:space="720"/>
          <w:docGrid w:linePitch="360"/>
        </w:sectPr>
      </w:pPr>
    </w:p>
    <w:p w14:paraId="02CAB019" w14:textId="2F138A3B" w:rsidR="007A28A2" w:rsidRPr="00FE38B5" w:rsidRDefault="007A28A2" w:rsidP="00B4106B">
      <w:pPr>
        <w:numPr>
          <w:ilvl w:val="0"/>
          <w:numId w:val="5"/>
        </w:numPr>
        <w:spacing w:line="276" w:lineRule="auto"/>
        <w:ind w:left="540" w:hanging="540"/>
        <w:jc w:val="both"/>
        <w:rPr>
          <w:b/>
          <w:bCs/>
        </w:rPr>
      </w:pPr>
      <w:r w:rsidRPr="00FE38B5">
        <w:rPr>
          <w:b/>
          <w:bCs/>
        </w:rPr>
        <w:lastRenderedPageBreak/>
        <w:t>I</w:t>
      </w:r>
      <w:r w:rsidR="003D61DE" w:rsidRPr="00FE38B5">
        <w:rPr>
          <w:b/>
          <w:bCs/>
        </w:rPr>
        <w:t>NTRODUCTION</w:t>
      </w:r>
    </w:p>
    <w:p w14:paraId="5C9A8538" w14:textId="77777777" w:rsidR="00302D48" w:rsidRDefault="00EC11F6" w:rsidP="00302D48">
      <w:pPr>
        <w:spacing w:line="276" w:lineRule="auto"/>
        <w:jc w:val="both"/>
        <w:rPr>
          <w:rFonts w:cs="Times New Roman"/>
          <w:szCs w:val="24"/>
        </w:rPr>
      </w:pPr>
      <w:r w:rsidRPr="0065493C">
        <w:rPr>
          <w:rFonts w:cs="Times New Roman"/>
          <w:szCs w:val="24"/>
        </w:rPr>
        <w:t xml:space="preserve">Econometric consumer choice models may have a variety of dependent outcome variables, including those that are continuous, grouped, binary, ordered-response, unordered-response (or nominal), count, or multiple- discrete-continuous. </w:t>
      </w:r>
      <w:r w:rsidR="0024402E" w:rsidRPr="0065493C">
        <w:rPr>
          <w:rFonts w:cs="Times New Roman"/>
          <w:szCs w:val="24"/>
        </w:rPr>
        <w:t xml:space="preserve">Increasingly, to recognize the jointness in decision-making regarding multiple dependent outcomes, there has been an emphasis on multivariate modeling approaches (see Bhat and Mondal, 2022 for a recent review of such approaches). </w:t>
      </w:r>
      <w:r w:rsidRPr="0065493C">
        <w:rPr>
          <w:rFonts w:cs="Times New Roman"/>
          <w:szCs w:val="24"/>
        </w:rPr>
        <w:t>In all</w:t>
      </w:r>
      <w:r w:rsidR="00302D48">
        <w:rPr>
          <w:rFonts w:cs="Times New Roman"/>
          <w:szCs w:val="24"/>
        </w:rPr>
        <w:t xml:space="preserve"> </w:t>
      </w:r>
      <w:r w:rsidRPr="0065493C">
        <w:rPr>
          <w:rFonts w:cs="Times New Roman"/>
          <w:szCs w:val="24"/>
        </w:rPr>
        <w:t>these models, stochasticity is introduced to recognize that there will always be unobserved individual-specific factors that impact the outcome variable</w:t>
      </w:r>
      <w:r w:rsidR="00D73A5C">
        <w:rPr>
          <w:rFonts w:cs="Times New Roman"/>
          <w:szCs w:val="24"/>
        </w:rPr>
        <w:t>(s)</w:t>
      </w:r>
      <w:r w:rsidRPr="0065493C">
        <w:rPr>
          <w:rFonts w:cs="Times New Roman"/>
          <w:szCs w:val="24"/>
        </w:rPr>
        <w:t xml:space="preserve">. </w:t>
      </w:r>
      <w:r w:rsidR="0024402E" w:rsidRPr="0065493C">
        <w:rPr>
          <w:rFonts w:cs="Times New Roman"/>
          <w:szCs w:val="24"/>
        </w:rPr>
        <w:t>S</w:t>
      </w:r>
      <w:r w:rsidRPr="0065493C">
        <w:rPr>
          <w:rFonts w:cs="Times New Roman"/>
          <w:szCs w:val="24"/>
        </w:rPr>
        <w:t xml:space="preserve">uch stochasticity is </w:t>
      </w:r>
      <w:r w:rsidR="0024402E" w:rsidRPr="0065493C">
        <w:rPr>
          <w:rFonts w:cs="Times New Roman"/>
          <w:szCs w:val="24"/>
        </w:rPr>
        <w:t xml:space="preserve">commonly </w:t>
      </w:r>
      <w:r w:rsidRPr="0065493C">
        <w:rPr>
          <w:rFonts w:cs="Times New Roman"/>
          <w:szCs w:val="24"/>
        </w:rPr>
        <w:t>assumed to originate in the context of an underlying latent variable</w:t>
      </w:r>
      <w:r w:rsidR="0024402E" w:rsidRPr="0065493C">
        <w:rPr>
          <w:rFonts w:cs="Times New Roman"/>
          <w:szCs w:val="24"/>
        </w:rPr>
        <w:t xml:space="preserve">, which </w:t>
      </w:r>
      <w:r w:rsidRPr="0065493C">
        <w:rPr>
          <w:rFonts w:cs="Times New Roman"/>
          <w:szCs w:val="24"/>
        </w:rPr>
        <w:t xml:space="preserve">is then </w:t>
      </w:r>
      <w:r w:rsidR="0024402E" w:rsidRPr="0065493C">
        <w:rPr>
          <w:rFonts w:cs="Times New Roman"/>
          <w:szCs w:val="24"/>
        </w:rPr>
        <w:t xml:space="preserve">appropriately mapped </w:t>
      </w:r>
      <w:r w:rsidRPr="0065493C">
        <w:rPr>
          <w:rFonts w:cs="Times New Roman"/>
          <w:szCs w:val="24"/>
        </w:rPr>
        <w:t xml:space="preserve">to the actual observed outcome (except for the continuous case when the underlying latent variable is </w:t>
      </w:r>
      <w:r w:rsidR="00276DAC" w:rsidRPr="0065493C">
        <w:rPr>
          <w:rFonts w:cs="Times New Roman"/>
          <w:szCs w:val="24"/>
        </w:rPr>
        <w:t xml:space="preserve">also </w:t>
      </w:r>
      <w:r w:rsidRPr="0065493C">
        <w:rPr>
          <w:rFonts w:cs="Times New Roman"/>
          <w:szCs w:val="24"/>
        </w:rPr>
        <w:t xml:space="preserve">the actual observed variable). </w:t>
      </w:r>
      <w:r w:rsidR="00302D48">
        <w:rPr>
          <w:rFonts w:cs="Times New Roman"/>
          <w:szCs w:val="24"/>
        </w:rPr>
        <w:t xml:space="preserve">It is typical to assume, purely out of convenience rather than based on any underlying economic theory, that a normal distribution characterizes such stochasticity, </w:t>
      </w:r>
      <w:r w:rsidR="00D73A5C">
        <w:rPr>
          <w:rFonts w:cs="Times New Roman"/>
          <w:szCs w:val="24"/>
        </w:rPr>
        <w:t xml:space="preserve">with </w:t>
      </w:r>
      <w:r w:rsidR="00365A72">
        <w:rPr>
          <w:rFonts w:cs="Times New Roman"/>
          <w:szCs w:val="24"/>
        </w:rPr>
        <w:t xml:space="preserve">the stochastic elements </w:t>
      </w:r>
      <w:r w:rsidR="00D73A5C">
        <w:rPr>
          <w:rFonts w:cs="Times New Roman"/>
          <w:szCs w:val="24"/>
        </w:rPr>
        <w:t>being brought together using a multivariate normal distribution for the case of joint multiple outcome analysis</w:t>
      </w:r>
      <w:r w:rsidR="004B1735">
        <w:rPr>
          <w:rFonts w:cs="Times New Roman"/>
          <w:szCs w:val="24"/>
        </w:rPr>
        <w:t>.</w:t>
      </w:r>
      <w:r w:rsidR="00365A72">
        <w:rPr>
          <w:rFonts w:cs="Times New Roman"/>
          <w:szCs w:val="24"/>
        </w:rPr>
        <w:t xml:space="preserve"> </w:t>
      </w:r>
    </w:p>
    <w:p w14:paraId="2DD955B7" w14:textId="166D98AE" w:rsidR="000E1DF9" w:rsidRPr="004B1735" w:rsidRDefault="00BF35BB" w:rsidP="00302D48">
      <w:pPr>
        <w:spacing w:line="276" w:lineRule="auto"/>
        <w:ind w:firstLine="720"/>
        <w:jc w:val="both"/>
        <w:rPr>
          <w:rFonts w:cs="Times New Roman"/>
          <w:b/>
          <w:bCs/>
          <w:szCs w:val="24"/>
        </w:rPr>
      </w:pPr>
      <w:r w:rsidRPr="00212DC9">
        <w:rPr>
          <w:rFonts w:cs="Times New Roman"/>
          <w:szCs w:val="24"/>
        </w:rPr>
        <w:t>T</w:t>
      </w:r>
      <w:r w:rsidR="000D077F" w:rsidRPr="00212DC9">
        <w:rPr>
          <w:rFonts w:cs="Times New Roman"/>
          <w:szCs w:val="24"/>
        </w:rPr>
        <w:t>wo</w:t>
      </w:r>
      <w:r w:rsidRPr="00212DC9">
        <w:rPr>
          <w:rFonts w:cs="Times New Roman"/>
          <w:szCs w:val="24"/>
        </w:rPr>
        <w:t xml:space="preserve"> broad </w:t>
      </w:r>
      <w:r w:rsidR="00302D48">
        <w:rPr>
          <w:rFonts w:cs="Times New Roman"/>
          <w:szCs w:val="24"/>
        </w:rPr>
        <w:t xml:space="preserve">parametric </w:t>
      </w:r>
      <w:r w:rsidRPr="00212DC9">
        <w:rPr>
          <w:rFonts w:cs="Times New Roman"/>
          <w:szCs w:val="24"/>
        </w:rPr>
        <w:t xml:space="preserve">methods are available </w:t>
      </w:r>
      <w:r w:rsidR="00302D48">
        <w:rPr>
          <w:rFonts w:cs="Times New Roman"/>
          <w:szCs w:val="24"/>
        </w:rPr>
        <w:t xml:space="preserve">in the literature </w:t>
      </w:r>
      <w:r w:rsidRPr="00212DC9">
        <w:rPr>
          <w:rFonts w:cs="Times New Roman"/>
          <w:szCs w:val="24"/>
        </w:rPr>
        <w:t xml:space="preserve">to </w:t>
      </w:r>
      <w:r w:rsidR="004B1735">
        <w:rPr>
          <w:rFonts w:cs="Times New Roman"/>
          <w:szCs w:val="24"/>
        </w:rPr>
        <w:t>relax t</w:t>
      </w:r>
      <w:r w:rsidR="00302D48">
        <w:rPr>
          <w:rFonts w:cs="Times New Roman"/>
          <w:szCs w:val="24"/>
        </w:rPr>
        <w:t>he</w:t>
      </w:r>
      <w:r w:rsidR="004B1735">
        <w:rPr>
          <w:rFonts w:cs="Times New Roman"/>
          <w:szCs w:val="24"/>
        </w:rPr>
        <w:t xml:space="preserve"> </w:t>
      </w:r>
      <w:r w:rsidR="004B1735" w:rsidRPr="003D7128">
        <w:rPr>
          <w:rFonts w:cs="Times New Roman"/>
          <w:i/>
          <w:iCs/>
          <w:szCs w:val="24"/>
        </w:rPr>
        <w:t>a priori</w:t>
      </w:r>
      <w:r w:rsidR="004B1735">
        <w:rPr>
          <w:rFonts w:cs="Times New Roman"/>
          <w:szCs w:val="24"/>
        </w:rPr>
        <w:t xml:space="preserve"> normal distribution assumption</w:t>
      </w:r>
      <w:r w:rsidR="00302D48">
        <w:rPr>
          <w:rFonts w:cs="Times New Roman"/>
          <w:szCs w:val="24"/>
        </w:rPr>
        <w:t xml:space="preserve"> of stochastic terms</w:t>
      </w:r>
      <w:r w:rsidR="004B1735">
        <w:rPr>
          <w:rFonts w:cs="Times New Roman"/>
          <w:szCs w:val="24"/>
        </w:rPr>
        <w:t xml:space="preserve">, and </w:t>
      </w:r>
      <w:r w:rsidR="00DE31CF" w:rsidRPr="00212DC9">
        <w:rPr>
          <w:rFonts w:cs="Times New Roman"/>
          <w:szCs w:val="24"/>
        </w:rPr>
        <w:t xml:space="preserve">generate flexible densities with skew and/or excess kurtosis (fat tails). The first is to use a </w:t>
      </w:r>
      <w:r w:rsidR="00656990" w:rsidRPr="00212DC9">
        <w:rPr>
          <w:rFonts w:cs="Times New Roman"/>
          <w:szCs w:val="24"/>
        </w:rPr>
        <w:t xml:space="preserve">parametric </w:t>
      </w:r>
      <w:r w:rsidR="00DE31CF" w:rsidRPr="00212DC9">
        <w:rPr>
          <w:rFonts w:cs="Times New Roman"/>
          <w:szCs w:val="24"/>
        </w:rPr>
        <w:t>skew distribution (such as a skew-normal or a skew-t distribution</w:t>
      </w:r>
      <w:r w:rsidR="00F96496" w:rsidRPr="00212DC9">
        <w:rPr>
          <w:rFonts w:cs="Times New Roman"/>
          <w:szCs w:val="24"/>
        </w:rPr>
        <w:t xml:space="preserve"> or the broader class of skew-elliptical distributions</w:t>
      </w:r>
      <w:r w:rsidR="0024479E">
        <w:rPr>
          <w:rFonts w:cs="Times New Roman"/>
          <w:szCs w:val="24"/>
        </w:rPr>
        <w:t xml:space="preserve"> or even mixtures of skew distributions</w:t>
      </w:r>
      <w:r w:rsidR="00DE31CF" w:rsidRPr="00212DC9">
        <w:rPr>
          <w:rFonts w:cs="Times New Roman"/>
          <w:szCs w:val="24"/>
        </w:rPr>
        <w:t>) and the second is to use a transformation method</w:t>
      </w:r>
      <w:r w:rsidR="00440473" w:rsidRPr="00212DC9">
        <w:rPr>
          <w:rFonts w:cs="Times New Roman"/>
          <w:szCs w:val="24"/>
        </w:rPr>
        <w:t xml:space="preserve">. </w:t>
      </w:r>
      <w:r w:rsidR="00595F4B">
        <w:rPr>
          <w:rFonts w:cs="Times New Roman"/>
          <w:szCs w:val="24"/>
        </w:rPr>
        <w:t xml:space="preserve">In its simplest </w:t>
      </w:r>
      <w:r w:rsidR="007142A6">
        <w:rPr>
          <w:rFonts w:cs="Times New Roman"/>
          <w:szCs w:val="24"/>
        </w:rPr>
        <w:t>version</w:t>
      </w:r>
      <w:r w:rsidR="00595F4B">
        <w:rPr>
          <w:rFonts w:cs="Times New Roman"/>
          <w:szCs w:val="24"/>
        </w:rPr>
        <w:t>, t</w:t>
      </w:r>
      <w:r w:rsidR="00440473" w:rsidRPr="00212DC9">
        <w:rPr>
          <w:rFonts w:cs="Times New Roman"/>
          <w:szCs w:val="24"/>
        </w:rPr>
        <w:t xml:space="preserve">he </w:t>
      </w:r>
      <w:r w:rsidR="00F96496" w:rsidRPr="00212DC9">
        <w:rPr>
          <w:rFonts w:cs="Times New Roman"/>
          <w:szCs w:val="24"/>
        </w:rPr>
        <w:t xml:space="preserve">density in the former approach takes the form of the product of a symmetric density function and </w:t>
      </w:r>
      <w:r w:rsidR="002D2B62" w:rsidRPr="00212DC9">
        <w:rPr>
          <w:rFonts w:cs="Times New Roman"/>
          <w:szCs w:val="24"/>
        </w:rPr>
        <w:t xml:space="preserve">a skewing component that typically is </w:t>
      </w:r>
      <w:r w:rsidR="00F96496" w:rsidRPr="00212DC9">
        <w:rPr>
          <w:rFonts w:cs="Times New Roman"/>
          <w:szCs w:val="24"/>
        </w:rPr>
        <w:t xml:space="preserve">the cumulative distribution </w:t>
      </w:r>
      <w:r w:rsidR="002D2B62" w:rsidRPr="00212DC9">
        <w:rPr>
          <w:rFonts w:cs="Times New Roman"/>
          <w:szCs w:val="24"/>
        </w:rPr>
        <w:t xml:space="preserve">of the symmetric density (see Lee and McLachlan, 2022). The </w:t>
      </w:r>
      <w:r w:rsidR="00440473" w:rsidRPr="00212DC9">
        <w:rPr>
          <w:rFonts w:cs="Times New Roman"/>
          <w:szCs w:val="24"/>
        </w:rPr>
        <w:t xml:space="preserve">latter transformation method essentially </w:t>
      </w:r>
      <w:r w:rsidR="009B6AF0" w:rsidRPr="00212DC9">
        <w:rPr>
          <w:rFonts w:cs="Times New Roman"/>
          <w:szCs w:val="24"/>
        </w:rPr>
        <w:t>tra</w:t>
      </w:r>
      <w:r w:rsidR="001E5441" w:rsidRPr="00212DC9">
        <w:rPr>
          <w:rFonts w:cs="Times New Roman"/>
          <w:szCs w:val="24"/>
        </w:rPr>
        <w:t>nslates</w:t>
      </w:r>
      <w:r w:rsidR="009B6AF0" w:rsidRPr="00212DC9">
        <w:rPr>
          <w:rFonts w:cs="Times New Roman"/>
          <w:szCs w:val="24"/>
        </w:rPr>
        <w:t xml:space="preserve"> each marginal distribution </w:t>
      </w:r>
      <w:r w:rsidR="00302D48">
        <w:rPr>
          <w:rFonts w:cs="Times New Roman"/>
          <w:szCs w:val="24"/>
        </w:rPr>
        <w:t>in</w:t>
      </w:r>
      <w:r w:rsidR="009B6AF0" w:rsidRPr="00212DC9">
        <w:rPr>
          <w:rFonts w:cs="Times New Roman"/>
          <w:szCs w:val="24"/>
        </w:rPr>
        <w:t xml:space="preserve">to a </w:t>
      </w:r>
      <w:r w:rsidR="00302D48">
        <w:rPr>
          <w:rFonts w:cs="Times New Roman"/>
          <w:szCs w:val="24"/>
        </w:rPr>
        <w:t xml:space="preserve">univariate </w:t>
      </w:r>
      <w:r w:rsidR="009E625A">
        <w:rPr>
          <w:rFonts w:cs="Times New Roman"/>
          <w:szCs w:val="24"/>
        </w:rPr>
        <w:t>symmetric</w:t>
      </w:r>
      <w:r w:rsidR="009B6AF0" w:rsidRPr="00212DC9">
        <w:rPr>
          <w:rFonts w:cs="Times New Roman"/>
          <w:szCs w:val="24"/>
        </w:rPr>
        <w:t xml:space="preserve"> distribution</w:t>
      </w:r>
      <w:r w:rsidR="001E5441" w:rsidRPr="00212DC9">
        <w:rPr>
          <w:rFonts w:cs="Times New Roman"/>
          <w:szCs w:val="24"/>
        </w:rPr>
        <w:t xml:space="preserve"> </w:t>
      </w:r>
      <w:r w:rsidR="009E625A">
        <w:rPr>
          <w:rFonts w:cs="Times New Roman"/>
          <w:szCs w:val="24"/>
        </w:rPr>
        <w:t xml:space="preserve">(usually a normal distribution) </w:t>
      </w:r>
      <w:r w:rsidR="00302D48">
        <w:rPr>
          <w:rFonts w:cs="Times New Roman"/>
          <w:szCs w:val="24"/>
        </w:rPr>
        <w:t xml:space="preserve">and brings these together into a </w:t>
      </w:r>
      <w:r w:rsidR="00245EB1" w:rsidRPr="00212DC9">
        <w:rPr>
          <w:rFonts w:cs="Times New Roman"/>
          <w:szCs w:val="24"/>
        </w:rPr>
        <w:t xml:space="preserve">multivariate </w:t>
      </w:r>
      <w:r w:rsidR="00302D48">
        <w:rPr>
          <w:rFonts w:cs="Times New Roman"/>
          <w:szCs w:val="24"/>
        </w:rPr>
        <w:t xml:space="preserve">distribution </w:t>
      </w:r>
      <w:r w:rsidR="00245EB1" w:rsidRPr="00212DC9">
        <w:rPr>
          <w:rFonts w:cs="Times New Roman"/>
          <w:szCs w:val="24"/>
        </w:rPr>
        <w:t>across the marginals</w:t>
      </w:r>
      <w:r w:rsidR="009C7CE7" w:rsidRPr="00212DC9">
        <w:rPr>
          <w:rFonts w:cs="Times New Roman"/>
          <w:szCs w:val="24"/>
        </w:rPr>
        <w:t>.</w:t>
      </w:r>
      <w:r w:rsidR="00466AEE" w:rsidRPr="008B25E6">
        <w:rPr>
          <w:rFonts w:cs="Times New Roman"/>
          <w:szCs w:val="24"/>
          <w:vertAlign w:val="superscript"/>
        </w:rPr>
        <w:footnoteReference w:id="1"/>
      </w:r>
      <w:r w:rsidR="009C7CE7" w:rsidRPr="00212DC9">
        <w:rPr>
          <w:rFonts w:cs="Times New Roman"/>
          <w:szCs w:val="24"/>
        </w:rPr>
        <w:t xml:space="preserve"> </w:t>
      </w:r>
      <w:r w:rsidR="005D60F5" w:rsidRPr="00212DC9">
        <w:rPr>
          <w:rFonts w:cs="Times New Roman"/>
          <w:szCs w:val="24"/>
        </w:rPr>
        <w:t xml:space="preserve">Of the two, the transformation method affords more flexibility as it is not tied to a specific density function, </w:t>
      </w:r>
      <w:r w:rsidR="001E5441" w:rsidRPr="00212DC9">
        <w:rPr>
          <w:rFonts w:cs="Times New Roman"/>
          <w:szCs w:val="24"/>
        </w:rPr>
        <w:t>and</w:t>
      </w:r>
      <w:r w:rsidR="005D60F5" w:rsidRPr="00212DC9">
        <w:rPr>
          <w:rFonts w:cs="Times New Roman"/>
          <w:szCs w:val="24"/>
        </w:rPr>
        <w:t xml:space="preserve"> can </w:t>
      </w:r>
      <w:r w:rsidR="001E5441" w:rsidRPr="00212DC9">
        <w:rPr>
          <w:rFonts w:cs="Times New Roman"/>
          <w:szCs w:val="24"/>
        </w:rPr>
        <w:t xml:space="preserve">also </w:t>
      </w:r>
      <w:r w:rsidR="005D60F5" w:rsidRPr="00212DC9">
        <w:rPr>
          <w:rFonts w:cs="Times New Roman"/>
          <w:szCs w:val="24"/>
        </w:rPr>
        <w:t xml:space="preserve">mimic a whole host of skewed and fat-tailed density functions. </w:t>
      </w:r>
      <w:r w:rsidR="0024479E" w:rsidRPr="0065493C">
        <w:rPr>
          <w:rFonts w:eastAsia="CMR12" w:cs="Times New Roman"/>
          <w:szCs w:val="24"/>
        </w:rPr>
        <w:t xml:space="preserve">As an illustration, Gallaugher et al. (2020) have compared, using Mardia’s multivariate skewness and kurtosis metrics (Mardia, 1970) and multiple datasets for cluster analysis, the performance of </w:t>
      </w:r>
      <w:r w:rsidR="0024479E">
        <w:rPr>
          <w:rFonts w:eastAsia="CMR12" w:cs="Times New Roman"/>
          <w:szCs w:val="24"/>
        </w:rPr>
        <w:t xml:space="preserve">two types of mixtures of </w:t>
      </w:r>
      <w:r w:rsidR="0024479E" w:rsidRPr="0065493C">
        <w:rPr>
          <w:rFonts w:eastAsia="CMR12" w:cs="Times New Roman"/>
          <w:szCs w:val="24"/>
        </w:rPr>
        <w:t>skewed distributions</w:t>
      </w:r>
      <w:r w:rsidR="0024479E">
        <w:rPr>
          <w:rFonts w:eastAsia="CMR12" w:cs="Times New Roman"/>
          <w:szCs w:val="24"/>
        </w:rPr>
        <w:t xml:space="preserve"> </w:t>
      </w:r>
      <w:r w:rsidR="0024479E" w:rsidRPr="0065493C">
        <w:rPr>
          <w:rFonts w:eastAsia="CMR12" w:cs="Times New Roman"/>
          <w:szCs w:val="24"/>
        </w:rPr>
        <w:t>with two transformation approaches. They conclude that “From the analyses on a variety of datasets</w:t>
      </w:r>
      <w:r w:rsidR="0024479E">
        <w:rPr>
          <w:rFonts w:eastAsia="CMR12" w:cs="Times New Roman"/>
          <w:szCs w:val="24"/>
        </w:rPr>
        <w:t>…</w:t>
      </w:r>
      <w:r w:rsidR="0024479E" w:rsidRPr="0065493C">
        <w:rPr>
          <w:rFonts w:eastAsia="CMR12" w:cs="Times New Roman"/>
          <w:szCs w:val="24"/>
        </w:rPr>
        <w:t xml:space="preserve">, it appears that no one method consistently outperforms the others and usually the performance is very similar if not identical”. </w:t>
      </w:r>
      <w:r w:rsidR="0024479E">
        <w:rPr>
          <w:rFonts w:eastAsia="CMR12" w:cs="Times New Roman"/>
          <w:szCs w:val="24"/>
        </w:rPr>
        <w:t xml:space="preserve">Further, as they state, the advantage of the transformation method is that it is much more parsimonious than </w:t>
      </w:r>
      <w:r w:rsidR="00081F12">
        <w:rPr>
          <w:rFonts w:eastAsia="CMR12" w:cs="Times New Roman"/>
          <w:szCs w:val="24"/>
        </w:rPr>
        <w:t xml:space="preserve">the skewed approach, because the simple transformation approaches they use </w:t>
      </w:r>
      <w:r w:rsidR="00595F4B">
        <w:rPr>
          <w:rFonts w:eastAsia="CMR12" w:cs="Times New Roman"/>
          <w:szCs w:val="24"/>
        </w:rPr>
        <w:t xml:space="preserve">perform </w:t>
      </w:r>
      <w:r w:rsidR="00081F12">
        <w:rPr>
          <w:rFonts w:eastAsia="CMR12" w:cs="Times New Roman"/>
          <w:szCs w:val="24"/>
        </w:rPr>
        <w:t xml:space="preserve">at least as well as complicated mixtures of skew distributions. </w:t>
      </w:r>
      <w:r w:rsidR="001E5441" w:rsidRPr="00212DC9">
        <w:rPr>
          <w:rFonts w:cs="Times New Roman"/>
          <w:szCs w:val="24"/>
        </w:rPr>
        <w:t>Th</w:t>
      </w:r>
      <w:r w:rsidR="00081F12">
        <w:rPr>
          <w:rFonts w:cs="Times New Roman"/>
          <w:szCs w:val="24"/>
        </w:rPr>
        <w:t xml:space="preserve">e potency of </w:t>
      </w:r>
      <w:r w:rsidR="00F03F01">
        <w:rPr>
          <w:rFonts w:cs="Times New Roman"/>
          <w:szCs w:val="24"/>
        </w:rPr>
        <w:t xml:space="preserve">the </w:t>
      </w:r>
      <w:r w:rsidR="00081F12">
        <w:rPr>
          <w:rFonts w:cs="Times New Roman"/>
          <w:szCs w:val="24"/>
        </w:rPr>
        <w:t xml:space="preserve">transformation method relative to </w:t>
      </w:r>
      <w:r w:rsidR="00F03F01">
        <w:rPr>
          <w:rFonts w:cs="Times New Roman"/>
          <w:szCs w:val="24"/>
        </w:rPr>
        <w:t xml:space="preserve">the use of the more profligate </w:t>
      </w:r>
      <w:r w:rsidR="00081F12">
        <w:rPr>
          <w:rFonts w:cs="Times New Roman"/>
          <w:szCs w:val="24"/>
        </w:rPr>
        <w:t>density m</w:t>
      </w:r>
      <w:r w:rsidR="001E5441" w:rsidRPr="00212DC9">
        <w:rPr>
          <w:rFonts w:cs="Times New Roman"/>
          <w:szCs w:val="24"/>
        </w:rPr>
        <w:t>i</w:t>
      </w:r>
      <w:r w:rsidR="00081F12">
        <w:rPr>
          <w:rFonts w:cs="Times New Roman"/>
          <w:szCs w:val="24"/>
        </w:rPr>
        <w:t xml:space="preserve">xture </w:t>
      </w:r>
      <w:r w:rsidR="00F03F01">
        <w:rPr>
          <w:rFonts w:cs="Times New Roman"/>
          <w:szCs w:val="24"/>
        </w:rPr>
        <w:t>approach</w:t>
      </w:r>
      <w:r w:rsidR="00081F12">
        <w:rPr>
          <w:rFonts w:cs="Times New Roman"/>
          <w:szCs w:val="24"/>
        </w:rPr>
        <w:t xml:space="preserve"> is</w:t>
      </w:r>
      <w:r w:rsidR="001E5441" w:rsidRPr="00212DC9">
        <w:rPr>
          <w:rFonts w:cs="Times New Roman"/>
          <w:szCs w:val="24"/>
        </w:rPr>
        <w:t xml:space="preserve"> also evident in the extensive use of </w:t>
      </w:r>
      <w:r w:rsidR="00A56835">
        <w:rPr>
          <w:rFonts w:cs="Times New Roman"/>
          <w:szCs w:val="24"/>
        </w:rPr>
        <w:t xml:space="preserve">the </w:t>
      </w:r>
      <w:r w:rsidR="005D60F5" w:rsidRPr="00212DC9">
        <w:rPr>
          <w:rFonts w:cs="Times New Roman"/>
          <w:szCs w:val="24"/>
        </w:rPr>
        <w:t>transformatio</w:t>
      </w:r>
      <w:r w:rsidR="00F03F01">
        <w:rPr>
          <w:rFonts w:cs="Times New Roman"/>
          <w:szCs w:val="24"/>
        </w:rPr>
        <w:t xml:space="preserve">n </w:t>
      </w:r>
      <w:r w:rsidR="005D60F5" w:rsidRPr="00212DC9">
        <w:rPr>
          <w:rFonts w:cs="Times New Roman"/>
          <w:szCs w:val="24"/>
        </w:rPr>
        <w:t>method in the field of data science and analytics</w:t>
      </w:r>
      <w:r w:rsidR="00081F12">
        <w:rPr>
          <w:rFonts w:cs="Times New Roman"/>
          <w:szCs w:val="24"/>
        </w:rPr>
        <w:t xml:space="preserve"> </w:t>
      </w:r>
      <w:r w:rsidR="005D60F5" w:rsidRPr="00212DC9">
        <w:rPr>
          <w:rFonts w:cs="Times New Roman"/>
          <w:szCs w:val="24"/>
        </w:rPr>
        <w:t xml:space="preserve">as a preprocessing </w:t>
      </w:r>
      <w:r w:rsidR="003C2CA8" w:rsidRPr="00212DC9">
        <w:rPr>
          <w:rFonts w:cs="Times New Roman"/>
          <w:szCs w:val="24"/>
        </w:rPr>
        <w:t xml:space="preserve">step in classification/regression type models </w:t>
      </w:r>
      <w:r w:rsidR="005D60F5" w:rsidRPr="00212DC9">
        <w:rPr>
          <w:rFonts w:cs="Times New Roman"/>
          <w:szCs w:val="24"/>
        </w:rPr>
        <w:t xml:space="preserve">to turn general distributions </w:t>
      </w:r>
      <w:r w:rsidR="003C2CA8" w:rsidRPr="00212DC9">
        <w:rPr>
          <w:rFonts w:cs="Times New Roman"/>
          <w:szCs w:val="24"/>
        </w:rPr>
        <w:t xml:space="preserve">underlying the outcome variable </w:t>
      </w:r>
      <w:r w:rsidR="005D60F5" w:rsidRPr="00212DC9">
        <w:rPr>
          <w:rFonts w:cs="Times New Roman"/>
          <w:szCs w:val="24"/>
        </w:rPr>
        <w:t xml:space="preserve">into a near-normal </w:t>
      </w:r>
      <w:r w:rsidR="005D60F5" w:rsidRPr="00212DC9">
        <w:rPr>
          <w:rFonts w:cs="Times New Roman"/>
          <w:szCs w:val="24"/>
        </w:rPr>
        <w:lastRenderedPageBreak/>
        <w:t xml:space="preserve">distribution (see, for example, Jadhav et al., </w:t>
      </w:r>
      <w:r w:rsidR="00572DC1" w:rsidRPr="00212DC9">
        <w:rPr>
          <w:rFonts w:cs="Times New Roman"/>
          <w:szCs w:val="24"/>
        </w:rPr>
        <w:t>2023</w:t>
      </w:r>
      <w:r w:rsidR="003C2CA8" w:rsidRPr="00212DC9">
        <w:rPr>
          <w:rFonts w:cs="Times New Roman"/>
          <w:szCs w:val="24"/>
        </w:rPr>
        <w:t xml:space="preserve"> and Peterson</w:t>
      </w:r>
      <w:r w:rsidR="009E625A">
        <w:rPr>
          <w:rFonts w:cs="Times New Roman"/>
          <w:szCs w:val="24"/>
        </w:rPr>
        <w:t xml:space="preserve"> and Cavanaugh</w:t>
      </w:r>
      <w:r w:rsidR="003C2CA8" w:rsidRPr="00212DC9">
        <w:rPr>
          <w:rFonts w:cs="Times New Roman"/>
          <w:szCs w:val="24"/>
        </w:rPr>
        <w:t>, 2020</w:t>
      </w:r>
      <w:r w:rsidR="005D60F5" w:rsidRPr="00212DC9">
        <w:rPr>
          <w:rFonts w:cs="Times New Roman"/>
          <w:szCs w:val="24"/>
        </w:rPr>
        <w:t xml:space="preserve">). </w:t>
      </w:r>
      <w:r w:rsidR="00CA7111" w:rsidRPr="00212DC9">
        <w:rPr>
          <w:rFonts w:cs="Times New Roman"/>
          <w:szCs w:val="24"/>
        </w:rPr>
        <w:t>Doing so not only improves the specification, but also benefits the power</w:t>
      </w:r>
      <w:r w:rsidR="008665A2" w:rsidRPr="00212DC9">
        <w:rPr>
          <w:rFonts w:cs="Times New Roman"/>
          <w:szCs w:val="24"/>
        </w:rPr>
        <w:t xml:space="preserve"> </w:t>
      </w:r>
      <w:r w:rsidR="00CA7111" w:rsidRPr="00212DC9">
        <w:rPr>
          <w:rFonts w:cs="Times New Roman"/>
          <w:szCs w:val="24"/>
        </w:rPr>
        <w:t>of statistical tests used in data analysis</w:t>
      </w:r>
      <w:r w:rsidR="003C2CA8" w:rsidRPr="00212DC9">
        <w:rPr>
          <w:rFonts w:cs="Times New Roman"/>
          <w:szCs w:val="24"/>
        </w:rPr>
        <w:t>, decreasing the risk of committing Type 1 or Type II errors</w:t>
      </w:r>
      <w:r w:rsidR="00CA7111" w:rsidRPr="00212DC9">
        <w:rPr>
          <w:rFonts w:cs="Times New Roman"/>
          <w:szCs w:val="24"/>
        </w:rPr>
        <w:t xml:space="preserve"> (</w:t>
      </w:r>
      <w:r w:rsidR="003C2CA8" w:rsidRPr="00212DC9">
        <w:rPr>
          <w:rFonts w:cs="Times New Roman"/>
          <w:szCs w:val="24"/>
        </w:rPr>
        <w:t xml:space="preserve">Zimmerman, 1998 and </w:t>
      </w:r>
      <w:r w:rsidR="00CA7111" w:rsidRPr="00212DC9">
        <w:rPr>
          <w:rFonts w:cs="Times New Roman"/>
          <w:szCs w:val="24"/>
        </w:rPr>
        <w:t>Osborne, 2010</w:t>
      </w:r>
      <w:r w:rsidR="003C2CA8" w:rsidRPr="00212DC9">
        <w:rPr>
          <w:rFonts w:cs="Times New Roman"/>
          <w:szCs w:val="24"/>
        </w:rPr>
        <w:t xml:space="preserve">). </w:t>
      </w:r>
      <w:r w:rsidR="00081F12">
        <w:rPr>
          <w:rFonts w:cs="Times New Roman"/>
          <w:szCs w:val="24"/>
        </w:rPr>
        <w:t>Thus, in this paper, we will focus on the transformation method for generating flexible distributions.</w:t>
      </w:r>
    </w:p>
    <w:p w14:paraId="57D0930E" w14:textId="787E932E" w:rsidR="00A05ABF" w:rsidRPr="0065493C" w:rsidRDefault="003C2CA8" w:rsidP="003D7128">
      <w:pPr>
        <w:spacing w:line="276" w:lineRule="auto"/>
        <w:ind w:firstLine="720"/>
        <w:jc w:val="both"/>
        <w:rPr>
          <w:rFonts w:cs="Times New Roman"/>
          <w:szCs w:val="24"/>
        </w:rPr>
      </w:pPr>
      <w:r w:rsidRPr="00212DC9">
        <w:rPr>
          <w:rFonts w:cs="Times New Roman"/>
          <w:szCs w:val="24"/>
        </w:rPr>
        <w:t xml:space="preserve">Of course, </w:t>
      </w:r>
      <w:r w:rsidR="003F63C9" w:rsidRPr="00212DC9">
        <w:rPr>
          <w:rFonts w:cs="Times New Roman"/>
          <w:szCs w:val="24"/>
        </w:rPr>
        <w:t xml:space="preserve">within the class of transformation methods, </w:t>
      </w:r>
      <w:r w:rsidRPr="00212DC9">
        <w:rPr>
          <w:rFonts w:cs="Times New Roman"/>
          <w:szCs w:val="24"/>
        </w:rPr>
        <w:t xml:space="preserve">there are a whole suite of possible transformations </w:t>
      </w:r>
      <w:r w:rsidR="008665A2" w:rsidRPr="00212DC9">
        <w:rPr>
          <w:rFonts w:cs="Times New Roman"/>
          <w:szCs w:val="24"/>
        </w:rPr>
        <w:t>to address skewness and fat tails, including square root transformation, inverse transformation, logarithmic transformation, arcsine transformation, Box-Cox (BC) transformation, and the Yeo-Johnson (YJ) transformation (see Box and Cox, 1964, Yeo and Johnson, 2000,</w:t>
      </w:r>
      <w:r w:rsidR="009E625A">
        <w:rPr>
          <w:rFonts w:cs="Times New Roman"/>
          <w:szCs w:val="24"/>
        </w:rPr>
        <w:t xml:space="preserve"> </w:t>
      </w:r>
      <w:r w:rsidR="008665A2" w:rsidRPr="00212DC9">
        <w:rPr>
          <w:rFonts w:cs="Times New Roman"/>
          <w:szCs w:val="24"/>
        </w:rPr>
        <w:t>Melnykov et al., 2021). Of these, the BC and YJ transformations have been shown</w:t>
      </w:r>
      <w:r w:rsidR="00CB0DFE" w:rsidRPr="00212DC9">
        <w:rPr>
          <w:rFonts w:cs="Times New Roman"/>
          <w:szCs w:val="24"/>
        </w:rPr>
        <w:t xml:space="preserve">, in analysis with both simulation and real empirical data, </w:t>
      </w:r>
      <w:r w:rsidR="008665A2" w:rsidRPr="00212DC9">
        <w:rPr>
          <w:rFonts w:cs="Times New Roman"/>
          <w:szCs w:val="24"/>
        </w:rPr>
        <w:t xml:space="preserve">to be </w:t>
      </w:r>
      <w:r w:rsidR="009C4621" w:rsidRPr="00212DC9">
        <w:rPr>
          <w:rFonts w:cs="Times New Roman"/>
          <w:szCs w:val="24"/>
        </w:rPr>
        <w:t>the best transformations in a wide variety of situations (see Osborne, 2010</w:t>
      </w:r>
      <w:r w:rsidR="00CB0DFE" w:rsidRPr="00212DC9">
        <w:rPr>
          <w:rFonts w:cs="Times New Roman"/>
          <w:szCs w:val="24"/>
        </w:rPr>
        <w:t xml:space="preserve">, Jadhav et al., </w:t>
      </w:r>
      <w:r w:rsidR="00572DC1" w:rsidRPr="00212DC9">
        <w:rPr>
          <w:rFonts w:cs="Times New Roman"/>
          <w:szCs w:val="24"/>
        </w:rPr>
        <w:t>2023</w:t>
      </w:r>
      <w:r w:rsidR="00CB0DFE" w:rsidRPr="00212DC9">
        <w:rPr>
          <w:rFonts w:cs="Times New Roman"/>
          <w:szCs w:val="24"/>
        </w:rPr>
        <w:t>,</w:t>
      </w:r>
      <w:r w:rsidR="00F72D6A" w:rsidRPr="00212DC9">
        <w:rPr>
          <w:rFonts w:cs="Times New Roman"/>
          <w:szCs w:val="24"/>
        </w:rPr>
        <w:t xml:space="preserve"> Watthanacheewakul, 2021, </w:t>
      </w:r>
      <w:r w:rsidR="009C4621" w:rsidRPr="00212DC9">
        <w:rPr>
          <w:rFonts w:cs="Times New Roman"/>
          <w:szCs w:val="24"/>
        </w:rPr>
        <w:t>and Marimuthu et al., 2022). In fact, most other transformations are special cases of the BC transformation</w:t>
      </w:r>
      <w:r w:rsidR="00CB0DFE" w:rsidRPr="00212DC9">
        <w:rPr>
          <w:rFonts w:cs="Times New Roman"/>
          <w:szCs w:val="24"/>
        </w:rPr>
        <w:t xml:space="preserve"> for data on the positive half of the real line</w:t>
      </w:r>
      <w:r w:rsidR="009C4621" w:rsidRPr="00212DC9">
        <w:rPr>
          <w:rFonts w:cs="Times New Roman"/>
          <w:szCs w:val="24"/>
        </w:rPr>
        <w:t xml:space="preserve">, depending on the value of the power </w:t>
      </w:r>
      <w:r w:rsidR="00CB0DFE" w:rsidRPr="00212DC9">
        <w:rPr>
          <w:rFonts w:cs="Times New Roman"/>
          <w:szCs w:val="24"/>
        </w:rPr>
        <w:t>parameter (for example, the square root transf</w:t>
      </w:r>
      <w:r w:rsidR="005E3A9D" w:rsidRPr="00212DC9">
        <w:rPr>
          <w:rFonts w:cs="Times New Roman"/>
          <w:szCs w:val="24"/>
        </w:rPr>
        <w:t>o</w:t>
      </w:r>
      <w:r w:rsidR="00CB0DFE" w:rsidRPr="00212DC9">
        <w:rPr>
          <w:rFonts w:cs="Times New Roman"/>
          <w:szCs w:val="24"/>
        </w:rPr>
        <w:t xml:space="preserve">rmation is the BC transformation with a power parameter of 0.5; the corresponding power parameters for the inverse and natural logarithm transformation are -1 and 0). </w:t>
      </w:r>
      <w:r w:rsidR="009C4621" w:rsidRPr="00212DC9">
        <w:rPr>
          <w:rFonts w:cs="Times New Roman"/>
          <w:szCs w:val="24"/>
        </w:rPr>
        <w:t>Further, the YJ transformation is a simple extension of the restrictive BC transformation (which is applicable only to the positive half of the real line) to the entire real line</w:t>
      </w:r>
      <w:r w:rsidR="001E5441" w:rsidRPr="00212DC9">
        <w:rPr>
          <w:rFonts w:cs="Times New Roman"/>
          <w:szCs w:val="24"/>
        </w:rPr>
        <w:t xml:space="preserve">, which makes it more appropriate for observable dependent outcomes that may take negative values too and to limited-dependent </w:t>
      </w:r>
      <w:r w:rsidR="00A45BDA" w:rsidRPr="00212DC9">
        <w:rPr>
          <w:rFonts w:cs="Times New Roman"/>
          <w:szCs w:val="24"/>
        </w:rPr>
        <w:t>outcome</w:t>
      </w:r>
      <w:r w:rsidR="001E5441" w:rsidRPr="00212DC9">
        <w:rPr>
          <w:rFonts w:cs="Times New Roman"/>
          <w:szCs w:val="24"/>
        </w:rPr>
        <w:t xml:space="preserve"> models </w:t>
      </w:r>
      <w:r w:rsidR="00A45BDA" w:rsidRPr="00212DC9">
        <w:rPr>
          <w:rFonts w:cs="Times New Roman"/>
          <w:szCs w:val="24"/>
        </w:rPr>
        <w:t xml:space="preserve">where </w:t>
      </w:r>
      <w:r w:rsidR="001E5441" w:rsidRPr="00212DC9">
        <w:rPr>
          <w:rFonts w:cs="Times New Roman"/>
          <w:szCs w:val="24"/>
        </w:rPr>
        <w:t xml:space="preserve">the </w:t>
      </w:r>
      <w:r w:rsidR="00A45BDA" w:rsidRPr="00212DC9">
        <w:rPr>
          <w:rFonts w:cs="Times New Roman"/>
          <w:szCs w:val="24"/>
        </w:rPr>
        <w:t xml:space="preserve">underlying </w:t>
      </w:r>
      <w:r w:rsidR="001E5441" w:rsidRPr="00212DC9">
        <w:rPr>
          <w:rFonts w:cs="Times New Roman"/>
          <w:szCs w:val="24"/>
        </w:rPr>
        <w:t>latent variable</w:t>
      </w:r>
      <w:r w:rsidR="00A45BDA" w:rsidRPr="00212DC9">
        <w:rPr>
          <w:rFonts w:cs="Times New Roman"/>
          <w:szCs w:val="24"/>
        </w:rPr>
        <w:t xml:space="preserve">s span the entire real line. </w:t>
      </w:r>
      <w:r w:rsidR="00C002FE" w:rsidRPr="00F53BDA">
        <w:rPr>
          <w:rFonts w:cs="Times New Roman"/>
        </w:rPr>
        <w:t>Thus, the YJ transformation allows for skew and fat tails</w:t>
      </w:r>
      <w:r w:rsidR="00C002FE">
        <w:rPr>
          <w:rFonts w:cs="Times New Roman"/>
        </w:rPr>
        <w:t>, depending on the estimated value for</w:t>
      </w:r>
      <w:r w:rsidR="003D7128">
        <w:t xml:space="preserve"> an embedded transformation parameter</w:t>
      </w:r>
      <w:r w:rsidR="00C002FE" w:rsidRPr="00F53BDA">
        <w:rPr>
          <w:rFonts w:cs="Times New Roman"/>
        </w:rPr>
        <w:t xml:space="preserve">. </w:t>
      </w:r>
      <w:r w:rsidR="00C002FE">
        <w:rPr>
          <w:rFonts w:cs="Times New Roman"/>
        </w:rPr>
        <w:t xml:space="preserve">Bhat et al. (2024) discuss this YJ transformation in detail, demonstrating that </w:t>
      </w:r>
      <w:r w:rsidR="00E265EB">
        <w:rPr>
          <w:rFonts w:cs="Times New Roman"/>
        </w:rPr>
        <w:t xml:space="preserve">it </w:t>
      </w:r>
      <w:r w:rsidR="00C002FE">
        <w:rPr>
          <w:rFonts w:cs="Times New Roman"/>
        </w:rPr>
        <w:t xml:space="preserve">can </w:t>
      </w:r>
      <w:r w:rsidR="00BF2952">
        <w:rPr>
          <w:rFonts w:cs="Times New Roman"/>
        </w:rPr>
        <w:t>mimic</w:t>
      </w:r>
      <w:r w:rsidR="00C002FE">
        <w:rPr>
          <w:rFonts w:cs="Times New Roman"/>
        </w:rPr>
        <w:t xml:space="preserve"> a whole variety of other </w:t>
      </w:r>
      <w:r w:rsidR="009B2186">
        <w:rPr>
          <w:rFonts w:cs="Times New Roman"/>
        </w:rPr>
        <w:t xml:space="preserve">flexible </w:t>
      </w:r>
      <w:r w:rsidR="00C002FE">
        <w:rPr>
          <w:rFonts w:cs="Times New Roman"/>
        </w:rPr>
        <w:t xml:space="preserve">unimodal distributions closely, including the extreme value, the skew-normal, and skew-t distributions. </w:t>
      </w:r>
      <w:r w:rsidR="009B2186">
        <w:rPr>
          <w:rFonts w:cs="Times New Roman"/>
          <w:szCs w:val="24"/>
        </w:rPr>
        <w:t>Accordingly</w:t>
      </w:r>
      <w:r w:rsidR="00A45BDA" w:rsidRPr="00212DC9">
        <w:rPr>
          <w:rFonts w:cs="Times New Roman"/>
          <w:szCs w:val="24"/>
        </w:rPr>
        <w:t xml:space="preserve">, in the current paper, we consider </w:t>
      </w:r>
      <w:r w:rsidR="003D7128">
        <w:rPr>
          <w:rFonts w:cs="Times New Roman"/>
          <w:szCs w:val="24"/>
        </w:rPr>
        <w:t xml:space="preserve">a </w:t>
      </w:r>
      <w:r w:rsidR="00A45BDA" w:rsidRPr="00212DC9">
        <w:rPr>
          <w:rFonts w:cs="Times New Roman"/>
          <w:szCs w:val="24"/>
        </w:rPr>
        <w:t xml:space="preserve">YJ transformation for the </w:t>
      </w:r>
      <w:r w:rsidR="003D7128">
        <w:rPr>
          <w:rFonts w:cs="Times New Roman"/>
          <w:szCs w:val="24"/>
        </w:rPr>
        <w:t xml:space="preserve">unobserved term for the </w:t>
      </w:r>
      <w:r w:rsidR="00A45BDA" w:rsidRPr="00212DC9">
        <w:rPr>
          <w:rFonts w:cs="Times New Roman"/>
          <w:szCs w:val="24"/>
        </w:rPr>
        <w:t>latent variable underlying</w:t>
      </w:r>
      <w:r w:rsidR="003D7128">
        <w:rPr>
          <w:rFonts w:cs="Times New Roman"/>
          <w:szCs w:val="24"/>
        </w:rPr>
        <w:t xml:space="preserve"> limited dependent outcome models. We also extend the approach to </w:t>
      </w:r>
      <w:r w:rsidR="003D7128" w:rsidRPr="00212DC9">
        <w:rPr>
          <w:rFonts w:cs="Times New Roman"/>
          <w:szCs w:val="24"/>
        </w:rPr>
        <w:t>multivariate limited-dependent outcome model</w:t>
      </w:r>
      <w:r w:rsidR="009B2186">
        <w:rPr>
          <w:rFonts w:cs="Times New Roman"/>
          <w:szCs w:val="24"/>
        </w:rPr>
        <w:t>s</w:t>
      </w:r>
      <w:r w:rsidR="003D7128">
        <w:rPr>
          <w:rFonts w:cs="Times New Roman"/>
          <w:szCs w:val="24"/>
        </w:rPr>
        <w:t xml:space="preserve">, demonstrating an empirical application in the context of </w:t>
      </w:r>
      <w:r w:rsidR="003D7128" w:rsidRPr="00212DC9">
        <w:rPr>
          <w:rFonts w:cs="Times New Roman"/>
          <w:szCs w:val="24"/>
        </w:rPr>
        <w:t xml:space="preserve"> an ordered-response model with a binary endogenous explanatory variable or EEV</w:t>
      </w:r>
      <w:r w:rsidR="000E7432" w:rsidRPr="00212DC9">
        <w:rPr>
          <w:rFonts w:cs="Times New Roman"/>
          <w:szCs w:val="24"/>
        </w:rPr>
        <w:t>.</w:t>
      </w:r>
      <w:r w:rsidR="003D7128">
        <w:rPr>
          <w:rFonts w:cs="Times New Roman"/>
          <w:szCs w:val="24"/>
        </w:rPr>
        <w:t xml:space="preserve"> </w:t>
      </w:r>
      <w:r w:rsidR="00A05ABF" w:rsidRPr="0065493C">
        <w:rPr>
          <w:rFonts w:cs="Times New Roman"/>
          <w:szCs w:val="24"/>
        </w:rPr>
        <w:t xml:space="preserve">In this regard, the current paper constitutes the first formulation and application of a </w:t>
      </w:r>
      <w:r w:rsidR="00593544" w:rsidRPr="0065493C">
        <w:rPr>
          <w:rFonts w:cs="Times New Roman"/>
          <w:szCs w:val="24"/>
        </w:rPr>
        <w:t xml:space="preserve">flexible </w:t>
      </w:r>
      <w:r w:rsidR="00A05ABF" w:rsidRPr="0065493C">
        <w:rPr>
          <w:rFonts w:cs="Times New Roman"/>
          <w:szCs w:val="24"/>
        </w:rPr>
        <w:t>multivariate non-normal limited-dependent variable model system with element-wise YJ transformation</w:t>
      </w:r>
      <w:r w:rsidR="009B2186">
        <w:rPr>
          <w:rFonts w:cs="Times New Roman"/>
          <w:szCs w:val="24"/>
        </w:rPr>
        <w:t>.</w:t>
      </w:r>
      <w:r w:rsidR="00385552" w:rsidRPr="0065493C">
        <w:rPr>
          <w:rFonts w:cs="Times New Roman"/>
          <w:szCs w:val="24"/>
        </w:rPr>
        <w:t xml:space="preserve"> </w:t>
      </w:r>
    </w:p>
    <w:p w14:paraId="49867E57" w14:textId="77777777" w:rsidR="00A05ABF" w:rsidRPr="0065493C" w:rsidRDefault="00A05ABF" w:rsidP="00B4106B">
      <w:pPr>
        <w:spacing w:line="276" w:lineRule="auto"/>
        <w:jc w:val="both"/>
        <w:rPr>
          <w:rFonts w:cs="Times New Roman"/>
          <w:szCs w:val="24"/>
        </w:rPr>
      </w:pPr>
    </w:p>
    <w:p w14:paraId="5727F3E6" w14:textId="77777777" w:rsidR="0023044B" w:rsidRDefault="006F6727" w:rsidP="0023044B">
      <w:pPr>
        <w:pStyle w:val="ListParagraph"/>
        <w:numPr>
          <w:ilvl w:val="0"/>
          <w:numId w:val="5"/>
        </w:numPr>
        <w:spacing w:after="60" w:line="276" w:lineRule="auto"/>
        <w:ind w:left="360"/>
        <w:jc w:val="both"/>
        <w:rPr>
          <w:b/>
          <w:bCs/>
        </w:rPr>
      </w:pPr>
      <w:r w:rsidRPr="003D7128">
        <w:rPr>
          <w:b/>
          <w:bCs/>
        </w:rPr>
        <w:t>METHODOLOGY</w:t>
      </w:r>
    </w:p>
    <w:p w14:paraId="50A21AA4" w14:textId="583D3F58" w:rsidR="0085259C" w:rsidRPr="0023044B" w:rsidRDefault="009D50A8" w:rsidP="0023044B">
      <w:pPr>
        <w:spacing w:after="60" w:line="276" w:lineRule="auto"/>
        <w:jc w:val="both"/>
        <w:rPr>
          <w:b/>
          <w:bCs/>
        </w:rPr>
      </w:pPr>
      <w:r w:rsidRPr="009D50A8">
        <w:t>We</w:t>
      </w:r>
      <w:r>
        <w:t xml:space="preserve"> begin our discussion of the methodology with a simple univariate case of an ordered-response model (in our empirical analysis later, this outcome corresponds to walking frequency per week captured in five ordinal categories). </w:t>
      </w:r>
      <w:r w:rsidR="00740DB4">
        <w:t xml:space="preserve">However, the approach we propose is very general, and can be applied to </w:t>
      </w:r>
      <w:r w:rsidR="00760B71">
        <w:t xml:space="preserve">literally any </w:t>
      </w:r>
      <w:r w:rsidR="00740DB4">
        <w:t xml:space="preserve">other limited-dependent outcome model, including unordered utility-based models, count models, grouped data models, </w:t>
      </w:r>
      <w:r w:rsidR="00760B71">
        <w:t xml:space="preserve">and other econometric models. In Section 2.2, we show how to extend our approach to multivariate models, using a simple extension of the univariate ordered-response model as an example case. </w:t>
      </w:r>
    </w:p>
    <w:p w14:paraId="017E1F59" w14:textId="77777777" w:rsidR="0023044B" w:rsidRDefault="0023044B">
      <w:pPr>
        <w:spacing w:after="160" w:line="259" w:lineRule="auto"/>
        <w:rPr>
          <w:b/>
          <w:bCs/>
        </w:rPr>
      </w:pPr>
      <w:r>
        <w:rPr>
          <w:b/>
          <w:bCs/>
        </w:rPr>
        <w:br w:type="page"/>
      </w:r>
    </w:p>
    <w:p w14:paraId="033F6A60" w14:textId="4AA63CEB" w:rsidR="0023044B" w:rsidRPr="0023044B" w:rsidRDefault="00E937C8" w:rsidP="0038799D">
      <w:pPr>
        <w:spacing w:after="60" w:line="276" w:lineRule="auto"/>
        <w:ind w:left="540" w:hanging="540"/>
        <w:jc w:val="both"/>
        <w:rPr>
          <w:b/>
          <w:bCs/>
        </w:rPr>
      </w:pPr>
      <w:r w:rsidRPr="0023044B">
        <w:rPr>
          <w:b/>
          <w:bCs/>
        </w:rPr>
        <w:lastRenderedPageBreak/>
        <w:t xml:space="preserve">2.1. </w:t>
      </w:r>
      <w:r w:rsidR="0038799D">
        <w:rPr>
          <w:b/>
          <w:bCs/>
        </w:rPr>
        <w:t xml:space="preserve">  </w:t>
      </w:r>
      <w:r w:rsidR="0085259C" w:rsidRPr="0023044B">
        <w:rPr>
          <w:b/>
          <w:bCs/>
        </w:rPr>
        <w:t>Univariate Model Formulation</w:t>
      </w:r>
    </w:p>
    <w:p w14:paraId="21226038" w14:textId="42A3157A" w:rsidR="0038799D" w:rsidRDefault="005D0DA2" w:rsidP="007F2BF6">
      <w:pPr>
        <w:autoSpaceDE w:val="0"/>
        <w:autoSpaceDN w:val="0"/>
        <w:adjustRightInd w:val="0"/>
        <w:jc w:val="both"/>
      </w:pPr>
      <w:r>
        <w:rPr>
          <w:rFonts w:cs="Times New Roman"/>
          <w:szCs w:val="24"/>
        </w:rPr>
        <w:t>In the usual form of the ordered-response model structure (</w:t>
      </w:r>
      <w:r w:rsidRPr="008674F2">
        <w:rPr>
          <w:rFonts w:cs="Times New Roman"/>
          <w:szCs w:val="24"/>
        </w:rPr>
        <w:t>see McKelvey and Zavoina, 1971</w:t>
      </w:r>
      <w:r>
        <w:rPr>
          <w:rFonts w:cs="Times New Roman"/>
          <w:szCs w:val="24"/>
        </w:rPr>
        <w:t xml:space="preserve">; </w:t>
      </w:r>
      <w:r w:rsidRPr="008674F2">
        <w:rPr>
          <w:rFonts w:cs="Times New Roman"/>
          <w:szCs w:val="24"/>
        </w:rPr>
        <w:t>Bhat, 1997</w:t>
      </w:r>
      <w:r>
        <w:rPr>
          <w:rFonts w:cs="Times New Roman"/>
          <w:szCs w:val="24"/>
        </w:rPr>
        <w:t xml:space="preserve">; and </w:t>
      </w:r>
      <w:r w:rsidRPr="008674F2">
        <w:rPr>
          <w:rFonts w:cs="Times New Roman"/>
          <w:szCs w:val="24"/>
        </w:rPr>
        <w:t>Greene and Hensher, 2010</w:t>
      </w:r>
      <w:r>
        <w:rPr>
          <w:rFonts w:cs="Times New Roman"/>
          <w:szCs w:val="24"/>
        </w:rPr>
        <w:t xml:space="preserve">), we write </w:t>
      </w:r>
    </w:p>
    <w:p w14:paraId="2963234E" w14:textId="0063ED38" w:rsidR="0023044B" w:rsidRDefault="002024F4" w:rsidP="007F2BF6">
      <w:pPr>
        <w:keepNext/>
        <w:keepLines/>
        <w:spacing w:before="120" w:after="60"/>
        <w:jc w:val="both"/>
        <w:rPr>
          <w:rFonts w:cs="Times New Roman"/>
          <w:szCs w:val="24"/>
        </w:rPr>
      </w:pPr>
      <w:r w:rsidRPr="005D0DA2">
        <w:rPr>
          <w:position w:val="-12"/>
          <w:szCs w:val="24"/>
        </w:rPr>
        <w:object w:dxaOrig="7839" w:dyaOrig="380" w14:anchorId="22138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15pt;height:18pt" o:ole="" o:preferrelative="f">
            <v:imagedata r:id="rId11" o:title=""/>
            <o:lock v:ext="edit" aspectratio="f"/>
          </v:shape>
          <o:OLEObject Type="Embed" ProgID="Equation.DSMT4" ShapeID="_x0000_i1025" DrawAspect="Content" ObjectID="_1790752744" r:id="rId12"/>
        </w:object>
      </w:r>
      <w:r w:rsidR="00EB35E1">
        <w:rPr>
          <w:szCs w:val="24"/>
        </w:rPr>
        <w:tab/>
        <w:t xml:space="preserve">     </w:t>
      </w:r>
      <w:r w:rsidR="007142A6">
        <w:rPr>
          <w:szCs w:val="24"/>
        </w:rPr>
        <w:tab/>
        <w:t xml:space="preserve">     </w:t>
      </w:r>
      <w:r w:rsidR="00EB35E1">
        <w:rPr>
          <w:szCs w:val="24"/>
        </w:rPr>
        <w:t xml:space="preserve"> (1)</w:t>
      </w:r>
      <w:r w:rsidR="005D0DA2">
        <w:rPr>
          <w:szCs w:val="24"/>
        </w:rPr>
        <w:tab/>
        <w:t xml:space="preserve">       </w:t>
      </w:r>
      <w:r w:rsidR="00D3201F">
        <w:rPr>
          <w:szCs w:val="24"/>
        </w:rPr>
        <w:t xml:space="preserve">        </w:t>
      </w:r>
    </w:p>
    <w:p w14:paraId="76D0FEE8" w14:textId="4816A9C7" w:rsidR="00B77BEA" w:rsidRDefault="005D0DA2" w:rsidP="007F2BF6">
      <w:pPr>
        <w:jc w:val="both"/>
      </w:pPr>
      <w:r>
        <w:rPr>
          <w:rFonts w:cs="Times New Roman"/>
          <w:szCs w:val="24"/>
        </w:rPr>
        <w:t xml:space="preserve">In the above equation, </w:t>
      </w:r>
      <w:r w:rsidRPr="008674F2">
        <w:rPr>
          <w:rFonts w:cs="Times New Roman"/>
          <w:szCs w:val="24"/>
        </w:rPr>
        <w:t xml:space="preserve">the partitioning of the latent propensity </w:t>
      </w:r>
      <w:r w:rsidR="002024F4" w:rsidRPr="008674F2">
        <w:rPr>
          <w:rFonts w:cs="Times New Roman"/>
          <w:position w:val="-12"/>
          <w:szCs w:val="24"/>
        </w:rPr>
        <w:object w:dxaOrig="279" w:dyaOrig="380" w14:anchorId="670FFB21">
          <v:shape id="_x0000_i1026" type="#_x0000_t75" style="width:13.7pt;height:18pt" o:ole="" o:preferrelative="f">
            <v:imagedata r:id="rId13" o:title=""/>
            <o:lock v:ext="edit" aspectratio="f"/>
          </v:shape>
          <o:OLEObject Type="Embed" ProgID="Equation.DSMT4" ShapeID="_x0000_i1026" DrawAspect="Content" ObjectID="_1790752745" r:id="rId14"/>
        </w:object>
      </w:r>
      <w:r w:rsidRPr="008674F2">
        <w:rPr>
          <w:rFonts w:cs="Times New Roman"/>
          <w:szCs w:val="24"/>
        </w:rPr>
        <w:t xml:space="preserve"> determines the ordered-response outcome</w:t>
      </w:r>
      <w:r>
        <w:rPr>
          <w:rFonts w:cs="Times New Roman"/>
          <w:szCs w:val="24"/>
        </w:rPr>
        <w:t xml:space="preserve"> </w:t>
      </w:r>
      <w:r w:rsidR="002024F4" w:rsidRPr="002024F4">
        <w:rPr>
          <w:rFonts w:cs="Times New Roman"/>
          <w:i/>
          <w:iCs/>
          <w:szCs w:val="24"/>
        </w:rPr>
        <w:t>y</w:t>
      </w:r>
      <w:r>
        <w:rPr>
          <w:rFonts w:cs="Times New Roman"/>
          <w:szCs w:val="24"/>
        </w:rPr>
        <w:t xml:space="preserve">. </w:t>
      </w:r>
      <w:r w:rsidRPr="008674F2">
        <w:rPr>
          <w:rFonts w:cs="Times New Roman"/>
          <w:szCs w:val="24"/>
        </w:rPr>
        <w:fldChar w:fldCharType="begin"/>
      </w:r>
      <w:r w:rsidRPr="008674F2">
        <w:rPr>
          <w:rFonts w:cs="Times New Roman"/>
          <w:szCs w:val="24"/>
        </w:rPr>
        <w:instrText xml:space="preserve"> QUOTE </w:instrText>
      </w:r>
      <m:oMath>
        <m:sSub>
          <m:sSubPr>
            <m:ctrlPr>
              <w:rPr>
                <w:rFonts w:ascii="Cambria Math" w:hAnsi="Cambria Math" w:cs="Times New Roman"/>
                <w:i/>
                <w:szCs w:val="24"/>
              </w:rPr>
            </m:ctrlPr>
          </m:sSubPr>
          <m:e>
            <m:r>
              <m:rPr>
                <m:sty m:val="p"/>
              </m:rPr>
              <w:rPr>
                <w:rFonts w:ascii="Cambria Math" w:hAnsi="Cambria Math" w:cs="Times New Roman"/>
                <w:szCs w:val="24"/>
              </w:rPr>
              <m:t>β</m:t>
            </m:r>
          </m:e>
          <m:sub>
            <m:r>
              <m:rPr>
                <m:sty m:val="p"/>
              </m:rPr>
              <w:rPr>
                <w:rFonts w:ascii="Cambria Math" w:hAnsi="Cambria Math" w:cs="Times New Roman"/>
                <w:szCs w:val="24"/>
              </w:rPr>
              <m:t>i</m:t>
            </m:r>
          </m:sub>
        </m:sSub>
      </m:oMath>
      <w:r w:rsidRPr="008674F2">
        <w:rPr>
          <w:rFonts w:cs="Times New Roman"/>
          <w:szCs w:val="24"/>
        </w:rPr>
        <w:instrText xml:space="preserve"> </w:instrText>
      </w:r>
      <w:r w:rsidR="004040E6">
        <w:rPr>
          <w:rFonts w:cs="Times New Roman"/>
          <w:szCs w:val="24"/>
        </w:rPr>
        <w:fldChar w:fldCharType="separate"/>
      </w:r>
      <w:r w:rsidRPr="008674F2">
        <w:rPr>
          <w:rFonts w:cs="Times New Roman"/>
          <w:szCs w:val="24"/>
        </w:rPr>
        <w:fldChar w:fldCharType="end"/>
      </w:r>
      <w:r w:rsidR="000C4B4E" w:rsidRPr="00D87B5F">
        <w:rPr>
          <w:position w:val="-4"/>
        </w:rPr>
        <w:object w:dxaOrig="200" w:dyaOrig="200" w14:anchorId="19D19C40">
          <v:shape id="_x0000_i1027" type="#_x0000_t75" style="width:9.85pt;height:9.85pt" o:ole="">
            <v:imagedata r:id="rId15" o:title=""/>
          </v:shape>
          <o:OLEObject Type="Embed" ProgID="Equation.DSMT4" ShapeID="_x0000_i1027" DrawAspect="Content" ObjectID="_1790752746" r:id="rId16"/>
        </w:object>
      </w:r>
      <w:r w:rsidRPr="008674F2">
        <w:rPr>
          <w:rFonts w:cs="Times New Roman"/>
          <w:szCs w:val="24"/>
        </w:rPr>
        <w:t xml:space="preserve"> </w:t>
      </w:r>
      <w:r>
        <w:rPr>
          <w:rFonts w:cs="Times New Roman"/>
          <w:szCs w:val="24"/>
        </w:rPr>
        <w:t xml:space="preserve">is a </w:t>
      </w:r>
      <w:r w:rsidRPr="008674F2">
        <w:rPr>
          <w:rFonts w:cs="Times New Roman"/>
          <w:szCs w:val="24"/>
        </w:rPr>
        <w:t>vector of exogenous variables (</w:t>
      </w:r>
      <w:r>
        <w:rPr>
          <w:rFonts w:cs="Times New Roman"/>
          <w:szCs w:val="24"/>
        </w:rPr>
        <w:t>including</w:t>
      </w:r>
      <w:r w:rsidRPr="008674F2">
        <w:rPr>
          <w:rFonts w:cs="Times New Roman"/>
          <w:szCs w:val="24"/>
        </w:rPr>
        <w:t xml:space="preserve"> </w:t>
      </w:r>
      <w:r>
        <w:rPr>
          <w:rFonts w:cs="Times New Roman"/>
          <w:szCs w:val="24"/>
        </w:rPr>
        <w:t xml:space="preserve">a </w:t>
      </w:r>
      <w:r w:rsidRPr="008674F2">
        <w:rPr>
          <w:rFonts w:cs="Times New Roman"/>
          <w:szCs w:val="24"/>
        </w:rPr>
        <w:t>constant)</w:t>
      </w:r>
      <w:r>
        <w:rPr>
          <w:rFonts w:cs="Times New Roman"/>
          <w:szCs w:val="24"/>
        </w:rPr>
        <w:t xml:space="preserve">, while (for now)  consider </w:t>
      </w:r>
      <w:r w:rsidR="002024F4" w:rsidRPr="009F134B">
        <w:rPr>
          <w:rFonts w:cs="Times New Roman"/>
          <w:position w:val="-6"/>
          <w:szCs w:val="24"/>
        </w:rPr>
        <w:object w:dxaOrig="200" w:dyaOrig="220" w14:anchorId="2D1D0D02">
          <v:shape id="_x0000_i1028" type="#_x0000_t75" style="width:10.7pt;height:10.7pt" o:ole="" o:preferrelative="f">
            <v:imagedata r:id="rId17" o:title=""/>
            <o:lock v:ext="edit" aspectratio="f"/>
          </v:shape>
          <o:OLEObject Type="Embed" ProgID="Equation.DSMT4" ShapeID="_x0000_i1028" DrawAspect="Content" ObjectID="_1790752747" r:id="rId18"/>
        </w:object>
      </w:r>
      <w:r>
        <w:rPr>
          <w:rFonts w:cs="Times New Roman"/>
          <w:szCs w:val="24"/>
        </w:rPr>
        <w:t xml:space="preserve"> as a </w:t>
      </w:r>
      <w:r w:rsidR="00761D50">
        <w:rPr>
          <w:rFonts w:cs="Times New Roman"/>
          <w:szCs w:val="24"/>
        </w:rPr>
        <w:t>binary (dummy)</w:t>
      </w:r>
      <w:r>
        <w:rPr>
          <w:rFonts w:cs="Times New Roman"/>
          <w:szCs w:val="24"/>
        </w:rPr>
        <w:t xml:space="preserve"> exogenous variable (say urban residence </w:t>
      </w:r>
      <w:r w:rsidR="00EC2A76">
        <w:rPr>
          <w:rFonts w:cs="Times New Roman"/>
          <w:szCs w:val="24"/>
        </w:rPr>
        <w:t xml:space="preserve">in the context </w:t>
      </w:r>
      <w:r w:rsidR="00A56835">
        <w:rPr>
          <w:rFonts w:cs="Times New Roman"/>
          <w:szCs w:val="24"/>
        </w:rPr>
        <w:t xml:space="preserve">of </w:t>
      </w:r>
      <w:r w:rsidR="00EC2A76">
        <w:rPr>
          <w:rFonts w:cs="Times New Roman"/>
          <w:szCs w:val="24"/>
        </w:rPr>
        <w:t>walk frequency)</w:t>
      </w:r>
      <w:r w:rsidRPr="008674F2">
        <w:rPr>
          <w:rFonts w:cs="Times New Roman"/>
          <w:szCs w:val="24"/>
        </w:rPr>
        <w:t>.</w:t>
      </w:r>
      <w:r w:rsidR="00761D50">
        <w:rPr>
          <w:rStyle w:val="FootnoteReference"/>
          <w:rFonts w:cs="Times New Roman"/>
          <w:szCs w:val="24"/>
        </w:rPr>
        <w:footnoteReference w:id="2"/>
      </w:r>
      <w:r w:rsidRPr="008674F2">
        <w:rPr>
          <w:rFonts w:cs="Times New Roman"/>
          <w:szCs w:val="24"/>
        </w:rPr>
        <w:t xml:space="preserve"> </w:t>
      </w:r>
      <w:r w:rsidR="002024F4" w:rsidRPr="008674F2">
        <w:rPr>
          <w:rFonts w:cs="Times New Roman"/>
          <w:position w:val="-10"/>
          <w:szCs w:val="24"/>
        </w:rPr>
        <w:object w:dxaOrig="200" w:dyaOrig="260" w14:anchorId="3019CC74">
          <v:shape id="_x0000_i1029" type="#_x0000_t75" style="width:10.7pt;height:13.3pt" o:ole="" o:preferrelative="f">
            <v:imagedata r:id="rId19" o:title=""/>
            <o:lock v:ext="edit" aspectratio="f"/>
          </v:shape>
          <o:OLEObject Type="Embed" ProgID="Equation.DSMT4" ShapeID="_x0000_i1029" DrawAspect="Content" ObjectID="_1790752748" r:id="rId20"/>
        </w:object>
      </w:r>
      <w:r w:rsidRPr="008674F2">
        <w:rPr>
          <w:rFonts w:cs="Times New Roman"/>
          <w:szCs w:val="24"/>
        </w:rPr>
        <w:t xml:space="preserve"> </w:t>
      </w:r>
      <w:r>
        <w:rPr>
          <w:rFonts w:cs="Times New Roman"/>
          <w:szCs w:val="24"/>
        </w:rPr>
        <w:t xml:space="preserve">is a </w:t>
      </w:r>
      <w:r w:rsidRPr="008674F2">
        <w:rPr>
          <w:rFonts w:cs="Times New Roman"/>
          <w:szCs w:val="24"/>
        </w:rPr>
        <w:t xml:space="preserve">coefficient </w:t>
      </w:r>
      <w:r w:rsidR="00EC2A76">
        <w:rPr>
          <w:rFonts w:cs="Times New Roman"/>
          <w:szCs w:val="24"/>
        </w:rPr>
        <w:t xml:space="preserve">vector </w:t>
      </w:r>
      <w:r w:rsidRPr="008674F2">
        <w:rPr>
          <w:rFonts w:cs="Times New Roman"/>
          <w:szCs w:val="24"/>
        </w:rPr>
        <w:t xml:space="preserve">to be estimated, </w:t>
      </w:r>
      <w:r w:rsidR="00EC2A76">
        <w:rPr>
          <w:rFonts w:cs="Times New Roman"/>
          <w:szCs w:val="24"/>
        </w:rPr>
        <w:t xml:space="preserve">and </w:t>
      </w:r>
      <w:r w:rsidR="002024F4" w:rsidRPr="008674F2">
        <w:rPr>
          <w:rFonts w:cs="Times New Roman"/>
          <w:position w:val="-6"/>
          <w:szCs w:val="24"/>
        </w:rPr>
        <w:object w:dxaOrig="220" w:dyaOrig="279" w14:anchorId="68C554C1">
          <v:shape id="_x0000_i1030" type="#_x0000_t75" style="width:10.7pt;height:13.7pt" o:ole="" o:preferrelative="f">
            <v:imagedata r:id="rId21" o:title=""/>
            <o:lock v:ext="edit" aspectratio="f"/>
          </v:shape>
          <o:OLEObject Type="Embed" ProgID="Equation.DSMT4" ShapeID="_x0000_i1030" DrawAspect="Content" ObjectID="_1790752749" r:id="rId22"/>
        </w:object>
      </w:r>
      <w:r w:rsidR="00EC2A76">
        <w:rPr>
          <w:rFonts w:cs="Times New Roman"/>
          <w:szCs w:val="24"/>
        </w:rPr>
        <w:t xml:space="preserve"> is another scalar parameter to be estimated</w:t>
      </w:r>
      <w:r w:rsidRPr="008674F2">
        <w:rPr>
          <w:rFonts w:cs="Times New Roman"/>
          <w:szCs w:val="24"/>
        </w:rPr>
        <w:t>.</w:t>
      </w:r>
      <w:r w:rsidRPr="00FE38B5">
        <w:rPr>
          <w:rFonts w:cs="Times New Roman"/>
          <w:szCs w:val="24"/>
          <w:vertAlign w:val="superscript"/>
        </w:rPr>
        <w:footnoteReference w:id="3"/>
      </w:r>
      <w:r w:rsidRPr="008674F2">
        <w:rPr>
          <w:rFonts w:cs="Times New Roman"/>
          <w:szCs w:val="24"/>
        </w:rPr>
        <w:t xml:space="preserve"> </w:t>
      </w:r>
      <w:r w:rsidR="00B77BEA">
        <w:rPr>
          <w:rFonts w:cs="Times New Roman"/>
          <w:szCs w:val="24"/>
        </w:rPr>
        <w:t>In the usual way, t</w:t>
      </w:r>
      <w:r w:rsidRPr="008674F2">
        <w:rPr>
          <w:rFonts w:cs="Times New Roman"/>
          <w:szCs w:val="24"/>
        </w:rPr>
        <w:t xml:space="preserve">he elements of the vectors </w:t>
      </w:r>
      <w:r w:rsidR="009B2186" w:rsidRPr="009B2186">
        <w:rPr>
          <w:rFonts w:cs="Times New Roman"/>
          <w:position w:val="-4"/>
          <w:szCs w:val="24"/>
        </w:rPr>
        <w:object w:dxaOrig="200" w:dyaOrig="200" w14:anchorId="502C26A6">
          <v:shape id="_x0000_i1031" type="#_x0000_t75" style="width:9.85pt;height:9.85pt" o:ole="">
            <v:imagedata r:id="rId23" o:title=""/>
          </v:shape>
          <o:OLEObject Type="Embed" ProgID="Equation.DSMT4" ShapeID="_x0000_i1031" DrawAspect="Content" ObjectID="_1790752750" r:id="rId24"/>
        </w:object>
      </w:r>
      <w:r w:rsidRPr="008674F2">
        <w:rPr>
          <w:rFonts w:cs="Times New Roman"/>
          <w:szCs w:val="24"/>
        </w:rPr>
        <w:t xml:space="preserve"> are assumed independent of the stochastic element </w:t>
      </w:r>
      <w:r w:rsidR="002024F4" w:rsidRPr="009F134B">
        <w:rPr>
          <w:rFonts w:eastAsia="Times New Roman" w:cs="Times New Roman"/>
          <w:noProof/>
          <w:position w:val="-6"/>
          <w:szCs w:val="24"/>
        </w:rPr>
        <w:object w:dxaOrig="200" w:dyaOrig="220" w14:anchorId="77B8B27D">
          <v:shape id="_x0000_i1032" type="#_x0000_t75" style="width:10.7pt;height:10.7pt" o:ole="" o:preferrelative="f">
            <v:imagedata r:id="rId25" o:title=""/>
            <o:lock v:ext="edit" aspectratio="f"/>
          </v:shape>
          <o:OLEObject Type="Embed" ProgID="Equation.DSMT4" ShapeID="_x0000_i1032" DrawAspect="Content" ObjectID="_1790752751" r:id="rId26"/>
        </w:object>
      </w:r>
      <w:r w:rsidR="00B77BEA">
        <w:rPr>
          <w:rFonts w:cs="Times New Roman"/>
          <w:szCs w:val="24"/>
        </w:rPr>
        <w:t xml:space="preserve">. </w:t>
      </w:r>
      <w:r w:rsidR="002024F4" w:rsidRPr="008674F2">
        <w:rPr>
          <w:rFonts w:cs="Times New Roman"/>
          <w:position w:val="-12"/>
          <w:szCs w:val="24"/>
        </w:rPr>
        <w:object w:dxaOrig="320" w:dyaOrig="360" w14:anchorId="7A695CE8">
          <v:shape id="_x0000_i1033" type="#_x0000_t75" style="width:16.3pt;height:18pt" o:ole="" o:preferrelative="f">
            <v:imagedata r:id="rId27" o:title=""/>
            <o:lock v:ext="edit" aspectratio="f"/>
          </v:shape>
          <o:OLEObject Type="Embed" ProgID="Equation.DSMT4" ShapeID="_x0000_i1033" DrawAspect="Content" ObjectID="_1790752752" r:id="rId28"/>
        </w:object>
      </w:r>
      <w:r w:rsidRPr="008674F2">
        <w:rPr>
          <w:rFonts w:cs="Times New Roman"/>
          <w:szCs w:val="24"/>
        </w:rPr>
        <w:t xml:space="preserve"> </w:t>
      </w:r>
      <w:r w:rsidRPr="008674F2">
        <w:rPr>
          <w:rFonts w:cs="Times New Roman"/>
          <w:szCs w:val="24"/>
        </w:rPr>
        <w:fldChar w:fldCharType="begin"/>
      </w:r>
      <w:r w:rsidRPr="008674F2">
        <w:rPr>
          <w:rFonts w:cs="Times New Roman"/>
          <w:szCs w:val="24"/>
        </w:rPr>
        <w:instrText xml:space="preserve"> QUOTE </w:instrText>
      </w:r>
      <m:oMath>
        <m:sSubSup>
          <m:sSubSupPr>
            <m:ctrlPr>
              <w:rPr>
                <w:rFonts w:ascii="Cambria Math" w:hAnsi="Cambria Math" w:cs="Times New Roman"/>
                <w:i/>
                <w:szCs w:val="24"/>
              </w:rPr>
            </m:ctrlPr>
          </m:sSubSupPr>
          <m:e>
            <m:r>
              <m:rPr>
                <m:sty m:val="p"/>
              </m:rPr>
              <w:rPr>
                <w:rFonts w:ascii="Cambria Math" w:hAnsi="Cambria Math" w:cs="Times New Roman"/>
                <w:szCs w:val="24"/>
              </w:rPr>
              <m:t>ϴ</m:t>
            </m:r>
          </m:e>
          <m:sub>
            <m:r>
              <m:rPr>
                <m:sty m:val="p"/>
              </m:rPr>
              <w:rPr>
                <w:rFonts w:ascii="Cambria Math" w:hAnsi="Cambria Math" w:cs="Times New Roman"/>
                <w:szCs w:val="24"/>
              </w:rPr>
              <m:t>i</m:t>
            </m:r>
          </m:sub>
          <m:sup>
            <m:r>
              <m:rPr>
                <m:sty m:val="p"/>
              </m:rPr>
              <w:rPr>
                <w:rFonts w:ascii="Cambria Math" w:hAnsi="Cambria Math" w:cs="Times New Roman"/>
                <w:szCs w:val="24"/>
              </w:rPr>
              <m:t>k</m:t>
            </m:r>
          </m:sup>
        </m:sSubSup>
      </m:oMath>
      <w:r w:rsidRPr="008674F2">
        <w:rPr>
          <w:rFonts w:cs="Times New Roman"/>
          <w:szCs w:val="24"/>
        </w:rPr>
        <w:instrText xml:space="preserve"> </w:instrText>
      </w:r>
      <w:r w:rsidR="004040E6">
        <w:rPr>
          <w:rFonts w:cs="Times New Roman"/>
          <w:szCs w:val="24"/>
        </w:rPr>
        <w:fldChar w:fldCharType="separate"/>
      </w:r>
      <w:r w:rsidRPr="008674F2">
        <w:rPr>
          <w:rFonts w:cs="Times New Roman"/>
          <w:szCs w:val="24"/>
        </w:rPr>
        <w:fldChar w:fldCharType="end"/>
      </w:r>
      <w:r w:rsidRPr="008674F2">
        <w:rPr>
          <w:rFonts w:cs="Times New Roman"/>
          <w:szCs w:val="24"/>
        </w:rPr>
        <w:t xml:space="preserve">is the upper bound threshold for ordinal level </w:t>
      </w:r>
      <w:r w:rsidRPr="008674F2">
        <w:rPr>
          <w:rFonts w:cs="Times New Roman"/>
          <w:i/>
          <w:iCs/>
          <w:szCs w:val="24"/>
        </w:rPr>
        <w:t>k</w:t>
      </w:r>
      <w:r w:rsidRPr="008674F2">
        <w:rPr>
          <w:rFonts w:cs="Times New Roman"/>
          <w:szCs w:val="24"/>
        </w:rPr>
        <w:t xml:space="preserve"> for the outcome</w:t>
      </w:r>
      <w:r w:rsidR="002024F4">
        <w:rPr>
          <w:rFonts w:cs="Times New Roman"/>
          <w:szCs w:val="24"/>
        </w:rPr>
        <w:t xml:space="preserve"> </w:t>
      </w:r>
      <w:r w:rsidR="002024F4" w:rsidRPr="002024F4">
        <w:rPr>
          <w:rFonts w:cs="Times New Roman"/>
          <w:i/>
          <w:iCs/>
          <w:szCs w:val="24"/>
        </w:rPr>
        <w:t>y</w:t>
      </w:r>
      <w:r w:rsidRPr="008674F2">
        <w:rPr>
          <w:rFonts w:cs="Times New Roman"/>
          <w:szCs w:val="24"/>
        </w:rPr>
        <w:t xml:space="preserve"> </w:t>
      </w:r>
      <w:r w:rsidR="003532CA" w:rsidRPr="008674F2">
        <w:rPr>
          <w:rFonts w:cs="Times New Roman"/>
          <w:position w:val="-12"/>
          <w:szCs w:val="24"/>
        </w:rPr>
        <w:object w:dxaOrig="5539" w:dyaOrig="360" w14:anchorId="1D4ACA61">
          <v:shape id="_x0000_i1034" type="#_x0000_t75" style="width:277.7pt;height:18pt" o:ole="" o:preferrelative="f">
            <v:imagedata r:id="rId29" o:title=""/>
            <o:lock v:ext="edit" aspectratio="f"/>
          </v:shape>
          <o:OLEObject Type="Embed" ProgID="Equation.DSMT4" ShapeID="_x0000_i1034" DrawAspect="Content" ObjectID="_1790752753" r:id="rId30"/>
        </w:object>
      </w:r>
      <w:r w:rsidRPr="008674F2" w:rsidDel="008E3AA7">
        <w:rPr>
          <w:rFonts w:cs="Times New Roman"/>
          <w:szCs w:val="24"/>
        </w:rPr>
        <w:t xml:space="preserve"> </w:t>
      </w:r>
      <w:r>
        <w:rPr>
          <w:rFonts w:cs="Times New Roman"/>
          <w:szCs w:val="24"/>
        </w:rPr>
        <w:t xml:space="preserve">For future use, define </w:t>
      </w:r>
      <w:r w:rsidR="000C4B4E" w:rsidRPr="00B67721">
        <w:rPr>
          <w:position w:val="-12"/>
        </w:rPr>
        <w:object w:dxaOrig="2120" w:dyaOrig="360" w14:anchorId="5942BF9B">
          <v:shape id="_x0000_i1035" type="#_x0000_t75" style="width:105.85pt;height:18pt" o:ole="" o:preferrelative="f">
            <v:imagedata r:id="rId31" o:title=""/>
            <o:lock v:ext="edit" aspectratio="f"/>
          </v:shape>
          <o:OLEObject Type="Embed" ProgID="Equation.DSMT4" ShapeID="_x0000_i1035" DrawAspect="Content" ObjectID="_1790752754" r:id="rId32"/>
        </w:object>
      </w:r>
    </w:p>
    <w:p w14:paraId="6C903620" w14:textId="433911B8" w:rsidR="00655646" w:rsidRDefault="00B77BEA" w:rsidP="007F2BF6">
      <w:pPr>
        <w:autoSpaceDE w:val="0"/>
        <w:autoSpaceDN w:val="0"/>
        <w:adjustRightInd w:val="0"/>
        <w:ind w:firstLine="720"/>
        <w:jc w:val="both"/>
      </w:pPr>
      <w:r>
        <w:rPr>
          <w:rFonts w:cs="Times New Roman"/>
          <w:szCs w:val="24"/>
        </w:rPr>
        <w:t xml:space="preserve">The canonical form of Equation (1) assumes that </w:t>
      </w:r>
      <w:r w:rsidR="000C4B4E" w:rsidRPr="00843330">
        <w:rPr>
          <w:rFonts w:eastAsia="Times New Roman" w:cs="Times New Roman"/>
          <w:noProof/>
          <w:position w:val="-6"/>
          <w:szCs w:val="24"/>
        </w:rPr>
        <w:object w:dxaOrig="200" w:dyaOrig="220" w14:anchorId="69AED94B">
          <v:shape id="_x0000_i1036" type="#_x0000_t75" style="width:9.85pt;height:12pt" o:ole="" o:preferrelative="f">
            <v:imagedata r:id="rId33" o:title=""/>
            <o:lock v:ext="edit" aspectratio="f"/>
          </v:shape>
          <o:OLEObject Type="Embed" ProgID="Equation.DSMT4" ShapeID="_x0000_i1036" DrawAspect="Content" ObjectID="_1790752755" r:id="rId34"/>
        </w:object>
      </w:r>
      <w:r>
        <w:rPr>
          <w:rFonts w:eastAsia="Times New Roman" w:cs="Times New Roman"/>
          <w:noProof/>
          <w:szCs w:val="24"/>
        </w:rPr>
        <w:t xml:space="preserve"> takes a standard logistic or standard normal distribution</w:t>
      </w:r>
      <w:r w:rsidR="00CB041A">
        <w:rPr>
          <w:rFonts w:eastAsia="Times New Roman" w:cs="Times New Roman"/>
          <w:noProof/>
          <w:szCs w:val="24"/>
        </w:rPr>
        <w:t xml:space="preserve"> (the standardization is to account for scale unidentifiability)</w:t>
      </w:r>
      <w:r>
        <w:rPr>
          <w:rFonts w:eastAsia="Times New Roman" w:cs="Times New Roman"/>
          <w:noProof/>
          <w:szCs w:val="24"/>
        </w:rPr>
        <w:t xml:space="preserve">. </w:t>
      </w:r>
      <w:r w:rsidR="001D4C22">
        <w:t xml:space="preserve">One way to generalize the </w:t>
      </w:r>
      <w:r w:rsidR="009B2186">
        <w:t xml:space="preserve">error </w:t>
      </w:r>
      <w:r w:rsidR="001D4C22">
        <w:t xml:space="preserve">specification in Equation (1) is to </w:t>
      </w:r>
      <w:r w:rsidR="00843330">
        <w:t>accommodate</w:t>
      </w:r>
      <w:r w:rsidR="001D4C22">
        <w:t xml:space="preserve"> </w:t>
      </w:r>
      <w:r w:rsidR="00843330">
        <w:t xml:space="preserve">asymmetry and skewness in </w:t>
      </w:r>
      <w:r w:rsidR="002024F4" w:rsidRPr="009F134B">
        <w:rPr>
          <w:rFonts w:eastAsia="Times New Roman" w:cs="Times New Roman"/>
          <w:noProof/>
          <w:position w:val="-6"/>
          <w:szCs w:val="24"/>
        </w:rPr>
        <w:object w:dxaOrig="200" w:dyaOrig="220" w14:anchorId="509726E2">
          <v:shape id="_x0000_i1037" type="#_x0000_t75" style="width:10.7pt;height:10.7pt" o:ole="" o:preferrelative="f">
            <v:imagedata r:id="rId25" o:title=""/>
            <o:lock v:ext="edit" aspectratio="f"/>
          </v:shape>
          <o:OLEObject Type="Embed" ProgID="Equation.DSMT4" ShapeID="_x0000_i1037" DrawAspect="Content" ObjectID="_1790752756" r:id="rId35"/>
        </w:object>
      </w:r>
      <w:r w:rsidR="00A5227E">
        <w:t xml:space="preserve">. </w:t>
      </w:r>
      <w:r w:rsidR="00A5227E">
        <w:rPr>
          <w:rFonts w:eastAsia="Times New Roman" w:cs="Times New Roman"/>
          <w:noProof/>
          <w:szCs w:val="24"/>
        </w:rPr>
        <w:t xml:space="preserve">In earlier applications used in econometrics and machine learning, </w:t>
      </w:r>
      <w:r w:rsidR="009B2186">
        <w:rPr>
          <w:rFonts w:eastAsia="Times New Roman" w:cs="Times New Roman"/>
          <w:noProof/>
          <w:szCs w:val="24"/>
        </w:rPr>
        <w:t xml:space="preserve">a </w:t>
      </w:r>
      <w:r w:rsidR="00E860AD">
        <w:rPr>
          <w:rFonts w:eastAsia="Times New Roman" w:cs="Times New Roman"/>
          <w:noProof/>
          <w:szCs w:val="24"/>
        </w:rPr>
        <w:t xml:space="preserve">strictly monotonic (and, therefore, </w:t>
      </w:r>
      <w:r w:rsidR="009B2186">
        <w:rPr>
          <w:rFonts w:eastAsia="Times New Roman" w:cs="Times New Roman"/>
          <w:noProof/>
          <w:szCs w:val="24"/>
        </w:rPr>
        <w:t>one-to-one</w:t>
      </w:r>
      <w:r w:rsidR="00E860AD">
        <w:rPr>
          <w:rFonts w:eastAsia="Times New Roman" w:cs="Times New Roman"/>
          <w:noProof/>
          <w:szCs w:val="24"/>
        </w:rPr>
        <w:t>)</w:t>
      </w:r>
      <w:r w:rsidR="009B2186">
        <w:rPr>
          <w:rFonts w:eastAsia="Times New Roman" w:cs="Times New Roman"/>
          <w:noProof/>
          <w:szCs w:val="24"/>
        </w:rPr>
        <w:t xml:space="preserve"> </w:t>
      </w:r>
      <w:r w:rsidR="00A5227E">
        <w:rPr>
          <w:rFonts w:eastAsia="Times New Roman" w:cs="Times New Roman"/>
          <w:noProof/>
          <w:szCs w:val="24"/>
        </w:rPr>
        <w:t>transformation ha</w:t>
      </w:r>
      <w:r w:rsidR="009B2186">
        <w:rPr>
          <w:rFonts w:eastAsia="Times New Roman" w:cs="Times New Roman"/>
          <w:noProof/>
          <w:szCs w:val="24"/>
        </w:rPr>
        <w:t>s</w:t>
      </w:r>
      <w:r w:rsidR="00A5227E">
        <w:rPr>
          <w:rFonts w:eastAsia="Times New Roman" w:cs="Times New Roman"/>
          <w:noProof/>
          <w:szCs w:val="24"/>
        </w:rPr>
        <w:t xml:space="preserve"> been </w:t>
      </w:r>
      <w:r w:rsidR="009B2186">
        <w:rPr>
          <w:rFonts w:eastAsia="Times New Roman" w:cs="Times New Roman"/>
          <w:noProof/>
          <w:szCs w:val="24"/>
        </w:rPr>
        <w:t xml:space="preserve">applied directly to </w:t>
      </w:r>
      <w:r w:rsidR="000C4B4E" w:rsidRPr="001E03BA">
        <w:rPr>
          <w:position w:val="-12"/>
        </w:rPr>
        <w:object w:dxaOrig="279" w:dyaOrig="380" w14:anchorId="47959218">
          <v:shape id="_x0000_i1038" type="#_x0000_t75" style="width:13.7pt;height:18pt" o:ole="" o:preferrelative="f">
            <v:imagedata r:id="rId36" o:title=""/>
            <o:lock v:ext="edit" aspectratio="f"/>
          </v:shape>
          <o:OLEObject Type="Embed" ProgID="Equation.DSMT4" ShapeID="_x0000_i1038" DrawAspect="Content" ObjectID="_1790752757" r:id="rId37"/>
        </w:object>
      </w:r>
      <w:r w:rsidR="00A5227E">
        <w:t xml:space="preserve"> </w:t>
      </w:r>
      <w:r w:rsidR="009B2186">
        <w:t xml:space="preserve">when </w:t>
      </w:r>
      <w:r w:rsidR="000C4B4E" w:rsidRPr="001E03BA">
        <w:rPr>
          <w:position w:val="-12"/>
        </w:rPr>
        <w:object w:dxaOrig="279" w:dyaOrig="380" w14:anchorId="49C8880B">
          <v:shape id="_x0000_i1039" type="#_x0000_t75" style="width:13.7pt;height:18pt" o:ole="" o:preferrelative="f">
            <v:imagedata r:id="rId36" o:title=""/>
            <o:lock v:ext="edit" aspectratio="f"/>
          </v:shape>
          <o:OLEObject Type="Embed" ProgID="Equation.DSMT4" ShapeID="_x0000_i1039" DrawAspect="Content" ObjectID="_1790752758" r:id="rId38"/>
        </w:object>
      </w:r>
      <w:r w:rsidR="000C4B4E">
        <w:t xml:space="preserve"> </w:t>
      </w:r>
      <w:r w:rsidR="00A5227E">
        <w:t xml:space="preserve">is observed as </w:t>
      </w:r>
      <w:r w:rsidR="00A5227E">
        <w:rPr>
          <w:rFonts w:eastAsia="Times New Roman" w:cs="Times New Roman"/>
          <w:noProof/>
          <w:szCs w:val="24"/>
        </w:rPr>
        <w:t>a continuous dependent outcome</w:t>
      </w:r>
      <w:r w:rsidR="00EB35E1">
        <w:rPr>
          <w:rFonts w:eastAsia="Times New Roman" w:cs="Times New Roman"/>
          <w:noProof/>
          <w:szCs w:val="24"/>
        </w:rPr>
        <w:t xml:space="preserve"> --</w:t>
      </w:r>
      <w:r w:rsidR="00A5227E">
        <w:rPr>
          <w:rFonts w:eastAsia="Times New Roman" w:cs="Times New Roman"/>
          <w:noProof/>
          <w:szCs w:val="24"/>
        </w:rPr>
        <w:t xml:space="preserve"> </w:t>
      </w:r>
      <w:r w:rsidR="00761D50" w:rsidRPr="009F134B">
        <w:rPr>
          <w:position w:val="-12"/>
        </w:rPr>
        <w:object w:dxaOrig="1060" w:dyaOrig="380" w14:anchorId="3F06740D">
          <v:shape id="_x0000_i1040" type="#_x0000_t75" style="width:52.7pt;height:18pt" o:ole="">
            <v:imagedata r:id="rId39" o:title=""/>
          </v:shape>
          <o:OLEObject Type="Embed" ProgID="Equation.DSMT4" ShapeID="_x0000_i1040" DrawAspect="Content" ObjectID="_1790752759" r:id="rId40"/>
        </w:object>
      </w:r>
      <w:r w:rsidR="00B64575">
        <w:t xml:space="preserve">, where </w:t>
      </w:r>
      <w:r w:rsidR="00761D50" w:rsidRPr="00761D50">
        <w:rPr>
          <w:position w:val="-10"/>
        </w:rPr>
        <w:object w:dxaOrig="200" w:dyaOrig="260" w14:anchorId="455CBECD">
          <v:shape id="_x0000_i1041" type="#_x0000_t75" style="width:10.7pt;height:12.85pt" o:ole="">
            <v:imagedata r:id="rId41" o:title=""/>
          </v:shape>
          <o:OLEObject Type="Embed" ProgID="Equation.DSMT4" ShapeID="_x0000_i1041" DrawAspect="Content" ObjectID="_1790752760" r:id="rId42"/>
        </w:object>
      </w:r>
      <w:r w:rsidR="00B64575">
        <w:t xml:space="preserve"> is closer to a symmetric distribution with non-fat tails (</w:t>
      </w:r>
      <w:r w:rsidR="000C4B4E" w:rsidRPr="009F134B">
        <w:rPr>
          <w:position w:val="-6"/>
        </w:rPr>
        <w:object w:dxaOrig="220" w:dyaOrig="279" w14:anchorId="1210965E">
          <v:shape id="_x0000_i1042" type="#_x0000_t75" style="width:12pt;height:13.7pt" o:ole="" o:preferrelative="f">
            <v:imagedata r:id="rId43" o:title=""/>
            <o:lock v:ext="edit" aspectratio="f"/>
          </v:shape>
          <o:OLEObject Type="Embed" ProgID="Equation.DSMT4" ShapeID="_x0000_i1042" DrawAspect="Content" ObjectID="_1790752761" r:id="rId44"/>
        </w:object>
      </w:r>
      <w:r w:rsidR="00E8159A">
        <w:t xml:space="preserve"> </w:t>
      </w:r>
      <w:r w:rsidR="00B64575">
        <w:t xml:space="preserve">is </w:t>
      </w:r>
      <w:r w:rsidR="00E8159A">
        <w:t xml:space="preserve">a </w:t>
      </w:r>
      <w:r w:rsidR="00B64575">
        <w:t>transformation parameter to be estimated)</w:t>
      </w:r>
      <w:r w:rsidR="009B2186">
        <w:t>. T</w:t>
      </w:r>
      <w:r w:rsidR="00843330">
        <w:t xml:space="preserve">he transformed variable </w:t>
      </w:r>
      <w:r w:rsidR="00E860AD" w:rsidRPr="00761D50">
        <w:rPr>
          <w:position w:val="-10"/>
        </w:rPr>
        <w:object w:dxaOrig="200" w:dyaOrig="260" w14:anchorId="102AF5C6">
          <v:shape id="_x0000_i1043" type="#_x0000_t75" style="width:10.7pt;height:12.85pt" o:ole="">
            <v:imagedata r:id="rId41" o:title=""/>
          </v:shape>
          <o:OLEObject Type="Embed" ProgID="Equation.DSMT4" ShapeID="_x0000_i1043" DrawAspect="Content" ObjectID="_1790752762" r:id="rId45"/>
        </w:object>
      </w:r>
      <w:r w:rsidR="00E860AD">
        <w:t xml:space="preserve"> </w:t>
      </w:r>
      <w:r w:rsidR="00843330">
        <w:t xml:space="preserve">is </w:t>
      </w:r>
      <w:r w:rsidR="009B2186">
        <w:t xml:space="preserve">then </w:t>
      </w:r>
      <w:r w:rsidR="00843330">
        <w:t>used as the dependent outcome in the model</w:t>
      </w:r>
      <w:r w:rsidR="009B2186">
        <w:t xml:space="preserve"> </w:t>
      </w:r>
      <w:r w:rsidR="009B2186">
        <w:rPr>
          <w:rFonts w:eastAsia="Times New Roman" w:cs="Times New Roman"/>
          <w:noProof/>
          <w:szCs w:val="24"/>
        </w:rPr>
        <w:t>(see Atkinson et al., 2021)</w:t>
      </w:r>
      <w:r w:rsidR="00A5227E">
        <w:rPr>
          <w:rFonts w:eastAsia="Times New Roman" w:cs="Times New Roman"/>
          <w:noProof/>
          <w:szCs w:val="24"/>
        </w:rPr>
        <w:t xml:space="preserve">. </w:t>
      </w:r>
      <w:r w:rsidR="00B64575">
        <w:rPr>
          <w:rFonts w:eastAsia="Times New Roman" w:cs="Times New Roman"/>
          <w:noProof/>
          <w:szCs w:val="24"/>
        </w:rPr>
        <w:t>One such restrictive transformation, of course, is the logarithmic transformation</w:t>
      </w:r>
      <w:r w:rsidR="00A42E7E">
        <w:rPr>
          <w:rFonts w:eastAsia="Times New Roman" w:cs="Times New Roman"/>
          <w:noProof/>
          <w:szCs w:val="24"/>
        </w:rPr>
        <w:t xml:space="preserve"> </w:t>
      </w:r>
      <w:r w:rsidR="00761D50" w:rsidRPr="00D31B24">
        <w:rPr>
          <w:position w:val="-14"/>
        </w:rPr>
        <w:object w:dxaOrig="1920" w:dyaOrig="400" w14:anchorId="6378BD41">
          <v:shape id="_x0000_i1044" type="#_x0000_t75" style="width:96.85pt;height:20.15pt" o:ole="">
            <v:imagedata r:id="rId46" o:title=""/>
          </v:shape>
          <o:OLEObject Type="Embed" ProgID="Equation.DSMT4" ShapeID="_x0000_i1044" DrawAspect="Content" ObjectID="_1790752763" r:id="rId47"/>
        </w:object>
      </w:r>
      <w:r w:rsidR="00D31B24">
        <w:t xml:space="preserve">, </w:t>
      </w:r>
      <w:r w:rsidR="00A42E7E">
        <w:rPr>
          <w:rFonts w:eastAsia="Times New Roman" w:cs="Times New Roman"/>
          <w:noProof/>
          <w:szCs w:val="24"/>
        </w:rPr>
        <w:t xml:space="preserve">with </w:t>
      </w:r>
      <w:r w:rsidR="000C4B4E" w:rsidRPr="009F134B">
        <w:rPr>
          <w:position w:val="-6"/>
        </w:rPr>
        <w:object w:dxaOrig="220" w:dyaOrig="279" w14:anchorId="0DB294E9">
          <v:shape id="_x0000_i1045" type="#_x0000_t75" style="width:12pt;height:13.7pt" o:ole="" o:preferrelative="f">
            <v:imagedata r:id="rId43" o:title=""/>
            <o:lock v:ext="edit" aspectratio="f"/>
          </v:shape>
          <o:OLEObject Type="Embed" ProgID="Equation.DSMT4" ShapeID="_x0000_i1045" DrawAspect="Content" ObjectID="_1790752764" r:id="rId48"/>
        </w:object>
      </w:r>
      <w:r w:rsidR="00A42E7E">
        <w:t xml:space="preserve"> being an empty vector</w:t>
      </w:r>
      <w:r w:rsidR="00B64575">
        <w:rPr>
          <w:rFonts w:eastAsia="Times New Roman" w:cs="Times New Roman"/>
          <w:noProof/>
          <w:szCs w:val="24"/>
        </w:rPr>
        <w:t xml:space="preserve">, in which case </w:t>
      </w:r>
      <w:r w:rsidR="00A42E7E">
        <w:rPr>
          <w:rFonts w:eastAsia="Times New Roman" w:cs="Times New Roman"/>
          <w:noProof/>
          <w:szCs w:val="24"/>
        </w:rPr>
        <w:t>the untransformed</w:t>
      </w:r>
      <w:r w:rsidR="00E8159A">
        <w:rPr>
          <w:rFonts w:eastAsia="Times New Roman" w:cs="Times New Roman"/>
          <w:noProof/>
          <w:szCs w:val="24"/>
        </w:rPr>
        <w:t xml:space="preserve"> outcome</w:t>
      </w:r>
      <w:r w:rsidR="000C4B4E">
        <w:rPr>
          <w:rFonts w:eastAsia="Times New Roman" w:cs="Times New Roman"/>
          <w:noProof/>
          <w:szCs w:val="24"/>
        </w:rPr>
        <w:t xml:space="preserve"> </w:t>
      </w:r>
      <w:r w:rsidR="002024F4" w:rsidRPr="001E03BA">
        <w:rPr>
          <w:position w:val="-12"/>
        </w:rPr>
        <w:object w:dxaOrig="279" w:dyaOrig="380" w14:anchorId="1B9A306C">
          <v:shape id="_x0000_i1046" type="#_x0000_t75" style="width:13.7pt;height:18pt" o:ole="" o:preferrelative="f">
            <v:imagedata r:id="rId36" o:title=""/>
            <o:lock v:ext="edit" aspectratio="f"/>
          </v:shape>
          <o:OLEObject Type="Embed" ProgID="Equation.DSMT4" ShapeID="_x0000_i1046" DrawAspect="Content" ObjectID="_1790752765" r:id="rId49"/>
        </w:object>
      </w:r>
      <w:r w:rsidR="00B64575">
        <w:rPr>
          <w:rFonts w:eastAsia="Times New Roman" w:cs="Times New Roman"/>
          <w:noProof/>
          <w:szCs w:val="24"/>
        </w:rPr>
        <w:t xml:space="preserve"> </w:t>
      </w:r>
      <w:r w:rsidR="00D31B24">
        <w:rPr>
          <w:rFonts w:eastAsia="Times New Roman" w:cs="Times New Roman"/>
          <w:noProof/>
          <w:szCs w:val="24"/>
        </w:rPr>
        <w:t>is given by the inverse transformation</w:t>
      </w:r>
      <w:r w:rsidR="000C4B4E">
        <w:rPr>
          <w:rFonts w:eastAsia="Times New Roman" w:cs="Times New Roman"/>
          <w:noProof/>
          <w:szCs w:val="24"/>
        </w:rPr>
        <w:t xml:space="preserve"> </w:t>
      </w:r>
      <w:r w:rsidR="00761D50" w:rsidRPr="009F134B">
        <w:rPr>
          <w:position w:val="-12"/>
        </w:rPr>
        <w:object w:dxaOrig="1980" w:dyaOrig="380" w14:anchorId="5ECE8A67">
          <v:shape id="_x0000_i1047" type="#_x0000_t75" style="width:98.15pt;height:18pt" o:ole="">
            <v:imagedata r:id="rId50" o:title=""/>
          </v:shape>
          <o:OLEObject Type="Embed" ProgID="Equation.DSMT4" ShapeID="_x0000_i1047" DrawAspect="Content" ObjectID="_1790752766" r:id="rId51"/>
        </w:object>
      </w:r>
      <w:r w:rsidR="003C6FF2">
        <w:t xml:space="preserve">. Then, </w:t>
      </w:r>
      <w:proofErr w:type="spellStart"/>
      <w:r w:rsidR="003C6FF2">
        <w:t>if</w:t>
      </w:r>
      <w:proofErr w:type="spellEnd"/>
      <w:r w:rsidR="003C6FF2">
        <w:t xml:space="preserve"> </w:t>
      </w:r>
      <w:r w:rsidR="00761D50" w:rsidRPr="00061531">
        <w:rPr>
          <w:position w:val="-10"/>
        </w:rPr>
        <w:object w:dxaOrig="200" w:dyaOrig="260" w14:anchorId="37528E80">
          <v:shape id="_x0000_i1048" type="#_x0000_t75" style="width:10.7pt;height:13.3pt" o:ole="">
            <v:imagedata r:id="rId52" o:title=""/>
          </v:shape>
          <o:OLEObject Type="Embed" ProgID="Equation.DSMT4" ShapeID="_x0000_i1048" DrawAspect="Content" ObjectID="_1790752767" r:id="rId53"/>
        </w:object>
      </w:r>
      <w:r w:rsidR="00761D50">
        <w:t xml:space="preserve"> </w:t>
      </w:r>
      <w:r w:rsidR="003C6FF2">
        <w:t xml:space="preserve">is assumed to be normally distributed, which is quite typical, </w:t>
      </w:r>
      <w:r w:rsidR="000C4B4E" w:rsidRPr="001E03BA">
        <w:rPr>
          <w:position w:val="-12"/>
        </w:rPr>
        <w:object w:dxaOrig="279" w:dyaOrig="380" w14:anchorId="7420F1B0">
          <v:shape id="_x0000_i1049" type="#_x0000_t75" style="width:13.7pt;height:18pt" o:ole="" o:preferrelative="f">
            <v:imagedata r:id="rId36" o:title=""/>
            <o:lock v:ext="edit" aspectratio="f"/>
          </v:shape>
          <o:OLEObject Type="Embed" ProgID="Equation.DSMT4" ShapeID="_x0000_i1049" DrawAspect="Content" ObjectID="_1790752768" r:id="rId54"/>
        </w:object>
      </w:r>
      <w:r w:rsidR="000C4B4E">
        <w:t xml:space="preserve"> </w:t>
      </w:r>
      <w:r w:rsidR="00A42E7E">
        <w:t xml:space="preserve">is log-normally distributed. However, much more flexible transformations, such as the YJ transformation may be used for </w:t>
      </w:r>
      <w:r w:rsidR="000C4B4E" w:rsidRPr="00726F99">
        <w:rPr>
          <w:position w:val="-12"/>
        </w:rPr>
        <w:object w:dxaOrig="480" w:dyaOrig="380" w14:anchorId="324C58E9">
          <v:shape id="_x0000_i1050" type="#_x0000_t75" style="width:24pt;height:18pt" o:ole="">
            <v:imagedata r:id="rId55" o:title=""/>
          </v:shape>
          <o:OLEObject Type="Embed" ProgID="Equation.DSMT4" ShapeID="_x0000_i1050" DrawAspect="Content" ObjectID="_1790752769" r:id="rId56"/>
        </w:object>
      </w:r>
      <w:r w:rsidR="00D31B24">
        <w:t xml:space="preserve">, while retaining the numerical convenience of the distribution of </w:t>
      </w:r>
      <w:r w:rsidR="007F7802" w:rsidRPr="00061531">
        <w:rPr>
          <w:position w:val="-10"/>
        </w:rPr>
        <w:object w:dxaOrig="200" w:dyaOrig="260" w14:anchorId="7E8C7E48">
          <v:shape id="_x0000_i1051" type="#_x0000_t75" style="width:10.7pt;height:13.3pt" o:ole="">
            <v:imagedata r:id="rId57" o:title=""/>
          </v:shape>
          <o:OLEObject Type="Embed" ProgID="Equation.DSMT4" ShapeID="_x0000_i1051" DrawAspect="Content" ObjectID="_1790752770" r:id="rId58"/>
        </w:object>
      </w:r>
      <w:r w:rsidR="007F7802">
        <w:t>.</w:t>
      </w:r>
      <w:r w:rsidR="00A42E7E">
        <w:t xml:space="preserve"> </w:t>
      </w:r>
      <w:r w:rsidR="00D31B24">
        <w:t xml:space="preserve">To see this, </w:t>
      </w:r>
      <w:r w:rsidR="00655646">
        <w:t>let the cumulative distribution function (</w:t>
      </w:r>
      <w:r w:rsidR="000412BF">
        <w:t>CDF</w:t>
      </w:r>
      <w:r w:rsidR="00655646">
        <w:t xml:space="preserve">) of </w:t>
      </w:r>
      <w:r w:rsidR="00E860AD" w:rsidRPr="00761D50">
        <w:rPr>
          <w:position w:val="-10"/>
        </w:rPr>
        <w:object w:dxaOrig="200" w:dyaOrig="260" w14:anchorId="31C9C25E">
          <v:shape id="_x0000_i1052" type="#_x0000_t75" style="width:10.7pt;height:12.85pt" o:ole="">
            <v:imagedata r:id="rId41" o:title=""/>
          </v:shape>
          <o:OLEObject Type="Embed" ProgID="Equation.DSMT4" ShapeID="_x0000_i1052" DrawAspect="Content" ObjectID="_1790752771" r:id="rId59"/>
        </w:object>
      </w:r>
      <w:r w:rsidR="00E860AD">
        <w:t xml:space="preserve"> </w:t>
      </w:r>
      <w:r w:rsidR="00655646">
        <w:t xml:space="preserve">be </w:t>
      </w:r>
      <w:r w:rsidR="00E860AD" w:rsidRPr="00E860AD">
        <w:rPr>
          <w:position w:val="-14"/>
        </w:rPr>
        <w:object w:dxaOrig="1960" w:dyaOrig="380" w14:anchorId="7C9328DA">
          <v:shape id="_x0000_i1053" type="#_x0000_t75" style="width:97.7pt;height:18.85pt" o:ole="" o:preferrelative="f">
            <v:imagedata r:id="rId60" o:title=""/>
            <o:lock v:ext="edit" aspectratio="f"/>
          </v:shape>
          <o:OLEObject Type="Embed" ProgID="Equation.DSMT4" ShapeID="_x0000_i1053" DrawAspect="Content" ObjectID="_1790752772" r:id="rId61"/>
        </w:object>
      </w:r>
      <w:r w:rsidR="005846BD">
        <w:t xml:space="preserve"> and </w:t>
      </w:r>
      <w:r w:rsidR="009B2186">
        <w:t xml:space="preserve">let </w:t>
      </w:r>
      <w:r w:rsidR="005846BD">
        <w:t>its probability density function (</w:t>
      </w:r>
      <w:r w:rsidR="000412BF">
        <w:t>PDF</w:t>
      </w:r>
      <w:r w:rsidR="005846BD">
        <w:t>)</w:t>
      </w:r>
      <w:r w:rsidR="00655646">
        <w:t xml:space="preserve"> </w:t>
      </w:r>
      <w:r w:rsidR="005846BD">
        <w:t xml:space="preserve">be </w:t>
      </w:r>
      <w:r w:rsidR="00E860AD" w:rsidRPr="00E860AD">
        <w:rPr>
          <w:position w:val="-14"/>
        </w:rPr>
        <w:object w:dxaOrig="639" w:dyaOrig="380" w14:anchorId="2A937465">
          <v:shape id="_x0000_i1054" type="#_x0000_t75" style="width:31.7pt;height:18.85pt" o:ole="" o:preferrelative="f">
            <v:imagedata r:id="rId62" o:title=""/>
            <o:lock v:ext="edit" aspectratio="f"/>
          </v:shape>
          <o:OLEObject Type="Embed" ProgID="Equation.DSMT4" ShapeID="_x0000_i1054" DrawAspect="Content" ObjectID="_1790752773" r:id="rId63"/>
        </w:object>
      </w:r>
      <w:r w:rsidR="00655646">
        <w:t>G</w:t>
      </w:r>
      <w:r w:rsidR="00D31B24">
        <w:t xml:space="preserve">iven that the transformation </w:t>
      </w:r>
      <w:r w:rsidR="00E860AD" w:rsidRPr="00D31B24">
        <w:rPr>
          <w:position w:val="-14"/>
        </w:rPr>
        <w:object w:dxaOrig="1060" w:dyaOrig="400" w14:anchorId="45278410">
          <v:shape id="_x0000_i1055" type="#_x0000_t75" style="width:52.7pt;height:19.7pt" o:ole="">
            <v:imagedata r:id="rId64" o:title=""/>
          </v:shape>
          <o:OLEObject Type="Embed" ProgID="Equation.DSMT4" ShapeID="_x0000_i1055" DrawAspect="Content" ObjectID="_1790752774" r:id="rId65"/>
        </w:object>
      </w:r>
      <w:r w:rsidR="00D31B24">
        <w:t xml:space="preserve"> is </w:t>
      </w:r>
      <w:r w:rsidR="00E860AD">
        <w:t>strictly monotonic</w:t>
      </w:r>
      <w:r w:rsidR="00D31B24">
        <w:t xml:space="preserve">, its inverse </w:t>
      </w:r>
      <w:r w:rsidR="00E860AD" w:rsidRPr="00726F99">
        <w:rPr>
          <w:position w:val="-12"/>
        </w:rPr>
        <w:object w:dxaOrig="1080" w:dyaOrig="380" w14:anchorId="23ADE9E3">
          <v:shape id="_x0000_i1056" type="#_x0000_t75" style="width:53.15pt;height:18pt" o:ole="">
            <v:imagedata r:id="rId66" o:title=""/>
          </v:shape>
          <o:OLEObject Type="Embed" ProgID="Equation.DSMT4" ShapeID="_x0000_i1056" DrawAspect="Content" ObjectID="_1790752775" r:id="rId67"/>
        </w:object>
      </w:r>
      <w:r w:rsidR="00655646">
        <w:t xml:space="preserve"> exists, and the </w:t>
      </w:r>
      <w:r w:rsidR="000412BF">
        <w:t>CDF</w:t>
      </w:r>
      <w:r w:rsidR="00655646">
        <w:t xml:space="preserve"> of </w:t>
      </w:r>
      <w:r w:rsidR="002A6F72" w:rsidRPr="00726F99">
        <w:rPr>
          <w:position w:val="-12"/>
        </w:rPr>
        <w:object w:dxaOrig="1080" w:dyaOrig="380" w14:anchorId="739AF656">
          <v:shape id="_x0000_i1057" type="#_x0000_t75" style="width:53.15pt;height:18pt" o:ole="">
            <v:imagedata r:id="rId68" o:title=""/>
          </v:shape>
          <o:OLEObject Type="Embed" ProgID="Equation.DSMT4" ShapeID="_x0000_i1057" DrawAspect="Content" ObjectID="_1790752776" r:id="rId69"/>
        </w:object>
      </w:r>
      <w:r w:rsidR="00655646">
        <w:t xml:space="preserve"> is given by:</w:t>
      </w:r>
    </w:p>
    <w:p w14:paraId="00952A30" w14:textId="7D5AB335" w:rsidR="00ED09B4" w:rsidRDefault="002A6F72" w:rsidP="007F2BF6">
      <w:pPr>
        <w:autoSpaceDE w:val="0"/>
        <w:autoSpaceDN w:val="0"/>
        <w:adjustRightInd w:val="0"/>
        <w:spacing w:before="60" w:after="60"/>
        <w:jc w:val="both"/>
      </w:pPr>
      <w:r w:rsidRPr="00D87B5F">
        <w:rPr>
          <w:position w:val="-18"/>
        </w:rPr>
        <w:object w:dxaOrig="6740" w:dyaOrig="440" w14:anchorId="62C2104E">
          <v:shape id="_x0000_i1058" type="#_x0000_t75" style="width:337.3pt;height:22.7pt" o:ole="" o:preferrelative="f">
            <v:imagedata r:id="rId70" o:title=""/>
            <o:lock v:ext="edit" aspectratio="f"/>
          </v:shape>
          <o:OLEObject Type="Embed" ProgID="Equation.DSMT4" ShapeID="_x0000_i1058" DrawAspect="Content" ObjectID="_1790752777" r:id="rId71"/>
        </w:object>
      </w:r>
      <w:r w:rsidR="00ED09B4">
        <w:t>.</w:t>
      </w:r>
      <w:r w:rsidR="00D3201F">
        <w:tab/>
      </w:r>
      <w:r>
        <w:t xml:space="preserve"> </w:t>
      </w:r>
      <w:r>
        <w:tab/>
      </w:r>
      <w:r>
        <w:tab/>
        <w:t xml:space="preserve">       </w:t>
      </w:r>
      <w:r w:rsidR="00D3201F">
        <w:t>(2)</w:t>
      </w:r>
    </w:p>
    <w:p w14:paraId="7887CE37" w14:textId="293C2571" w:rsidR="00EB35E1" w:rsidRDefault="00ED09B4" w:rsidP="007F2BF6">
      <w:pPr>
        <w:autoSpaceDE w:val="0"/>
        <w:autoSpaceDN w:val="0"/>
        <w:adjustRightInd w:val="0"/>
        <w:jc w:val="both"/>
      </w:pPr>
      <w:r>
        <w:t xml:space="preserve">The </w:t>
      </w:r>
      <w:r w:rsidR="00FF2AD2">
        <w:t xml:space="preserve">corresponding </w:t>
      </w:r>
      <w:r w:rsidR="000412BF">
        <w:t>PDF</w:t>
      </w:r>
      <w:r w:rsidR="00FF2AD2">
        <w:t xml:space="preserve"> </w:t>
      </w:r>
      <w:r w:rsidR="007142A6">
        <w:t xml:space="preserve">is </w:t>
      </w:r>
      <w:r w:rsidR="00FF2AD2">
        <w:t>given by:</w:t>
      </w:r>
    </w:p>
    <w:p w14:paraId="3037A683" w14:textId="243EDD33" w:rsidR="00EB35E1" w:rsidRDefault="002A6F72" w:rsidP="007F2BF6">
      <w:pPr>
        <w:autoSpaceDE w:val="0"/>
        <w:autoSpaceDN w:val="0"/>
        <w:adjustRightInd w:val="0"/>
        <w:spacing w:before="60" w:after="60"/>
        <w:jc w:val="both"/>
      </w:pPr>
      <w:r w:rsidRPr="00726F99">
        <w:rPr>
          <w:position w:val="-32"/>
        </w:rPr>
        <w:object w:dxaOrig="2500" w:dyaOrig="760" w14:anchorId="3BA61775">
          <v:shape id="_x0000_i1059" type="#_x0000_t75" style="width:127.7pt;height:38.15pt" o:ole="">
            <v:imagedata r:id="rId72" o:title=""/>
          </v:shape>
          <o:OLEObject Type="Embed" ProgID="Equation.DSMT4" ShapeID="_x0000_i1059" DrawAspect="Content" ObjectID="_1790752778" r:id="rId73"/>
        </w:object>
      </w:r>
      <w:r w:rsidR="00FF2AD2">
        <w:t>.</w:t>
      </w:r>
      <w:r w:rsidR="00D3201F">
        <w:tab/>
      </w:r>
      <w:r w:rsidR="00D3201F">
        <w:tab/>
      </w:r>
      <w:r w:rsidR="00D3201F">
        <w:tab/>
      </w:r>
      <w:r w:rsidR="00D3201F">
        <w:tab/>
      </w:r>
      <w:r w:rsidR="00D3201F">
        <w:tab/>
      </w:r>
      <w:r w:rsidR="00D3201F">
        <w:tab/>
      </w:r>
      <w:r w:rsidR="00D3201F">
        <w:tab/>
      </w:r>
      <w:r w:rsidR="00D3201F">
        <w:tab/>
      </w:r>
      <w:r w:rsidR="00D3201F">
        <w:tab/>
        <w:t xml:space="preserve">      (3)</w:t>
      </w:r>
    </w:p>
    <w:p w14:paraId="380FA3DE" w14:textId="437BE571" w:rsidR="00FF2AD2" w:rsidRDefault="00FF2AD2" w:rsidP="007F2BF6">
      <w:pPr>
        <w:autoSpaceDE w:val="0"/>
        <w:autoSpaceDN w:val="0"/>
        <w:adjustRightInd w:val="0"/>
        <w:jc w:val="both"/>
      </w:pPr>
      <w:r>
        <w:t xml:space="preserve">Thus, the </w:t>
      </w:r>
      <w:r w:rsidR="000412BF">
        <w:t>CDF</w:t>
      </w:r>
      <w:r>
        <w:t xml:space="preserve"> of </w:t>
      </w:r>
      <w:r w:rsidR="00726F99" w:rsidRPr="00FF2AD2">
        <w:rPr>
          <w:position w:val="-12"/>
        </w:rPr>
        <w:object w:dxaOrig="279" w:dyaOrig="380" w14:anchorId="5E072DBC">
          <v:shape id="_x0000_i1060" type="#_x0000_t75" style="width:13.7pt;height:19.3pt" o:ole="">
            <v:imagedata r:id="rId74" o:title=""/>
          </v:shape>
          <o:OLEObject Type="Embed" ProgID="Equation.DSMT4" ShapeID="_x0000_i1060" DrawAspect="Content" ObjectID="_1790752779" r:id="rId75"/>
        </w:object>
      </w:r>
      <w:r>
        <w:t xml:space="preserve"> takes the same convenien</w:t>
      </w:r>
      <w:r w:rsidR="005846BD">
        <w:t>t</w:t>
      </w:r>
      <w:r>
        <w:t xml:space="preserve"> form as the </w:t>
      </w:r>
      <w:r w:rsidR="000412BF">
        <w:t>CDF</w:t>
      </w:r>
      <w:r>
        <w:t xml:space="preserve"> of </w:t>
      </w:r>
      <w:r w:rsidR="002A6F72" w:rsidRPr="002A6F72">
        <w:rPr>
          <w:position w:val="-10"/>
        </w:rPr>
        <w:object w:dxaOrig="200" w:dyaOrig="260" w14:anchorId="7C9D5453">
          <v:shape id="_x0000_i1061" type="#_x0000_t75" style="width:10.7pt;height:13.3pt" o:ole="">
            <v:imagedata r:id="rId41" o:title=""/>
          </v:shape>
          <o:OLEObject Type="Embed" ProgID="Equation.DSMT4" ShapeID="_x0000_i1061" DrawAspect="Content" ObjectID="_1790752780" r:id="rId76"/>
        </w:object>
      </w:r>
      <w:r w:rsidR="002A6F72">
        <w:t xml:space="preserve">, </w:t>
      </w:r>
      <w:r>
        <w:t xml:space="preserve">except </w:t>
      </w:r>
      <w:r w:rsidR="002A6F72">
        <w:t xml:space="preserve">that the CDF of  </w:t>
      </w:r>
      <w:r w:rsidR="002A6F72" w:rsidRPr="002A6F72">
        <w:rPr>
          <w:position w:val="-10"/>
        </w:rPr>
        <w:object w:dxaOrig="200" w:dyaOrig="260" w14:anchorId="3B27B63C">
          <v:shape id="_x0000_i1062" type="#_x0000_t75" style="width:10.7pt;height:13.3pt" o:ole="">
            <v:imagedata r:id="rId41" o:title=""/>
          </v:shape>
          <o:OLEObject Type="Embed" ProgID="Equation.DSMT4" ShapeID="_x0000_i1062" DrawAspect="Content" ObjectID="_1790752781" r:id="rId77"/>
        </w:object>
      </w:r>
      <w:r w:rsidR="002A6F72">
        <w:t xml:space="preserve"> is </w:t>
      </w:r>
      <w:r>
        <w:t xml:space="preserve">computed at a different point </w:t>
      </w:r>
      <w:r w:rsidR="009B5EC0" w:rsidRPr="00726F99">
        <w:rPr>
          <w:position w:val="-12"/>
        </w:rPr>
        <w:object w:dxaOrig="540" w:dyaOrig="380" w14:anchorId="312E7099">
          <v:shape id="_x0000_i1063" type="#_x0000_t75" style="width:27pt;height:18pt" o:ole="" o:preferrelative="f">
            <v:imagedata r:id="rId78" o:title=""/>
            <o:lock v:ext="edit" aspectratio="f"/>
          </v:shape>
          <o:OLEObject Type="Embed" ProgID="Equation.DSMT4" ShapeID="_x0000_i1063" DrawAspect="Content" ObjectID="_1790752782" r:id="rId79"/>
        </w:object>
      </w:r>
      <w:r>
        <w:t xml:space="preserve"> rather than at </w:t>
      </w:r>
      <w:r w:rsidRPr="00FF2AD2">
        <w:rPr>
          <w:i/>
          <w:iCs/>
        </w:rPr>
        <w:t>z</w:t>
      </w:r>
      <w:r w:rsidR="002A6F72">
        <w:t>. T</w:t>
      </w:r>
      <w:r w:rsidR="005846BD">
        <w:t xml:space="preserve">he </w:t>
      </w:r>
      <w:r w:rsidR="000412BF">
        <w:t>PDF</w:t>
      </w:r>
      <w:r w:rsidR="005846BD">
        <w:t xml:space="preserve"> of </w:t>
      </w:r>
      <w:r w:rsidR="009B5EC0" w:rsidRPr="00FF2AD2">
        <w:rPr>
          <w:position w:val="-12"/>
        </w:rPr>
        <w:object w:dxaOrig="279" w:dyaOrig="380" w14:anchorId="43A26C0C">
          <v:shape id="_x0000_i1064" type="#_x0000_t75" style="width:13.7pt;height:18pt" o:ole="" o:preferrelative="f">
            <v:imagedata r:id="rId80" o:title=""/>
            <o:lock v:ext="edit" aspectratio="f"/>
          </v:shape>
          <o:OLEObject Type="Embed" ProgID="Equation.DSMT4" ShapeID="_x0000_i1064" DrawAspect="Content" ObjectID="_1790752783" r:id="rId81"/>
        </w:object>
      </w:r>
      <w:r w:rsidR="005846BD">
        <w:t xml:space="preserve"> is also readily computed from the </w:t>
      </w:r>
      <w:r w:rsidR="000412BF">
        <w:t>PDF</w:t>
      </w:r>
      <w:r w:rsidR="005846BD">
        <w:t xml:space="preserve"> of</w:t>
      </w:r>
      <w:r w:rsidR="002A6F72">
        <w:t xml:space="preserve"> </w:t>
      </w:r>
      <w:r w:rsidR="002A6F72" w:rsidRPr="002A6F72">
        <w:rPr>
          <w:position w:val="-10"/>
        </w:rPr>
        <w:object w:dxaOrig="200" w:dyaOrig="260" w14:anchorId="40F6D33C">
          <v:shape id="_x0000_i1065" type="#_x0000_t75" style="width:10.7pt;height:13.3pt" o:ole="">
            <v:imagedata r:id="rId41" o:title=""/>
          </v:shape>
          <o:OLEObject Type="Embed" ProgID="Equation.DSMT4" ShapeID="_x0000_i1065" DrawAspect="Content" ObjectID="_1790752784" r:id="rId82"/>
        </w:object>
      </w:r>
      <w:r w:rsidR="002A6F72">
        <w:t xml:space="preserve"> computed at </w:t>
      </w:r>
      <w:r w:rsidR="002A6F72" w:rsidRPr="00726F99">
        <w:rPr>
          <w:position w:val="-12"/>
        </w:rPr>
        <w:object w:dxaOrig="540" w:dyaOrig="380" w14:anchorId="581273EC">
          <v:shape id="_x0000_i1066" type="#_x0000_t75" style="width:27pt;height:18pt" o:ole="" o:preferrelative="f">
            <v:imagedata r:id="rId78" o:title=""/>
            <o:lock v:ext="edit" aspectratio="f"/>
          </v:shape>
          <o:OLEObject Type="Embed" ProgID="Equation.DSMT4" ShapeID="_x0000_i1066" DrawAspect="Content" ObjectID="_1790752785" r:id="rId83"/>
        </w:object>
      </w:r>
      <w:r w:rsidR="002A6F72">
        <w:rPr>
          <w:i/>
          <w:iCs/>
        </w:rPr>
        <w:t xml:space="preserve"> </w:t>
      </w:r>
      <w:r w:rsidR="005846BD">
        <w:t>.</w:t>
      </w:r>
    </w:p>
    <w:p w14:paraId="75986B08" w14:textId="2D5ACEED" w:rsidR="00A915BA" w:rsidRDefault="00A5227E" w:rsidP="007F2BF6">
      <w:pPr>
        <w:autoSpaceDE w:val="0"/>
        <w:autoSpaceDN w:val="0"/>
        <w:adjustRightInd w:val="0"/>
        <w:ind w:firstLine="720"/>
        <w:jc w:val="both"/>
      </w:pPr>
      <w:r>
        <w:rPr>
          <w:rFonts w:eastAsia="Times New Roman" w:cs="Times New Roman"/>
          <w:noProof/>
          <w:szCs w:val="24"/>
        </w:rPr>
        <w:t>In our case</w:t>
      </w:r>
      <w:r w:rsidR="00A42E7E">
        <w:rPr>
          <w:rFonts w:eastAsia="Times New Roman" w:cs="Times New Roman"/>
          <w:noProof/>
          <w:szCs w:val="24"/>
        </w:rPr>
        <w:t xml:space="preserve"> of Equation (</w:t>
      </w:r>
      <w:r w:rsidR="00725562">
        <w:rPr>
          <w:rFonts w:eastAsia="Times New Roman" w:cs="Times New Roman"/>
          <w:noProof/>
          <w:szCs w:val="24"/>
        </w:rPr>
        <w:t>1</w:t>
      </w:r>
      <w:r w:rsidR="00A42E7E">
        <w:rPr>
          <w:rFonts w:eastAsia="Times New Roman" w:cs="Times New Roman"/>
          <w:noProof/>
          <w:szCs w:val="24"/>
        </w:rPr>
        <w:t>)</w:t>
      </w:r>
      <w:r>
        <w:rPr>
          <w:rFonts w:eastAsia="Times New Roman" w:cs="Times New Roman"/>
          <w:noProof/>
          <w:szCs w:val="24"/>
        </w:rPr>
        <w:t xml:space="preserve">, however, the underlying continuous random variable </w:t>
      </w:r>
      <w:r w:rsidR="000C4B4E" w:rsidRPr="008410A0">
        <w:rPr>
          <w:position w:val="-12"/>
        </w:rPr>
        <w:object w:dxaOrig="279" w:dyaOrig="380" w14:anchorId="45E00F7F">
          <v:shape id="_x0000_i1067" type="#_x0000_t75" style="width:13.7pt;height:18pt" o:ole="" o:preferrelative="f">
            <v:imagedata r:id="rId36" o:title=""/>
            <o:lock v:ext="edit" aspectratio="f"/>
          </v:shape>
          <o:OLEObject Type="Embed" ProgID="Equation.DSMT4" ShapeID="_x0000_i1067" DrawAspect="Content" ObjectID="_1790752786" r:id="rId84"/>
        </w:object>
      </w:r>
      <w:r>
        <w:t xml:space="preserve"> is not observed,</w:t>
      </w:r>
      <w:r w:rsidR="00C864DA">
        <w:t xml:space="preserve"> and so we propose </w:t>
      </w:r>
      <w:r>
        <w:rPr>
          <w:rFonts w:eastAsia="Times New Roman" w:cs="Times New Roman"/>
          <w:noProof/>
          <w:szCs w:val="24"/>
        </w:rPr>
        <w:t xml:space="preserve">placing a transformation on the conditional (on </w:t>
      </w:r>
      <w:r w:rsidR="007142A6" w:rsidRPr="00726F99">
        <w:rPr>
          <w:position w:val="-10"/>
        </w:rPr>
        <w:object w:dxaOrig="820" w:dyaOrig="320" w14:anchorId="3FBF50B5">
          <v:shape id="_x0000_i1068" type="#_x0000_t75" style="width:41.15pt;height:15.85pt" o:ole="">
            <v:imagedata r:id="rId85" o:title=""/>
          </v:shape>
          <o:OLEObject Type="Embed" ProgID="Equation.DSMT4" ShapeID="_x0000_i1068" DrawAspect="Content" ObjectID="_1790752787" r:id="rId86"/>
        </w:object>
      </w:r>
      <w:r>
        <w:t>) underlying latent variable</w:t>
      </w:r>
      <w:r w:rsidR="00C864DA">
        <w:rPr>
          <w:rFonts w:eastAsia="Times New Roman" w:cs="Times New Roman"/>
          <w:noProof/>
          <w:szCs w:val="24"/>
        </w:rPr>
        <w:t xml:space="preserve">. That is, we apply </w:t>
      </w:r>
      <w:r w:rsidR="002A6F72">
        <w:rPr>
          <w:rFonts w:eastAsia="Times New Roman" w:cs="Times New Roman"/>
          <w:noProof/>
          <w:szCs w:val="24"/>
        </w:rPr>
        <w:t>the strictly monotonic</w:t>
      </w:r>
      <w:r w:rsidR="00B64575">
        <w:rPr>
          <w:rFonts w:eastAsia="Times New Roman" w:cs="Times New Roman"/>
          <w:noProof/>
          <w:szCs w:val="24"/>
        </w:rPr>
        <w:t xml:space="preserve"> </w:t>
      </w:r>
      <w:r w:rsidR="00C864DA">
        <w:rPr>
          <w:rFonts w:eastAsia="Times New Roman" w:cs="Times New Roman"/>
          <w:noProof/>
          <w:szCs w:val="24"/>
        </w:rPr>
        <w:t>transformation</w:t>
      </w:r>
      <w:r w:rsidR="00AC3C17">
        <w:rPr>
          <w:rFonts w:eastAsia="Times New Roman" w:cs="Times New Roman"/>
          <w:noProof/>
          <w:szCs w:val="24"/>
        </w:rPr>
        <w:t xml:space="preserve"> </w:t>
      </w:r>
      <w:r w:rsidR="00F576AF">
        <w:rPr>
          <w:rFonts w:eastAsia="Times New Roman" w:cs="Times New Roman"/>
          <w:noProof/>
          <w:szCs w:val="24"/>
        </w:rPr>
        <w:t xml:space="preserve">in </w:t>
      </w:r>
      <w:r w:rsidR="00AC3C17">
        <w:rPr>
          <w:rFonts w:eastAsia="Times New Roman" w:cs="Times New Roman"/>
          <w:noProof/>
          <w:szCs w:val="24"/>
        </w:rPr>
        <w:t>reverse</w:t>
      </w:r>
      <w:r w:rsidR="00F576AF">
        <w:rPr>
          <w:rFonts w:eastAsia="Times New Roman" w:cs="Times New Roman"/>
          <w:noProof/>
          <w:szCs w:val="24"/>
        </w:rPr>
        <w:t xml:space="preserve"> form </w:t>
      </w:r>
      <w:r w:rsidR="00C864DA">
        <w:rPr>
          <w:rFonts w:eastAsia="Times New Roman" w:cs="Times New Roman"/>
          <w:noProof/>
          <w:szCs w:val="24"/>
        </w:rPr>
        <w:t xml:space="preserve">by writing </w:t>
      </w:r>
      <w:r w:rsidR="002A6F72" w:rsidRPr="00726F99">
        <w:rPr>
          <w:position w:val="-12"/>
        </w:rPr>
        <w:object w:dxaOrig="1040" w:dyaOrig="380" w14:anchorId="109A71A9">
          <v:shape id="_x0000_i1069" type="#_x0000_t75" style="width:52.7pt;height:18.85pt" o:ole="" o:preferrelative="f">
            <v:imagedata r:id="rId87" o:title=""/>
            <o:lock v:ext="edit" aspectratio="f"/>
          </v:shape>
          <o:OLEObject Type="Embed" ProgID="Equation.DSMT4" ShapeID="_x0000_i1069" DrawAspect="Content" ObjectID="_1790752788" r:id="rId88"/>
        </w:object>
      </w:r>
      <w:r w:rsidR="00C0415C">
        <w:t xml:space="preserve">, and maximize the resulting likelihood function to obtain an estimate of </w:t>
      </w:r>
      <w:r w:rsidR="00726F99" w:rsidRPr="00726F99">
        <w:rPr>
          <w:position w:val="-6"/>
        </w:rPr>
        <w:object w:dxaOrig="220" w:dyaOrig="279" w14:anchorId="459C209E">
          <v:shape id="_x0000_i1070" type="#_x0000_t75" style="width:12pt;height:13.7pt" o:ole="">
            <v:imagedata r:id="rId43" o:title=""/>
          </v:shape>
          <o:OLEObject Type="Embed" ProgID="Equation.DSMT4" ShapeID="_x0000_i1070" DrawAspect="Content" ObjectID="_1790752789" r:id="rId89"/>
        </w:object>
      </w:r>
      <w:r w:rsidR="00C0415C">
        <w:t xml:space="preserve"> and other parameters of interest in the model.</w:t>
      </w:r>
      <w:r w:rsidR="00F2787C">
        <w:t xml:space="preserve"> Defining </w:t>
      </w:r>
      <w:r w:rsidR="002024F4" w:rsidRPr="00FA0695">
        <w:rPr>
          <w:position w:val="-12"/>
        </w:rPr>
        <w:object w:dxaOrig="1840" w:dyaOrig="360" w14:anchorId="6B5B07B2">
          <v:shape id="_x0000_i1071" type="#_x0000_t75" style="width:92.15pt;height:18pt" o:ole="" o:preferrelative="f">
            <v:imagedata r:id="rId90" o:title=""/>
            <o:lock v:ext="edit" aspectratio="f"/>
          </v:shape>
          <o:OLEObject Type="Embed" ProgID="Equation.DSMT4" ShapeID="_x0000_i1071" DrawAspect="Content" ObjectID="_1790752790" r:id="rId91"/>
        </w:object>
      </w:r>
      <w:r w:rsidR="002C638B">
        <w:t xml:space="preserve"> </w:t>
      </w:r>
      <w:r w:rsidR="00FA0695">
        <w:t>t</w:t>
      </w:r>
      <w:r w:rsidR="00C0415C">
        <w:t xml:space="preserve">he </w:t>
      </w:r>
      <w:r w:rsidR="00A915BA">
        <w:t>required probability corresponding to Equation (</w:t>
      </w:r>
      <w:r w:rsidR="00725562">
        <w:t>1</w:t>
      </w:r>
      <w:r w:rsidR="00A915BA">
        <w:t xml:space="preserve">) </w:t>
      </w:r>
      <w:r w:rsidR="00AD4FB1">
        <w:t xml:space="preserve">for maximum likelihood estimation </w:t>
      </w:r>
      <w:r w:rsidR="00A915BA">
        <w:t>is:</w:t>
      </w:r>
    </w:p>
    <w:p w14:paraId="19CA9F35" w14:textId="2ABD2FF7" w:rsidR="00F2787C" w:rsidRDefault="00F5489D" w:rsidP="007F2BF6">
      <w:pPr>
        <w:autoSpaceDE w:val="0"/>
        <w:autoSpaceDN w:val="0"/>
        <w:adjustRightInd w:val="0"/>
        <w:spacing w:before="60" w:after="60"/>
        <w:jc w:val="both"/>
      </w:pPr>
      <w:r w:rsidRPr="00726F99">
        <w:rPr>
          <w:position w:val="-16"/>
          <w:szCs w:val="24"/>
        </w:rPr>
        <w:object w:dxaOrig="6000" w:dyaOrig="440" w14:anchorId="71EEC114">
          <v:shape id="_x0000_i1072" type="#_x0000_t75" style="width:300.85pt;height:22.7pt" o:ole="" o:preferrelative="f">
            <v:imagedata r:id="rId92" o:title=""/>
            <o:lock v:ext="edit" aspectratio="f"/>
          </v:shape>
          <o:OLEObject Type="Embed" ProgID="Equation.DSMT4" ShapeID="_x0000_i1072" DrawAspect="Content" ObjectID="_1790752791" r:id="rId93"/>
        </w:object>
      </w:r>
      <w:r w:rsidR="00D3201F">
        <w:rPr>
          <w:szCs w:val="24"/>
        </w:rPr>
        <w:tab/>
      </w:r>
      <w:r w:rsidR="00D3201F">
        <w:rPr>
          <w:szCs w:val="24"/>
        </w:rPr>
        <w:tab/>
      </w:r>
      <w:r w:rsidR="00D3201F">
        <w:rPr>
          <w:szCs w:val="24"/>
        </w:rPr>
        <w:tab/>
      </w:r>
      <w:r w:rsidR="00D3201F">
        <w:rPr>
          <w:szCs w:val="24"/>
        </w:rPr>
        <w:tab/>
        <w:t xml:space="preserve">      (4)</w:t>
      </w:r>
    </w:p>
    <w:p w14:paraId="68379BB5" w14:textId="2BFFBFDF" w:rsidR="0057456F" w:rsidRPr="00F72D6A" w:rsidRDefault="00F5489D" w:rsidP="00F5489D">
      <w:pPr>
        <w:autoSpaceDE w:val="0"/>
        <w:autoSpaceDN w:val="0"/>
        <w:adjustRightInd w:val="0"/>
        <w:jc w:val="both"/>
        <w:rPr>
          <w:rFonts w:cs="Times New Roman"/>
          <w:szCs w:val="24"/>
        </w:rPr>
      </w:pPr>
      <w:r>
        <w:t xml:space="preserve">Importantly, the convenience of the easily computed </w:t>
      </w:r>
      <w:r w:rsidR="000412BF">
        <w:t>CDF</w:t>
      </w:r>
      <w:r>
        <w:t xml:space="preserve"> of </w:t>
      </w:r>
      <w:r w:rsidRPr="002A6F72">
        <w:rPr>
          <w:position w:val="-10"/>
        </w:rPr>
        <w:object w:dxaOrig="200" w:dyaOrig="260" w14:anchorId="400F6ADD">
          <v:shape id="_x0000_i1073" type="#_x0000_t75" style="width:10.7pt;height:13.3pt" o:ole="">
            <v:imagedata r:id="rId41" o:title=""/>
          </v:shape>
          <o:OLEObject Type="Embed" ProgID="Equation.DSMT4" ShapeID="_x0000_i1073" DrawAspect="Content" ObjectID="_1790752792" r:id="rId94"/>
        </w:object>
      </w:r>
      <w:r>
        <w:t xml:space="preserve"> is retained, while allowing a new, more flexible distribution for </w:t>
      </w:r>
      <w:r w:rsidRPr="009F134B">
        <w:rPr>
          <w:rFonts w:eastAsia="Times New Roman" w:cs="Times New Roman"/>
          <w:noProof/>
          <w:position w:val="-6"/>
          <w:szCs w:val="24"/>
        </w:rPr>
        <w:object w:dxaOrig="200" w:dyaOrig="220" w14:anchorId="6D01F112">
          <v:shape id="_x0000_i1074" type="#_x0000_t75" style="width:10.7pt;height:10.7pt" o:ole="" o:preferrelative="f">
            <v:imagedata r:id="rId25" o:title=""/>
            <o:lock v:ext="edit" aspectratio="f"/>
          </v:shape>
          <o:OLEObject Type="Embed" ProgID="Equation.DSMT4" ShapeID="_x0000_i1074" DrawAspect="Content" ObjectID="_1790752793" r:id="rId95"/>
        </w:object>
      </w:r>
      <w:r>
        <w:t xml:space="preserve">based on the transformation </w:t>
      </w:r>
      <w:r w:rsidRPr="00726F99">
        <w:rPr>
          <w:position w:val="-12"/>
        </w:rPr>
        <w:object w:dxaOrig="480" w:dyaOrig="360" w14:anchorId="793C94C6">
          <v:shape id="_x0000_i1075" type="#_x0000_t75" style="width:24pt;height:18pt" o:ole="" o:preferrelative="f">
            <v:imagedata r:id="rId96" o:title=""/>
            <o:lock v:ext="edit" aspectratio="f"/>
          </v:shape>
          <o:OLEObject Type="Embed" ProgID="Equation.DSMT4" ShapeID="_x0000_i1075" DrawAspect="Content" ObjectID="_1790752794" r:id="rId97"/>
        </w:object>
      </w:r>
      <w:r>
        <w:t xml:space="preserve">. </w:t>
      </w:r>
      <w:r w:rsidR="004479F0">
        <w:t>The</w:t>
      </w:r>
      <w:r>
        <w:t xml:space="preserve"> </w:t>
      </w:r>
      <w:r w:rsidR="00AC3C17">
        <w:t xml:space="preserve">point </w:t>
      </w:r>
      <w:r>
        <w:t xml:space="preserve">then </w:t>
      </w:r>
      <w:r w:rsidR="00AC3C17">
        <w:t xml:space="preserve">is to consider </w:t>
      </w:r>
      <w:r w:rsidR="004479F0">
        <w:t xml:space="preserve">a </w:t>
      </w:r>
      <w:r>
        <w:t xml:space="preserve">suitable transformation </w:t>
      </w:r>
      <w:r w:rsidR="000412BF" w:rsidRPr="00726F99">
        <w:rPr>
          <w:position w:val="-12"/>
        </w:rPr>
        <w:object w:dxaOrig="480" w:dyaOrig="360" w14:anchorId="0B6D34FD">
          <v:shape id="_x0000_i1076" type="#_x0000_t75" style="width:24pt;height:18pt" o:ole="" o:preferrelative="f">
            <v:imagedata r:id="rId96" o:title=""/>
            <o:lock v:ext="edit" aspectratio="f"/>
          </v:shape>
          <o:OLEObject Type="Embed" ProgID="Equation.DSMT4" ShapeID="_x0000_i1076" DrawAspect="Content" ObjectID="_1790752795" r:id="rId98"/>
        </w:object>
      </w:r>
      <w:r w:rsidR="000412BF">
        <w:t xml:space="preserve"> </w:t>
      </w:r>
      <w:r>
        <w:t xml:space="preserve">that allows for a </w:t>
      </w:r>
      <w:r w:rsidR="004479F0">
        <w:t xml:space="preserve">flexible distribution </w:t>
      </w:r>
      <w:r w:rsidR="000412BF">
        <w:t xml:space="preserve">of </w:t>
      </w:r>
      <w:r w:rsidR="00AC3C17">
        <w:t xml:space="preserve">the error term </w:t>
      </w:r>
      <w:r w:rsidR="002024F4" w:rsidRPr="009F134B">
        <w:rPr>
          <w:rFonts w:eastAsia="Times New Roman" w:cs="Times New Roman"/>
          <w:noProof/>
          <w:position w:val="-6"/>
          <w:szCs w:val="24"/>
        </w:rPr>
        <w:object w:dxaOrig="200" w:dyaOrig="220" w14:anchorId="04F68E24">
          <v:shape id="_x0000_i1077" type="#_x0000_t75" style="width:10.7pt;height:10.7pt" o:ole="" o:preferrelative="f">
            <v:imagedata r:id="rId25" o:title=""/>
            <o:lock v:ext="edit" aspectratio="f"/>
          </v:shape>
          <o:OLEObject Type="Embed" ProgID="Equation.DSMT4" ShapeID="_x0000_i1077" DrawAspect="Content" ObjectID="_1790752796" r:id="rId99"/>
        </w:object>
      </w:r>
      <w:r w:rsidR="00AC3C17">
        <w:t xml:space="preserve"> </w:t>
      </w:r>
      <w:r>
        <w:t xml:space="preserve">that </w:t>
      </w:r>
      <w:r w:rsidR="004479F0">
        <w:t>accommodat</w:t>
      </w:r>
      <w:r>
        <w:t>es</w:t>
      </w:r>
      <w:r w:rsidR="004479F0">
        <w:t xml:space="preserve"> a range of asymmetric, skewed, and fat-tailed distributions. </w:t>
      </w:r>
      <w:r w:rsidR="000412BF">
        <w:t>For example, i</w:t>
      </w:r>
      <w:r w:rsidR="00436FEC">
        <w:t>n the empirical context of this paper</w:t>
      </w:r>
      <w:r w:rsidR="00725562">
        <w:t>, which</w:t>
      </w:r>
      <w:r w:rsidR="00436FEC">
        <w:t xml:space="preserve"> </w:t>
      </w:r>
      <w:r w:rsidR="00A3615A">
        <w:t>focus</w:t>
      </w:r>
      <w:r w:rsidR="00725562">
        <w:t>es</w:t>
      </w:r>
      <w:r w:rsidR="00A3615A">
        <w:t xml:space="preserve"> on </w:t>
      </w:r>
      <w:r w:rsidR="00436FEC">
        <w:t>walk frequency</w:t>
      </w:r>
      <w:r w:rsidR="00A3615A">
        <w:t xml:space="preserve"> </w:t>
      </w:r>
      <w:r w:rsidR="00725562">
        <w:t xml:space="preserve">measured </w:t>
      </w:r>
      <w:r w:rsidR="00A3615A">
        <w:t>on an ordinal scale</w:t>
      </w:r>
      <w:r w:rsidR="00436FEC">
        <w:t xml:space="preserve">, it is highly unlikely that the unobserved term </w:t>
      </w:r>
      <w:r w:rsidRPr="009F134B">
        <w:rPr>
          <w:rFonts w:eastAsia="Times New Roman" w:cs="Times New Roman"/>
          <w:noProof/>
          <w:position w:val="-6"/>
          <w:szCs w:val="24"/>
        </w:rPr>
        <w:object w:dxaOrig="200" w:dyaOrig="220" w14:anchorId="5BFEADEE">
          <v:shape id="_x0000_i1078" type="#_x0000_t75" style="width:10.7pt;height:10.7pt" o:ole="" o:preferrelative="f">
            <v:imagedata r:id="rId25" o:title=""/>
            <o:lock v:ext="edit" aspectratio="f"/>
          </v:shape>
          <o:OLEObject Type="Embed" ProgID="Equation.DSMT4" ShapeID="_x0000_i1078" DrawAspect="Content" ObjectID="_1790752797" r:id="rId100"/>
        </w:object>
      </w:r>
      <w:r>
        <w:rPr>
          <w:rFonts w:eastAsia="Times New Roman" w:cs="Times New Roman"/>
          <w:noProof/>
          <w:szCs w:val="24"/>
        </w:rPr>
        <w:t xml:space="preserve"> </w:t>
      </w:r>
      <w:r w:rsidR="00436FEC">
        <w:t xml:space="preserve">would have a symmetric distribution.  Rather, </w:t>
      </w:r>
      <w:r w:rsidR="00A3615A">
        <w:t xml:space="preserve">we would expect </w:t>
      </w:r>
      <w:r w:rsidR="00713BE0">
        <w:t xml:space="preserve">that, given observed characteristics, </w:t>
      </w:r>
      <w:r w:rsidR="000412BF">
        <w:t>a</w:t>
      </w:r>
      <w:r w:rsidR="00A3615A">
        <w:t xml:space="preserve"> </w:t>
      </w:r>
      <w:r w:rsidR="00713BE0">
        <w:t xml:space="preserve">few </w:t>
      </w:r>
      <w:r w:rsidR="00A3615A">
        <w:t xml:space="preserve">individuals </w:t>
      </w:r>
      <w:r w:rsidR="00713BE0">
        <w:t xml:space="preserve">will </w:t>
      </w:r>
      <w:r w:rsidR="00A3615A">
        <w:t xml:space="preserve">have a </w:t>
      </w:r>
      <w:r w:rsidR="00E265EB">
        <w:t>high</w:t>
      </w:r>
      <w:r w:rsidR="00A3615A">
        <w:t xml:space="preserve"> </w:t>
      </w:r>
      <w:r w:rsidR="000412BF">
        <w:t xml:space="preserve">and spread-out </w:t>
      </w:r>
      <w:r w:rsidR="00A3615A">
        <w:t>intensity in their walking</w:t>
      </w:r>
      <w:r w:rsidR="00713BE0">
        <w:t xml:space="preserve">. </w:t>
      </w:r>
      <w:r w:rsidR="000412BF">
        <w:t>But</w:t>
      </w:r>
      <w:r w:rsidR="00713BE0">
        <w:t xml:space="preserve"> </w:t>
      </w:r>
      <w:r w:rsidR="00A3615A">
        <w:t xml:space="preserve">there is likely to be clustering at the lower end of walking intensity, especially given that there is also a bounding at zero. </w:t>
      </w:r>
      <w:r w:rsidR="00E265EB">
        <w:rPr>
          <w:rFonts w:eastAsia="Times New Roman" w:cs="Times New Roman"/>
          <w:noProof/>
          <w:szCs w:val="24"/>
        </w:rPr>
        <w:t>This wou</w:t>
      </w:r>
      <w:r w:rsidR="00725562">
        <w:rPr>
          <w:rFonts w:eastAsia="Times New Roman" w:cs="Times New Roman"/>
          <w:noProof/>
          <w:szCs w:val="24"/>
        </w:rPr>
        <w:t>l</w:t>
      </w:r>
      <w:r w:rsidR="00E265EB">
        <w:rPr>
          <w:rFonts w:eastAsia="Times New Roman" w:cs="Times New Roman"/>
          <w:noProof/>
          <w:szCs w:val="24"/>
        </w:rPr>
        <w:t xml:space="preserve">d lead to a situation where there is a long right tail in the distribution of  </w:t>
      </w:r>
      <w:r w:rsidR="002024F4" w:rsidRPr="009F134B">
        <w:rPr>
          <w:rFonts w:eastAsia="Times New Roman" w:cs="Times New Roman"/>
          <w:noProof/>
          <w:position w:val="-6"/>
          <w:szCs w:val="24"/>
        </w:rPr>
        <w:object w:dxaOrig="200" w:dyaOrig="220" w14:anchorId="63006023">
          <v:shape id="_x0000_i1079" type="#_x0000_t75" style="width:10.7pt;height:10.7pt" o:ole="" o:preferrelative="f">
            <v:imagedata r:id="rId25" o:title=""/>
            <o:lock v:ext="edit" aspectratio="f"/>
          </v:shape>
          <o:OLEObject Type="Embed" ProgID="Equation.DSMT4" ShapeID="_x0000_i1079" DrawAspect="Content" ObjectID="_1790752798" r:id="rId101"/>
        </w:object>
      </w:r>
      <w:r w:rsidR="00E265EB">
        <w:rPr>
          <w:rFonts w:eastAsia="Times New Roman" w:cs="Times New Roman"/>
          <w:noProof/>
          <w:szCs w:val="24"/>
        </w:rPr>
        <w:t xml:space="preserve">. More generally in empirical applications, there could be a variety of reasons why </w:t>
      </w:r>
      <w:r w:rsidR="002024F4" w:rsidRPr="009F134B">
        <w:rPr>
          <w:rFonts w:eastAsia="Times New Roman" w:cs="Times New Roman"/>
          <w:noProof/>
          <w:position w:val="-6"/>
          <w:szCs w:val="24"/>
        </w:rPr>
        <w:object w:dxaOrig="200" w:dyaOrig="220" w14:anchorId="7F674274">
          <v:shape id="_x0000_i1080" type="#_x0000_t75" style="width:10.7pt;height:10.7pt" o:ole="" o:preferrelative="f">
            <v:imagedata r:id="rId25" o:title=""/>
            <o:lock v:ext="edit" aspectratio="f"/>
          </v:shape>
          <o:OLEObject Type="Embed" ProgID="Equation.DSMT4" ShapeID="_x0000_i1080" DrawAspect="Content" ObjectID="_1790752799" r:id="rId102"/>
        </w:object>
      </w:r>
      <w:r w:rsidR="00E265EB">
        <w:t xml:space="preserve"> may not be symmetrically distributed. </w:t>
      </w:r>
      <w:r w:rsidR="00D734D1">
        <w:t xml:space="preserve">In the current paper, we propose the </w:t>
      </w:r>
      <w:r w:rsidR="00725562">
        <w:t xml:space="preserve">use of the </w:t>
      </w:r>
      <w:r w:rsidR="00D734D1">
        <w:t xml:space="preserve">YJ-transformation for </w:t>
      </w:r>
      <w:r w:rsidR="00C002FE">
        <w:t xml:space="preserve">the unobserved </w:t>
      </w:r>
      <w:r w:rsidR="00E265EB">
        <w:t>error term</w:t>
      </w:r>
      <w:r w:rsidR="00E040B4">
        <w:t xml:space="preserve">, </w:t>
      </w:r>
      <w:r w:rsidR="0057456F">
        <w:t xml:space="preserve">such that </w:t>
      </w:r>
      <w:r w:rsidR="002024F4" w:rsidRPr="00D87B5F">
        <w:rPr>
          <w:position w:val="-6"/>
        </w:rPr>
        <w:object w:dxaOrig="200" w:dyaOrig="220" w14:anchorId="55D6DDC2">
          <v:shape id="_x0000_i1081" type="#_x0000_t75" style="width:10.7pt;height:10.7pt" o:ole="" o:preferrelative="f">
            <v:imagedata r:id="rId103" o:title=""/>
            <o:lock v:ext="edit" aspectratio="f"/>
          </v:shape>
          <o:OLEObject Type="Embed" ProgID="Equation.DSMT4" ShapeID="_x0000_i1081" DrawAspect="Content" ObjectID="_1790752800" r:id="rId104"/>
        </w:object>
      </w:r>
      <w:r w:rsidR="0057456F">
        <w:t xml:space="preserve"> is transformed into a symmetric distribution of</w:t>
      </w:r>
      <w:r w:rsidR="00713BE0">
        <w:t xml:space="preserve"> </w:t>
      </w:r>
      <w:r w:rsidR="00713BE0" w:rsidRPr="002A6F72">
        <w:rPr>
          <w:position w:val="-10"/>
        </w:rPr>
        <w:object w:dxaOrig="200" w:dyaOrig="260" w14:anchorId="07B53865">
          <v:shape id="_x0000_i1082" type="#_x0000_t75" style="width:10.7pt;height:13.3pt" o:ole="">
            <v:imagedata r:id="rId41" o:title=""/>
          </v:shape>
          <o:OLEObject Type="Embed" ProgID="Equation.DSMT4" ShapeID="_x0000_i1082" DrawAspect="Content" ObjectID="_1790752801" r:id="rId105"/>
        </w:object>
      </w:r>
      <w:r w:rsidR="0057456F">
        <w:t xml:space="preserve"> as follows:</w:t>
      </w:r>
      <w:r w:rsidR="0057456F" w:rsidRPr="00F72D6A">
        <w:rPr>
          <w:rFonts w:cs="Times New Roman"/>
          <w:szCs w:val="24"/>
        </w:rPr>
        <w:t xml:space="preserve"> </w:t>
      </w:r>
    </w:p>
    <w:p w14:paraId="6808332B" w14:textId="40FFEE68" w:rsidR="0057456F" w:rsidRPr="009B5EC0" w:rsidRDefault="00BB78C1" w:rsidP="009B5EC0">
      <w:pPr>
        <w:spacing w:before="60" w:after="60" w:line="276" w:lineRule="auto"/>
        <w:jc w:val="both"/>
        <w:rPr>
          <w:rFonts w:cs="Times New Roman"/>
          <w:caps/>
          <w:noProof/>
          <w:szCs w:val="24"/>
        </w:rPr>
      </w:pPr>
      <w:r w:rsidRPr="0057456F">
        <w:rPr>
          <w:rFonts w:eastAsia="Times New Roman" w:cs="Times New Roman"/>
          <w:position w:val="-62"/>
          <w:szCs w:val="24"/>
        </w:rPr>
        <w:object w:dxaOrig="3660" w:dyaOrig="1359" w14:anchorId="3D0E49F2">
          <v:shape id="_x0000_i1083" type="#_x0000_t75" style="width:183pt;height:67.3pt" o:ole="" o:preferrelative="f">
            <v:imagedata r:id="rId106" o:title=""/>
            <o:lock v:ext="edit" aspectratio="f"/>
          </v:shape>
          <o:OLEObject Type="Embed" ProgID="Equation.DSMT4" ShapeID="_x0000_i1083" DrawAspect="Content" ObjectID="_1790752802" r:id="rId107"/>
        </w:object>
      </w:r>
      <w:r w:rsidR="0057456F" w:rsidRPr="00F72D6A">
        <w:rPr>
          <w:rFonts w:cs="Times New Roman"/>
          <w:szCs w:val="24"/>
        </w:rPr>
        <w:t xml:space="preserve">                                                                </w:t>
      </w:r>
      <w:r w:rsidR="00D3201F">
        <w:rPr>
          <w:rFonts w:cs="Times New Roman"/>
          <w:szCs w:val="24"/>
        </w:rPr>
        <w:tab/>
      </w:r>
      <w:r w:rsidR="00D3201F">
        <w:rPr>
          <w:rFonts w:cs="Times New Roman"/>
          <w:szCs w:val="24"/>
        </w:rPr>
        <w:tab/>
        <w:t xml:space="preserve">     </w:t>
      </w:r>
      <w:r w:rsidR="0057456F" w:rsidRPr="00F72D6A">
        <w:rPr>
          <w:rFonts w:cs="Times New Roman"/>
          <w:szCs w:val="24"/>
        </w:rPr>
        <w:t>(</w:t>
      </w:r>
      <w:r w:rsidR="00725562">
        <w:rPr>
          <w:rFonts w:cs="Times New Roman"/>
          <w:szCs w:val="24"/>
        </w:rPr>
        <w:t>5</w:t>
      </w:r>
      <w:r w:rsidR="0057456F" w:rsidRPr="00F72D6A">
        <w:rPr>
          <w:rFonts w:cs="Times New Roman"/>
          <w:szCs w:val="24"/>
        </w:rPr>
        <w:t xml:space="preserve">)               </w:t>
      </w:r>
    </w:p>
    <w:p w14:paraId="23DEC11B" w14:textId="37ECB9EC" w:rsidR="00AA1FB0" w:rsidRDefault="0057456F" w:rsidP="0057456F">
      <w:pPr>
        <w:autoSpaceDE w:val="0"/>
        <w:autoSpaceDN w:val="0"/>
        <w:adjustRightInd w:val="0"/>
        <w:spacing w:line="276" w:lineRule="auto"/>
        <w:jc w:val="both"/>
        <w:rPr>
          <w:rFonts w:eastAsia="Times New Roman" w:cs="Times New Roman"/>
          <w:szCs w:val="24"/>
        </w:rPr>
      </w:pPr>
      <w:r>
        <w:t>However, we apply the above transformation i</w:t>
      </w:r>
      <w:r w:rsidR="00AD4FB1">
        <w:t>n</w:t>
      </w:r>
      <w:r>
        <w:t xml:space="preserve"> reverse to generate asymmetry and skew from a sample of symmetric data points </w:t>
      </w:r>
      <w:r w:rsidR="00B333D5">
        <w:t xml:space="preserve">drawn from the distribution of </w:t>
      </w:r>
      <w:r w:rsidR="00BB78C1" w:rsidRPr="002A6F72">
        <w:rPr>
          <w:position w:val="-10"/>
        </w:rPr>
        <w:object w:dxaOrig="200" w:dyaOrig="260" w14:anchorId="205710BF">
          <v:shape id="_x0000_i1084" type="#_x0000_t75" style="width:10.7pt;height:13.3pt" o:ole="">
            <v:imagedata r:id="rId41" o:title=""/>
          </v:shape>
          <o:OLEObject Type="Embed" ProgID="Equation.DSMT4" ShapeID="_x0000_i1084" DrawAspect="Content" ObjectID="_1790752803" r:id="rId108"/>
        </w:object>
      </w:r>
      <w:r w:rsidR="00BB78C1">
        <w:t xml:space="preserve"> </w:t>
      </w:r>
      <w:r>
        <w:t>as follows:</w:t>
      </w:r>
    </w:p>
    <w:p w14:paraId="2B1A9D8A" w14:textId="3527AD71" w:rsidR="00BB78C1" w:rsidRDefault="00800BC1" w:rsidP="00F86138">
      <w:pPr>
        <w:spacing w:before="60" w:after="60"/>
        <w:jc w:val="both"/>
        <w:rPr>
          <w:rFonts w:cs="Times New Roman"/>
          <w:szCs w:val="24"/>
        </w:rPr>
      </w:pPr>
      <w:r w:rsidRPr="003C6FF2">
        <w:rPr>
          <w:rFonts w:eastAsia="Times New Roman" w:cs="Times New Roman"/>
          <w:position w:val="-58"/>
          <w:szCs w:val="24"/>
        </w:rPr>
        <w:object w:dxaOrig="4260" w:dyaOrig="1280" w14:anchorId="467C09F6">
          <v:shape id="_x0000_i1085" type="#_x0000_t75" style="width:213pt;height:64.7pt" o:ole="" o:preferrelative="f">
            <v:imagedata r:id="rId109" o:title=""/>
            <o:lock v:ext="edit" aspectratio="f"/>
          </v:shape>
          <o:OLEObject Type="Embed" ProgID="Equation.DSMT4" ShapeID="_x0000_i1085" DrawAspect="Content" ObjectID="_1790752804" r:id="rId110"/>
        </w:object>
      </w:r>
      <w:r w:rsidR="00AA1FB0" w:rsidRPr="00F72D6A">
        <w:rPr>
          <w:rFonts w:cs="Times New Roman"/>
          <w:szCs w:val="24"/>
        </w:rPr>
        <w:t xml:space="preserve">                                                             </w:t>
      </w:r>
      <w:r w:rsidR="00AA1FB0">
        <w:rPr>
          <w:rFonts w:cs="Times New Roman"/>
          <w:szCs w:val="24"/>
        </w:rPr>
        <w:t xml:space="preserve">          </w:t>
      </w:r>
      <w:r w:rsidR="00D3201F">
        <w:rPr>
          <w:rFonts w:cs="Times New Roman"/>
          <w:szCs w:val="24"/>
        </w:rPr>
        <w:t xml:space="preserve">     </w:t>
      </w:r>
      <w:r w:rsidR="00AA1FB0">
        <w:rPr>
          <w:rFonts w:cs="Times New Roman"/>
          <w:szCs w:val="24"/>
        </w:rPr>
        <w:t>(</w:t>
      </w:r>
      <w:r w:rsidR="00725562">
        <w:rPr>
          <w:rFonts w:cs="Times New Roman"/>
          <w:szCs w:val="24"/>
        </w:rPr>
        <w:t>6</w:t>
      </w:r>
      <w:r w:rsidR="00AA1FB0">
        <w:rPr>
          <w:rFonts w:cs="Times New Roman"/>
          <w:szCs w:val="24"/>
        </w:rPr>
        <w:t>)</w:t>
      </w:r>
      <w:r w:rsidR="00AA1FB0" w:rsidRPr="00F72D6A">
        <w:rPr>
          <w:rFonts w:cs="Times New Roman"/>
          <w:szCs w:val="24"/>
        </w:rPr>
        <w:t xml:space="preserve">   </w:t>
      </w:r>
    </w:p>
    <w:p w14:paraId="33A2DF48" w14:textId="1CC38542" w:rsidR="00AA1FB0" w:rsidRPr="00F72D6A" w:rsidRDefault="00AA1FB0" w:rsidP="00F86138">
      <w:pPr>
        <w:spacing w:before="60" w:after="60"/>
        <w:jc w:val="both"/>
        <w:rPr>
          <w:rFonts w:cs="Times New Roman"/>
          <w:caps/>
          <w:noProof/>
          <w:szCs w:val="24"/>
        </w:rPr>
      </w:pPr>
    </w:p>
    <w:p w14:paraId="05291221" w14:textId="2FA7D311" w:rsidR="0057456F" w:rsidRDefault="003C6FF2" w:rsidP="00AA1FB0">
      <w:pPr>
        <w:spacing w:line="276" w:lineRule="auto"/>
        <w:jc w:val="both"/>
        <w:rPr>
          <w:rFonts w:cs="Times New Roman"/>
          <w:szCs w:val="24"/>
        </w:rPr>
      </w:pPr>
      <w:r>
        <w:rPr>
          <w:rFonts w:cs="Times New Roman"/>
          <w:szCs w:val="24"/>
        </w:rPr>
        <w:t xml:space="preserve">where </w:t>
      </w:r>
      <w:r w:rsidR="00AA1FB0" w:rsidRPr="00F72D6A">
        <w:rPr>
          <w:rFonts w:cs="Times New Roman"/>
          <w:szCs w:val="24"/>
        </w:rPr>
        <w:t>0&lt;</w:t>
      </w:r>
      <w:r w:rsidRPr="003C6FF2">
        <w:rPr>
          <w:rFonts w:eastAsia="Times New Roman" w:cs="Times New Roman"/>
          <w:position w:val="-6"/>
          <w:szCs w:val="24"/>
        </w:rPr>
        <w:object w:dxaOrig="220" w:dyaOrig="279" w14:anchorId="676DD8AE">
          <v:shape id="_x0000_i1086" type="#_x0000_t75" style="width:12pt;height:13.7pt" o:ole="" o:preferrelative="f">
            <v:imagedata r:id="rId111" o:title=""/>
            <o:lock v:ext="edit" aspectratio="f"/>
          </v:shape>
          <o:OLEObject Type="Embed" ProgID="Equation.DSMT4" ShapeID="_x0000_i1086" DrawAspect="Content" ObjectID="_1790752805" r:id="rId112"/>
        </w:object>
      </w:r>
      <w:r w:rsidR="00AA1FB0" w:rsidRPr="00F72D6A">
        <w:rPr>
          <w:rFonts w:cs="Times New Roman"/>
          <w:szCs w:val="24"/>
        </w:rPr>
        <w:t>&lt;</w:t>
      </w:r>
      <w:r>
        <w:rPr>
          <w:rFonts w:cs="Times New Roman"/>
          <w:szCs w:val="24"/>
        </w:rPr>
        <w:t xml:space="preserve">2. When </w:t>
      </w:r>
      <w:r w:rsidR="00BA36B6">
        <w:rPr>
          <w:rFonts w:cs="Times New Roman"/>
          <w:szCs w:val="24"/>
        </w:rPr>
        <w:t>0&lt;</w:t>
      </w:r>
      <w:r w:rsidRPr="003C6FF2">
        <w:rPr>
          <w:rFonts w:eastAsia="Times New Roman" w:cs="Times New Roman"/>
          <w:position w:val="-6"/>
          <w:szCs w:val="24"/>
        </w:rPr>
        <w:object w:dxaOrig="220" w:dyaOrig="279" w14:anchorId="77577B85">
          <v:shape id="_x0000_i1087" type="#_x0000_t75" style="width:12pt;height:13.7pt" o:ole="" o:preferrelative="f">
            <v:imagedata r:id="rId111" o:title=""/>
            <o:lock v:ext="edit" aspectratio="f"/>
          </v:shape>
          <o:OLEObject Type="Embed" ProgID="Equation.DSMT4" ShapeID="_x0000_i1087" DrawAspect="Content" ObjectID="_1790752806" r:id="rId113"/>
        </w:object>
      </w:r>
      <w:r>
        <w:rPr>
          <w:rFonts w:eastAsia="Times New Roman" w:cs="Times New Roman"/>
          <w:szCs w:val="24"/>
        </w:rPr>
        <w:t xml:space="preserve">&lt;1, </w:t>
      </w:r>
      <w:r w:rsidR="00BA36B6">
        <w:rPr>
          <w:rFonts w:eastAsia="Times New Roman" w:cs="Times New Roman"/>
          <w:szCs w:val="24"/>
        </w:rPr>
        <w:t xml:space="preserve">any value </w:t>
      </w:r>
      <w:r w:rsidR="00B333D5">
        <w:rPr>
          <w:rFonts w:eastAsia="Times New Roman" w:cs="Times New Roman"/>
          <w:szCs w:val="24"/>
        </w:rPr>
        <w:t xml:space="preserve">from the </w:t>
      </w:r>
      <w:r w:rsidR="00BA36B6">
        <w:rPr>
          <w:rFonts w:eastAsia="Times New Roman" w:cs="Times New Roman"/>
          <w:szCs w:val="24"/>
        </w:rPr>
        <w:t xml:space="preserve">symmetric </w:t>
      </w:r>
      <w:r w:rsidR="00B333D5">
        <w:rPr>
          <w:rFonts w:eastAsia="Times New Roman" w:cs="Times New Roman"/>
          <w:szCs w:val="24"/>
        </w:rPr>
        <w:t xml:space="preserve">distribution of </w:t>
      </w:r>
      <w:r w:rsidR="00BB78C1" w:rsidRPr="002A6F72">
        <w:rPr>
          <w:position w:val="-10"/>
        </w:rPr>
        <w:object w:dxaOrig="200" w:dyaOrig="260" w14:anchorId="25208340">
          <v:shape id="_x0000_i1088" type="#_x0000_t75" style="width:10.7pt;height:13.3pt" o:ole="">
            <v:imagedata r:id="rId41" o:title=""/>
          </v:shape>
          <o:OLEObject Type="Embed" ProgID="Equation.DSMT4" ShapeID="_x0000_i1088" DrawAspect="Content" ObjectID="_1790752807" r:id="rId114"/>
        </w:object>
      </w:r>
      <w:r w:rsidR="00BB78C1">
        <w:t xml:space="preserve"> </w:t>
      </w:r>
      <w:r w:rsidR="00BA36B6">
        <w:rPr>
          <w:rFonts w:eastAsia="Times New Roman" w:cs="Times New Roman"/>
          <w:szCs w:val="24"/>
        </w:rPr>
        <w:t xml:space="preserve">on the real line is moved toward the right by the </w:t>
      </w:r>
      <w:r w:rsidR="00B333D5">
        <w:rPr>
          <w:rFonts w:eastAsia="Times New Roman" w:cs="Times New Roman"/>
          <w:szCs w:val="24"/>
        </w:rPr>
        <w:t xml:space="preserve">reverse </w:t>
      </w:r>
      <w:r w:rsidR="00BA36B6">
        <w:rPr>
          <w:rFonts w:eastAsia="Times New Roman" w:cs="Times New Roman"/>
          <w:szCs w:val="24"/>
        </w:rPr>
        <w:t xml:space="preserve">transformation </w:t>
      </w:r>
      <w:r w:rsidR="00B333D5">
        <w:rPr>
          <w:rFonts w:eastAsia="Times New Roman" w:cs="Times New Roman"/>
          <w:szCs w:val="24"/>
        </w:rPr>
        <w:t xml:space="preserve">above </w:t>
      </w:r>
      <w:r w:rsidR="00BA36B6">
        <w:rPr>
          <w:rFonts w:eastAsia="Times New Roman" w:cs="Times New Roman"/>
          <w:szCs w:val="24"/>
        </w:rPr>
        <w:t xml:space="preserve">(but without changing the sign of the </w:t>
      </w:r>
      <w:r w:rsidR="00BA36B6">
        <w:rPr>
          <w:rFonts w:eastAsia="Times New Roman" w:cs="Times New Roman"/>
          <w:szCs w:val="24"/>
        </w:rPr>
        <w:lastRenderedPageBreak/>
        <w:t xml:space="preserve">value of </w:t>
      </w:r>
      <w:r w:rsidR="00BB78C1" w:rsidRPr="002A6F72">
        <w:rPr>
          <w:position w:val="-10"/>
        </w:rPr>
        <w:object w:dxaOrig="200" w:dyaOrig="260" w14:anchorId="6534332B">
          <v:shape id="_x0000_i1089" type="#_x0000_t75" style="width:10.7pt;height:13.3pt" o:ole="">
            <v:imagedata r:id="rId41" o:title=""/>
          </v:shape>
          <o:OLEObject Type="Embed" ProgID="Equation.DSMT4" ShapeID="_x0000_i1089" DrawAspect="Content" ObjectID="_1790752808" r:id="rId115"/>
        </w:object>
      </w:r>
      <w:r w:rsidR="00BA36B6">
        <w:rPr>
          <w:rFonts w:eastAsia="Times New Roman" w:cs="Times New Roman"/>
          <w:szCs w:val="24"/>
        </w:rPr>
        <w:t xml:space="preserve">). However, negative values for </w:t>
      </w:r>
      <w:r w:rsidR="00BB78C1" w:rsidRPr="002A6F72">
        <w:rPr>
          <w:position w:val="-10"/>
        </w:rPr>
        <w:object w:dxaOrig="200" w:dyaOrig="260" w14:anchorId="78E3C7AD">
          <v:shape id="_x0000_i1090" type="#_x0000_t75" style="width:10.7pt;height:13.3pt" o:ole="">
            <v:imagedata r:id="rId41" o:title=""/>
          </v:shape>
          <o:OLEObject Type="Embed" ProgID="Equation.DSMT4" ShapeID="_x0000_i1090" DrawAspect="Content" ObjectID="_1790752809" r:id="rId116"/>
        </w:object>
      </w:r>
      <w:r w:rsidR="00BA36B6">
        <w:rPr>
          <w:rFonts w:eastAsia="Times New Roman" w:cs="Times New Roman"/>
          <w:szCs w:val="24"/>
        </w:rPr>
        <w:t xml:space="preserve"> are moved toward the right less than positive values for </w:t>
      </w:r>
      <w:r w:rsidR="00BB78C1" w:rsidRPr="002A6F72">
        <w:rPr>
          <w:position w:val="-10"/>
        </w:rPr>
        <w:object w:dxaOrig="200" w:dyaOrig="260" w14:anchorId="0C92219B">
          <v:shape id="_x0000_i1091" type="#_x0000_t75" style="width:10.7pt;height:13.3pt" o:ole="">
            <v:imagedata r:id="rId41" o:title=""/>
          </v:shape>
          <o:OLEObject Type="Embed" ProgID="Equation.DSMT4" ShapeID="_x0000_i1091" DrawAspect="Content" ObjectID="_1790752810" r:id="rId117"/>
        </w:object>
      </w:r>
      <w:r w:rsidR="00BA36B6">
        <w:rPr>
          <w:rFonts w:eastAsia="Times New Roman" w:cs="Times New Roman"/>
          <w:i/>
          <w:iCs/>
          <w:szCs w:val="24"/>
        </w:rPr>
        <w:t xml:space="preserve">, </w:t>
      </w:r>
      <w:r w:rsidR="00BA36B6" w:rsidRPr="00317A55">
        <w:rPr>
          <w:rFonts w:eastAsia="Times New Roman" w:cs="Times New Roman"/>
          <w:szCs w:val="24"/>
        </w:rPr>
        <w:t xml:space="preserve">which results in a clustering closer to zero for the negative values of </w:t>
      </w:r>
      <w:r w:rsidR="00BB78C1" w:rsidRPr="002A6F72">
        <w:rPr>
          <w:position w:val="-10"/>
        </w:rPr>
        <w:object w:dxaOrig="200" w:dyaOrig="260" w14:anchorId="4CC87CEF">
          <v:shape id="_x0000_i1092" type="#_x0000_t75" style="width:10.7pt;height:13.3pt" o:ole="">
            <v:imagedata r:id="rId41" o:title=""/>
          </v:shape>
          <o:OLEObject Type="Embed" ProgID="Equation.DSMT4" ShapeID="_x0000_i1092" DrawAspect="Content" ObjectID="_1790752811" r:id="rId118"/>
        </w:object>
      </w:r>
      <w:r w:rsidR="00BA36B6" w:rsidRPr="00317A55">
        <w:rPr>
          <w:rFonts w:eastAsia="Times New Roman" w:cs="Times New Roman"/>
          <w:szCs w:val="24"/>
        </w:rPr>
        <w:t xml:space="preserve"> and higher spread </w:t>
      </w:r>
      <w:r w:rsidR="0057456F" w:rsidRPr="00317A55">
        <w:rPr>
          <w:rFonts w:eastAsia="Times New Roman" w:cs="Times New Roman"/>
          <w:szCs w:val="24"/>
        </w:rPr>
        <w:t xml:space="preserve">of </w:t>
      </w:r>
      <w:r w:rsidR="00BB78C1" w:rsidRPr="002A6F72">
        <w:rPr>
          <w:position w:val="-10"/>
        </w:rPr>
        <w:object w:dxaOrig="200" w:dyaOrig="260" w14:anchorId="5BA3ED8D">
          <v:shape id="_x0000_i1093" type="#_x0000_t75" style="width:10.7pt;height:13.3pt" o:ole="">
            <v:imagedata r:id="rId41" o:title=""/>
          </v:shape>
          <o:OLEObject Type="Embed" ProgID="Equation.DSMT4" ShapeID="_x0000_i1093" DrawAspect="Content" ObjectID="_1790752812" r:id="rId119"/>
        </w:object>
      </w:r>
      <w:r w:rsidR="0057456F">
        <w:rPr>
          <w:rFonts w:eastAsia="Times New Roman" w:cs="Times New Roman"/>
          <w:i/>
          <w:iCs/>
          <w:szCs w:val="24"/>
        </w:rPr>
        <w:t xml:space="preserve"> </w:t>
      </w:r>
      <w:r w:rsidR="00BA36B6">
        <w:rPr>
          <w:rFonts w:eastAsia="Times New Roman" w:cs="Times New Roman"/>
          <w:szCs w:val="24"/>
        </w:rPr>
        <w:t xml:space="preserve">for the positive values of </w:t>
      </w:r>
      <w:r w:rsidR="00BB78C1" w:rsidRPr="002A6F72">
        <w:rPr>
          <w:position w:val="-10"/>
        </w:rPr>
        <w:object w:dxaOrig="200" w:dyaOrig="260" w14:anchorId="243A086B">
          <v:shape id="_x0000_i1094" type="#_x0000_t75" style="width:10.7pt;height:13.3pt" o:ole="">
            <v:imagedata r:id="rId41" o:title=""/>
          </v:shape>
          <o:OLEObject Type="Embed" ProgID="Equation.DSMT4" ShapeID="_x0000_i1094" DrawAspect="Content" ObjectID="_1790752813" r:id="rId120"/>
        </w:object>
      </w:r>
      <w:r w:rsidR="00BA36B6">
        <w:rPr>
          <w:rFonts w:eastAsia="Times New Roman" w:cs="Times New Roman"/>
          <w:szCs w:val="24"/>
        </w:rPr>
        <w:t xml:space="preserve">. The net result is that </w:t>
      </w:r>
      <w:r w:rsidR="002024F4" w:rsidRPr="00BA36B6">
        <w:rPr>
          <w:position w:val="-6"/>
        </w:rPr>
        <w:object w:dxaOrig="200" w:dyaOrig="220" w14:anchorId="7C1E7382">
          <v:shape id="_x0000_i1095" type="#_x0000_t75" style="width:10.7pt;height:10.7pt" o:ole="" o:preferrelative="f">
            <v:imagedata r:id="rId121" o:title=""/>
            <o:lock v:ext="edit" aspectratio="f"/>
          </v:shape>
          <o:OLEObject Type="Embed" ProgID="Equation.DSMT4" ShapeID="_x0000_i1095" DrawAspect="Content" ObjectID="_1790752814" r:id="rId122"/>
        </w:object>
      </w:r>
      <w:r w:rsidR="00AA1FB0">
        <w:t xml:space="preserve"> </w:t>
      </w:r>
      <w:r w:rsidR="00BA36B6">
        <w:rPr>
          <w:rFonts w:cs="Times New Roman"/>
          <w:noProof/>
          <w:szCs w:val="24"/>
        </w:rPr>
        <w:t>gets</w:t>
      </w:r>
      <w:r w:rsidR="00AA1FB0" w:rsidRPr="00F72D6A">
        <w:rPr>
          <w:rFonts w:cs="Times New Roman"/>
          <w:noProof/>
          <w:szCs w:val="24"/>
        </w:rPr>
        <w:t xml:space="preserve"> skewed to the right with a</w:t>
      </w:r>
      <w:r w:rsidR="00725562">
        <w:rPr>
          <w:rFonts w:cs="Times New Roman"/>
          <w:noProof/>
          <w:szCs w:val="24"/>
        </w:rPr>
        <w:t xml:space="preserve"> long </w:t>
      </w:r>
      <w:r w:rsidR="00AA1FB0" w:rsidRPr="00F72D6A">
        <w:rPr>
          <w:rFonts w:cs="Times New Roman"/>
          <w:noProof/>
          <w:szCs w:val="24"/>
        </w:rPr>
        <w:t>right tail</w:t>
      </w:r>
      <w:r w:rsidR="00BA36B6">
        <w:rPr>
          <w:rFonts w:cs="Times New Roman"/>
          <w:noProof/>
          <w:szCs w:val="24"/>
        </w:rPr>
        <w:t xml:space="preserve">. If </w:t>
      </w:r>
      <w:r w:rsidR="00AA1FB0" w:rsidRPr="00F72D6A">
        <w:rPr>
          <w:rFonts w:cs="Times New Roman"/>
          <w:noProof/>
          <w:szCs w:val="24"/>
        </w:rPr>
        <w:t xml:space="preserve"> </w:t>
      </w:r>
      <w:r w:rsidR="00AA1FB0" w:rsidRPr="00F72D6A">
        <w:rPr>
          <w:rFonts w:cs="Times New Roman"/>
          <w:szCs w:val="24"/>
        </w:rPr>
        <w:t>1&lt;</w:t>
      </w:r>
      <w:r w:rsidR="00BA36B6" w:rsidRPr="00BA36B6">
        <w:rPr>
          <w:rFonts w:eastAsia="Times New Roman" w:cs="Times New Roman"/>
          <w:position w:val="-6"/>
          <w:szCs w:val="24"/>
        </w:rPr>
        <w:object w:dxaOrig="220" w:dyaOrig="279" w14:anchorId="37424AD2">
          <v:shape id="_x0000_i1096" type="#_x0000_t75" style="width:12pt;height:13.7pt" o:ole="">
            <v:imagedata r:id="rId123" o:title=""/>
          </v:shape>
          <o:OLEObject Type="Embed" ProgID="Equation.DSMT4" ShapeID="_x0000_i1096" DrawAspect="Content" ObjectID="_1790752815" r:id="rId124"/>
        </w:object>
      </w:r>
      <w:r w:rsidR="00AA1FB0" w:rsidRPr="00F72D6A">
        <w:rPr>
          <w:rFonts w:cs="Times New Roman"/>
          <w:szCs w:val="24"/>
        </w:rPr>
        <w:t>&lt;2,</w:t>
      </w:r>
      <w:r w:rsidR="00AA1FB0">
        <w:rPr>
          <w:rFonts w:cs="Times New Roman"/>
          <w:szCs w:val="24"/>
        </w:rPr>
        <w:t xml:space="preserve"> </w:t>
      </w:r>
      <w:r w:rsidR="00BA36B6">
        <w:rPr>
          <w:rFonts w:cs="Times New Roman"/>
          <w:szCs w:val="24"/>
        </w:rPr>
        <w:t xml:space="preserve">the opposite occurs and </w:t>
      </w:r>
      <w:r w:rsidR="00D93764" w:rsidRPr="00BA36B6">
        <w:rPr>
          <w:position w:val="-6"/>
        </w:rPr>
        <w:object w:dxaOrig="200" w:dyaOrig="220" w14:anchorId="636FD9D5">
          <v:shape id="_x0000_i1097" type="#_x0000_t75" style="width:10.7pt;height:10.7pt" o:ole="" o:preferrelative="f">
            <v:imagedata r:id="rId121" o:title=""/>
            <o:lock v:ext="edit" aspectratio="f"/>
          </v:shape>
          <o:OLEObject Type="Embed" ProgID="Equation.DSMT4" ShapeID="_x0000_i1097" DrawAspect="Content" ObjectID="_1790752816" r:id="rId125"/>
        </w:object>
      </w:r>
      <w:r w:rsidR="00AA1FB0">
        <w:t xml:space="preserve"> </w:t>
      </w:r>
      <w:r w:rsidR="00AA1FB0" w:rsidRPr="00F72D6A">
        <w:rPr>
          <w:rFonts w:cs="Times New Roman"/>
          <w:noProof/>
          <w:szCs w:val="24"/>
        </w:rPr>
        <w:t xml:space="preserve">is skewed to the left with a </w:t>
      </w:r>
      <w:r w:rsidR="00725562">
        <w:rPr>
          <w:rFonts w:cs="Times New Roman"/>
          <w:noProof/>
          <w:szCs w:val="24"/>
        </w:rPr>
        <w:t xml:space="preserve">long </w:t>
      </w:r>
      <w:r w:rsidR="00AA1FB0" w:rsidRPr="00F72D6A">
        <w:rPr>
          <w:rFonts w:cs="Times New Roman"/>
          <w:noProof/>
          <w:szCs w:val="24"/>
        </w:rPr>
        <w:t xml:space="preserve">left tail. </w:t>
      </w:r>
      <w:r w:rsidR="00AA1FB0">
        <w:rPr>
          <w:rFonts w:cs="Times New Roman"/>
          <w:szCs w:val="24"/>
        </w:rPr>
        <w:t>T</w:t>
      </w:r>
      <w:r w:rsidR="00AA1FB0" w:rsidRPr="00F72D6A">
        <w:rPr>
          <w:rFonts w:cs="Times New Roman"/>
          <w:szCs w:val="24"/>
        </w:rPr>
        <w:t xml:space="preserve">he </w:t>
      </w:r>
      <w:r w:rsidR="00BA36B6">
        <w:rPr>
          <w:rFonts w:cs="Times New Roman"/>
          <w:szCs w:val="24"/>
        </w:rPr>
        <w:t xml:space="preserve">original </w:t>
      </w:r>
      <w:r w:rsidR="00AA1FB0" w:rsidRPr="00F72D6A">
        <w:rPr>
          <w:rFonts w:cs="Times New Roman"/>
          <w:szCs w:val="24"/>
        </w:rPr>
        <w:t xml:space="preserve">distribution </w:t>
      </w:r>
      <w:r w:rsidR="00BA36B6">
        <w:rPr>
          <w:rFonts w:cs="Times New Roman"/>
          <w:szCs w:val="24"/>
        </w:rPr>
        <w:t xml:space="preserve">of </w:t>
      </w:r>
      <w:r w:rsidR="00800BC1" w:rsidRPr="002A6F72">
        <w:rPr>
          <w:position w:val="-10"/>
        </w:rPr>
        <w:object w:dxaOrig="200" w:dyaOrig="260" w14:anchorId="77771D31">
          <v:shape id="_x0000_i1098" type="#_x0000_t75" style="width:10.7pt;height:13.3pt" o:ole="">
            <v:imagedata r:id="rId41" o:title=""/>
          </v:shape>
          <o:OLEObject Type="Embed" ProgID="Equation.DSMT4" ShapeID="_x0000_i1098" DrawAspect="Content" ObjectID="_1790752817" r:id="rId126"/>
        </w:object>
      </w:r>
      <w:r w:rsidR="00BA36B6">
        <w:rPr>
          <w:rFonts w:cs="Times New Roman"/>
          <w:szCs w:val="24"/>
        </w:rPr>
        <w:t xml:space="preserve"> </w:t>
      </w:r>
      <w:r w:rsidR="00AA1FB0" w:rsidRPr="00F72D6A">
        <w:rPr>
          <w:rFonts w:cs="Times New Roman"/>
          <w:szCs w:val="24"/>
        </w:rPr>
        <w:t>is returned for</w:t>
      </w:r>
      <w:r w:rsidR="00AA1FB0">
        <w:t xml:space="preserve"> </w:t>
      </w:r>
      <w:r w:rsidR="00D93764" w:rsidRPr="00BA36B6">
        <w:rPr>
          <w:position w:val="-6"/>
        </w:rPr>
        <w:object w:dxaOrig="200" w:dyaOrig="220" w14:anchorId="1E221471">
          <v:shape id="_x0000_i1099" type="#_x0000_t75" style="width:10.7pt;height:10.7pt" o:ole="" o:preferrelative="f">
            <v:imagedata r:id="rId121" o:title=""/>
            <o:lock v:ext="edit" aspectratio="f"/>
          </v:shape>
          <o:OLEObject Type="Embed" ProgID="Equation.DSMT4" ShapeID="_x0000_i1099" DrawAspect="Content" ObjectID="_1790752818" r:id="rId127"/>
        </w:object>
      </w:r>
      <w:r w:rsidR="00AA1FB0">
        <w:rPr>
          <w:rFonts w:cs="Times New Roman"/>
          <w:szCs w:val="24"/>
        </w:rPr>
        <w:t xml:space="preserve"> if </w:t>
      </w:r>
      <w:bookmarkStart w:id="2" w:name="_Hlk170194984"/>
      <w:r w:rsidR="00BA36B6" w:rsidRPr="00BA36B6">
        <w:rPr>
          <w:rFonts w:eastAsia="Times New Roman" w:cs="Times New Roman"/>
          <w:position w:val="-6"/>
          <w:szCs w:val="24"/>
        </w:rPr>
        <w:object w:dxaOrig="220" w:dyaOrig="279" w14:anchorId="76B1F859">
          <v:shape id="_x0000_i1100" type="#_x0000_t75" style="width:12pt;height:13.7pt" o:ole="" o:preferrelative="f">
            <v:imagedata r:id="rId128" o:title=""/>
            <o:lock v:ext="edit" aspectratio="f"/>
          </v:shape>
          <o:OLEObject Type="Embed" ProgID="Equation.DSMT4" ShapeID="_x0000_i1100" DrawAspect="Content" ObjectID="_1790752819" r:id="rId129"/>
        </w:object>
      </w:r>
      <w:bookmarkEnd w:id="2"/>
      <w:r w:rsidR="00AA1FB0" w:rsidRPr="00F72D6A">
        <w:rPr>
          <w:rFonts w:cs="Times New Roman"/>
          <w:szCs w:val="24"/>
        </w:rPr>
        <w:t>=1</w:t>
      </w:r>
      <w:r w:rsidR="00AA1FB0">
        <w:rPr>
          <w:rFonts w:cs="Times New Roman"/>
          <w:szCs w:val="24"/>
        </w:rPr>
        <w:t>.</w:t>
      </w:r>
      <w:r w:rsidR="00AA1FB0" w:rsidRPr="00F72D6A">
        <w:rPr>
          <w:rFonts w:cs="Times New Roman"/>
          <w:szCs w:val="24"/>
        </w:rPr>
        <w:t xml:space="preserve"> </w:t>
      </w:r>
    </w:p>
    <w:p w14:paraId="00610271" w14:textId="0D5D4F2E" w:rsidR="00D3201F" w:rsidRDefault="001C3F34" w:rsidP="009B5EC0">
      <w:pPr>
        <w:autoSpaceDE w:val="0"/>
        <w:autoSpaceDN w:val="0"/>
        <w:adjustRightInd w:val="0"/>
        <w:spacing w:line="276" w:lineRule="auto"/>
        <w:ind w:firstLine="720"/>
        <w:jc w:val="both"/>
      </w:pPr>
      <w:r>
        <w:t xml:space="preserve">An additional issue is the distribution assumed for </w:t>
      </w:r>
      <w:r w:rsidR="00800BC1" w:rsidRPr="002A6F72">
        <w:rPr>
          <w:position w:val="-10"/>
        </w:rPr>
        <w:object w:dxaOrig="200" w:dyaOrig="260" w14:anchorId="775AE3DD">
          <v:shape id="_x0000_i1101" type="#_x0000_t75" style="width:10.7pt;height:13.3pt" o:ole="">
            <v:imagedata r:id="rId41" o:title=""/>
          </v:shape>
          <o:OLEObject Type="Embed" ProgID="Equation.DSMT4" ShapeID="_x0000_i1101" DrawAspect="Content" ObjectID="_1790752820" r:id="rId130"/>
        </w:object>
      </w:r>
      <w:r>
        <w:t>. While any convenient symmetric distribution may b</w:t>
      </w:r>
      <w:r w:rsidR="00725562">
        <w:t>e employed</w:t>
      </w:r>
      <w:r>
        <w:t xml:space="preserve">, we assume a univariate normal distribution, because of the flexibility to extend our reverse transformation technique to estimate general multivariate model systems with non-normal error terms, thanks to the convenient properties of the multivariate normal distribution. </w:t>
      </w:r>
      <w:r w:rsidR="00582F59">
        <w:t xml:space="preserve">That is, we assume </w:t>
      </w:r>
      <w:r w:rsidR="00800BC1" w:rsidRPr="00D87B5F">
        <w:rPr>
          <w:position w:val="-12"/>
        </w:rPr>
        <w:object w:dxaOrig="1340" w:dyaOrig="380" w14:anchorId="66358B18">
          <v:shape id="_x0000_i1102" type="#_x0000_t75" style="width:67.3pt;height:19.3pt" o:ole="">
            <v:imagedata r:id="rId131" o:title=""/>
          </v:shape>
          <o:OLEObject Type="Embed" ProgID="Equation.DSMT4" ShapeID="_x0000_i1102" DrawAspect="Content" ObjectID="_1790752821" r:id="rId132"/>
        </w:object>
      </w:r>
      <w:r w:rsidR="00582F59">
        <w:t xml:space="preserve">. </w:t>
      </w:r>
      <w:r w:rsidR="00ED09B4">
        <w:t xml:space="preserve">With this, the </w:t>
      </w:r>
      <w:r w:rsidR="00800BC1">
        <w:t>CDF</w:t>
      </w:r>
      <w:r w:rsidR="00ED09B4">
        <w:t xml:space="preserve"> and </w:t>
      </w:r>
      <w:r w:rsidR="00800BC1">
        <w:t>PDF</w:t>
      </w:r>
      <w:r w:rsidR="00ED09B4">
        <w:t xml:space="preserve"> of </w:t>
      </w:r>
      <w:r w:rsidR="00D93764" w:rsidRPr="00BA36B6">
        <w:rPr>
          <w:position w:val="-6"/>
        </w:rPr>
        <w:object w:dxaOrig="200" w:dyaOrig="220" w14:anchorId="36B99ACA">
          <v:shape id="_x0000_i1103" type="#_x0000_t75" style="width:10.7pt;height:10.7pt" o:ole="" o:preferrelative="f">
            <v:imagedata r:id="rId121" o:title=""/>
            <o:lock v:ext="edit" aspectratio="f"/>
          </v:shape>
          <o:OLEObject Type="Embed" ProgID="Equation.DSMT4" ShapeID="_x0000_i1103" DrawAspect="Content" ObjectID="_1790752822" r:id="rId133"/>
        </w:object>
      </w:r>
      <w:r w:rsidR="00ED09B4">
        <w:t xml:space="preserve"> may be easily derived </w:t>
      </w:r>
      <w:r w:rsidR="007A05B9">
        <w:t>using the generic form of Equations (</w:t>
      </w:r>
      <w:r w:rsidR="00725562">
        <w:t>2</w:t>
      </w:r>
      <w:r w:rsidR="007A05B9">
        <w:t>) and (</w:t>
      </w:r>
      <w:r w:rsidR="00725562">
        <w:t>3</w:t>
      </w:r>
      <w:r w:rsidR="007A05B9">
        <w:t>) as:</w:t>
      </w:r>
    </w:p>
    <w:p w14:paraId="237D524F" w14:textId="44F5B05D" w:rsidR="0066252C" w:rsidRDefault="00800BC1" w:rsidP="009B5EC0">
      <w:pPr>
        <w:autoSpaceDE w:val="0"/>
        <w:autoSpaceDN w:val="0"/>
        <w:adjustRightInd w:val="0"/>
        <w:spacing w:before="120" w:after="120"/>
        <w:jc w:val="both"/>
      </w:pPr>
      <w:r w:rsidRPr="0066252C">
        <w:rPr>
          <w:position w:val="-16"/>
        </w:rPr>
        <w:object w:dxaOrig="6120" w:dyaOrig="440" w14:anchorId="39F4E57B">
          <v:shape id="_x0000_i1104" type="#_x0000_t75" style="width:307.7pt;height:22.7pt" o:ole="" o:preferrelative="f">
            <v:imagedata r:id="rId134" o:title=""/>
            <o:lock v:ext="edit" aspectratio="f"/>
          </v:shape>
          <o:OLEObject Type="Embed" ProgID="Equation.DSMT4" ShapeID="_x0000_i1104" DrawAspect="Content" ObjectID="_1790752823" r:id="rId135"/>
        </w:object>
      </w:r>
      <w:r w:rsidR="007A05B9">
        <w:t>.</w:t>
      </w:r>
      <w:r w:rsidR="00D3201F">
        <w:tab/>
        <w:t xml:space="preserve">     </w:t>
      </w:r>
      <w:r w:rsidR="00725562">
        <w:tab/>
      </w:r>
      <w:r w:rsidR="00725562">
        <w:tab/>
      </w:r>
      <w:r w:rsidR="00725562">
        <w:tab/>
        <w:t xml:space="preserve">    </w:t>
      </w:r>
      <w:r w:rsidR="00D3201F">
        <w:t xml:space="preserve"> (</w:t>
      </w:r>
      <w:r w:rsidR="00725562">
        <w:t>7</w:t>
      </w:r>
      <w:r w:rsidR="00D3201F">
        <w:t>)</w:t>
      </w:r>
    </w:p>
    <w:p w14:paraId="2B4CE7F7" w14:textId="05764AF4" w:rsidR="007A05B9" w:rsidRDefault="009B5EC0" w:rsidP="009B5EC0">
      <w:pPr>
        <w:autoSpaceDE w:val="0"/>
        <w:autoSpaceDN w:val="0"/>
        <w:adjustRightInd w:val="0"/>
        <w:spacing w:before="120" w:after="120"/>
        <w:jc w:val="both"/>
      </w:pPr>
      <w:r w:rsidRPr="00D52E77">
        <w:rPr>
          <w:rFonts w:cs="Times New Roman"/>
          <w:position w:val="-24"/>
          <w:szCs w:val="24"/>
        </w:rPr>
        <w:object w:dxaOrig="1719" w:dyaOrig="620" w14:anchorId="50784719">
          <v:shape id="_x0000_i1105" type="#_x0000_t75" style="width:85.7pt;height:30.85pt" o:ole="">
            <v:imagedata r:id="rId136" o:title=""/>
          </v:shape>
          <o:OLEObject Type="Embed" ProgID="Equation.DSMT4" ShapeID="_x0000_i1105" DrawAspect="Content" ObjectID="_1790752824" r:id="rId137"/>
        </w:object>
      </w:r>
      <w:r w:rsidRPr="0066252C">
        <w:rPr>
          <w:rFonts w:cs="Times New Roman"/>
          <w:position w:val="-38"/>
          <w:szCs w:val="24"/>
        </w:rPr>
        <w:object w:dxaOrig="6759" w:dyaOrig="880" w14:anchorId="314C58AF">
          <v:shape id="_x0000_i1106" type="#_x0000_t75" style="width:338.15pt;height:43.7pt" o:ole="">
            <v:imagedata r:id="rId138" o:title=""/>
          </v:shape>
          <o:OLEObject Type="Embed" ProgID="Equation.DSMT4" ShapeID="_x0000_i1106" DrawAspect="Content" ObjectID="_1790752825" r:id="rId139"/>
        </w:object>
      </w:r>
      <w:r w:rsidR="00D3201F">
        <w:rPr>
          <w:rFonts w:cs="Times New Roman"/>
          <w:szCs w:val="24"/>
        </w:rPr>
        <w:t xml:space="preserve">       </w:t>
      </w:r>
      <w:r w:rsidR="00725562">
        <w:rPr>
          <w:rFonts w:cs="Times New Roman"/>
          <w:szCs w:val="24"/>
        </w:rPr>
        <w:t xml:space="preserve"> </w:t>
      </w:r>
      <w:r w:rsidR="00D3201F">
        <w:rPr>
          <w:rFonts w:cs="Times New Roman"/>
          <w:szCs w:val="24"/>
        </w:rPr>
        <w:t>(</w:t>
      </w:r>
      <w:r w:rsidR="00725562">
        <w:rPr>
          <w:rFonts w:cs="Times New Roman"/>
          <w:szCs w:val="24"/>
        </w:rPr>
        <w:t>8</w:t>
      </w:r>
      <w:r w:rsidR="00D3201F">
        <w:rPr>
          <w:rFonts w:cs="Times New Roman"/>
          <w:szCs w:val="24"/>
        </w:rPr>
        <w:t>)</w:t>
      </w:r>
    </w:p>
    <w:p w14:paraId="715ED840" w14:textId="4D0C97D0" w:rsidR="00656A34" w:rsidRDefault="007F2BF6" w:rsidP="00D76ED6">
      <w:pPr>
        <w:autoSpaceDE w:val="0"/>
        <w:autoSpaceDN w:val="0"/>
        <w:adjustRightInd w:val="0"/>
        <w:spacing w:after="120" w:line="276" w:lineRule="auto"/>
        <w:jc w:val="both"/>
        <w:rPr>
          <w:rFonts w:cs="Times New Roman"/>
          <w:szCs w:val="24"/>
        </w:rPr>
      </w:pPr>
      <w:r w:rsidRPr="00D87B5F">
        <w:rPr>
          <w:position w:val="-4"/>
        </w:rPr>
        <w:object w:dxaOrig="260" w:dyaOrig="240" w14:anchorId="17096466">
          <v:shape id="_x0000_i1107" type="#_x0000_t75" style="width:12.85pt;height:12pt" o:ole="" o:preferrelative="f">
            <v:imagedata r:id="rId140" o:title=""/>
            <o:lock v:ext="edit" aspectratio="f"/>
          </v:shape>
          <o:OLEObject Type="Embed" ProgID="Equation.DSMT4" ShapeID="_x0000_i1107" DrawAspect="Content" ObjectID="_1790752826" r:id="rId141"/>
        </w:object>
      </w:r>
      <w:r w:rsidR="0099171D">
        <w:t xml:space="preserve">(.) and </w:t>
      </w:r>
      <w:r w:rsidRPr="00D87B5F">
        <w:rPr>
          <w:position w:val="-10"/>
        </w:rPr>
        <w:object w:dxaOrig="420" w:dyaOrig="320" w14:anchorId="1D7FA436">
          <v:shape id="_x0000_i1108" type="#_x0000_t75" style="width:21pt;height:15.85pt" o:ole="" o:preferrelative="f">
            <v:imagedata r:id="rId142" o:title=""/>
            <o:lock v:ext="edit" aspectratio="f"/>
          </v:shape>
          <o:OLEObject Type="Embed" ProgID="Equation.DSMT4" ShapeID="_x0000_i1108" DrawAspect="Content" ObjectID="_1790752827" r:id="rId143"/>
        </w:object>
      </w:r>
      <w:r w:rsidR="0099171D">
        <w:t xml:space="preserve"> </w:t>
      </w:r>
      <w:r w:rsidR="00725562">
        <w:t xml:space="preserve">in the Equation above </w:t>
      </w:r>
      <w:r w:rsidR="0099171D">
        <w:t xml:space="preserve">refer to the </w:t>
      </w:r>
      <w:r w:rsidR="00800BC1">
        <w:t>CDF</w:t>
      </w:r>
      <w:r w:rsidR="0099171D">
        <w:t xml:space="preserve"> and </w:t>
      </w:r>
      <w:r w:rsidR="00800BC1">
        <w:t>PDF</w:t>
      </w:r>
      <w:r w:rsidR="0099171D">
        <w:t xml:space="preserve"> of the standard univariate normal distribution</w:t>
      </w:r>
      <w:r w:rsidR="007142A6">
        <w:t xml:space="preserve">, and </w:t>
      </w:r>
      <w:r w:rsidR="002C638B" w:rsidRPr="002C638B">
        <w:rPr>
          <w:rFonts w:cs="Times New Roman"/>
          <w:position w:val="-10"/>
          <w:szCs w:val="24"/>
        </w:rPr>
        <w:object w:dxaOrig="680" w:dyaOrig="320" w14:anchorId="0C5E7EF0">
          <v:shape id="_x0000_i1109" type="#_x0000_t75" style="width:33.85pt;height:16.3pt" o:ole="" o:preferrelative="f">
            <v:imagedata r:id="rId144" o:title=""/>
            <o:lock v:ext="edit" aspectratio="f"/>
          </v:shape>
          <o:OLEObject Type="Embed" ProgID="Equation.DSMT4" ShapeID="_x0000_i1109" DrawAspect="Content" ObjectID="_1790752828" r:id="rId145"/>
        </w:object>
      </w:r>
      <w:r>
        <w:rPr>
          <w:rFonts w:cs="Times New Roman"/>
          <w:szCs w:val="24"/>
        </w:rPr>
        <w:t xml:space="preserve"> </w:t>
      </w:r>
      <w:r w:rsidR="007142A6" w:rsidRPr="00F72D6A">
        <w:rPr>
          <w:rFonts w:cs="Times New Roman"/>
          <w:szCs w:val="24"/>
        </w:rPr>
        <w:t>take the value of 1 if</w:t>
      </w:r>
      <w:r w:rsidR="007142A6">
        <w:rPr>
          <w:rFonts w:cs="Times New Roman"/>
          <w:szCs w:val="24"/>
        </w:rPr>
        <w:t xml:space="preserve"> </w:t>
      </w:r>
      <w:r w:rsidR="002C638B" w:rsidRPr="002C638B">
        <w:rPr>
          <w:position w:val="-4"/>
        </w:rPr>
        <w:object w:dxaOrig="200" w:dyaOrig="200" w14:anchorId="20386BB8">
          <v:shape id="_x0000_i1110" type="#_x0000_t75" style="width:10.7pt;height:10.7pt" o:ole="">
            <v:imagedata r:id="rId146" o:title=""/>
          </v:shape>
          <o:OLEObject Type="Embed" ProgID="Equation.DSMT4" ShapeID="_x0000_i1110" DrawAspect="Content" ObjectID="_1790752829" r:id="rId147"/>
        </w:object>
      </w:r>
      <w:r w:rsidR="007142A6">
        <w:t xml:space="preserve"> </w:t>
      </w:r>
      <w:r w:rsidR="007142A6" w:rsidRPr="00F72D6A">
        <w:rPr>
          <w:rFonts w:cs="Times New Roman"/>
          <w:szCs w:val="24"/>
        </w:rPr>
        <w:t>is positive, the value of -1 if</w:t>
      </w:r>
      <w:r w:rsidR="007142A6">
        <w:rPr>
          <w:rFonts w:cs="Times New Roman"/>
          <w:szCs w:val="24"/>
        </w:rPr>
        <w:t xml:space="preserve"> </w:t>
      </w:r>
      <w:r w:rsidR="002C638B" w:rsidRPr="002C638B">
        <w:rPr>
          <w:position w:val="-4"/>
        </w:rPr>
        <w:object w:dxaOrig="200" w:dyaOrig="200" w14:anchorId="2F8943F7">
          <v:shape id="_x0000_i1111" type="#_x0000_t75" style="width:10.7pt;height:10.7pt" o:ole="">
            <v:imagedata r:id="rId148" o:title=""/>
          </v:shape>
          <o:OLEObject Type="Embed" ProgID="Equation.DSMT4" ShapeID="_x0000_i1111" DrawAspect="Content" ObjectID="_1790752830" r:id="rId149"/>
        </w:object>
      </w:r>
      <w:r w:rsidR="007142A6">
        <w:t xml:space="preserve"> </w:t>
      </w:r>
      <w:r w:rsidR="007142A6" w:rsidRPr="00F72D6A">
        <w:rPr>
          <w:rFonts w:cs="Times New Roman"/>
          <w:szCs w:val="24"/>
        </w:rPr>
        <w:t xml:space="preserve">is negative, and the value of 0 if </w:t>
      </w:r>
      <w:r w:rsidR="002C638B" w:rsidRPr="002C638B">
        <w:rPr>
          <w:position w:val="-4"/>
        </w:rPr>
        <w:object w:dxaOrig="200" w:dyaOrig="200" w14:anchorId="40013791">
          <v:shape id="_x0000_i1112" type="#_x0000_t75" style="width:10.7pt;height:10.7pt" o:ole="">
            <v:imagedata r:id="rId146" o:title=""/>
          </v:shape>
          <o:OLEObject Type="Embed" ProgID="Equation.DSMT4" ShapeID="_x0000_i1112" DrawAspect="Content" ObjectID="_1790752831" r:id="rId150"/>
        </w:object>
      </w:r>
      <w:r w:rsidR="007142A6" w:rsidRPr="00F72D6A">
        <w:rPr>
          <w:rFonts w:cs="Times New Roman"/>
          <w:szCs w:val="24"/>
        </w:rPr>
        <w:t xml:space="preserve"> is zero.</w:t>
      </w:r>
      <w:r w:rsidR="0099171D">
        <w:t xml:space="preserve"> </w:t>
      </w:r>
      <w:r w:rsidR="00184D0C" w:rsidRPr="00F72D6A">
        <w:rPr>
          <w:rFonts w:cs="Times New Roman"/>
          <w:noProof/>
          <w:szCs w:val="24"/>
        </w:rPr>
        <w:t xml:space="preserve">Figure 1 plots </w:t>
      </w:r>
      <w:r w:rsidR="00725562">
        <w:rPr>
          <w:rFonts w:cs="Times New Roman"/>
          <w:noProof/>
          <w:szCs w:val="24"/>
        </w:rPr>
        <w:t xml:space="preserve">the </w:t>
      </w:r>
      <w:r w:rsidR="00F86138">
        <w:rPr>
          <w:rFonts w:cs="Times New Roman"/>
          <w:noProof/>
          <w:szCs w:val="24"/>
        </w:rPr>
        <w:t>PDF</w:t>
      </w:r>
      <w:r w:rsidR="00725562">
        <w:rPr>
          <w:rFonts w:cs="Times New Roman"/>
          <w:noProof/>
          <w:szCs w:val="24"/>
        </w:rPr>
        <w:t xml:space="preserve"> of</w:t>
      </w:r>
      <w:r w:rsidR="002024F4">
        <w:rPr>
          <w:rFonts w:cs="Times New Roman"/>
          <w:noProof/>
          <w:szCs w:val="24"/>
        </w:rPr>
        <w:t xml:space="preserve"> </w:t>
      </w:r>
      <w:r w:rsidR="002024F4" w:rsidRPr="00D87B5F">
        <w:rPr>
          <w:position w:val="-6"/>
        </w:rPr>
        <w:object w:dxaOrig="200" w:dyaOrig="220" w14:anchorId="35E012AD">
          <v:shape id="_x0000_i1113" type="#_x0000_t75" style="width:10.7pt;height:10.7pt" o:ole="" o:preferrelative="f">
            <v:imagedata r:id="rId151" o:title=""/>
            <o:lock v:ext="edit" aspectratio="f"/>
          </v:shape>
          <o:OLEObject Type="Embed" ProgID="Equation.DSMT4" ShapeID="_x0000_i1113" DrawAspect="Content" ObjectID="_1790752832" r:id="rId152"/>
        </w:object>
      </w:r>
      <w:r w:rsidR="002024F4">
        <w:t xml:space="preserve"> </w:t>
      </w:r>
      <w:r w:rsidR="00184D0C" w:rsidRPr="00F72D6A">
        <w:rPr>
          <w:rFonts w:cs="Times New Roman"/>
          <w:szCs w:val="24"/>
        </w:rPr>
        <w:t xml:space="preserve">for </w:t>
      </w:r>
      <w:r w:rsidR="002024F4" w:rsidRPr="00184D0C">
        <w:rPr>
          <w:rFonts w:eastAsia="Times New Roman" w:cs="Times New Roman"/>
          <w:position w:val="-10"/>
          <w:szCs w:val="24"/>
        </w:rPr>
        <w:object w:dxaOrig="240" w:dyaOrig="260" w14:anchorId="07B3302E">
          <v:shape id="_x0000_i1114" type="#_x0000_t75" style="width:12pt;height:13.3pt" o:ole="" o:preferrelative="f">
            <v:imagedata r:id="rId153" o:title=""/>
            <o:lock v:ext="edit" aspectratio="f"/>
          </v:shape>
          <o:OLEObject Type="Embed" ProgID="Equation.DSMT4" ShapeID="_x0000_i1114" DrawAspect="Content" ObjectID="_1790752833" r:id="rId154"/>
        </w:object>
      </w:r>
      <w:r w:rsidR="00184D0C" w:rsidRPr="00F72D6A">
        <w:rPr>
          <w:rFonts w:cs="Times New Roman"/>
          <w:szCs w:val="24"/>
        </w:rPr>
        <w:t xml:space="preserve">=0 and </w:t>
      </w:r>
      <w:r w:rsidR="002024F4" w:rsidRPr="00184D0C">
        <w:rPr>
          <w:rFonts w:eastAsia="Times New Roman" w:cs="Times New Roman"/>
          <w:position w:val="-10"/>
          <w:szCs w:val="24"/>
        </w:rPr>
        <w:object w:dxaOrig="720" w:dyaOrig="360" w14:anchorId="004C0605">
          <v:shape id="_x0000_i1115" type="#_x0000_t75" style="width:36pt;height:18pt" o:ole="" o:preferrelative="f">
            <v:imagedata r:id="rId155" o:title=""/>
            <o:lock v:ext="edit" aspectratio="f"/>
          </v:shape>
          <o:OLEObject Type="Embed" ProgID="Equation.DSMT4" ShapeID="_x0000_i1115" DrawAspect="Content" ObjectID="_1790752834" r:id="rId156"/>
        </w:object>
      </w:r>
      <w:r w:rsidR="00184D0C" w:rsidRPr="00F72D6A">
        <w:rPr>
          <w:rFonts w:cs="Times New Roman"/>
          <w:szCs w:val="24"/>
        </w:rPr>
        <w:t xml:space="preserve"> for different values of </w:t>
      </w:r>
      <w:r w:rsidR="00184D0C" w:rsidRPr="00184D0C">
        <w:rPr>
          <w:rFonts w:eastAsia="Times New Roman" w:cs="Times New Roman"/>
          <w:position w:val="-6"/>
          <w:szCs w:val="24"/>
        </w:rPr>
        <w:object w:dxaOrig="220" w:dyaOrig="279" w14:anchorId="7F8F8EDB">
          <v:shape id="_x0000_i1116" type="#_x0000_t75" style="width:12pt;height:13.7pt" o:ole="" o:preferrelative="f">
            <v:imagedata r:id="rId157" o:title=""/>
            <o:lock v:ext="edit" aspectratio="f"/>
          </v:shape>
          <o:OLEObject Type="Embed" ProgID="Equation.DSMT4" ShapeID="_x0000_i1116" DrawAspect="Content" ObjectID="_1790752835" r:id="rId158"/>
        </w:object>
      </w:r>
      <w:r w:rsidR="00184D0C">
        <w:rPr>
          <w:rFonts w:cs="Times New Roman"/>
          <w:szCs w:val="24"/>
        </w:rPr>
        <w:t xml:space="preserve">. The plots are restricted to the </w:t>
      </w:r>
      <w:r w:rsidR="00691318" w:rsidRPr="00184D0C">
        <w:rPr>
          <w:rFonts w:eastAsia="Times New Roman" w:cs="Times New Roman"/>
          <w:position w:val="-6"/>
          <w:szCs w:val="24"/>
        </w:rPr>
        <w:object w:dxaOrig="880" w:dyaOrig="279" w14:anchorId="5DF9DD0B">
          <v:shape id="_x0000_i1117" type="#_x0000_t75" style="width:45pt;height:13.7pt" o:ole="" o:preferrelative="f">
            <v:imagedata r:id="rId159" o:title=""/>
            <o:lock v:ext="edit" aspectratio="f"/>
          </v:shape>
          <o:OLEObject Type="Embed" ProgID="Equation.DSMT4" ShapeID="_x0000_i1117" DrawAspect="Content" ObjectID="_1790752836" r:id="rId160"/>
        </w:object>
      </w:r>
      <w:r w:rsidR="00184D0C">
        <w:rPr>
          <w:rFonts w:cs="Times New Roman"/>
          <w:szCs w:val="24"/>
        </w:rPr>
        <w:t xml:space="preserve"> range, because the corresponding plots for </w:t>
      </w:r>
      <w:r w:rsidR="00691318" w:rsidRPr="00843330">
        <w:rPr>
          <w:rFonts w:eastAsia="Times New Roman" w:cs="Times New Roman"/>
          <w:position w:val="-6"/>
          <w:szCs w:val="24"/>
        </w:rPr>
        <w:object w:dxaOrig="880" w:dyaOrig="279" w14:anchorId="55A1CF5A">
          <v:shape id="_x0000_i1118" type="#_x0000_t75" style="width:45pt;height:13.7pt" o:ole="" o:preferrelative="f">
            <v:imagedata r:id="rId161" o:title=""/>
            <o:lock v:ext="edit" aspectratio="f"/>
          </v:shape>
          <o:OLEObject Type="Embed" ProgID="Equation.DSMT4" ShapeID="_x0000_i1118" DrawAspect="Content" ObjectID="_1790752837" r:id="rId162"/>
        </w:object>
      </w:r>
      <w:r w:rsidR="00184D0C">
        <w:rPr>
          <w:rFonts w:eastAsia="Times New Roman" w:cs="Times New Roman"/>
          <w:szCs w:val="24"/>
        </w:rPr>
        <w:t xml:space="preserve"> are mirror images of the plots shown, except with the skew toward the left. </w:t>
      </w:r>
      <w:r w:rsidR="00184D0C" w:rsidRPr="00EE190B">
        <w:rPr>
          <w:rFonts w:cs="Times New Roman"/>
          <w:szCs w:val="24"/>
        </w:rPr>
        <w:t>The plots show the</w:t>
      </w:r>
      <w:r w:rsidR="00184D0C" w:rsidRPr="00F72D6A">
        <w:rPr>
          <w:rFonts w:cs="Times New Roman"/>
          <w:szCs w:val="24"/>
        </w:rPr>
        <w:t xml:space="preserve"> flexibility of the YJ transformation</w:t>
      </w:r>
      <w:r w:rsidR="00184D0C">
        <w:rPr>
          <w:rFonts w:cs="Times New Roman"/>
          <w:szCs w:val="24"/>
        </w:rPr>
        <w:t xml:space="preserve"> to accommodate different levels of skew and tail thickness</w:t>
      </w:r>
      <w:r w:rsidR="00725562">
        <w:rPr>
          <w:rFonts w:cs="Times New Roman"/>
          <w:szCs w:val="24"/>
        </w:rPr>
        <w:t>.</w:t>
      </w:r>
    </w:p>
    <w:p w14:paraId="05968850" w14:textId="226C3A92" w:rsidR="007124A8" w:rsidRDefault="007124A8" w:rsidP="00D76ED6">
      <w:pPr>
        <w:autoSpaceDE w:val="0"/>
        <w:autoSpaceDN w:val="0"/>
        <w:adjustRightInd w:val="0"/>
        <w:spacing w:line="276" w:lineRule="auto"/>
        <w:jc w:val="both"/>
        <w:rPr>
          <w:rFonts w:eastAsia="Times New Roman" w:cs="Times New Roman"/>
          <w:szCs w:val="24"/>
        </w:rPr>
      </w:pPr>
      <w:r>
        <w:rPr>
          <w:rFonts w:cs="Times New Roman"/>
          <w:noProof/>
          <w:szCs w:val="24"/>
        </w:rPr>
        <w:drawing>
          <wp:inline distT="0" distB="0" distL="0" distR="0" wp14:anchorId="342EA1AA" wp14:editId="3D6A6C11">
            <wp:extent cx="5953125" cy="30365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3" cstate="print">
                      <a:extLst>
                        <a:ext uri="{28A0092B-C50C-407E-A947-70E740481C1C}">
                          <a14:useLocalDpi xmlns:a14="http://schemas.microsoft.com/office/drawing/2010/main" val="0"/>
                        </a:ext>
                      </a:extLst>
                    </a:blip>
                    <a:srcRect l="987" r="987"/>
                    <a:stretch>
                      <a:fillRect/>
                    </a:stretch>
                  </pic:blipFill>
                  <pic:spPr bwMode="auto">
                    <a:xfrm>
                      <a:off x="0" y="0"/>
                      <a:ext cx="5966396" cy="3043300"/>
                    </a:xfrm>
                    <a:prstGeom prst="rect">
                      <a:avLst/>
                    </a:prstGeom>
                    <a:ln>
                      <a:noFill/>
                    </a:ln>
                    <a:extLst>
                      <a:ext uri="{53640926-AAD7-44D8-BBD7-CCE9431645EC}">
                        <a14:shadowObscured xmlns:a14="http://schemas.microsoft.com/office/drawing/2010/main"/>
                      </a:ext>
                    </a:extLst>
                  </pic:spPr>
                </pic:pic>
              </a:graphicData>
            </a:graphic>
          </wp:inline>
        </w:drawing>
      </w:r>
    </w:p>
    <w:p w14:paraId="1998E5E7" w14:textId="7728E438" w:rsidR="007124A8" w:rsidRPr="00F86138" w:rsidRDefault="007124A8" w:rsidP="00F86138">
      <w:pPr>
        <w:jc w:val="center"/>
        <w:rPr>
          <w:b/>
          <w:bCs/>
        </w:rPr>
      </w:pPr>
      <w:r w:rsidRPr="000916EF">
        <w:rPr>
          <w:b/>
          <w:bCs/>
        </w:rPr>
        <w:t xml:space="preserve">Figure </w:t>
      </w:r>
      <w:r>
        <w:rPr>
          <w:b/>
          <w:bCs/>
        </w:rPr>
        <w:t>1</w:t>
      </w:r>
      <w:r w:rsidRPr="000916EF">
        <w:rPr>
          <w:b/>
          <w:bCs/>
        </w:rPr>
        <w:t>: Density of transformed variable for different lambda values</w:t>
      </w:r>
    </w:p>
    <w:p w14:paraId="309E637A" w14:textId="3DF6468E" w:rsidR="001C3F34" w:rsidRDefault="007F2BF6" w:rsidP="00366E8A">
      <w:pPr>
        <w:autoSpaceDE w:val="0"/>
        <w:autoSpaceDN w:val="0"/>
        <w:adjustRightInd w:val="0"/>
        <w:spacing w:line="276" w:lineRule="auto"/>
        <w:ind w:firstLine="720"/>
        <w:jc w:val="both"/>
        <w:rPr>
          <w:rFonts w:cs="Times New Roman"/>
          <w:szCs w:val="24"/>
        </w:rPr>
      </w:pPr>
      <w:r>
        <w:rPr>
          <w:rFonts w:eastAsia="Times New Roman" w:cs="Times New Roman"/>
          <w:noProof/>
          <w:szCs w:val="24"/>
        </w:rPr>
        <w:lastRenderedPageBreak/>
        <w:t xml:space="preserve">Another important point here is that, for our case of an ordered-response model, we normalize the transformed variable </w:t>
      </w:r>
      <w:r w:rsidR="00F86138" w:rsidRPr="002A6F72">
        <w:rPr>
          <w:position w:val="-10"/>
        </w:rPr>
        <w:object w:dxaOrig="200" w:dyaOrig="260" w14:anchorId="0A65EFE7">
          <v:shape id="_x0000_i1119" type="#_x0000_t75" style="width:10.7pt;height:13.3pt" o:ole="">
            <v:imagedata r:id="rId41" o:title=""/>
          </v:shape>
          <o:OLEObject Type="Embed" ProgID="Equation.DSMT4" ShapeID="_x0000_i1119" DrawAspect="Content" ObjectID="_1790752838" r:id="rId164"/>
        </w:object>
      </w:r>
      <w:r w:rsidR="00F86138">
        <w:t xml:space="preserve"> </w:t>
      </w:r>
      <w:r>
        <w:rPr>
          <w:rFonts w:eastAsia="Times New Roman" w:cs="Times New Roman"/>
          <w:noProof/>
          <w:szCs w:val="24"/>
        </w:rPr>
        <w:t xml:space="preserve">to be standard univariate normally distributed; that is, as in the plots of Figure 1, we assume </w:t>
      </w:r>
      <w:r w:rsidR="00656A34" w:rsidRPr="00184D0C">
        <w:rPr>
          <w:position w:val="-10"/>
        </w:rPr>
        <w:object w:dxaOrig="1760" w:dyaOrig="360" w14:anchorId="2D0FB640">
          <v:shape id="_x0000_i1120" type="#_x0000_t75" style="width:87.85pt;height:18pt" o:ole="" o:preferrelative="f">
            <v:imagedata r:id="rId165" o:title=""/>
            <o:lock v:ext="edit" aspectratio="f"/>
          </v:shape>
          <o:OLEObject Type="Embed" ProgID="Equation.DSMT4" ShapeID="_x0000_i1120" DrawAspect="Content" ObjectID="_1790752839" r:id="rId166"/>
        </w:object>
      </w:r>
      <w:r>
        <w:t xml:space="preserve">in model estimation. </w:t>
      </w:r>
      <w:r>
        <w:rPr>
          <w:rFonts w:eastAsia="Times New Roman" w:cs="Times New Roman"/>
          <w:noProof/>
          <w:szCs w:val="24"/>
        </w:rPr>
        <w:t xml:space="preserve">Of course, this does not imply that the error term </w:t>
      </w:r>
      <w:r w:rsidRPr="001C3F34">
        <w:rPr>
          <w:rFonts w:cs="Times New Roman"/>
          <w:position w:val="-6"/>
          <w:szCs w:val="24"/>
        </w:rPr>
        <w:object w:dxaOrig="200" w:dyaOrig="220" w14:anchorId="4ECF8C77">
          <v:shape id="_x0000_i1121" type="#_x0000_t75" style="width:9.85pt;height:10.7pt" o:ole="" o:preferrelative="f">
            <v:imagedata r:id="rId33" o:title=""/>
            <o:lock v:ext="edit" aspectratio="f"/>
          </v:shape>
          <o:OLEObject Type="Embed" ProgID="Equation.DSMT4" ShapeID="_x0000_i1121" DrawAspect="Content" ObjectID="_1790752840" r:id="rId167"/>
        </w:object>
      </w:r>
      <w:r>
        <w:rPr>
          <w:rFonts w:cs="Times New Roman"/>
          <w:szCs w:val="24"/>
        </w:rPr>
        <w:t xml:space="preserve"> will be normalized to a mean of zero and standard deviation of 1. The mean and standard deviation of </w:t>
      </w:r>
      <w:r w:rsidRPr="001C3F34">
        <w:rPr>
          <w:rFonts w:cs="Times New Roman"/>
          <w:position w:val="-6"/>
          <w:szCs w:val="24"/>
        </w:rPr>
        <w:object w:dxaOrig="200" w:dyaOrig="220" w14:anchorId="0B4C9B8F">
          <v:shape id="_x0000_i1122" type="#_x0000_t75" style="width:9.85pt;height:10.7pt" o:ole="" o:preferrelative="f">
            <v:imagedata r:id="rId33" o:title=""/>
            <o:lock v:ext="edit" aspectratio="f"/>
          </v:shape>
          <o:OLEObject Type="Embed" ProgID="Equation.DSMT4" ShapeID="_x0000_i1122" DrawAspect="Content" ObjectID="_1790752841" r:id="rId168"/>
        </w:object>
      </w:r>
      <w:r>
        <w:rPr>
          <w:rFonts w:cs="Times New Roman"/>
          <w:szCs w:val="24"/>
        </w:rPr>
        <w:t xml:space="preserve"> will be determined by the </w:t>
      </w:r>
      <w:r>
        <w:rPr>
          <w:rFonts w:eastAsia="Times New Roman" w:cs="Times New Roman"/>
          <w:noProof/>
          <w:szCs w:val="24"/>
        </w:rPr>
        <w:t xml:space="preserve"> YJ transformation parameter </w:t>
      </w:r>
      <w:r w:rsidR="00656A34" w:rsidRPr="001C3F34">
        <w:rPr>
          <w:rFonts w:eastAsia="Times New Roman" w:cs="Times New Roman"/>
          <w:position w:val="-6"/>
          <w:szCs w:val="24"/>
        </w:rPr>
        <w:object w:dxaOrig="220" w:dyaOrig="279" w14:anchorId="14F866C3">
          <v:shape id="_x0000_i1123" type="#_x0000_t75" style="width:10.7pt;height:13.7pt" o:ole="" o:preferrelative="f">
            <v:imagedata r:id="rId169" o:title=""/>
            <o:lock v:ext="edit" aspectratio="f"/>
          </v:shape>
          <o:OLEObject Type="Embed" ProgID="Equation.DSMT4" ShapeID="_x0000_i1123" DrawAspect="Content" ObjectID="_1790752842" r:id="rId170"/>
        </w:object>
      </w:r>
      <w:r>
        <w:rPr>
          <w:rFonts w:eastAsia="Times New Roman" w:cs="Times New Roman"/>
          <w:szCs w:val="24"/>
        </w:rPr>
        <w:t xml:space="preserve">. In effect, </w:t>
      </w:r>
      <w:r w:rsidRPr="001C3F34">
        <w:rPr>
          <w:rFonts w:eastAsia="Times New Roman" w:cs="Times New Roman"/>
          <w:position w:val="-6"/>
          <w:szCs w:val="24"/>
        </w:rPr>
        <w:object w:dxaOrig="220" w:dyaOrig="279" w14:anchorId="188B07F5">
          <v:shape id="_x0000_i1124" type="#_x0000_t75" style="width:12pt;height:13.7pt" o:ole="" o:preferrelative="f">
            <v:imagedata r:id="rId169" o:title=""/>
            <o:lock v:ext="edit" aspectratio="f"/>
          </v:shape>
          <o:OLEObject Type="Embed" ProgID="Equation.DSMT4" ShapeID="_x0000_i1124" DrawAspect="Content" ObjectID="_1790752843" r:id="rId171"/>
        </w:object>
      </w:r>
      <w:r>
        <w:rPr>
          <w:rFonts w:eastAsia="Times New Roman" w:cs="Times New Roman"/>
          <w:szCs w:val="24"/>
        </w:rPr>
        <w:t xml:space="preserve"> is estimated so as to characterize the distribution of the </w:t>
      </w:r>
      <w:r w:rsidR="00656A34" w:rsidRPr="001C3F34">
        <w:rPr>
          <w:rFonts w:cs="Times New Roman"/>
          <w:position w:val="-6"/>
          <w:szCs w:val="24"/>
        </w:rPr>
        <w:object w:dxaOrig="200" w:dyaOrig="220" w14:anchorId="28BCEF90">
          <v:shape id="_x0000_i1125" type="#_x0000_t75" style="width:9.85pt;height:10.7pt" o:ole="" o:preferrelative="f">
            <v:imagedata r:id="rId33" o:title=""/>
            <o:lock v:ext="edit" aspectratio="f"/>
          </v:shape>
          <o:OLEObject Type="Embed" ProgID="Equation.DSMT4" ShapeID="_x0000_i1125" DrawAspect="Content" ObjectID="_1790752844" r:id="rId172"/>
        </w:object>
      </w:r>
      <w:r>
        <w:rPr>
          <w:rFonts w:eastAsia="Times New Roman" w:cs="Times New Roman"/>
          <w:szCs w:val="24"/>
        </w:rPr>
        <w:t xml:space="preserve"> (including the mean, the standard deviation, the skew, and tail thickness) that provides the best data fit to the observed </w:t>
      </w:r>
      <w:r w:rsidR="001C3F34">
        <w:rPr>
          <w:rFonts w:eastAsia="Times New Roman" w:cs="Times New Roman"/>
          <w:szCs w:val="24"/>
        </w:rPr>
        <w:t>discrete outcomes. T</w:t>
      </w:r>
      <w:r w:rsidR="001C3F34">
        <w:t xml:space="preserve">his approach </w:t>
      </w:r>
      <w:r w:rsidR="001C3F34">
        <w:rPr>
          <w:rFonts w:cs="Times New Roman"/>
          <w:szCs w:val="24"/>
        </w:rPr>
        <w:t xml:space="preserve">is compatible with the </w:t>
      </w:r>
      <w:r w:rsidR="001C3F34">
        <w:rPr>
          <w:rFonts w:eastAsia="Times New Roman" w:cs="Times New Roman"/>
          <w:szCs w:val="24"/>
        </w:rPr>
        <w:t xml:space="preserve">location and scale invariance of the latent variable </w:t>
      </w:r>
      <w:r w:rsidR="009B5EC0" w:rsidRPr="008410A0">
        <w:rPr>
          <w:position w:val="-12"/>
        </w:rPr>
        <w:object w:dxaOrig="300" w:dyaOrig="380" w14:anchorId="5A9A9A8F">
          <v:shape id="_x0000_i1126" type="#_x0000_t75" style="width:15pt;height:19.3pt" o:ole="">
            <v:imagedata r:id="rId173" o:title=""/>
          </v:shape>
          <o:OLEObject Type="Embed" ProgID="Equation.DSMT4" ShapeID="_x0000_i1126" DrawAspect="Content" ObjectID="_1790752845" r:id="rId174"/>
        </w:object>
      </w:r>
      <w:r w:rsidR="001C3F34">
        <w:t xml:space="preserve">. Besides doing so also nests the </w:t>
      </w:r>
      <w:r w:rsidR="00582F59">
        <w:t>univariate</w:t>
      </w:r>
      <w:r w:rsidR="001C3F34">
        <w:t xml:space="preserve"> probit model (with the usual standard normalization on the error term) as a special case of the proposed model when </w:t>
      </w:r>
      <w:r w:rsidR="00582F59" w:rsidRPr="00582F59">
        <w:rPr>
          <w:rFonts w:eastAsia="Times New Roman" w:cs="Times New Roman"/>
          <w:position w:val="-6"/>
          <w:szCs w:val="24"/>
        </w:rPr>
        <w:object w:dxaOrig="220" w:dyaOrig="279" w14:anchorId="78284001">
          <v:shape id="_x0000_i1127" type="#_x0000_t75" style="width:12pt;height:13.7pt" o:ole="" o:preferrelative="f">
            <v:imagedata r:id="rId169" o:title=""/>
            <o:lock v:ext="edit" aspectratio="f"/>
          </v:shape>
          <o:OLEObject Type="Embed" ProgID="Equation.DSMT4" ShapeID="_x0000_i1127" DrawAspect="Content" ObjectID="_1790752846" r:id="rId175"/>
        </w:object>
      </w:r>
      <w:r w:rsidR="001C3F34">
        <w:rPr>
          <w:rFonts w:eastAsia="Times New Roman" w:cs="Times New Roman"/>
          <w:szCs w:val="24"/>
        </w:rPr>
        <w:t>=1.</w:t>
      </w:r>
      <w:r w:rsidR="001C3F34">
        <w:rPr>
          <w:rStyle w:val="FootnoteReference"/>
          <w:rFonts w:eastAsia="Times New Roman" w:cs="Times New Roman"/>
          <w:szCs w:val="24"/>
        </w:rPr>
        <w:footnoteReference w:id="4"/>
      </w:r>
      <w:r w:rsidR="001C3F34">
        <w:t xml:space="preserve"> </w:t>
      </w:r>
    </w:p>
    <w:p w14:paraId="2D6DF2A8" w14:textId="6E02EB9F" w:rsidR="001C3F34" w:rsidRDefault="001C3F34" w:rsidP="00AA1FB0">
      <w:pPr>
        <w:spacing w:line="276" w:lineRule="auto"/>
        <w:jc w:val="both"/>
        <w:rPr>
          <w:rFonts w:cs="Times New Roman"/>
          <w:szCs w:val="24"/>
        </w:rPr>
      </w:pPr>
    </w:p>
    <w:p w14:paraId="0EA49367" w14:textId="2B88FD9F" w:rsidR="00654E3D" w:rsidRPr="007124A8" w:rsidRDefault="0038799D" w:rsidP="0038799D">
      <w:pPr>
        <w:keepNext/>
        <w:keepLines/>
        <w:spacing w:line="276" w:lineRule="auto"/>
        <w:ind w:left="540" w:hanging="540"/>
        <w:jc w:val="both"/>
        <w:rPr>
          <w:b/>
          <w:bCs/>
        </w:rPr>
      </w:pPr>
      <w:r>
        <w:rPr>
          <w:b/>
          <w:bCs/>
        </w:rPr>
        <w:t xml:space="preserve">2.2.   </w:t>
      </w:r>
      <w:r w:rsidR="00654E3D" w:rsidRPr="007124A8">
        <w:rPr>
          <w:b/>
          <w:bCs/>
        </w:rPr>
        <w:t>Multivariate Formulation</w:t>
      </w:r>
    </w:p>
    <w:p w14:paraId="30AD4A92" w14:textId="62BD70CB" w:rsidR="00760B71" w:rsidRPr="00F72D6A" w:rsidRDefault="00760B71" w:rsidP="00760B71">
      <w:pPr>
        <w:spacing w:line="276" w:lineRule="auto"/>
        <w:jc w:val="both"/>
        <w:rPr>
          <w:rFonts w:cs="Times New Roman"/>
          <w:szCs w:val="24"/>
        </w:rPr>
      </w:pPr>
      <w:r>
        <w:rPr>
          <w:rFonts w:cs="Times New Roman"/>
          <w:szCs w:val="24"/>
        </w:rPr>
        <w:t xml:space="preserve">The reverse YJ transformation approach of the previous section can be extended to the case of multivariate outcomes. To do so, we include a subscript </w:t>
      </w:r>
      <w:r w:rsidRPr="00760B71">
        <w:rPr>
          <w:rFonts w:cs="Times New Roman"/>
          <w:i/>
          <w:iCs/>
          <w:szCs w:val="24"/>
        </w:rPr>
        <w:t>l</w:t>
      </w:r>
      <w:r>
        <w:rPr>
          <w:rFonts w:cs="Times New Roman"/>
          <w:szCs w:val="24"/>
        </w:rPr>
        <w:t xml:space="preserve"> for a set of </w:t>
      </w:r>
      <w:r w:rsidRPr="00760B71">
        <w:rPr>
          <w:rFonts w:cs="Times New Roman"/>
          <w:i/>
          <w:iCs/>
          <w:szCs w:val="24"/>
        </w:rPr>
        <w:t>L</w:t>
      </w:r>
      <w:r>
        <w:rPr>
          <w:rFonts w:cs="Times New Roman"/>
          <w:szCs w:val="24"/>
        </w:rPr>
        <w:t xml:space="preserve"> error terms </w:t>
      </w:r>
      <w:r w:rsidR="00843330">
        <w:rPr>
          <w:rFonts w:cs="Times New Roman"/>
          <w:szCs w:val="24"/>
        </w:rPr>
        <w:t xml:space="preserve">stacked into a vector </w:t>
      </w:r>
      <w:r w:rsidR="00D93764" w:rsidRPr="00506566">
        <w:rPr>
          <w:rFonts w:eastAsia="Times New Roman" w:cs="Times New Roman"/>
          <w:position w:val="-14"/>
          <w:szCs w:val="24"/>
        </w:rPr>
        <w:object w:dxaOrig="3060" w:dyaOrig="499" w14:anchorId="27CC2AF4">
          <v:shape id="_x0000_i1128" type="#_x0000_t75" style="width:152.15pt;height:25.3pt" o:ole="" o:preferrelative="f">
            <v:imagedata r:id="rId176" o:title=""/>
            <o:lock v:ext="edit" aspectratio="f"/>
          </v:shape>
          <o:OLEObject Type="Embed" ProgID="Equation.DSMT4" ShapeID="_x0000_i1128" DrawAspect="Content" ObjectID="_1790752847" r:id="rId177"/>
        </w:object>
      </w:r>
      <w:r w:rsidR="00843330">
        <w:rPr>
          <w:rFonts w:eastAsia="Times New Roman" w:cs="Times New Roman"/>
          <w:szCs w:val="24"/>
        </w:rPr>
        <w:t>. We then generate skew and asymmetry for each of the error terms using the reverse YJ transformation</w:t>
      </w:r>
      <w:r w:rsidR="0099171D">
        <w:rPr>
          <w:rFonts w:eastAsia="Times New Roman" w:cs="Times New Roman"/>
          <w:szCs w:val="24"/>
        </w:rPr>
        <w:t>.</w:t>
      </w:r>
      <w:r w:rsidR="00843330">
        <w:rPr>
          <w:rFonts w:eastAsia="Times New Roman" w:cs="Times New Roman"/>
          <w:szCs w:val="24"/>
        </w:rPr>
        <w:t xml:space="preserve"> </w:t>
      </w:r>
      <w:r>
        <w:rPr>
          <w:rFonts w:cs="Times New Roman"/>
          <w:szCs w:val="24"/>
        </w:rPr>
        <w:t>A</w:t>
      </w:r>
      <w:r w:rsidRPr="00F72D6A">
        <w:rPr>
          <w:rFonts w:cs="Times New Roman"/>
          <w:szCs w:val="24"/>
        </w:rPr>
        <w:t xml:space="preserve">cross different </w:t>
      </w:r>
      <w:r>
        <w:rPr>
          <w:rFonts w:cs="Times New Roman"/>
          <w:szCs w:val="24"/>
        </w:rPr>
        <w:t xml:space="preserve">random </w:t>
      </w:r>
      <w:r w:rsidRPr="00F72D6A">
        <w:rPr>
          <w:rFonts w:cs="Times New Roman"/>
          <w:szCs w:val="24"/>
        </w:rPr>
        <w:t xml:space="preserve">variables </w:t>
      </w:r>
      <w:r w:rsidR="00D93764" w:rsidRPr="00F72D6A">
        <w:rPr>
          <w:rFonts w:eastAsia="Times New Roman" w:cs="Times New Roman"/>
          <w:position w:val="-12"/>
          <w:szCs w:val="24"/>
        </w:rPr>
        <w:object w:dxaOrig="1100" w:dyaOrig="360" w14:anchorId="3A828EDC">
          <v:shape id="_x0000_i1129" type="#_x0000_t75" style="width:54.85pt;height:18pt" o:ole="" o:preferrelative="f">
            <v:imagedata r:id="rId178" o:title=""/>
            <o:lock v:ext="edit" aspectratio="f"/>
          </v:shape>
          <o:OLEObject Type="Embed" ProgID="Equation.DSMT4" ShapeID="_x0000_i1129" DrawAspect="Content" ObjectID="_1790752848" r:id="rId179"/>
        </w:object>
      </w:r>
      <w:r w:rsidRPr="00F72D6A">
        <w:rPr>
          <w:rFonts w:cs="Times New Roman"/>
          <w:szCs w:val="24"/>
        </w:rPr>
        <w:t xml:space="preserve">, the direction and intensity of skew/tail can vary. Then, the different variables </w:t>
      </w:r>
      <w:r w:rsidR="00D93764" w:rsidRPr="00B67721">
        <w:rPr>
          <w:position w:val="-12"/>
        </w:rPr>
        <w:object w:dxaOrig="1620" w:dyaOrig="360" w14:anchorId="3DAF68BC">
          <v:shape id="_x0000_i1130" type="#_x0000_t75" style="width:81pt;height:18pt" o:ole="" o:preferrelative="f">
            <v:imagedata r:id="rId180" o:title=""/>
            <o:lock v:ext="edit" aspectratio="f"/>
          </v:shape>
          <o:OLEObject Type="Embed" ProgID="Equation.DSMT4" ShapeID="_x0000_i1130" DrawAspect="Content" ObjectID="_1790752849" r:id="rId181"/>
        </w:object>
      </w:r>
      <w:r>
        <w:t xml:space="preserve"> </w:t>
      </w:r>
      <w:r w:rsidRPr="00F72D6A">
        <w:rPr>
          <w:rFonts w:cs="Times New Roman"/>
          <w:szCs w:val="24"/>
        </w:rPr>
        <w:t xml:space="preserve">can be brought together into a multivariate distribution </w:t>
      </w:r>
      <w:r w:rsidR="0099171D">
        <w:rPr>
          <w:rFonts w:cs="Times New Roman"/>
          <w:szCs w:val="24"/>
        </w:rPr>
        <w:t xml:space="preserve">(see </w:t>
      </w:r>
      <w:r w:rsidR="0099171D" w:rsidRPr="0065493C">
        <w:rPr>
          <w:rFonts w:eastAsia="CMR12" w:cs="Times New Roman"/>
          <w:szCs w:val="24"/>
        </w:rPr>
        <w:t>Loaiza-Maya et al.</w:t>
      </w:r>
      <w:r w:rsidR="0099171D">
        <w:rPr>
          <w:rFonts w:eastAsia="CMR12" w:cs="Times New Roman"/>
          <w:szCs w:val="24"/>
        </w:rPr>
        <w:t xml:space="preserve">, </w:t>
      </w:r>
      <w:r w:rsidR="0099171D" w:rsidRPr="0065493C">
        <w:rPr>
          <w:rFonts w:eastAsia="CMR12" w:cs="Times New Roman"/>
          <w:szCs w:val="24"/>
        </w:rPr>
        <w:t xml:space="preserve">2022 </w:t>
      </w:r>
      <w:r w:rsidR="0099171D" w:rsidRPr="00F72D6A">
        <w:rPr>
          <w:rFonts w:cs="Times New Roman"/>
          <w:szCs w:val="24"/>
        </w:rPr>
        <w:t>and Bhat</w:t>
      </w:r>
      <w:r w:rsidR="00725562">
        <w:rPr>
          <w:rFonts w:cs="Times New Roman"/>
          <w:szCs w:val="24"/>
        </w:rPr>
        <w:t xml:space="preserve"> et al.</w:t>
      </w:r>
      <w:r w:rsidR="0099171D">
        <w:rPr>
          <w:rFonts w:cs="Times New Roman"/>
          <w:szCs w:val="24"/>
        </w:rPr>
        <w:t xml:space="preserve">, </w:t>
      </w:r>
      <w:r w:rsidR="0099171D" w:rsidRPr="00F72D6A">
        <w:rPr>
          <w:rFonts w:cs="Times New Roman"/>
          <w:szCs w:val="24"/>
        </w:rPr>
        <w:t xml:space="preserve">2022). </w:t>
      </w:r>
      <w:r w:rsidRPr="00F72D6A">
        <w:rPr>
          <w:rFonts w:cs="Times New Roman"/>
          <w:szCs w:val="24"/>
        </w:rPr>
        <w:t>For convenience, define</w:t>
      </w:r>
      <w:r w:rsidR="0099171D">
        <w:rPr>
          <w:rFonts w:cs="Times New Roman"/>
          <w:szCs w:val="24"/>
        </w:rPr>
        <w:t xml:space="preserve"> </w:t>
      </w:r>
      <w:r w:rsidR="009D3BD9" w:rsidRPr="00347A30">
        <w:rPr>
          <w:rFonts w:eastAsia="Times New Roman" w:cs="Times New Roman"/>
          <w:position w:val="-16"/>
          <w:szCs w:val="24"/>
        </w:rPr>
        <w:object w:dxaOrig="3240" w:dyaOrig="540" w14:anchorId="17385C90">
          <v:shape id="_x0000_i1131" type="#_x0000_t75" style="width:162pt;height:27pt" o:ole="" o:preferrelative="f">
            <v:imagedata r:id="rId182" o:title=""/>
            <o:lock v:ext="edit" aspectratio="f"/>
          </v:shape>
          <o:OLEObject Type="Embed" ProgID="Equation.DSMT4" ShapeID="_x0000_i1131" DrawAspect="Content" ObjectID="_1790752850" r:id="rId183"/>
        </w:object>
      </w:r>
      <w:r>
        <w:rPr>
          <w:rFonts w:cs="Times New Roman"/>
          <w:szCs w:val="24"/>
        </w:rPr>
        <w:t>,</w:t>
      </w:r>
      <w:r w:rsidR="0099171D">
        <w:rPr>
          <w:rFonts w:cs="Times New Roman"/>
          <w:szCs w:val="24"/>
        </w:rPr>
        <w:t xml:space="preserve"> </w:t>
      </w:r>
      <w:r w:rsidRPr="00F72D6A">
        <w:rPr>
          <w:rFonts w:cs="Times New Roman"/>
          <w:szCs w:val="24"/>
        </w:rPr>
        <w:t xml:space="preserve">and </w:t>
      </w:r>
      <w:r w:rsidR="009D3BD9" w:rsidRPr="00F72D6A">
        <w:rPr>
          <w:rFonts w:eastAsia="Times New Roman" w:cs="Times New Roman"/>
          <w:position w:val="-16"/>
          <w:szCs w:val="24"/>
        </w:rPr>
        <w:object w:dxaOrig="3360" w:dyaOrig="440" w14:anchorId="6843AD0B">
          <v:shape id="_x0000_i1132" type="#_x0000_t75" style="width:168pt;height:22.7pt" o:ole="" o:preferrelative="f">
            <v:imagedata r:id="rId184" o:title=""/>
            <o:lock v:ext="edit" aspectratio="f"/>
          </v:shape>
          <o:OLEObject Type="Embed" ProgID="Equation.DSMT4" ShapeID="_x0000_i1132" DrawAspect="Content" ObjectID="_1790752851" r:id="rId185"/>
        </w:object>
      </w:r>
      <w:r w:rsidRPr="00F72D6A">
        <w:rPr>
          <w:rFonts w:cs="Times New Roman"/>
          <w:szCs w:val="24"/>
        </w:rPr>
        <w:t xml:space="preserve"> </w:t>
      </w:r>
      <w:r w:rsidR="00D93764" w:rsidRPr="00F72D6A">
        <w:rPr>
          <w:rFonts w:eastAsia="Times New Roman" w:cs="Times New Roman"/>
          <w:position w:val="-10"/>
          <w:szCs w:val="24"/>
        </w:rPr>
        <w:object w:dxaOrig="1344" w:dyaOrig="336" w14:anchorId="075269B3">
          <v:shape id="_x0000_i1133" type="#_x0000_t75" style="width:67.3pt;height:16.3pt" o:ole="" o:preferrelative="f">
            <v:imagedata r:id="rId186" o:title=""/>
            <o:lock v:ext="edit" aspectratio="f"/>
          </v:shape>
          <o:OLEObject Type="Embed" ProgID="Equation.DSMT4" ShapeID="_x0000_i1133" DrawAspect="Content" ObjectID="_1790752852" r:id="rId187"/>
        </w:object>
      </w:r>
      <w:r w:rsidR="0099171D" w:rsidRPr="00F72D6A">
        <w:rPr>
          <w:rFonts w:cs="Times New Roman"/>
          <w:szCs w:val="24"/>
        </w:rPr>
        <w:t xml:space="preserve">. </w:t>
      </w:r>
      <w:r w:rsidR="0099171D">
        <w:rPr>
          <w:rFonts w:cs="Times New Roman"/>
          <w:szCs w:val="24"/>
        </w:rPr>
        <w:t>Then</w:t>
      </w:r>
      <w:r w:rsidR="0099171D" w:rsidRPr="00F72D6A">
        <w:rPr>
          <w:rFonts w:cs="Times New Roman"/>
          <w:szCs w:val="24"/>
        </w:rPr>
        <w:t xml:space="preserve">, </w:t>
      </w:r>
      <w:r w:rsidR="00C1276F">
        <w:rPr>
          <w:rFonts w:cs="Times New Roman"/>
          <w:szCs w:val="24"/>
        </w:rPr>
        <w:t xml:space="preserve">assuming a multivariate normal distribution for </w:t>
      </w:r>
      <w:r w:rsidR="009D3BD9" w:rsidRPr="002A6F72">
        <w:rPr>
          <w:position w:val="-10"/>
        </w:rPr>
        <w:object w:dxaOrig="200" w:dyaOrig="260" w14:anchorId="39771FE6">
          <v:shape id="_x0000_i1134" type="#_x0000_t75" style="width:10.7pt;height:13.3pt" o:ole="">
            <v:imagedata r:id="rId188" o:title=""/>
          </v:shape>
          <o:OLEObject Type="Embed" ProgID="Equation.DSMT4" ShapeID="_x0000_i1134" DrawAspect="Content" ObjectID="_1790752853" r:id="rId189"/>
        </w:object>
      </w:r>
      <w:r w:rsidR="00C1276F">
        <w:rPr>
          <w:rFonts w:cs="Times New Roman"/>
          <w:szCs w:val="24"/>
        </w:rPr>
        <w:t xml:space="preserve">, </w:t>
      </w:r>
      <w:r w:rsidR="0099171D" w:rsidRPr="00F72D6A">
        <w:rPr>
          <w:rFonts w:cs="Times New Roman"/>
          <w:szCs w:val="24"/>
        </w:rPr>
        <w:t xml:space="preserve">we may write the cumulative distribution function for the vector </w:t>
      </w:r>
      <w:r w:rsidR="0099171D" w:rsidRPr="00506566">
        <w:rPr>
          <w:rFonts w:eastAsia="Times New Roman" w:cs="Times New Roman"/>
          <w:position w:val="-6"/>
          <w:szCs w:val="24"/>
        </w:rPr>
        <w:object w:dxaOrig="180" w:dyaOrig="220" w14:anchorId="2D9067EB">
          <v:shape id="_x0000_i1135" type="#_x0000_t75" style="width:9pt;height:12pt" o:ole="" o:preferrelative="f">
            <v:imagedata r:id="rId190" o:title=""/>
            <o:lock v:ext="edit" aspectratio="f"/>
          </v:shape>
          <o:OLEObject Type="Embed" ProgID="Equation.DSMT4" ShapeID="_x0000_i1135" DrawAspect="Content" ObjectID="_1790752854" r:id="rId191"/>
        </w:object>
      </w:r>
      <w:r w:rsidR="00EE7FB1">
        <w:rPr>
          <w:rFonts w:eastAsia="Times New Roman" w:cs="Times New Roman"/>
          <w:szCs w:val="24"/>
        </w:rPr>
        <w:t xml:space="preserve"> </w:t>
      </w:r>
      <w:r w:rsidR="0099171D" w:rsidRPr="00F72D6A">
        <w:rPr>
          <w:rFonts w:eastAsia="Times New Roman" w:cs="Times New Roman"/>
          <w:szCs w:val="24"/>
        </w:rPr>
        <w:t>as follows:</w:t>
      </w:r>
    </w:p>
    <w:p w14:paraId="238D3736" w14:textId="2219CCD4" w:rsidR="00760B71" w:rsidRPr="00F72D6A" w:rsidRDefault="009D3BD9" w:rsidP="00760B71">
      <w:pPr>
        <w:tabs>
          <w:tab w:val="right" w:pos="9360"/>
        </w:tabs>
        <w:spacing w:before="60" w:after="60" w:line="276" w:lineRule="auto"/>
        <w:jc w:val="both"/>
        <w:rPr>
          <w:rFonts w:cs="Times New Roman"/>
          <w:szCs w:val="24"/>
        </w:rPr>
      </w:pPr>
      <w:r w:rsidRPr="00E772E2">
        <w:rPr>
          <w:rFonts w:eastAsia="Times New Roman" w:cs="Times New Roman"/>
          <w:position w:val="-136"/>
          <w:szCs w:val="24"/>
        </w:rPr>
        <w:object w:dxaOrig="5539" w:dyaOrig="2840" w14:anchorId="49D5F5E9">
          <v:shape id="_x0000_i1136" type="#_x0000_t75" style="width:277.7pt;height:141.85pt" o:ole="" o:preferrelative="f">
            <v:imagedata r:id="rId192" o:title=""/>
            <o:lock v:ext="edit" aspectratio="f"/>
          </v:shape>
          <o:OLEObject Type="Embed" ProgID="Equation.DSMT4" ShapeID="_x0000_i1136" DrawAspect="Content" ObjectID="_1790752855" r:id="rId193"/>
        </w:object>
      </w:r>
      <w:r w:rsidR="00E772E2">
        <w:rPr>
          <w:rFonts w:eastAsia="Times New Roman" w:cs="Times New Roman"/>
          <w:szCs w:val="24"/>
        </w:rPr>
        <w:tab/>
      </w:r>
      <w:r w:rsidR="00D3201F">
        <w:rPr>
          <w:rFonts w:cs="Times New Roman"/>
          <w:szCs w:val="24"/>
        </w:rPr>
        <w:t>(</w:t>
      </w:r>
      <w:r w:rsidR="0033379D">
        <w:rPr>
          <w:rFonts w:cs="Times New Roman"/>
          <w:szCs w:val="24"/>
        </w:rPr>
        <w:t>9</w:t>
      </w:r>
      <w:r w:rsidR="00D3201F">
        <w:rPr>
          <w:rFonts w:cs="Times New Roman"/>
          <w:szCs w:val="24"/>
        </w:rPr>
        <w:t>)</w:t>
      </w:r>
      <w:r w:rsidR="00760B71" w:rsidRPr="00F72D6A">
        <w:rPr>
          <w:rFonts w:cs="Times New Roman"/>
          <w:szCs w:val="24"/>
        </w:rPr>
        <w:t xml:space="preserve">       </w:t>
      </w:r>
    </w:p>
    <w:p w14:paraId="39276C03" w14:textId="2F84588E" w:rsidR="00760B71" w:rsidRPr="00F72D6A" w:rsidRDefault="0099171D" w:rsidP="00760B71">
      <w:pPr>
        <w:spacing w:line="276" w:lineRule="auto"/>
        <w:jc w:val="both"/>
        <w:rPr>
          <w:rFonts w:cs="Times New Roman"/>
          <w:szCs w:val="24"/>
        </w:rPr>
      </w:pPr>
      <w:r w:rsidRPr="00F72D6A">
        <w:rPr>
          <w:rFonts w:cs="Times New Roman"/>
          <w:szCs w:val="24"/>
        </w:rPr>
        <w:t xml:space="preserve">where </w:t>
      </w:r>
      <w:r w:rsidRPr="00F72D6A">
        <w:rPr>
          <w:rFonts w:cs="Times New Roman"/>
          <w:position w:val="-6"/>
          <w:szCs w:val="24"/>
        </w:rPr>
        <w:object w:dxaOrig="240" w:dyaOrig="220" w14:anchorId="6F8DF378">
          <v:shape id="_x0000_i1137" type="#_x0000_t75" style="width:12pt;height:12pt" o:ole="">
            <v:imagedata r:id="rId194" o:title=""/>
          </v:shape>
          <o:OLEObject Type="Embed" ProgID="Equation.DSMT4" ShapeID="_x0000_i1137" DrawAspect="Content" ObjectID="_1790752856" r:id="rId195"/>
        </w:object>
      </w:r>
      <w:r w:rsidRPr="00F72D6A">
        <w:rPr>
          <w:rFonts w:cs="Times New Roman"/>
          <w:szCs w:val="24"/>
        </w:rPr>
        <w:t xml:space="preserve"> </w:t>
      </w:r>
      <w:r>
        <w:rPr>
          <w:rFonts w:cs="Times New Roman"/>
          <w:szCs w:val="24"/>
        </w:rPr>
        <w:t xml:space="preserve">is </w:t>
      </w:r>
      <w:r w:rsidRPr="00F72D6A">
        <w:rPr>
          <w:rFonts w:cs="Times New Roman"/>
          <w:szCs w:val="24"/>
        </w:rPr>
        <w:t xml:space="preserve">the diagonal matrix containing the square root of the variance elements of </w:t>
      </w:r>
      <w:r w:rsidR="00691318" w:rsidRPr="00F72D6A">
        <w:rPr>
          <w:rFonts w:cs="Times New Roman"/>
          <w:position w:val="-4"/>
          <w:szCs w:val="24"/>
        </w:rPr>
        <w:object w:dxaOrig="260" w:dyaOrig="260" w14:anchorId="33C239CE">
          <v:shape id="_x0000_i1138" type="#_x0000_t75" style="width:12.85pt;height:12.85pt" o:ole="">
            <v:imagedata r:id="rId196" o:title=""/>
          </v:shape>
          <o:OLEObject Type="Embed" ProgID="Equation.DSMT4" ShapeID="_x0000_i1138" DrawAspect="Content" ObjectID="_1790752857" r:id="rId197"/>
        </w:object>
      </w:r>
      <w:r>
        <w:rPr>
          <w:rFonts w:cs="Times New Roman"/>
          <w:szCs w:val="24"/>
        </w:rPr>
        <w:t>,</w:t>
      </w:r>
      <w:r w:rsidRPr="00F72D6A">
        <w:rPr>
          <w:rFonts w:cs="Times New Roman"/>
          <w:szCs w:val="24"/>
        </w:rPr>
        <w:t xml:space="preserve"> </w:t>
      </w:r>
      <w:r w:rsidR="00D251FE">
        <w:rPr>
          <w:rFonts w:cs="Times New Roman"/>
          <w:szCs w:val="24"/>
        </w:rPr>
        <w:t xml:space="preserve">and </w:t>
      </w:r>
      <w:r w:rsidR="00691318" w:rsidRPr="0099171D">
        <w:rPr>
          <w:position w:val="-12"/>
        </w:rPr>
        <w:object w:dxaOrig="360" w:dyaOrig="360" w14:anchorId="28CAE906">
          <v:shape id="_x0000_i1139" type="#_x0000_t75" style="width:18pt;height:18pt" o:ole="">
            <v:imagedata r:id="rId198" o:title=""/>
          </v:shape>
          <o:OLEObject Type="Embed" ProgID="Equation.DSMT4" ShapeID="_x0000_i1139" DrawAspect="Content" ObjectID="_1790752858" r:id="rId199"/>
        </w:object>
      </w:r>
      <w:r>
        <w:t xml:space="preserve">(.) </w:t>
      </w:r>
      <w:r w:rsidR="00760B71" w:rsidRPr="00F72D6A">
        <w:rPr>
          <w:rFonts w:cs="Times New Roman"/>
          <w:szCs w:val="24"/>
        </w:rPr>
        <w:t xml:space="preserve">in the equation above is the multivariate </w:t>
      </w:r>
      <w:r w:rsidR="00EB35E1">
        <w:rPr>
          <w:rFonts w:cs="Times New Roman"/>
          <w:szCs w:val="24"/>
        </w:rPr>
        <w:t xml:space="preserve">standard </w:t>
      </w:r>
      <w:r w:rsidR="00760B71" w:rsidRPr="00F72D6A">
        <w:rPr>
          <w:rFonts w:cs="Times New Roman"/>
          <w:szCs w:val="24"/>
        </w:rPr>
        <w:t xml:space="preserve">normal </w:t>
      </w:r>
      <w:r w:rsidR="00F86138">
        <w:rPr>
          <w:rFonts w:cs="Times New Roman"/>
          <w:szCs w:val="24"/>
        </w:rPr>
        <w:t>CDF</w:t>
      </w:r>
      <w:r w:rsidR="0085259C">
        <w:rPr>
          <w:rFonts w:cs="Times New Roman"/>
          <w:szCs w:val="24"/>
        </w:rPr>
        <w:t xml:space="preserve"> </w:t>
      </w:r>
      <w:r w:rsidR="00760B71" w:rsidRPr="00F72D6A">
        <w:rPr>
          <w:rFonts w:cs="Times New Roman"/>
          <w:szCs w:val="24"/>
        </w:rPr>
        <w:t xml:space="preserve">of dimension </w:t>
      </w:r>
      <w:r w:rsidR="00760B71" w:rsidRPr="00F72D6A">
        <w:rPr>
          <w:rFonts w:eastAsia="Times New Roman" w:cs="Times New Roman"/>
          <w:position w:val="-4"/>
          <w:szCs w:val="24"/>
        </w:rPr>
        <w:object w:dxaOrig="220" w:dyaOrig="260" w14:anchorId="4C1C9B78">
          <v:shape id="_x0000_i1140" type="#_x0000_t75" style="width:12pt;height:13.3pt" o:ole="">
            <v:imagedata r:id="rId200" o:title=""/>
          </v:shape>
          <o:OLEObject Type="Embed" ProgID="Equation.DSMT4" ShapeID="_x0000_i1140" DrawAspect="Content" ObjectID="_1790752859" r:id="rId201"/>
        </w:object>
      </w:r>
      <w:r w:rsidR="00760B71" w:rsidRPr="00F72D6A">
        <w:rPr>
          <w:rFonts w:eastAsia="Times New Roman" w:cs="Times New Roman"/>
          <w:szCs w:val="24"/>
        </w:rPr>
        <w:t>.</w:t>
      </w:r>
      <w:r w:rsidR="00760B71" w:rsidRPr="00F72D6A">
        <w:rPr>
          <w:rFonts w:cs="Times New Roman"/>
          <w:szCs w:val="24"/>
        </w:rPr>
        <w:t xml:space="preserve"> </w:t>
      </w:r>
      <w:r w:rsidR="00760B71">
        <w:rPr>
          <w:rFonts w:cs="Times New Roman"/>
          <w:szCs w:val="24"/>
        </w:rPr>
        <w:t xml:space="preserve">The net result is that we have now </w:t>
      </w:r>
      <w:r w:rsidR="00F22C7D">
        <w:rPr>
          <w:rFonts w:cs="Times New Roman"/>
          <w:szCs w:val="24"/>
        </w:rPr>
        <w:t xml:space="preserve">generated asymmetry and skew for </w:t>
      </w:r>
      <w:r w:rsidR="00760B71" w:rsidRPr="00F72D6A">
        <w:rPr>
          <w:rFonts w:cs="Times New Roman"/>
          <w:szCs w:val="24"/>
        </w:rPr>
        <w:t xml:space="preserve">the multivariate distribution of </w:t>
      </w:r>
      <w:r w:rsidR="009B5EC0" w:rsidRPr="00506566">
        <w:rPr>
          <w:rFonts w:eastAsia="Times New Roman" w:cs="Times New Roman"/>
          <w:position w:val="-6"/>
          <w:szCs w:val="24"/>
        </w:rPr>
        <w:object w:dxaOrig="180" w:dyaOrig="220" w14:anchorId="38A9073C">
          <v:shape id="_x0000_i1141" type="#_x0000_t75" style="width:9pt;height:10.7pt" o:ole="" o:preferrelative="f">
            <v:imagedata r:id="rId202" o:title=""/>
            <o:lock v:ext="edit" aspectratio="f"/>
          </v:shape>
          <o:OLEObject Type="Embed" ProgID="Equation.DSMT4" ShapeID="_x0000_i1141" DrawAspect="Content" ObjectID="_1790752860" r:id="rId203"/>
        </w:object>
      </w:r>
      <w:r w:rsidR="00760B71" w:rsidRPr="00F72D6A">
        <w:rPr>
          <w:rFonts w:cs="Times New Roman"/>
          <w:szCs w:val="24"/>
        </w:rPr>
        <w:t xml:space="preserve"> </w:t>
      </w:r>
      <w:r w:rsidR="00760B71">
        <w:rPr>
          <w:rFonts w:eastAsia="Times New Roman" w:cs="Times New Roman"/>
          <w:szCs w:val="24"/>
        </w:rPr>
        <w:t xml:space="preserve">through </w:t>
      </w:r>
      <w:r w:rsidR="00760B71">
        <w:rPr>
          <w:rFonts w:eastAsia="Times New Roman" w:cs="Times New Roman"/>
          <w:szCs w:val="24"/>
        </w:rPr>
        <w:lastRenderedPageBreak/>
        <w:t xml:space="preserve">the use of </w:t>
      </w:r>
      <w:r w:rsidR="00760B71" w:rsidRPr="00F72D6A">
        <w:rPr>
          <w:rFonts w:eastAsia="Times New Roman" w:cs="Times New Roman"/>
          <w:szCs w:val="24"/>
        </w:rPr>
        <w:t xml:space="preserve">the element wise </w:t>
      </w:r>
      <w:r w:rsidR="0085259C">
        <w:rPr>
          <w:rFonts w:eastAsia="Times New Roman" w:cs="Times New Roman"/>
          <w:szCs w:val="24"/>
        </w:rPr>
        <w:t xml:space="preserve">reverse </w:t>
      </w:r>
      <w:r w:rsidR="00760B71" w:rsidRPr="00F72D6A">
        <w:rPr>
          <w:rFonts w:eastAsia="Times New Roman" w:cs="Times New Roman"/>
          <w:szCs w:val="24"/>
        </w:rPr>
        <w:t xml:space="preserve">YJ-transformation parameters </w:t>
      </w:r>
      <w:r w:rsidR="00760B71" w:rsidRPr="00F72D6A">
        <w:rPr>
          <w:rFonts w:cs="Times New Roman"/>
          <w:position w:val="-12"/>
          <w:szCs w:val="24"/>
        </w:rPr>
        <w:object w:dxaOrig="240" w:dyaOrig="360" w14:anchorId="2D158910">
          <v:shape id="_x0000_i1142" type="#_x0000_t75" style="width:12pt;height:18.85pt" o:ole="">
            <v:imagedata r:id="rId204" o:title=""/>
          </v:shape>
          <o:OLEObject Type="Embed" ProgID="Equation.DSMT4" ShapeID="_x0000_i1142" DrawAspect="Content" ObjectID="_1790752861" r:id="rId205"/>
        </w:object>
      </w:r>
      <w:r w:rsidR="00F22C7D">
        <w:rPr>
          <w:rFonts w:cs="Times New Roman"/>
          <w:szCs w:val="24"/>
        </w:rPr>
        <w:t xml:space="preserve"> from </w:t>
      </w:r>
      <w:r w:rsidR="00F22C7D" w:rsidRPr="00F72D6A">
        <w:rPr>
          <w:rFonts w:cs="Times New Roman"/>
          <w:szCs w:val="24"/>
        </w:rPr>
        <w:t xml:space="preserve">the multivariate normal distribution of </w:t>
      </w:r>
      <w:r w:rsidR="00B36533" w:rsidRPr="00B36533">
        <w:rPr>
          <w:rFonts w:eastAsia="Times New Roman" w:cs="Times New Roman"/>
          <w:position w:val="-10"/>
          <w:szCs w:val="24"/>
        </w:rPr>
        <w:object w:dxaOrig="200" w:dyaOrig="260" w14:anchorId="561025F5">
          <v:shape id="_x0000_i1143" type="#_x0000_t75" style="width:10.7pt;height:13.3pt" o:ole="" o:preferrelative="f">
            <v:imagedata r:id="rId206" o:title=""/>
            <o:lock v:ext="edit" aspectratio="f"/>
          </v:shape>
          <o:OLEObject Type="Embed" ProgID="Equation.DSMT4" ShapeID="_x0000_i1143" DrawAspect="Content" ObjectID="_1790752862" r:id="rId207"/>
        </w:object>
      </w:r>
      <w:r w:rsidR="00EB35E1">
        <w:rPr>
          <w:rFonts w:eastAsia="Times New Roman" w:cs="Times New Roman"/>
          <w:szCs w:val="24"/>
        </w:rPr>
        <w:t xml:space="preserve">. </w:t>
      </w:r>
      <w:r w:rsidR="00760B71" w:rsidRPr="00F72D6A">
        <w:rPr>
          <w:rFonts w:cs="Times New Roman"/>
          <w:szCs w:val="24"/>
        </w:rPr>
        <w:t xml:space="preserve">For completeness, we also write the corresponding </w:t>
      </w:r>
      <w:r w:rsidR="00D251FE">
        <w:rPr>
          <w:rFonts w:cs="Times New Roman"/>
          <w:szCs w:val="24"/>
        </w:rPr>
        <w:t xml:space="preserve">multivariate </w:t>
      </w:r>
      <w:r w:rsidR="00760B71" w:rsidRPr="00F72D6A">
        <w:rPr>
          <w:rFonts w:cs="Times New Roman"/>
          <w:szCs w:val="24"/>
        </w:rPr>
        <w:t>density function as follows:</w:t>
      </w:r>
    </w:p>
    <w:p w14:paraId="714603AD" w14:textId="46A100D4" w:rsidR="0033379D" w:rsidRDefault="00656A34" w:rsidP="0085259C">
      <w:pPr>
        <w:tabs>
          <w:tab w:val="right" w:pos="9360"/>
        </w:tabs>
        <w:spacing w:before="60" w:after="60" w:line="276" w:lineRule="auto"/>
        <w:jc w:val="both"/>
      </w:pPr>
      <w:r w:rsidRPr="0033379D">
        <w:rPr>
          <w:rFonts w:cs="Times New Roman"/>
          <w:position w:val="-104"/>
          <w:szCs w:val="24"/>
        </w:rPr>
        <w:object w:dxaOrig="5300" w:dyaOrig="2200" w14:anchorId="6CB64CD5">
          <v:shape id="_x0000_i1144" type="#_x0000_t75" style="width:264.85pt;height:110.15pt" o:ole="" o:preferrelative="f">
            <v:imagedata r:id="rId208" o:title=""/>
            <o:lock v:ext="edit" aspectratio="f"/>
          </v:shape>
          <o:OLEObject Type="Embed" ProgID="Equation.DSMT4" ShapeID="_x0000_i1144" DrawAspect="Content" ObjectID="_1790752863" r:id="rId209"/>
        </w:object>
      </w:r>
      <w:r w:rsidR="0033379D">
        <w:rPr>
          <w:rFonts w:cs="Times New Roman"/>
          <w:szCs w:val="24"/>
        </w:rPr>
        <w:tab/>
      </w:r>
      <w:r w:rsidR="00D3201F">
        <w:t>(</w:t>
      </w:r>
      <w:r w:rsidR="00377ED9">
        <w:t>1</w:t>
      </w:r>
      <w:r w:rsidR="0033379D">
        <w:t>0</w:t>
      </w:r>
      <w:r w:rsidR="00D3201F">
        <w:t>)</w:t>
      </w:r>
    </w:p>
    <w:p w14:paraId="74312455" w14:textId="5745CD68" w:rsidR="00760B71" w:rsidRPr="00F72D6A" w:rsidRDefault="00656A34" w:rsidP="007F2BF6">
      <w:pPr>
        <w:tabs>
          <w:tab w:val="right" w:pos="9360"/>
        </w:tabs>
        <w:spacing w:line="276" w:lineRule="auto"/>
        <w:jc w:val="both"/>
        <w:rPr>
          <w:rFonts w:eastAsia="Times New Roman" w:cs="Times New Roman"/>
          <w:szCs w:val="24"/>
        </w:rPr>
      </w:pPr>
      <w:r w:rsidRPr="0085259C">
        <w:rPr>
          <w:position w:val="-12"/>
        </w:rPr>
        <w:object w:dxaOrig="520" w:dyaOrig="360" w14:anchorId="12D1AC30">
          <v:shape id="_x0000_i1145" type="#_x0000_t75" style="width:26.15pt;height:18pt" o:ole="" o:preferrelative="f">
            <v:imagedata r:id="rId210" o:title=""/>
            <o:lock v:ext="edit" aspectratio="f"/>
          </v:shape>
          <o:OLEObject Type="Embed" ProgID="Equation.DSMT4" ShapeID="_x0000_i1145" DrawAspect="Content" ObjectID="_1790752864" r:id="rId211"/>
        </w:object>
      </w:r>
      <w:r w:rsidR="0085259C">
        <w:t xml:space="preserve"> is the multivariate </w:t>
      </w:r>
      <w:r w:rsidR="00EB35E1">
        <w:t xml:space="preserve">standard </w:t>
      </w:r>
      <w:r w:rsidR="0085259C">
        <w:t>normal pdf</w:t>
      </w:r>
      <w:r w:rsidR="007142A6">
        <w:t>.</w:t>
      </w:r>
      <w:r w:rsidR="0085259C">
        <w:t xml:space="preserve"> </w:t>
      </w:r>
    </w:p>
    <w:p w14:paraId="0D63384D" w14:textId="04A253B3" w:rsidR="00740DB4" w:rsidRDefault="0085259C" w:rsidP="00377ED9">
      <w:pPr>
        <w:spacing w:line="276" w:lineRule="auto"/>
        <w:ind w:firstLine="720"/>
        <w:jc w:val="both"/>
        <w:rPr>
          <w:rFonts w:cs="Times New Roman"/>
          <w:szCs w:val="24"/>
        </w:rPr>
      </w:pPr>
      <w:r>
        <w:rPr>
          <w:rFonts w:cs="Times New Roman"/>
          <w:szCs w:val="24"/>
        </w:rPr>
        <w:t xml:space="preserve">We now discuss the </w:t>
      </w:r>
      <w:r w:rsidR="00F22C7D">
        <w:rPr>
          <w:rFonts w:cs="Times New Roman"/>
          <w:szCs w:val="24"/>
        </w:rPr>
        <w:t>application</w:t>
      </w:r>
      <w:r>
        <w:rPr>
          <w:rFonts w:cs="Times New Roman"/>
          <w:szCs w:val="24"/>
        </w:rPr>
        <w:t xml:space="preserve"> of the multivariate transformation approach above i</w:t>
      </w:r>
      <w:r w:rsidR="00740DB4">
        <w:rPr>
          <w:rFonts w:cs="Times New Roman"/>
          <w:szCs w:val="24"/>
        </w:rPr>
        <w:t xml:space="preserve">n </w:t>
      </w:r>
      <w:r>
        <w:rPr>
          <w:rFonts w:cs="Times New Roman"/>
          <w:szCs w:val="24"/>
        </w:rPr>
        <w:t xml:space="preserve">the </w:t>
      </w:r>
      <w:r w:rsidR="00F22C7D">
        <w:rPr>
          <w:rFonts w:cs="Times New Roman"/>
          <w:szCs w:val="24"/>
        </w:rPr>
        <w:t xml:space="preserve">specific </w:t>
      </w:r>
      <w:r>
        <w:rPr>
          <w:rFonts w:cs="Times New Roman"/>
          <w:szCs w:val="24"/>
        </w:rPr>
        <w:t xml:space="preserve">context of an </w:t>
      </w:r>
      <w:r w:rsidR="00740DB4">
        <w:rPr>
          <w:rFonts w:cs="Times New Roman"/>
          <w:szCs w:val="24"/>
        </w:rPr>
        <w:t xml:space="preserve">ordered-response model structure with an </w:t>
      </w:r>
      <w:r w:rsidR="00377ED9">
        <w:rPr>
          <w:rFonts w:cs="Times New Roman"/>
          <w:szCs w:val="24"/>
        </w:rPr>
        <w:t>endogenous explanatory variable (</w:t>
      </w:r>
      <w:r w:rsidR="00740DB4">
        <w:rPr>
          <w:rFonts w:cs="Times New Roman"/>
          <w:szCs w:val="24"/>
        </w:rPr>
        <w:t>EEV</w:t>
      </w:r>
      <w:r w:rsidR="00377ED9">
        <w:rPr>
          <w:rFonts w:cs="Times New Roman"/>
          <w:szCs w:val="24"/>
        </w:rPr>
        <w:t>)</w:t>
      </w:r>
      <w:r>
        <w:rPr>
          <w:rFonts w:cs="Times New Roman"/>
          <w:szCs w:val="24"/>
        </w:rPr>
        <w:t xml:space="preserve">. </w:t>
      </w:r>
      <w:r w:rsidR="00AC3C17">
        <w:rPr>
          <w:rFonts w:cs="Times New Roman"/>
          <w:szCs w:val="24"/>
        </w:rPr>
        <w:t xml:space="preserve">In the case of Equation (1), for example, the dummy variable </w:t>
      </w:r>
      <w:r w:rsidR="00AC3C17" w:rsidRPr="00377ED9">
        <w:rPr>
          <w:rFonts w:cs="Times New Roman"/>
          <w:i/>
          <w:iCs/>
          <w:szCs w:val="24"/>
        </w:rPr>
        <w:t>u</w:t>
      </w:r>
      <w:r w:rsidR="00AC3C17">
        <w:rPr>
          <w:rFonts w:cs="Times New Roman"/>
          <w:szCs w:val="24"/>
        </w:rPr>
        <w:t xml:space="preserve"> </w:t>
      </w:r>
      <w:r w:rsidR="00377ED9">
        <w:rPr>
          <w:rFonts w:cs="Times New Roman"/>
          <w:szCs w:val="24"/>
        </w:rPr>
        <w:t xml:space="preserve">may be endogenous to </w:t>
      </w:r>
      <w:r w:rsidR="00377ED9" w:rsidRPr="00377ED9">
        <w:rPr>
          <w:rFonts w:cs="Times New Roman"/>
          <w:i/>
          <w:iCs/>
          <w:szCs w:val="24"/>
        </w:rPr>
        <w:t>y</w:t>
      </w:r>
      <w:r w:rsidR="00377ED9">
        <w:rPr>
          <w:rFonts w:cs="Times New Roman"/>
          <w:szCs w:val="24"/>
        </w:rPr>
        <w:t xml:space="preserve">. In our empirical analysis later, where </w:t>
      </w:r>
      <w:r w:rsidR="00377ED9" w:rsidRPr="00377ED9">
        <w:rPr>
          <w:rFonts w:cs="Times New Roman"/>
          <w:i/>
          <w:iCs/>
          <w:szCs w:val="24"/>
        </w:rPr>
        <w:t>y</w:t>
      </w:r>
      <w:r w:rsidR="00377ED9">
        <w:rPr>
          <w:rFonts w:cs="Times New Roman"/>
          <w:szCs w:val="24"/>
        </w:rPr>
        <w:t xml:space="preserve"> is walking frequency and </w:t>
      </w:r>
      <w:r w:rsidR="00377ED9" w:rsidRPr="00377ED9">
        <w:rPr>
          <w:rFonts w:cs="Times New Roman"/>
          <w:i/>
          <w:iCs/>
          <w:szCs w:val="24"/>
        </w:rPr>
        <w:t>u</w:t>
      </w:r>
      <w:r w:rsidR="00377ED9">
        <w:rPr>
          <w:rFonts w:cs="Times New Roman"/>
          <w:szCs w:val="24"/>
        </w:rPr>
        <w:t xml:space="preserve"> is a dummy variable for urban (versus) rural residence representing the built environment effect of residential location, a </w:t>
      </w:r>
      <w:r w:rsidR="00D3201F" w:rsidRPr="00340ECC">
        <w:rPr>
          <w:rFonts w:cs="Times New Roman"/>
          <w:szCs w:val="24"/>
        </w:rPr>
        <w:t xml:space="preserve">likely situation is the presence of unobserved antecedent personality, attitude, and lifestyle characteristics of individuals/households that simultaneously impact residential location choice and </w:t>
      </w:r>
      <w:r w:rsidR="00377ED9">
        <w:rPr>
          <w:rFonts w:cs="Times New Roman"/>
          <w:szCs w:val="24"/>
        </w:rPr>
        <w:t>walk frequency</w:t>
      </w:r>
      <w:r w:rsidR="00D3201F" w:rsidRPr="00340ECC">
        <w:rPr>
          <w:rFonts w:cs="Times New Roman"/>
          <w:szCs w:val="24"/>
        </w:rPr>
        <w:t xml:space="preserve">. </w:t>
      </w:r>
      <w:r w:rsidR="00D3201F" w:rsidRPr="00340ECC">
        <w:rPr>
          <w:rFonts w:cs="Times New Roman"/>
          <w:color w:val="000000" w:themeColor="text1"/>
          <w:szCs w:val="24"/>
        </w:rPr>
        <w:t>Bhat and Guo (2007) discuss this residential self-selection issue at length, emphasizing its importance for policy-making.</w:t>
      </w:r>
      <w:r w:rsidR="00377ED9">
        <w:rPr>
          <w:rFonts w:cs="Times New Roman"/>
          <w:color w:val="000000" w:themeColor="text1"/>
          <w:szCs w:val="24"/>
        </w:rPr>
        <w:t xml:space="preserve"> To accommodate for this self-selection</w:t>
      </w:r>
      <w:r w:rsidR="007142A6">
        <w:rPr>
          <w:rFonts w:cs="Times New Roman"/>
          <w:color w:val="000000" w:themeColor="text1"/>
          <w:szCs w:val="24"/>
        </w:rPr>
        <w:t>,</w:t>
      </w:r>
      <w:r w:rsidR="00377ED9">
        <w:rPr>
          <w:rFonts w:cs="Times New Roman"/>
          <w:color w:val="000000" w:themeColor="text1"/>
          <w:szCs w:val="24"/>
        </w:rPr>
        <w:t xml:space="preserve"> while also recognizing the potentially non-normal nature of the unobserved factors affecting urban residence and walking frequency,</w:t>
      </w:r>
      <w:r w:rsidR="00377ED9">
        <w:rPr>
          <w:rFonts w:cs="Times New Roman"/>
          <w:szCs w:val="24"/>
        </w:rPr>
        <w:t xml:space="preserve"> w</w:t>
      </w:r>
      <w:r w:rsidR="00740DB4">
        <w:rPr>
          <w:rFonts w:cs="Times New Roman"/>
          <w:szCs w:val="24"/>
        </w:rPr>
        <w:t xml:space="preserve">e write two equations, one for the </w:t>
      </w:r>
      <w:r w:rsidR="00377ED9">
        <w:rPr>
          <w:rFonts w:cs="Times New Roman"/>
          <w:szCs w:val="24"/>
        </w:rPr>
        <w:t xml:space="preserve">urban </w:t>
      </w:r>
      <w:r w:rsidR="00740DB4">
        <w:rPr>
          <w:rFonts w:cs="Times New Roman"/>
          <w:szCs w:val="24"/>
        </w:rPr>
        <w:t>EEV and the other for the ordered-response:</w:t>
      </w:r>
    </w:p>
    <w:p w14:paraId="3273ACFA" w14:textId="28961B20" w:rsidR="00740DB4" w:rsidRDefault="00FC7ACE" w:rsidP="00740DB4">
      <w:pPr>
        <w:spacing w:before="60" w:after="60" w:line="276" w:lineRule="auto"/>
        <w:jc w:val="both"/>
        <w:rPr>
          <w:szCs w:val="24"/>
        </w:rPr>
      </w:pPr>
      <w:r w:rsidRPr="0079127F">
        <w:rPr>
          <w:position w:val="-32"/>
          <w:szCs w:val="24"/>
        </w:rPr>
        <w:object w:dxaOrig="7880" w:dyaOrig="760" w14:anchorId="57F7D532">
          <v:shape id="_x0000_i1146" type="#_x0000_t75" style="width:394.3pt;height:38.15pt" o:ole="" o:preferrelative="f">
            <v:imagedata r:id="rId212" o:title=""/>
            <o:lock v:ext="edit" aspectratio="f"/>
          </v:shape>
          <o:OLEObject Type="Embed" ProgID="Equation.DSMT4" ShapeID="_x0000_i1146" DrawAspect="Content" ObjectID="_1790752865" r:id="rId213"/>
        </w:object>
      </w:r>
      <w:r w:rsidR="00740DB4">
        <w:rPr>
          <w:szCs w:val="24"/>
        </w:rPr>
        <w:tab/>
      </w:r>
      <w:r w:rsidR="00740DB4">
        <w:rPr>
          <w:szCs w:val="24"/>
        </w:rPr>
        <w:tab/>
        <w:t xml:space="preserve">  </w:t>
      </w:r>
      <w:r w:rsidR="007142A6">
        <w:rPr>
          <w:szCs w:val="24"/>
        </w:rPr>
        <w:t xml:space="preserve"> </w:t>
      </w:r>
      <w:r w:rsidR="0033379D">
        <w:rPr>
          <w:szCs w:val="24"/>
        </w:rPr>
        <w:t xml:space="preserve">  </w:t>
      </w:r>
      <w:r w:rsidR="00740DB4">
        <w:rPr>
          <w:szCs w:val="24"/>
        </w:rPr>
        <w:t>(</w:t>
      </w:r>
      <w:r w:rsidR="0033379D">
        <w:rPr>
          <w:szCs w:val="24"/>
        </w:rPr>
        <w:t>11</w:t>
      </w:r>
      <w:r w:rsidR="00740DB4">
        <w:rPr>
          <w:szCs w:val="24"/>
        </w:rPr>
        <w:t>)</w:t>
      </w:r>
    </w:p>
    <w:p w14:paraId="1ABFC5D8" w14:textId="76E9C594" w:rsidR="00740DB4" w:rsidRDefault="00740DB4" w:rsidP="00740DB4">
      <w:pPr>
        <w:spacing w:line="276" w:lineRule="auto"/>
        <w:jc w:val="both"/>
        <w:rPr>
          <w:rFonts w:cs="Times New Roman"/>
          <w:szCs w:val="24"/>
        </w:rPr>
      </w:pPr>
      <w:r w:rsidRPr="008674F2">
        <w:rPr>
          <w:rFonts w:cs="Times New Roman"/>
          <w:szCs w:val="24"/>
        </w:rPr>
        <w:t xml:space="preserve">The latent propensity </w:t>
      </w:r>
      <w:r w:rsidR="00D93764" w:rsidRPr="008674F2">
        <w:rPr>
          <w:rFonts w:cs="Times New Roman"/>
          <w:position w:val="-12"/>
          <w:szCs w:val="24"/>
        </w:rPr>
        <w:object w:dxaOrig="260" w:dyaOrig="380" w14:anchorId="59BABE66">
          <v:shape id="_x0000_i1147" type="#_x0000_t75" style="width:13.3pt;height:18.85pt" o:ole="" o:preferrelative="f">
            <v:imagedata r:id="rId214" o:title=""/>
            <o:lock v:ext="edit" aspectratio="f"/>
          </v:shape>
          <o:OLEObject Type="Embed" ProgID="Equation.DSMT4" ShapeID="_x0000_i1147" DrawAspect="Content" ObjectID="_1790752866" r:id="rId215"/>
        </w:object>
      </w:r>
      <w:r w:rsidRPr="008674F2">
        <w:rPr>
          <w:rFonts w:cs="Times New Roman"/>
          <w:szCs w:val="24"/>
        </w:rPr>
        <w:t xml:space="preserve"> determines the EEV outcome </w:t>
      </w:r>
      <w:r w:rsidR="00377ED9" w:rsidRPr="00377ED9">
        <w:rPr>
          <w:rFonts w:cs="Times New Roman"/>
          <w:position w:val="-6"/>
          <w:szCs w:val="24"/>
        </w:rPr>
        <w:object w:dxaOrig="200" w:dyaOrig="220" w14:anchorId="6C2723B9">
          <v:shape id="_x0000_i1148" type="#_x0000_t75" style="width:9.85pt;height:12pt" o:ole="" o:preferrelative="f">
            <v:imagedata r:id="rId216" o:title=""/>
            <o:lock v:ext="edit" aspectratio="f"/>
          </v:shape>
          <o:OLEObject Type="Embed" ProgID="Equation.DSMT4" ShapeID="_x0000_i1148" DrawAspect="Content" ObjectID="_1790752867" r:id="rId217"/>
        </w:object>
      </w:r>
      <w:r w:rsidRPr="008674F2">
        <w:rPr>
          <w:rFonts w:cs="Times New Roman"/>
          <w:szCs w:val="24"/>
        </w:rPr>
        <w:t xml:space="preserve">, </w:t>
      </w:r>
      <w:r w:rsidR="00377ED9">
        <w:rPr>
          <w:rFonts w:cs="Times New Roman"/>
          <w:szCs w:val="24"/>
        </w:rPr>
        <w:t xml:space="preserve">with exogenous covariate vector </w:t>
      </w:r>
      <w:r w:rsidR="00B36533" w:rsidRPr="00061531">
        <w:rPr>
          <w:position w:val="-6"/>
        </w:rPr>
        <w:object w:dxaOrig="260" w:dyaOrig="220" w14:anchorId="04F1BB4F">
          <v:shape id="_x0000_i1149" type="#_x0000_t75" style="width:13.3pt;height:10.7pt" o:ole="">
            <v:imagedata r:id="rId218" o:title=""/>
          </v:shape>
          <o:OLEObject Type="Embed" ProgID="Equation.DSMT4" ShapeID="_x0000_i1149" DrawAspect="Content" ObjectID="_1790752868" r:id="rId219"/>
        </w:object>
      </w:r>
      <w:r w:rsidR="00377ED9">
        <w:rPr>
          <w:rFonts w:cs="Times New Roman"/>
          <w:szCs w:val="24"/>
        </w:rPr>
        <w:t xml:space="preserve"> </w:t>
      </w:r>
      <w:r w:rsidR="00C1276F">
        <w:rPr>
          <w:rFonts w:cs="Times New Roman"/>
          <w:szCs w:val="24"/>
        </w:rPr>
        <w:t xml:space="preserve">(including a constant) . </w:t>
      </w:r>
      <w:r w:rsidRPr="008674F2">
        <w:rPr>
          <w:rFonts w:cs="Times New Roman"/>
          <w:position w:val="-10"/>
          <w:szCs w:val="24"/>
        </w:rPr>
        <w:object w:dxaOrig="200" w:dyaOrig="320" w14:anchorId="300744AB">
          <v:shape id="_x0000_i1150" type="#_x0000_t75" style="width:12pt;height:15.85pt" o:ole="">
            <v:imagedata r:id="rId220" o:title=""/>
          </v:shape>
          <o:OLEObject Type="Embed" ProgID="Equation.DSMT4" ShapeID="_x0000_i1150" DrawAspect="Content" ObjectID="_1790752869" r:id="rId221"/>
        </w:object>
      </w:r>
      <w:r w:rsidRPr="008674F2">
        <w:rPr>
          <w:rFonts w:cs="Times New Roman"/>
          <w:szCs w:val="24"/>
        </w:rPr>
        <w:t xml:space="preserve"> </w:t>
      </w:r>
      <w:r w:rsidR="00C1276F">
        <w:rPr>
          <w:rFonts w:cs="Times New Roman"/>
          <w:szCs w:val="24"/>
        </w:rPr>
        <w:t xml:space="preserve">is an additional </w:t>
      </w:r>
      <w:r w:rsidRPr="008674F2">
        <w:rPr>
          <w:rFonts w:cs="Times New Roman"/>
          <w:szCs w:val="24"/>
        </w:rPr>
        <w:t>coefficient</w:t>
      </w:r>
      <w:r w:rsidR="00C1276F">
        <w:rPr>
          <w:rFonts w:cs="Times New Roman"/>
          <w:szCs w:val="24"/>
        </w:rPr>
        <w:t xml:space="preserve"> vector</w:t>
      </w:r>
      <w:r w:rsidRPr="008674F2">
        <w:rPr>
          <w:rFonts w:cs="Times New Roman"/>
          <w:szCs w:val="24"/>
        </w:rPr>
        <w:t xml:space="preserve"> to be estimated, </w:t>
      </w:r>
      <w:r w:rsidR="00EB35E1">
        <w:rPr>
          <w:rFonts w:cs="Times New Roman"/>
          <w:szCs w:val="24"/>
        </w:rPr>
        <w:t xml:space="preserve">and </w:t>
      </w:r>
      <w:r w:rsidR="00EB35E1" w:rsidRPr="008674F2">
        <w:rPr>
          <w:rFonts w:cs="Times New Roman"/>
          <w:position w:val="-6"/>
          <w:szCs w:val="24"/>
        </w:rPr>
        <w:object w:dxaOrig="220" w:dyaOrig="279" w14:anchorId="07AAB373">
          <v:shape id="_x0000_i1151" type="#_x0000_t75" style="width:12pt;height:13.7pt" o:ole="" o:preferrelative="f">
            <v:imagedata r:id="rId21" o:title=""/>
            <o:lock v:ext="edit" aspectratio="f"/>
          </v:shape>
          <o:OLEObject Type="Embed" ProgID="Equation.DSMT4" ShapeID="_x0000_i1151" DrawAspect="Content" ObjectID="_1790752870" r:id="rId222"/>
        </w:object>
      </w:r>
      <w:r w:rsidRPr="008674F2">
        <w:rPr>
          <w:rFonts w:cs="Times New Roman"/>
          <w:szCs w:val="24"/>
        </w:rPr>
        <w:t xml:space="preserve"> is the treatment effect </w:t>
      </w:r>
      <w:proofErr w:type="gramStart"/>
      <w:r w:rsidRPr="008674F2">
        <w:rPr>
          <w:rFonts w:cs="Times New Roman"/>
          <w:szCs w:val="24"/>
        </w:rPr>
        <w:t>parameter.</w:t>
      </w:r>
      <w:proofErr w:type="gramEnd"/>
      <w:r w:rsidRPr="008674F2">
        <w:rPr>
          <w:rFonts w:cs="Times New Roman"/>
          <w:szCs w:val="24"/>
        </w:rPr>
        <w:t xml:space="preserve"> The elements of the vectors </w:t>
      </w:r>
      <w:r w:rsidR="00C1276F" w:rsidRPr="00C1276F">
        <w:rPr>
          <w:rFonts w:cs="Times New Roman"/>
          <w:position w:val="-10"/>
          <w:szCs w:val="24"/>
        </w:rPr>
        <w:object w:dxaOrig="880" w:dyaOrig="320" w14:anchorId="59D4848C">
          <v:shape id="_x0000_i1152" type="#_x0000_t75" style="width:45pt;height:15.85pt" o:ole="">
            <v:imagedata r:id="rId223" o:title=""/>
          </v:shape>
          <o:OLEObject Type="Embed" ProgID="Equation.DSMT4" ShapeID="_x0000_i1152" DrawAspect="Content" ObjectID="_1790752871" r:id="rId224"/>
        </w:object>
      </w:r>
      <w:r w:rsidRPr="008674F2">
        <w:rPr>
          <w:rFonts w:cs="Times New Roman"/>
          <w:szCs w:val="24"/>
        </w:rPr>
        <w:t xml:space="preserve"> are assumed independent of the stochastic elements </w:t>
      </w:r>
      <w:r w:rsidR="00D93764" w:rsidRPr="00EE7FB1">
        <w:rPr>
          <w:rFonts w:eastAsia="Times New Roman" w:cs="Times New Roman"/>
          <w:noProof/>
          <w:position w:val="-12"/>
          <w:szCs w:val="24"/>
        </w:rPr>
        <w:object w:dxaOrig="240" w:dyaOrig="360" w14:anchorId="67053801">
          <v:shape id="_x0000_i1153" type="#_x0000_t75" style="width:12pt;height:18pt" o:ole="" o:preferrelative="f">
            <v:imagedata r:id="rId225" o:title=""/>
            <o:lock v:ext="edit" aspectratio="f"/>
          </v:shape>
          <o:OLEObject Type="Embed" ProgID="Equation.DSMT4" ShapeID="_x0000_i1153" DrawAspect="Content" ObjectID="_1790752872" r:id="rId226"/>
        </w:object>
      </w:r>
      <w:r w:rsidRPr="008674F2">
        <w:rPr>
          <w:rFonts w:eastAsia="Times New Roman" w:cs="Times New Roman"/>
          <w:noProof/>
          <w:szCs w:val="24"/>
        </w:rPr>
        <w:t xml:space="preserve"> and </w:t>
      </w:r>
      <w:bookmarkStart w:id="3" w:name="_Hlk170196106"/>
      <w:r w:rsidR="00EE7FB1" w:rsidRPr="00EE7FB1">
        <w:rPr>
          <w:rFonts w:eastAsia="Times New Roman" w:cs="Times New Roman"/>
          <w:noProof/>
          <w:position w:val="-12"/>
          <w:szCs w:val="24"/>
        </w:rPr>
        <w:object w:dxaOrig="260" w:dyaOrig="360" w14:anchorId="4E4276EC">
          <v:shape id="_x0000_i1154" type="#_x0000_t75" style="width:12.85pt;height:18pt" o:ole="" o:preferrelative="f">
            <v:imagedata r:id="rId227" o:title=""/>
            <o:lock v:ext="edit" aspectratio="f"/>
          </v:shape>
          <o:OLEObject Type="Embed" ProgID="Equation.DSMT4" ShapeID="_x0000_i1154" DrawAspect="Content" ObjectID="_1790752873" r:id="rId228"/>
        </w:object>
      </w:r>
      <w:bookmarkEnd w:id="3"/>
      <w:r>
        <w:rPr>
          <w:rFonts w:cs="Times New Roman"/>
          <w:szCs w:val="24"/>
        </w:rPr>
        <w:t xml:space="preserve">, but </w:t>
      </w:r>
      <w:r w:rsidR="00EE7FB1" w:rsidRPr="00EE7FB1">
        <w:rPr>
          <w:rFonts w:eastAsia="Times New Roman" w:cs="Times New Roman"/>
          <w:noProof/>
          <w:position w:val="-12"/>
          <w:szCs w:val="24"/>
        </w:rPr>
        <w:object w:dxaOrig="240" w:dyaOrig="360" w14:anchorId="2D59E0D8">
          <v:shape id="_x0000_i1155" type="#_x0000_t75" style="width:12pt;height:18.85pt" o:ole="" o:preferrelative="f">
            <v:imagedata r:id="rId225" o:title=""/>
            <o:lock v:ext="edit" aspectratio="f"/>
          </v:shape>
          <o:OLEObject Type="Embed" ProgID="Equation.DSMT4" ShapeID="_x0000_i1155" DrawAspect="Content" ObjectID="_1790752874" r:id="rId229"/>
        </w:object>
      </w:r>
      <w:r w:rsidR="00EE7FB1" w:rsidRPr="008674F2">
        <w:rPr>
          <w:rFonts w:eastAsia="Times New Roman" w:cs="Times New Roman"/>
          <w:noProof/>
          <w:szCs w:val="24"/>
        </w:rPr>
        <w:t xml:space="preserve"> and </w:t>
      </w:r>
      <w:r w:rsidR="00EE7FB1" w:rsidRPr="00EE7FB1">
        <w:rPr>
          <w:rFonts w:eastAsia="Times New Roman" w:cs="Times New Roman"/>
          <w:noProof/>
          <w:position w:val="-12"/>
          <w:szCs w:val="24"/>
        </w:rPr>
        <w:object w:dxaOrig="260" w:dyaOrig="360" w14:anchorId="6C1376AA">
          <v:shape id="_x0000_i1156" type="#_x0000_t75" style="width:12.85pt;height:18pt" o:ole="" o:preferrelative="f">
            <v:imagedata r:id="rId227" o:title=""/>
            <o:lock v:ext="edit" aspectratio="f"/>
          </v:shape>
          <o:OLEObject Type="Embed" ProgID="Equation.DSMT4" ShapeID="_x0000_i1156" DrawAspect="Content" ObjectID="_1790752875" r:id="rId230"/>
        </w:object>
      </w:r>
      <w:r w:rsidR="00EE7FB1">
        <w:rPr>
          <w:rFonts w:eastAsia="Times New Roman" w:cs="Times New Roman"/>
          <w:noProof/>
          <w:szCs w:val="24"/>
        </w:rPr>
        <w:t xml:space="preserve"> </w:t>
      </w:r>
      <w:r w:rsidRPr="008674F2">
        <w:rPr>
          <w:rFonts w:cs="Times New Roman"/>
          <w:szCs w:val="24"/>
        </w:rPr>
        <w:t>are correlated</w:t>
      </w:r>
      <w:r>
        <w:rPr>
          <w:rFonts w:cs="Times New Roman"/>
          <w:szCs w:val="24"/>
        </w:rPr>
        <w:t>.</w:t>
      </w:r>
      <w:r w:rsidRPr="008674F2">
        <w:rPr>
          <w:rFonts w:cs="Times New Roman"/>
          <w:szCs w:val="24"/>
        </w:rPr>
        <w:t xml:space="preserve"> For identification, we also maintain the usual exclusion restriction that there is at least one variable (“instrument”) that is contained in the vector</w:t>
      </w:r>
      <w:r w:rsidR="00B36533" w:rsidRPr="00061531">
        <w:rPr>
          <w:position w:val="-6"/>
        </w:rPr>
        <w:object w:dxaOrig="260" w:dyaOrig="220" w14:anchorId="7CFF50F7">
          <v:shape id="_x0000_i1157" type="#_x0000_t75" style="width:13.3pt;height:10.7pt" o:ole="">
            <v:imagedata r:id="rId218" o:title=""/>
          </v:shape>
          <o:OLEObject Type="Embed" ProgID="Equation.DSMT4" ShapeID="_x0000_i1157" DrawAspect="Content" ObjectID="_1790752876" r:id="rId231"/>
        </w:object>
      </w:r>
      <w:r w:rsidR="00EE7FB1">
        <w:rPr>
          <w:rFonts w:cs="Times New Roman"/>
          <w:szCs w:val="24"/>
        </w:rPr>
        <w:t>,</w:t>
      </w:r>
      <w:r w:rsidRPr="008674F2">
        <w:rPr>
          <w:rFonts w:cs="Times New Roman"/>
          <w:szCs w:val="24"/>
        </w:rPr>
        <w:t xml:space="preserve"> but does not appear in the vector </w:t>
      </w:r>
      <w:r w:rsidR="00C1276F" w:rsidRPr="00C1276F">
        <w:rPr>
          <w:rFonts w:cs="Times New Roman"/>
          <w:position w:val="-4"/>
          <w:szCs w:val="24"/>
        </w:rPr>
        <w:object w:dxaOrig="200" w:dyaOrig="200" w14:anchorId="1B0C263D">
          <v:shape id="_x0000_i1158" type="#_x0000_t75" style="width:9.85pt;height:9.85pt" o:ole="">
            <v:imagedata r:id="rId23" o:title=""/>
          </v:shape>
          <o:OLEObject Type="Embed" ProgID="Equation.DSMT4" ShapeID="_x0000_i1158" DrawAspect="Content" ObjectID="_1790752877" r:id="rId232"/>
        </w:object>
      </w:r>
      <w:r w:rsidR="00C1276F">
        <w:rPr>
          <w:rFonts w:cs="Times New Roman"/>
          <w:szCs w:val="24"/>
        </w:rPr>
        <w:t xml:space="preserve">. </w:t>
      </w:r>
      <w:r w:rsidRPr="008674F2">
        <w:rPr>
          <w:rFonts w:cs="Times New Roman"/>
          <w:szCs w:val="24"/>
        </w:rPr>
        <w:t>While there has been some confusion in the literature on whether such an exclusion restriction is necessary in multivariate limited-dependent variable models of the type in Equation (</w:t>
      </w:r>
      <w:r w:rsidR="0033379D">
        <w:rPr>
          <w:rFonts w:cs="Times New Roman"/>
          <w:szCs w:val="24"/>
        </w:rPr>
        <w:t>11</w:t>
      </w:r>
      <w:r w:rsidRPr="008674F2">
        <w:rPr>
          <w:rFonts w:cs="Times New Roman"/>
          <w:szCs w:val="24"/>
        </w:rPr>
        <w:t xml:space="preserve">) (see, for example, Wilde, 2000 and Rhine et al., 2006), Han and Lee (2019) show that such an exclusion restriction will, in general, be necessary and sufficient for identification of the model parameters. While the parameters </w:t>
      </w:r>
      <w:r w:rsidRPr="008674F2">
        <w:rPr>
          <w:rFonts w:cs="Times New Roman"/>
          <w:szCs w:val="24"/>
          <w:u w:val="single"/>
        </w:rPr>
        <w:t>may</w:t>
      </w:r>
      <w:r w:rsidRPr="008674F2">
        <w:rPr>
          <w:rFonts w:cs="Times New Roman"/>
          <w:szCs w:val="24"/>
        </w:rPr>
        <w:t xml:space="preserve"> be identified even without the exclusion restriction in the specific case of the presence of a common continuous exogenous variable (but not a binary variable) in both </w:t>
      </w:r>
      <w:r w:rsidR="00B36533" w:rsidRPr="00061531">
        <w:rPr>
          <w:position w:val="-6"/>
        </w:rPr>
        <w:object w:dxaOrig="260" w:dyaOrig="220" w14:anchorId="5FBD2964">
          <v:shape id="_x0000_i1159" type="#_x0000_t75" style="width:13.3pt;height:10.7pt" o:ole="">
            <v:imagedata r:id="rId218" o:title=""/>
          </v:shape>
          <o:OLEObject Type="Embed" ProgID="Equation.DSMT4" ShapeID="_x0000_i1159" DrawAspect="Content" ObjectID="_1790752878" r:id="rId233"/>
        </w:object>
      </w:r>
      <w:r w:rsidRPr="008674F2">
        <w:rPr>
          <w:rFonts w:cs="Times New Roman"/>
          <w:szCs w:val="24"/>
        </w:rPr>
        <w:t xml:space="preserve"> and </w:t>
      </w:r>
      <w:r w:rsidR="00C1276F" w:rsidRPr="00C1276F">
        <w:rPr>
          <w:rFonts w:cs="Times New Roman"/>
          <w:position w:val="-4"/>
          <w:szCs w:val="24"/>
        </w:rPr>
        <w:object w:dxaOrig="200" w:dyaOrig="200" w14:anchorId="42AF60AF">
          <v:shape id="_x0000_i1160" type="#_x0000_t75" style="width:9.85pt;height:9.85pt" o:ole="">
            <v:imagedata r:id="rId234" o:title=""/>
          </v:shape>
          <o:OLEObject Type="Embed" ProgID="Equation.DSMT4" ShapeID="_x0000_i1160" DrawAspect="Content" ObjectID="_1790752879" r:id="rId235"/>
        </w:object>
      </w:r>
      <w:r w:rsidRPr="008674F2">
        <w:rPr>
          <w:rFonts w:cs="Times New Roman"/>
          <w:szCs w:val="24"/>
        </w:rPr>
        <w:t xml:space="preserve"> for a bivariate normal distribution o</w:t>
      </w:r>
      <w:r w:rsidR="00C1276F">
        <w:rPr>
          <w:rFonts w:cs="Times New Roman"/>
          <w:szCs w:val="24"/>
        </w:rPr>
        <w:t>f</w:t>
      </w:r>
      <w:r w:rsidR="00EE7FB1">
        <w:rPr>
          <w:rFonts w:eastAsia="Times New Roman" w:cs="Times New Roman"/>
          <w:noProof/>
          <w:szCs w:val="24"/>
        </w:rPr>
        <w:t xml:space="preserve"> </w:t>
      </w:r>
      <w:r w:rsidR="00EE7FB1" w:rsidRPr="00EE7FB1">
        <w:rPr>
          <w:rFonts w:eastAsia="Times New Roman" w:cs="Times New Roman"/>
          <w:noProof/>
          <w:position w:val="-12"/>
          <w:szCs w:val="24"/>
        </w:rPr>
        <w:object w:dxaOrig="240" w:dyaOrig="360" w14:anchorId="17F304EB">
          <v:shape id="_x0000_i1161" type="#_x0000_t75" style="width:12pt;height:18.85pt" o:ole="" o:preferrelative="f">
            <v:imagedata r:id="rId225" o:title=""/>
            <o:lock v:ext="edit" aspectratio="f"/>
          </v:shape>
          <o:OLEObject Type="Embed" ProgID="Equation.DSMT4" ShapeID="_x0000_i1161" DrawAspect="Content" ObjectID="_1790752880" r:id="rId236"/>
        </w:object>
      </w:r>
      <w:r w:rsidR="00EE7FB1" w:rsidRPr="008674F2">
        <w:rPr>
          <w:rFonts w:eastAsia="Times New Roman" w:cs="Times New Roman"/>
          <w:noProof/>
          <w:szCs w:val="24"/>
        </w:rPr>
        <w:t xml:space="preserve"> and </w:t>
      </w:r>
      <w:r w:rsidR="00EE7FB1" w:rsidRPr="00EE7FB1">
        <w:rPr>
          <w:rFonts w:eastAsia="Times New Roman" w:cs="Times New Roman"/>
          <w:noProof/>
          <w:position w:val="-12"/>
          <w:szCs w:val="24"/>
        </w:rPr>
        <w:object w:dxaOrig="260" w:dyaOrig="360" w14:anchorId="61106A76">
          <v:shape id="_x0000_i1162" type="#_x0000_t75" style="width:12.85pt;height:18pt" o:ole="" o:preferrelative="f">
            <v:imagedata r:id="rId227" o:title=""/>
            <o:lock v:ext="edit" aspectratio="f"/>
          </v:shape>
          <o:OLEObject Type="Embed" ProgID="Equation.DSMT4" ShapeID="_x0000_i1162" DrawAspect="Content" ObjectID="_1790752881" r:id="rId237"/>
        </w:object>
      </w:r>
      <w:r w:rsidRPr="008674F2">
        <w:rPr>
          <w:rFonts w:cs="Times New Roman"/>
          <w:szCs w:val="24"/>
        </w:rPr>
        <w:t xml:space="preserve">, only weak identification is suggested (at the very best) even in this case. And for more flexible </w:t>
      </w:r>
      <w:r w:rsidRPr="008674F2">
        <w:rPr>
          <w:rFonts w:cs="Times New Roman"/>
          <w:szCs w:val="24"/>
        </w:rPr>
        <w:lastRenderedPageBreak/>
        <w:t>marginal distributions for</w:t>
      </w:r>
      <w:r w:rsidR="00C1276F">
        <w:rPr>
          <w:rFonts w:cs="Times New Roman"/>
          <w:szCs w:val="24"/>
        </w:rPr>
        <w:t xml:space="preserve"> </w:t>
      </w:r>
      <w:r w:rsidR="00EE7FB1" w:rsidRPr="00EE7FB1">
        <w:rPr>
          <w:rFonts w:eastAsia="Times New Roman" w:cs="Times New Roman"/>
          <w:noProof/>
          <w:position w:val="-12"/>
          <w:szCs w:val="24"/>
        </w:rPr>
        <w:object w:dxaOrig="240" w:dyaOrig="360" w14:anchorId="65ABC3C0">
          <v:shape id="_x0000_i1163" type="#_x0000_t75" style="width:12pt;height:18.85pt" o:ole="" o:preferrelative="f">
            <v:imagedata r:id="rId225" o:title=""/>
            <o:lock v:ext="edit" aspectratio="f"/>
          </v:shape>
          <o:OLEObject Type="Embed" ProgID="Equation.DSMT4" ShapeID="_x0000_i1163" DrawAspect="Content" ObjectID="_1790752882" r:id="rId238"/>
        </w:object>
      </w:r>
      <w:r w:rsidR="00EE7FB1" w:rsidRPr="008674F2">
        <w:rPr>
          <w:rFonts w:eastAsia="Times New Roman" w:cs="Times New Roman"/>
          <w:noProof/>
          <w:szCs w:val="24"/>
        </w:rPr>
        <w:t xml:space="preserve"> and </w:t>
      </w:r>
      <w:r w:rsidR="00EE7FB1" w:rsidRPr="00EE7FB1">
        <w:rPr>
          <w:rFonts w:eastAsia="Times New Roman" w:cs="Times New Roman"/>
          <w:noProof/>
          <w:position w:val="-12"/>
          <w:szCs w:val="24"/>
        </w:rPr>
        <w:object w:dxaOrig="260" w:dyaOrig="360" w14:anchorId="09817F82">
          <v:shape id="_x0000_i1164" type="#_x0000_t75" style="width:12.85pt;height:18pt" o:ole="" o:preferrelative="f">
            <v:imagedata r:id="rId227" o:title=""/>
            <o:lock v:ext="edit" aspectratio="f"/>
          </v:shape>
          <o:OLEObject Type="Embed" ProgID="Equation.DSMT4" ShapeID="_x0000_i1164" DrawAspect="Content" ObjectID="_1790752883" r:id="rId239"/>
        </w:object>
      </w:r>
      <w:r w:rsidRPr="008674F2">
        <w:rPr>
          <w:rFonts w:cs="Times New Roman"/>
          <w:szCs w:val="24"/>
        </w:rPr>
        <w:t xml:space="preserve">, as in the current paper, the exclusion condition is necessary. Also, in the case when flexible marginal distributions </w:t>
      </w:r>
      <w:r>
        <w:rPr>
          <w:rFonts w:cs="Times New Roman"/>
          <w:szCs w:val="24"/>
        </w:rPr>
        <w:t xml:space="preserve"> for </w:t>
      </w:r>
      <w:r w:rsidR="00D93764" w:rsidRPr="00EE7FB1">
        <w:rPr>
          <w:rFonts w:eastAsia="Times New Roman" w:cs="Times New Roman"/>
          <w:noProof/>
          <w:position w:val="-12"/>
          <w:szCs w:val="24"/>
        </w:rPr>
        <w:object w:dxaOrig="240" w:dyaOrig="360" w14:anchorId="6D1C4398">
          <v:shape id="_x0000_i1165" type="#_x0000_t75" style="width:12pt;height:18pt" o:ole="" o:preferrelative="f">
            <v:imagedata r:id="rId225" o:title=""/>
            <o:lock v:ext="edit" aspectratio="f"/>
          </v:shape>
          <o:OLEObject Type="Embed" ProgID="Equation.DSMT4" ShapeID="_x0000_i1165" DrawAspect="Content" ObjectID="_1790752884" r:id="rId240"/>
        </w:object>
      </w:r>
      <w:r w:rsidR="00EE7FB1" w:rsidRPr="008674F2">
        <w:rPr>
          <w:rFonts w:eastAsia="Times New Roman" w:cs="Times New Roman"/>
          <w:noProof/>
          <w:szCs w:val="24"/>
        </w:rPr>
        <w:t xml:space="preserve"> and </w:t>
      </w:r>
      <w:r w:rsidR="00EE7FB1" w:rsidRPr="00EE7FB1">
        <w:rPr>
          <w:rFonts w:eastAsia="Times New Roman" w:cs="Times New Roman"/>
          <w:noProof/>
          <w:position w:val="-12"/>
          <w:szCs w:val="24"/>
        </w:rPr>
        <w:object w:dxaOrig="260" w:dyaOrig="360" w14:anchorId="705A1A72">
          <v:shape id="_x0000_i1166" type="#_x0000_t75" style="width:12.85pt;height:18pt" o:ole="" o:preferrelative="f">
            <v:imagedata r:id="rId227" o:title=""/>
            <o:lock v:ext="edit" aspectratio="f"/>
          </v:shape>
          <o:OLEObject Type="Embed" ProgID="Equation.DSMT4" ShapeID="_x0000_i1166" DrawAspect="Content" ObjectID="_1790752885" r:id="rId241"/>
        </w:object>
      </w:r>
      <w:r w:rsidR="00C1276F">
        <w:rPr>
          <w:rFonts w:eastAsia="Times New Roman" w:cs="Times New Roman"/>
          <w:noProof/>
          <w:szCs w:val="24"/>
        </w:rPr>
        <w:t xml:space="preserve"> </w:t>
      </w:r>
      <w:r w:rsidRPr="008674F2">
        <w:rPr>
          <w:rFonts w:cs="Times New Roman"/>
          <w:szCs w:val="24"/>
        </w:rPr>
        <w:t>are used (either in parametric or non-parametric form), the findings from Han and Lee (2019) hold that, for point identification of the parameters, a restrictive dependence structure has to be specified for the joint distribution of</w:t>
      </w:r>
      <w:r w:rsidR="00C1276F">
        <w:rPr>
          <w:rFonts w:cs="Times New Roman"/>
          <w:szCs w:val="24"/>
        </w:rPr>
        <w:t xml:space="preserve"> </w:t>
      </w:r>
      <w:r w:rsidR="00EE7FB1" w:rsidRPr="00EE7FB1">
        <w:rPr>
          <w:rFonts w:eastAsia="Times New Roman" w:cs="Times New Roman"/>
          <w:noProof/>
          <w:position w:val="-12"/>
          <w:szCs w:val="24"/>
        </w:rPr>
        <w:object w:dxaOrig="240" w:dyaOrig="360" w14:anchorId="70B6F9B9">
          <v:shape id="_x0000_i1167" type="#_x0000_t75" style="width:12pt;height:18.85pt" o:ole="" o:preferrelative="f">
            <v:imagedata r:id="rId225" o:title=""/>
            <o:lock v:ext="edit" aspectratio="f"/>
          </v:shape>
          <o:OLEObject Type="Embed" ProgID="Equation.DSMT4" ShapeID="_x0000_i1167" DrawAspect="Content" ObjectID="_1790752886" r:id="rId242"/>
        </w:object>
      </w:r>
      <w:r w:rsidR="00EE7FB1" w:rsidRPr="008674F2">
        <w:rPr>
          <w:rFonts w:eastAsia="Times New Roman" w:cs="Times New Roman"/>
          <w:noProof/>
          <w:szCs w:val="24"/>
        </w:rPr>
        <w:t xml:space="preserve"> and </w:t>
      </w:r>
      <w:r w:rsidR="00EE7FB1" w:rsidRPr="00EE7FB1">
        <w:rPr>
          <w:rFonts w:eastAsia="Times New Roman" w:cs="Times New Roman"/>
          <w:noProof/>
          <w:position w:val="-12"/>
          <w:szCs w:val="24"/>
        </w:rPr>
        <w:object w:dxaOrig="260" w:dyaOrig="360" w14:anchorId="36971409">
          <v:shape id="_x0000_i1168" type="#_x0000_t75" style="width:12.85pt;height:18pt" o:ole="" o:preferrelative="f">
            <v:imagedata r:id="rId227" o:title=""/>
            <o:lock v:ext="edit" aspectratio="f"/>
          </v:shape>
          <o:OLEObject Type="Embed" ProgID="Equation.DSMT4" ShapeID="_x0000_i1168" DrawAspect="Content" ObjectID="_1790752887" r:id="rId243"/>
        </w:object>
      </w:r>
      <w:r w:rsidRPr="008674F2">
        <w:rPr>
          <w:rFonts w:cs="Times New Roman"/>
          <w:szCs w:val="24"/>
        </w:rPr>
        <w:t xml:space="preserve">, even after allowing for an exclusion restriction. This restrictive dependence structure is satisfied by our use of the </w:t>
      </w:r>
      <w:r w:rsidR="00FA3578">
        <w:rPr>
          <w:rFonts w:cs="Times New Roman"/>
          <w:szCs w:val="24"/>
        </w:rPr>
        <w:t>bivariate normal distribution (</w:t>
      </w:r>
      <w:r w:rsidRPr="008674F2">
        <w:rPr>
          <w:rFonts w:cs="Times New Roman"/>
          <w:szCs w:val="24"/>
        </w:rPr>
        <w:t>Gaussian copula</w:t>
      </w:r>
      <w:r w:rsidR="00FA3578">
        <w:rPr>
          <w:rFonts w:cs="Times New Roman"/>
          <w:szCs w:val="24"/>
        </w:rPr>
        <w:t>)</w:t>
      </w:r>
      <w:r w:rsidRPr="008674F2">
        <w:rPr>
          <w:rFonts w:cs="Times New Roman"/>
          <w:szCs w:val="24"/>
        </w:rPr>
        <w:t xml:space="preserve"> </w:t>
      </w:r>
      <w:r w:rsidR="00FA3578">
        <w:rPr>
          <w:rFonts w:cs="Times New Roman"/>
          <w:szCs w:val="24"/>
        </w:rPr>
        <w:t xml:space="preserve">for the transformed (normal) marginals of  </w:t>
      </w:r>
      <w:r w:rsidR="00EE7FB1" w:rsidRPr="00EE7FB1">
        <w:rPr>
          <w:rFonts w:eastAsia="Times New Roman" w:cs="Times New Roman"/>
          <w:noProof/>
          <w:position w:val="-12"/>
          <w:szCs w:val="24"/>
        </w:rPr>
        <w:object w:dxaOrig="240" w:dyaOrig="360" w14:anchorId="416AE6BB">
          <v:shape id="_x0000_i1169" type="#_x0000_t75" style="width:12pt;height:18.85pt" o:ole="" o:preferrelative="f">
            <v:imagedata r:id="rId225" o:title=""/>
            <o:lock v:ext="edit" aspectratio="f"/>
          </v:shape>
          <o:OLEObject Type="Embed" ProgID="Equation.DSMT4" ShapeID="_x0000_i1169" DrawAspect="Content" ObjectID="_1790752888" r:id="rId244"/>
        </w:object>
      </w:r>
      <w:r w:rsidR="00EE7FB1" w:rsidRPr="008674F2">
        <w:rPr>
          <w:rFonts w:eastAsia="Times New Roman" w:cs="Times New Roman"/>
          <w:noProof/>
          <w:szCs w:val="24"/>
        </w:rPr>
        <w:t xml:space="preserve"> and </w:t>
      </w:r>
      <w:r w:rsidR="00EE7FB1" w:rsidRPr="00EE7FB1">
        <w:rPr>
          <w:rFonts w:eastAsia="Times New Roman" w:cs="Times New Roman"/>
          <w:noProof/>
          <w:position w:val="-12"/>
          <w:szCs w:val="24"/>
        </w:rPr>
        <w:object w:dxaOrig="260" w:dyaOrig="360" w14:anchorId="3D226BFA">
          <v:shape id="_x0000_i1170" type="#_x0000_t75" style="width:12.85pt;height:18pt" o:ole="" o:preferrelative="f">
            <v:imagedata r:id="rId227" o:title=""/>
            <o:lock v:ext="edit" aspectratio="f"/>
          </v:shape>
          <o:OLEObject Type="Embed" ProgID="Equation.DSMT4" ShapeID="_x0000_i1170" DrawAspect="Content" ObjectID="_1790752889" r:id="rId245"/>
        </w:object>
      </w:r>
      <w:r w:rsidR="00FA3578">
        <w:rPr>
          <w:rFonts w:eastAsia="Times New Roman" w:cs="Times New Roman"/>
          <w:noProof/>
          <w:szCs w:val="24"/>
        </w:rPr>
        <w:t>, as discussed below</w:t>
      </w:r>
      <w:r w:rsidRPr="008674F2">
        <w:rPr>
          <w:rFonts w:cs="Times New Roman"/>
          <w:szCs w:val="24"/>
        </w:rPr>
        <w:t>.</w:t>
      </w:r>
      <w:r w:rsidRPr="00FE38B5">
        <w:rPr>
          <w:rFonts w:cs="Times New Roman"/>
          <w:szCs w:val="24"/>
          <w:vertAlign w:val="superscript"/>
        </w:rPr>
        <w:footnoteReference w:id="5"/>
      </w:r>
      <w:r w:rsidRPr="008674F2">
        <w:rPr>
          <w:rFonts w:cs="Times New Roman"/>
          <w:szCs w:val="24"/>
        </w:rPr>
        <w:t xml:space="preserve"> </w:t>
      </w:r>
    </w:p>
    <w:p w14:paraId="4A15ACD6" w14:textId="1E3751C0" w:rsidR="00740DB4" w:rsidRPr="008674F2" w:rsidRDefault="00740DB4" w:rsidP="00740DB4">
      <w:pPr>
        <w:spacing w:line="276" w:lineRule="auto"/>
        <w:ind w:firstLine="720"/>
        <w:jc w:val="both"/>
        <w:rPr>
          <w:rFonts w:cs="Times New Roman"/>
          <w:noProof/>
          <w:szCs w:val="24"/>
        </w:rPr>
      </w:pPr>
      <w:r w:rsidRPr="008674F2">
        <w:rPr>
          <w:rFonts w:cs="Times New Roman"/>
          <w:szCs w:val="24"/>
        </w:rPr>
        <w:t xml:space="preserve">Next, </w:t>
      </w:r>
      <w:r w:rsidRPr="008674F2">
        <w:rPr>
          <w:rFonts w:cs="Times New Roman"/>
          <w:noProof/>
          <w:szCs w:val="24"/>
        </w:rPr>
        <w:t xml:space="preserve">write </w:t>
      </w:r>
      <w:r w:rsidR="00EE7FB1" w:rsidRPr="00EE7FB1">
        <w:rPr>
          <w:rFonts w:eastAsia="Times New Roman" w:cs="Times New Roman"/>
          <w:noProof/>
          <w:position w:val="-12"/>
          <w:szCs w:val="24"/>
        </w:rPr>
        <w:object w:dxaOrig="240" w:dyaOrig="360" w14:anchorId="3ADFBF4F">
          <v:shape id="_x0000_i1171" type="#_x0000_t75" style="width:12pt;height:18.85pt" o:ole="" o:preferrelative="f">
            <v:imagedata r:id="rId225" o:title=""/>
            <o:lock v:ext="edit" aspectratio="f"/>
          </v:shape>
          <o:OLEObject Type="Embed" ProgID="Equation.DSMT4" ShapeID="_x0000_i1171" DrawAspect="Content" ObjectID="_1790752890" r:id="rId246"/>
        </w:object>
      </w:r>
      <w:r w:rsidR="00EE7FB1" w:rsidRPr="008674F2">
        <w:rPr>
          <w:rFonts w:eastAsia="Times New Roman" w:cs="Times New Roman"/>
          <w:noProof/>
          <w:szCs w:val="24"/>
        </w:rPr>
        <w:t xml:space="preserve"> and </w:t>
      </w:r>
      <w:r w:rsidR="00EE7FB1" w:rsidRPr="00EE7FB1">
        <w:rPr>
          <w:rFonts w:eastAsia="Times New Roman" w:cs="Times New Roman"/>
          <w:noProof/>
          <w:position w:val="-12"/>
          <w:szCs w:val="24"/>
        </w:rPr>
        <w:object w:dxaOrig="260" w:dyaOrig="360" w14:anchorId="34BB115E">
          <v:shape id="_x0000_i1172" type="#_x0000_t75" style="width:12.85pt;height:18pt" o:ole="" o:preferrelative="f">
            <v:imagedata r:id="rId227" o:title=""/>
            <o:lock v:ext="edit" aspectratio="f"/>
          </v:shape>
          <o:OLEObject Type="Embed" ProgID="Equation.DSMT4" ShapeID="_x0000_i1172" DrawAspect="Content" ObjectID="_1790752891" r:id="rId247"/>
        </w:object>
      </w:r>
      <w:r w:rsidR="00C1276F">
        <w:rPr>
          <w:rFonts w:eastAsia="Times New Roman" w:cs="Times New Roman"/>
          <w:noProof/>
          <w:szCs w:val="24"/>
        </w:rPr>
        <w:t xml:space="preserve"> </w:t>
      </w:r>
      <w:r w:rsidRPr="008674F2">
        <w:rPr>
          <w:rFonts w:cs="Times New Roman"/>
          <w:noProof/>
          <w:szCs w:val="24"/>
        </w:rPr>
        <w:t>in terms of their YJ-transformed normall</w:t>
      </w:r>
      <w:r>
        <w:rPr>
          <w:rFonts w:cs="Times New Roman"/>
          <w:noProof/>
          <w:szCs w:val="24"/>
        </w:rPr>
        <w:t>y</w:t>
      </w:r>
      <w:r w:rsidRPr="008674F2">
        <w:rPr>
          <w:rFonts w:cs="Times New Roman"/>
          <w:noProof/>
          <w:szCs w:val="24"/>
        </w:rPr>
        <w:t xml:space="preserve"> distributed counterparts </w:t>
      </w:r>
      <w:r w:rsidR="009D3BD9" w:rsidRPr="008674F2">
        <w:rPr>
          <w:rFonts w:eastAsia="Times New Roman" w:cs="Times New Roman"/>
          <w:noProof/>
          <w:position w:val="-12"/>
          <w:szCs w:val="24"/>
        </w:rPr>
        <w:object w:dxaOrig="960" w:dyaOrig="380" w14:anchorId="3AD39DB6">
          <v:shape id="_x0000_i1173" type="#_x0000_t75" style="width:48pt;height:18.85pt" o:ole="" o:preferrelative="f">
            <v:imagedata r:id="rId248" o:title=""/>
            <o:lock v:ext="edit" aspectratio="f"/>
          </v:shape>
          <o:OLEObject Type="Embed" ProgID="Equation.DSMT4" ShapeID="_x0000_i1173" DrawAspect="Content" ObjectID="_1790752892" r:id="rId249"/>
        </w:object>
      </w:r>
      <w:r>
        <w:rPr>
          <w:rFonts w:cs="Times New Roman"/>
          <w:noProof/>
          <w:szCs w:val="24"/>
        </w:rPr>
        <w:t xml:space="preserve">, and then construct a bivariate normal distribution for </w:t>
      </w:r>
      <w:r w:rsidR="009D3BD9" w:rsidRPr="008674F2">
        <w:rPr>
          <w:rFonts w:eastAsia="Times New Roman" w:cs="Times New Roman"/>
          <w:noProof/>
          <w:position w:val="-12"/>
          <w:szCs w:val="24"/>
        </w:rPr>
        <w:object w:dxaOrig="1040" w:dyaOrig="380" w14:anchorId="63561C37">
          <v:shape id="_x0000_i1174" type="#_x0000_t75" style="width:52.7pt;height:18.85pt" o:ole="" o:preferrelative="f">
            <v:imagedata r:id="rId250" o:title=""/>
            <o:lock v:ext="edit" aspectratio="f"/>
          </v:shape>
          <o:OLEObject Type="Embed" ProgID="Equation.DSMT4" ShapeID="_x0000_i1174" DrawAspect="Content" ObjectID="_1790752893" r:id="rId251"/>
        </w:object>
      </w:r>
      <w:r>
        <w:rPr>
          <w:rFonts w:eastAsia="Times New Roman" w:cs="Times New Roman"/>
          <w:noProof/>
          <w:szCs w:val="24"/>
        </w:rPr>
        <w:t>as a special case of Equation (</w:t>
      </w:r>
      <w:r w:rsidR="00674427">
        <w:rPr>
          <w:rFonts w:eastAsia="Times New Roman" w:cs="Times New Roman"/>
          <w:noProof/>
          <w:szCs w:val="24"/>
        </w:rPr>
        <w:t>9</w:t>
      </w:r>
      <w:r>
        <w:rPr>
          <w:rFonts w:eastAsia="Times New Roman" w:cs="Times New Roman"/>
          <w:noProof/>
          <w:szCs w:val="24"/>
        </w:rPr>
        <w:t>):</w:t>
      </w:r>
    </w:p>
    <w:p w14:paraId="3C945E84" w14:textId="1BC5EE2E" w:rsidR="00740DB4" w:rsidRDefault="009D3BD9" w:rsidP="00740DB4">
      <w:pPr>
        <w:spacing w:before="60" w:after="60" w:line="276" w:lineRule="auto"/>
        <w:jc w:val="both"/>
        <w:rPr>
          <w:rFonts w:eastAsia="Times New Roman" w:cs="Times New Roman"/>
          <w:noProof/>
          <w:szCs w:val="24"/>
        </w:rPr>
      </w:pPr>
      <w:r w:rsidRPr="008B25E6">
        <w:rPr>
          <w:rFonts w:eastAsia="Times New Roman" w:cs="Times New Roman"/>
          <w:noProof/>
          <w:position w:val="-56"/>
          <w:szCs w:val="24"/>
        </w:rPr>
        <w:object w:dxaOrig="6060" w:dyaOrig="1240" w14:anchorId="798566A8">
          <v:shape id="_x0000_i1175" type="#_x0000_t75" style="width:303pt;height:61.7pt" o:ole="" o:preferrelative="f">
            <v:imagedata r:id="rId252" o:title=""/>
            <o:lock v:ext="edit" aspectratio="f"/>
          </v:shape>
          <o:OLEObject Type="Embed" ProgID="Equation.DSMT4" ShapeID="_x0000_i1175" DrawAspect="Content" ObjectID="_1790752894" r:id="rId253"/>
        </w:object>
      </w:r>
      <w:r w:rsidR="00740DB4">
        <w:rPr>
          <w:rFonts w:eastAsia="Times New Roman" w:cs="Times New Roman"/>
          <w:noProof/>
          <w:szCs w:val="24"/>
        </w:rPr>
        <w:tab/>
      </w:r>
      <w:r w:rsidR="00740DB4">
        <w:rPr>
          <w:rFonts w:eastAsia="Times New Roman" w:cs="Times New Roman"/>
          <w:noProof/>
          <w:szCs w:val="24"/>
        </w:rPr>
        <w:tab/>
      </w:r>
      <w:r w:rsidR="00740DB4">
        <w:rPr>
          <w:rFonts w:eastAsia="Times New Roman" w:cs="Times New Roman"/>
          <w:noProof/>
          <w:szCs w:val="24"/>
        </w:rPr>
        <w:tab/>
      </w:r>
      <w:r w:rsidR="00740DB4">
        <w:rPr>
          <w:rFonts w:eastAsia="Times New Roman" w:cs="Times New Roman"/>
          <w:noProof/>
          <w:szCs w:val="24"/>
        </w:rPr>
        <w:tab/>
        <w:t xml:space="preserve">     (</w:t>
      </w:r>
      <w:r w:rsidR="0033379D">
        <w:rPr>
          <w:rFonts w:eastAsia="Times New Roman" w:cs="Times New Roman"/>
          <w:noProof/>
          <w:szCs w:val="24"/>
        </w:rPr>
        <w:t>12</w:t>
      </w:r>
      <w:r w:rsidR="00740DB4">
        <w:rPr>
          <w:rFonts w:eastAsia="Times New Roman" w:cs="Times New Roman"/>
          <w:noProof/>
          <w:szCs w:val="24"/>
        </w:rPr>
        <w:t>)</w:t>
      </w:r>
    </w:p>
    <w:p w14:paraId="5E4406B1" w14:textId="41137EC2" w:rsidR="00740DB4" w:rsidRPr="00987C11" w:rsidRDefault="00FA3578" w:rsidP="007F2BF6">
      <w:pPr>
        <w:autoSpaceDE w:val="0"/>
        <w:autoSpaceDN w:val="0"/>
        <w:adjustRightInd w:val="0"/>
        <w:spacing w:line="276" w:lineRule="auto"/>
        <w:jc w:val="both"/>
        <w:rPr>
          <w:b/>
          <w:bCs/>
        </w:rPr>
      </w:pPr>
      <w:r>
        <w:t>The specification  in Equation (</w:t>
      </w:r>
      <w:r w:rsidR="00674427">
        <w:t>12</w:t>
      </w:r>
      <w:r>
        <w:t xml:space="preserve">) </w:t>
      </w:r>
      <w:r w:rsidR="00740DB4">
        <w:t xml:space="preserve">nests the bivariate probit model (with the usual standard normalization on the error terms) as a special case of the proposed model when </w:t>
      </w:r>
      <w:r w:rsidR="00740DB4" w:rsidRPr="00F72D6A">
        <w:rPr>
          <w:rFonts w:eastAsia="Times New Roman" w:cs="Times New Roman"/>
          <w:position w:val="-12"/>
          <w:szCs w:val="24"/>
        </w:rPr>
        <w:object w:dxaOrig="240" w:dyaOrig="360" w14:anchorId="2411DA42">
          <v:shape id="_x0000_i1176" type="#_x0000_t75" style="width:12pt;height:18.85pt" o:ole="" o:preferrelative="f">
            <v:imagedata r:id="rId254" o:title=""/>
            <o:lock v:ext="edit" aspectratio="f"/>
          </v:shape>
          <o:OLEObject Type="Embed" ProgID="Equation.DSMT4" ShapeID="_x0000_i1176" DrawAspect="Content" ObjectID="_1790752895" r:id="rId255"/>
        </w:object>
      </w:r>
      <w:r w:rsidR="00740DB4">
        <w:rPr>
          <w:rFonts w:eastAsia="Times New Roman" w:cs="Times New Roman"/>
          <w:szCs w:val="24"/>
        </w:rPr>
        <w:t xml:space="preserve"> =</w:t>
      </w:r>
      <w:r w:rsidR="00740DB4" w:rsidRPr="00F72D6A">
        <w:rPr>
          <w:rFonts w:eastAsia="Times New Roman" w:cs="Times New Roman"/>
          <w:position w:val="-12"/>
          <w:szCs w:val="24"/>
        </w:rPr>
        <w:object w:dxaOrig="279" w:dyaOrig="360" w14:anchorId="5BEEDB35">
          <v:shape id="_x0000_i1177" type="#_x0000_t75" style="width:13.7pt;height:18.85pt" o:ole="" o:preferrelative="f">
            <v:imagedata r:id="rId256" o:title=""/>
            <o:lock v:ext="edit" aspectratio="f"/>
          </v:shape>
          <o:OLEObject Type="Embed" ProgID="Equation.DSMT4" ShapeID="_x0000_i1177" DrawAspect="Content" ObjectID="_1790752896" r:id="rId257"/>
        </w:object>
      </w:r>
      <w:r w:rsidR="00740DB4">
        <w:rPr>
          <w:rFonts w:eastAsia="Times New Roman" w:cs="Times New Roman"/>
          <w:szCs w:val="24"/>
        </w:rPr>
        <w:t>=1.</w:t>
      </w:r>
      <w:r w:rsidR="00740DB4">
        <w:t xml:space="preserve"> </w:t>
      </w:r>
    </w:p>
    <w:p w14:paraId="72C1A644" w14:textId="757020F8" w:rsidR="00740DB4" w:rsidRDefault="00AD4FB1" w:rsidP="007F2BF6">
      <w:pPr>
        <w:ind w:firstLine="720"/>
        <w:jc w:val="both"/>
        <w:rPr>
          <w:rFonts w:cs="Times New Roman"/>
          <w:szCs w:val="24"/>
        </w:rPr>
      </w:pPr>
      <w:r>
        <w:rPr>
          <w:rFonts w:cs="Times New Roman"/>
          <w:szCs w:val="24"/>
        </w:rPr>
        <w:t>To estimate the model, f</w:t>
      </w:r>
      <w:r w:rsidR="00740DB4">
        <w:rPr>
          <w:rFonts w:cs="Times New Roman"/>
          <w:szCs w:val="24"/>
        </w:rPr>
        <w:t>rom Equation (</w:t>
      </w:r>
      <w:r w:rsidR="007142A6">
        <w:rPr>
          <w:rFonts w:cs="Times New Roman"/>
          <w:szCs w:val="24"/>
        </w:rPr>
        <w:t>9</w:t>
      </w:r>
      <w:r w:rsidR="00740DB4">
        <w:rPr>
          <w:rFonts w:cs="Times New Roman"/>
          <w:szCs w:val="24"/>
        </w:rPr>
        <w:t xml:space="preserve">), we may write the cumulative distribution of </w:t>
      </w:r>
      <w:r w:rsidR="00EE7FB1" w:rsidRPr="00EE7FB1">
        <w:rPr>
          <w:rFonts w:eastAsia="Times New Roman" w:cs="Times New Roman"/>
          <w:noProof/>
          <w:position w:val="-12"/>
          <w:szCs w:val="24"/>
        </w:rPr>
        <w:object w:dxaOrig="240" w:dyaOrig="360" w14:anchorId="15FDD90B">
          <v:shape id="_x0000_i1178" type="#_x0000_t75" style="width:12pt;height:18.85pt" o:ole="" o:preferrelative="f">
            <v:imagedata r:id="rId225" o:title=""/>
            <o:lock v:ext="edit" aspectratio="f"/>
          </v:shape>
          <o:OLEObject Type="Embed" ProgID="Equation.DSMT4" ShapeID="_x0000_i1178" DrawAspect="Content" ObjectID="_1790752897" r:id="rId258"/>
        </w:object>
      </w:r>
      <w:r w:rsidR="00EE7FB1" w:rsidRPr="008674F2">
        <w:rPr>
          <w:rFonts w:eastAsia="Times New Roman" w:cs="Times New Roman"/>
          <w:noProof/>
          <w:szCs w:val="24"/>
        </w:rPr>
        <w:t xml:space="preserve"> and </w:t>
      </w:r>
      <w:r w:rsidR="00EE7FB1" w:rsidRPr="00EE7FB1">
        <w:rPr>
          <w:rFonts w:eastAsia="Times New Roman" w:cs="Times New Roman"/>
          <w:noProof/>
          <w:position w:val="-12"/>
          <w:szCs w:val="24"/>
        </w:rPr>
        <w:object w:dxaOrig="260" w:dyaOrig="360" w14:anchorId="467C3298">
          <v:shape id="_x0000_i1179" type="#_x0000_t75" style="width:12.85pt;height:18pt" o:ole="" o:preferrelative="f">
            <v:imagedata r:id="rId227" o:title=""/>
            <o:lock v:ext="edit" aspectratio="f"/>
          </v:shape>
          <o:OLEObject Type="Embed" ProgID="Equation.DSMT4" ShapeID="_x0000_i1179" DrawAspect="Content" ObjectID="_1790752898" r:id="rId259"/>
        </w:object>
      </w:r>
      <w:r w:rsidR="00740DB4">
        <w:rPr>
          <w:rFonts w:cs="Times New Roman"/>
          <w:szCs w:val="24"/>
        </w:rPr>
        <w:t xml:space="preserve"> as follows:</w:t>
      </w:r>
    </w:p>
    <w:p w14:paraId="0A14631C" w14:textId="6E09765C" w:rsidR="00740DB4" w:rsidRPr="00B02E20" w:rsidRDefault="00740DB4" w:rsidP="007F2BF6">
      <w:pPr>
        <w:tabs>
          <w:tab w:val="right" w:pos="9360"/>
        </w:tabs>
        <w:spacing w:before="60" w:after="60"/>
        <w:jc w:val="both"/>
        <w:rPr>
          <w:rFonts w:cs="Times New Roman"/>
          <w:szCs w:val="24"/>
        </w:rPr>
      </w:pPr>
      <w:r w:rsidRPr="00E10B41">
        <w:rPr>
          <w:rFonts w:cs="Times New Roman"/>
          <w:position w:val="-14"/>
          <w:szCs w:val="24"/>
        </w:rPr>
        <w:object w:dxaOrig="1240" w:dyaOrig="380" w14:anchorId="77C76509">
          <v:shape id="_x0000_i1180" type="#_x0000_t75" style="width:62.15pt;height:19.3pt" o:ole="">
            <v:imagedata r:id="rId260" o:title=""/>
          </v:shape>
          <o:OLEObject Type="Embed" ProgID="Equation.DSMT4" ShapeID="_x0000_i1180" DrawAspect="Content" ObjectID="_1790752899" r:id="rId261"/>
        </w:object>
      </w:r>
      <w:r w:rsidRPr="00F72D6A">
        <w:rPr>
          <w:rFonts w:cs="Times New Roman"/>
          <w:szCs w:val="24"/>
        </w:rPr>
        <w:t>=</w:t>
      </w:r>
      <w:r w:rsidR="00EE7FB1" w:rsidRPr="00F72D6A">
        <w:rPr>
          <w:rFonts w:cs="Times New Roman"/>
          <w:position w:val="-16"/>
          <w:szCs w:val="24"/>
        </w:rPr>
        <w:object w:dxaOrig="6660" w:dyaOrig="440" w14:anchorId="377C0B12">
          <v:shape id="_x0000_i1181" type="#_x0000_t75" style="width:334.7pt;height:22.7pt" o:ole="" o:preferrelative="f">
            <v:imagedata r:id="rId262" o:title=""/>
            <o:lock v:ext="edit" aspectratio="f"/>
          </v:shape>
          <o:OLEObject Type="Embed" ProgID="Equation.DSMT4" ShapeID="_x0000_i1181" DrawAspect="Content" ObjectID="_1790752900" r:id="rId263"/>
        </w:object>
      </w:r>
      <w:r>
        <w:rPr>
          <w:rFonts w:cs="Times New Roman"/>
          <w:szCs w:val="24"/>
        </w:rPr>
        <w:tab/>
        <w:t>(</w:t>
      </w:r>
      <w:r w:rsidR="0033379D">
        <w:rPr>
          <w:rFonts w:cs="Times New Roman"/>
          <w:szCs w:val="24"/>
        </w:rPr>
        <w:t>13</w:t>
      </w:r>
      <w:r>
        <w:rPr>
          <w:rFonts w:cs="Times New Roman"/>
          <w:szCs w:val="24"/>
        </w:rPr>
        <w:t>)</w:t>
      </w:r>
    </w:p>
    <w:p w14:paraId="03A37D38" w14:textId="3B71A3DF" w:rsidR="00674427" w:rsidRPr="008674F2" w:rsidRDefault="00740DB4" w:rsidP="00656A34">
      <w:pPr>
        <w:jc w:val="both"/>
        <w:rPr>
          <w:rFonts w:cs="Times New Roman"/>
          <w:szCs w:val="24"/>
        </w:rPr>
      </w:pPr>
      <w:r w:rsidRPr="00EA13CF">
        <w:rPr>
          <w:rFonts w:eastAsia="Times New Roman" w:cs="Times New Roman"/>
          <w:noProof/>
          <w:szCs w:val="24"/>
        </w:rPr>
        <w:t xml:space="preserve">where </w:t>
      </w:r>
      <w:r w:rsidR="00656A34" w:rsidRPr="00B67721">
        <w:rPr>
          <w:position w:val="-12"/>
        </w:rPr>
        <w:object w:dxaOrig="999" w:dyaOrig="360" w14:anchorId="2CC194AC">
          <v:shape id="_x0000_i1182" type="#_x0000_t75" style="width:49.7pt;height:18pt" o:ole="" o:preferrelative="f">
            <v:imagedata r:id="rId264" o:title=""/>
            <o:lock v:ext="edit" aspectratio="f"/>
          </v:shape>
          <o:OLEObject Type="Embed" ProgID="Equation.DSMT4" ShapeID="_x0000_i1182" DrawAspect="Content" ObjectID="_1790752901" r:id="rId265"/>
        </w:object>
      </w:r>
      <w:r>
        <w:t xml:space="preserve"> </w:t>
      </w:r>
      <w:r w:rsidRPr="00EA13CF">
        <w:rPr>
          <w:rFonts w:cs="Times New Roman"/>
          <w:szCs w:val="24"/>
        </w:rPr>
        <w:t xml:space="preserve">refers to the standardized bivariate normal distribution with correlation </w:t>
      </w:r>
      <w:r w:rsidRPr="00EA13CF">
        <w:rPr>
          <w:rFonts w:cs="Times New Roman"/>
          <w:position w:val="-10"/>
          <w:szCs w:val="24"/>
        </w:rPr>
        <w:object w:dxaOrig="279" w:dyaOrig="260" w14:anchorId="197149E0">
          <v:shape id="_x0000_i1183" type="#_x0000_t75" style="width:13.7pt;height:13.3pt" o:ole="">
            <v:imagedata r:id="rId266" o:title=""/>
          </v:shape>
          <o:OLEObject Type="Embed" ProgID="Equation.DSMT4" ShapeID="_x0000_i1183" DrawAspect="Content" ObjectID="_1790752902" r:id="rId267"/>
        </w:object>
      </w:r>
      <w:r>
        <w:rPr>
          <w:rFonts w:eastAsia="Times New Roman" w:cs="Times New Roman"/>
          <w:noProof/>
          <w:szCs w:val="24"/>
        </w:rPr>
        <w:t xml:space="preserve"> </w:t>
      </w:r>
      <w:r>
        <w:rPr>
          <w:rFonts w:cs="Times New Roman"/>
          <w:szCs w:val="24"/>
        </w:rPr>
        <w:t xml:space="preserve"> Next, define </w:t>
      </w:r>
      <w:r w:rsidR="002024F4" w:rsidRPr="00B94402">
        <w:rPr>
          <w:position w:val="-14"/>
        </w:rPr>
        <w:object w:dxaOrig="4740" w:dyaOrig="380" w14:anchorId="2A2BE37A">
          <v:shape id="_x0000_i1184" type="#_x0000_t75" style="width:237pt;height:18pt" o:ole="" o:preferrelative="f">
            <v:imagedata r:id="rId268" o:title=""/>
            <o:lock v:ext="edit" aspectratio="f"/>
          </v:shape>
          <o:OLEObject Type="Embed" ProgID="Equation.DSMT4" ShapeID="_x0000_i1184" DrawAspect="Content" ObjectID="_1790752903" r:id="rId269"/>
        </w:object>
      </w:r>
      <w:r>
        <w:rPr>
          <w:rFonts w:cs="Times New Roman"/>
          <w:szCs w:val="24"/>
        </w:rPr>
        <w:t xml:space="preserve"> </w:t>
      </w:r>
      <w:r w:rsidRPr="008674F2">
        <w:rPr>
          <w:rFonts w:cs="Times New Roman"/>
          <w:szCs w:val="24"/>
        </w:rPr>
        <w:t xml:space="preserve">The joint probabilities for the two regimes of </w:t>
      </w:r>
      <w:r w:rsidR="00317A55" w:rsidRPr="00317A55">
        <w:rPr>
          <w:rFonts w:cs="Times New Roman"/>
          <w:position w:val="-6"/>
          <w:szCs w:val="24"/>
        </w:rPr>
        <w:object w:dxaOrig="560" w:dyaOrig="279" w14:anchorId="70C295A3">
          <v:shape id="_x0000_i1185" type="#_x0000_t75" style="width:27.85pt;height:13.7pt" o:ole="">
            <v:imagedata r:id="rId270" o:title=""/>
          </v:shape>
          <o:OLEObject Type="Embed" ProgID="Equation.DSMT4" ShapeID="_x0000_i1185" DrawAspect="Content" ObjectID="_1790752904" r:id="rId271"/>
        </w:object>
      </w:r>
      <w:r w:rsidRPr="008674F2">
        <w:rPr>
          <w:rFonts w:cs="Times New Roman"/>
          <w:szCs w:val="24"/>
        </w:rPr>
        <w:t xml:space="preserve"> and </w:t>
      </w:r>
      <w:r w:rsidR="00317A55" w:rsidRPr="00317A55">
        <w:rPr>
          <w:rFonts w:cs="Times New Roman"/>
          <w:position w:val="-6"/>
          <w:szCs w:val="24"/>
        </w:rPr>
        <w:object w:dxaOrig="520" w:dyaOrig="279" w14:anchorId="73F371A4">
          <v:shape id="_x0000_i1186" type="#_x0000_t75" style="width:26.15pt;height:13.7pt" o:ole="">
            <v:imagedata r:id="rId272" o:title=""/>
          </v:shape>
          <o:OLEObject Type="Embed" ProgID="Equation.DSMT4" ShapeID="_x0000_i1186" DrawAspect="Content" ObjectID="_1790752905" r:id="rId273"/>
        </w:object>
      </w:r>
      <w:r>
        <w:rPr>
          <w:rFonts w:cs="Times New Roman"/>
          <w:szCs w:val="24"/>
        </w:rPr>
        <w:t xml:space="preserve"> are:</w:t>
      </w:r>
    </w:p>
    <w:p w14:paraId="48AA0398" w14:textId="3318FB87" w:rsidR="00740DB4" w:rsidRPr="008674F2" w:rsidRDefault="00EE7FB1" w:rsidP="007F2BF6">
      <w:pPr>
        <w:tabs>
          <w:tab w:val="right" w:pos="9360"/>
        </w:tabs>
        <w:spacing w:before="60" w:after="60"/>
        <w:jc w:val="both"/>
        <w:rPr>
          <w:rFonts w:cs="Times New Roman"/>
          <w:szCs w:val="24"/>
        </w:rPr>
      </w:pPr>
      <w:r w:rsidRPr="00726671">
        <w:rPr>
          <w:rFonts w:cs="Times New Roman"/>
          <w:position w:val="-62"/>
          <w:szCs w:val="24"/>
        </w:rPr>
        <w:object w:dxaOrig="6920" w:dyaOrig="1280" w14:anchorId="5D5BA247">
          <v:shape id="_x0000_i1187" type="#_x0000_t75" style="width:346.3pt;height:64.7pt" o:ole="" o:preferrelative="f">
            <v:imagedata r:id="rId274" o:title=""/>
            <o:lock v:ext="edit" aspectratio="f"/>
          </v:shape>
          <o:OLEObject Type="Embed" ProgID="Equation.DSMT4" ShapeID="_x0000_i1187" DrawAspect="Content" ObjectID="_1790752906" r:id="rId275"/>
        </w:object>
      </w:r>
      <w:r w:rsidR="00740DB4">
        <w:rPr>
          <w:rFonts w:cs="Times New Roman"/>
          <w:szCs w:val="24"/>
        </w:rPr>
        <w:t xml:space="preserve"> </w:t>
      </w:r>
      <w:r w:rsidR="00740DB4">
        <w:rPr>
          <w:rFonts w:cs="Times New Roman"/>
          <w:szCs w:val="24"/>
        </w:rPr>
        <w:tab/>
        <w:t>(</w:t>
      </w:r>
      <w:r w:rsidR="0033379D">
        <w:rPr>
          <w:rFonts w:cs="Times New Roman"/>
          <w:szCs w:val="24"/>
        </w:rPr>
        <w:t>14</w:t>
      </w:r>
      <w:r w:rsidR="00740DB4">
        <w:rPr>
          <w:rFonts w:cs="Times New Roman"/>
          <w:szCs w:val="24"/>
        </w:rPr>
        <w:t>)</w:t>
      </w:r>
    </w:p>
    <w:p w14:paraId="6589A296" w14:textId="72484142" w:rsidR="00674427" w:rsidRPr="008674F2" w:rsidRDefault="00EE7FB1" w:rsidP="007F2BF6">
      <w:pPr>
        <w:tabs>
          <w:tab w:val="right" w:pos="9360"/>
        </w:tabs>
        <w:spacing w:before="60" w:after="60"/>
        <w:jc w:val="both"/>
        <w:rPr>
          <w:rFonts w:cs="Times New Roman"/>
          <w:szCs w:val="24"/>
        </w:rPr>
      </w:pPr>
      <w:r w:rsidRPr="0033379D">
        <w:rPr>
          <w:rFonts w:cs="Times New Roman"/>
          <w:position w:val="-118"/>
          <w:szCs w:val="24"/>
        </w:rPr>
        <w:object w:dxaOrig="7200" w:dyaOrig="2380" w14:anchorId="1F6D67D2">
          <v:shape id="_x0000_i1188" type="#_x0000_t75" style="width:5in;height:119.15pt" o:ole="" o:preferrelative="f">
            <v:imagedata r:id="rId276" o:title=""/>
            <o:lock v:ext="edit" aspectratio="f"/>
          </v:shape>
          <o:OLEObject Type="Embed" ProgID="Equation.DSMT4" ShapeID="_x0000_i1188" DrawAspect="Content" ObjectID="_1790752907" r:id="rId277"/>
        </w:object>
      </w:r>
      <w:r w:rsidR="00740DB4">
        <w:rPr>
          <w:rFonts w:cs="Times New Roman"/>
          <w:szCs w:val="24"/>
        </w:rPr>
        <w:tab/>
        <w:t>(1</w:t>
      </w:r>
      <w:r w:rsidR="0033379D">
        <w:rPr>
          <w:rFonts w:cs="Times New Roman"/>
          <w:szCs w:val="24"/>
        </w:rPr>
        <w:t>5</w:t>
      </w:r>
      <w:r w:rsidR="00740DB4">
        <w:rPr>
          <w:rFonts w:cs="Times New Roman"/>
          <w:szCs w:val="24"/>
        </w:rPr>
        <w:t>)</w:t>
      </w:r>
    </w:p>
    <w:p w14:paraId="10072436" w14:textId="0ED9C9C5" w:rsidR="00740DB4" w:rsidRPr="008674F2" w:rsidRDefault="00740DB4" w:rsidP="007F2BF6">
      <w:pPr>
        <w:pStyle w:val="ListParagraph"/>
        <w:ind w:left="0"/>
        <w:jc w:val="both"/>
      </w:pPr>
      <w:r w:rsidRPr="008674F2">
        <w:t xml:space="preserve">Now introduce the index </w:t>
      </w:r>
      <w:r w:rsidRPr="008674F2">
        <w:rPr>
          <w:i/>
          <w:iCs/>
        </w:rPr>
        <w:t>q</w:t>
      </w:r>
      <w:r w:rsidRPr="008674F2">
        <w:t xml:space="preserve"> for individuals.</w:t>
      </w:r>
      <w:r>
        <w:t xml:space="preserve"> </w:t>
      </w:r>
      <w:r w:rsidRPr="008674F2">
        <w:t>Define a set of dummy variables</w:t>
      </w:r>
      <w:r>
        <w:t xml:space="preserve"> </w:t>
      </w:r>
      <w:r w:rsidRPr="008674F2">
        <w:rPr>
          <w:position w:val="-14"/>
        </w:rPr>
        <w:object w:dxaOrig="460" w:dyaOrig="380" w14:anchorId="43349797">
          <v:shape id="_x0000_i1189" type="#_x0000_t75" style="width:22.3pt;height:19.3pt" o:ole="" o:preferrelative="f" fillcolor="window">
            <v:imagedata r:id="rId278" o:title=""/>
            <o:lock v:ext="edit" aspectratio="f"/>
          </v:shape>
          <o:OLEObject Type="Embed" ProgID="Equation.DSMT4" ShapeID="_x0000_i1189" DrawAspect="Content" ObjectID="_1790752908" r:id="rId279"/>
        </w:object>
      </w:r>
      <w:r w:rsidRPr="008674F2">
        <w:t xml:space="preserve"> (</w:t>
      </w:r>
      <w:r w:rsidRPr="008674F2">
        <w:rPr>
          <w:i/>
          <w:iCs/>
        </w:rPr>
        <w:t>k</w:t>
      </w:r>
      <w:r w:rsidRPr="008674F2">
        <w:t>=1,2,…,</w:t>
      </w:r>
      <w:r w:rsidRPr="008674F2">
        <w:rPr>
          <w:i/>
          <w:iCs/>
        </w:rPr>
        <w:t>K</w:t>
      </w:r>
      <w:r w:rsidRPr="008674F2">
        <w:t xml:space="preserve">): </w:t>
      </w:r>
      <w:r w:rsidRPr="008674F2">
        <w:rPr>
          <w:position w:val="-14"/>
        </w:rPr>
        <w:object w:dxaOrig="780" w:dyaOrig="380" w14:anchorId="53A84D74">
          <v:shape id="_x0000_i1190" type="#_x0000_t75" style="width:39pt;height:19.3pt" o:ole="" o:preferrelative="f" fillcolor="window">
            <v:imagedata r:id="rId280" o:title=""/>
            <o:lock v:ext="edit" aspectratio="f"/>
          </v:shape>
          <o:OLEObject Type="Embed" ProgID="Equation.DSMT4" ShapeID="_x0000_i1190" DrawAspect="Content" ObjectID="_1790752909" r:id="rId281"/>
        </w:object>
      </w:r>
      <w:r w:rsidRPr="008674F2">
        <w:t xml:space="preserve"> if </w:t>
      </w:r>
      <w:r w:rsidR="007124A8" w:rsidRPr="008674F2">
        <w:rPr>
          <w:position w:val="-12"/>
        </w:rPr>
        <w:object w:dxaOrig="660" w:dyaOrig="360" w14:anchorId="7AB02D8F">
          <v:shape id="_x0000_i1191" type="#_x0000_t75" style="width:33pt;height:18.85pt" o:ole="" fillcolor="window">
            <v:imagedata r:id="rId282" o:title=""/>
          </v:shape>
          <o:OLEObject Type="Embed" ProgID="Equation.DSMT4" ShapeID="_x0000_i1191" DrawAspect="Content" ObjectID="_1790752910" r:id="rId283"/>
        </w:object>
      </w:r>
      <w:r w:rsidRPr="008674F2">
        <w:t xml:space="preserve">, and </w:t>
      </w:r>
      <w:r w:rsidRPr="008674F2">
        <w:rPr>
          <w:position w:val="-14"/>
        </w:rPr>
        <w:object w:dxaOrig="820" w:dyaOrig="380" w14:anchorId="53D0BFA8">
          <v:shape id="_x0000_i1192" type="#_x0000_t75" style="width:41.15pt;height:19.3pt" o:ole="" o:preferrelative="f" fillcolor="window">
            <v:imagedata r:id="rId284" o:title=""/>
            <o:lock v:ext="edit" aspectratio="f"/>
          </v:shape>
          <o:OLEObject Type="Embed" ProgID="Equation.DSMT4" ShapeID="_x0000_i1192" DrawAspect="Content" ObjectID="_1790752911" r:id="rId285"/>
        </w:object>
      </w:r>
      <w:r w:rsidRPr="008674F2">
        <w:t xml:space="preserve"> otherwise. Assuming independence across individuals, the likelihood function for estimation of the parameters in the model system is:</w:t>
      </w:r>
    </w:p>
    <w:p w14:paraId="0B28669B" w14:textId="5637F262" w:rsidR="00657764" w:rsidRDefault="002024F4" w:rsidP="007F2BF6">
      <w:pPr>
        <w:tabs>
          <w:tab w:val="right" w:pos="9360"/>
        </w:tabs>
        <w:spacing w:before="60" w:after="60"/>
        <w:jc w:val="both"/>
        <w:rPr>
          <w:rFonts w:cs="Times New Roman"/>
          <w:szCs w:val="24"/>
        </w:rPr>
      </w:pPr>
      <w:r w:rsidRPr="008674F2">
        <w:rPr>
          <w:rFonts w:cs="Times New Roman"/>
          <w:position w:val="-32"/>
          <w:szCs w:val="24"/>
        </w:rPr>
        <w:object w:dxaOrig="7180" w:dyaOrig="740" w14:anchorId="0A5581DA">
          <v:shape id="_x0000_i1193" type="#_x0000_t75" style="width:5in;height:36.85pt" o:ole="" o:preferrelative="f" fillcolor="window">
            <v:imagedata r:id="rId286" o:title=""/>
            <o:lock v:ext="edit" aspectratio="f"/>
          </v:shape>
          <o:OLEObject Type="Embed" ProgID="Equation.DSMT4" ShapeID="_x0000_i1193" DrawAspect="Content" ObjectID="_1790752912" r:id="rId287"/>
        </w:object>
      </w:r>
      <w:r w:rsidR="00740DB4">
        <w:rPr>
          <w:rFonts w:cs="Times New Roman"/>
          <w:szCs w:val="24"/>
        </w:rPr>
        <w:t>.</w:t>
      </w:r>
      <w:r w:rsidR="00DF4896" w:rsidRPr="007F2BF6">
        <w:rPr>
          <w:rStyle w:val="FootnoteReference"/>
          <w:rFonts w:cs="Times New Roman"/>
          <w:sz w:val="20"/>
          <w:szCs w:val="20"/>
        </w:rPr>
        <w:footnoteReference w:id="6"/>
      </w:r>
      <w:r w:rsidR="00740DB4" w:rsidRPr="008674F2">
        <w:rPr>
          <w:rFonts w:cs="Times New Roman"/>
          <w:szCs w:val="24"/>
        </w:rPr>
        <w:t xml:space="preserve">     </w:t>
      </w:r>
      <w:r w:rsidR="00740DB4">
        <w:rPr>
          <w:rFonts w:cs="Times New Roman"/>
          <w:szCs w:val="24"/>
        </w:rPr>
        <w:tab/>
        <w:t xml:space="preserve">    (1</w:t>
      </w:r>
      <w:r w:rsidR="0033379D">
        <w:rPr>
          <w:rFonts w:cs="Times New Roman"/>
          <w:szCs w:val="24"/>
        </w:rPr>
        <w:t>6</w:t>
      </w:r>
      <w:r w:rsidR="00740DB4">
        <w:rPr>
          <w:rFonts w:cs="Times New Roman"/>
          <w:szCs w:val="24"/>
        </w:rPr>
        <w:t>)</w:t>
      </w:r>
    </w:p>
    <w:p w14:paraId="7D8E72A0" w14:textId="56F5AA50" w:rsidR="00657764" w:rsidRDefault="00657764" w:rsidP="007F2BF6">
      <w:pPr>
        <w:tabs>
          <w:tab w:val="right" w:pos="9360"/>
        </w:tabs>
        <w:jc w:val="both"/>
      </w:pPr>
      <w:r>
        <w:rPr>
          <w:rFonts w:cs="Times New Roman"/>
          <w:szCs w:val="24"/>
        </w:rPr>
        <w:t xml:space="preserve">In the maximization of the log-likelihood function, we need to ensure that the conditions </w:t>
      </w:r>
      <w:r w:rsidR="002024F4" w:rsidRPr="00657764">
        <w:rPr>
          <w:rFonts w:eastAsia="Times New Roman" w:cs="Times New Roman"/>
          <w:position w:val="-12"/>
          <w:szCs w:val="24"/>
        </w:rPr>
        <w:object w:dxaOrig="1460" w:dyaOrig="360" w14:anchorId="5522E160">
          <v:shape id="_x0000_i1194" type="#_x0000_t75" style="width:72.85pt;height:18pt" o:ole="" o:preferrelative="f">
            <v:imagedata r:id="rId288" o:title=""/>
            <o:lock v:ext="edit" aspectratio="f"/>
          </v:shape>
          <o:OLEObject Type="Embed" ProgID="Equation.DSMT4" ShapeID="_x0000_i1194" DrawAspect="Content" ObjectID="_1790752913" r:id="rId289"/>
        </w:object>
      </w:r>
      <w:r>
        <w:rPr>
          <w:rFonts w:cs="Times New Roman"/>
          <w:szCs w:val="24"/>
        </w:rPr>
        <w:t xml:space="preserve"> strictly hold. For this, we use the following parameterization (showing this only for </w:t>
      </w:r>
      <w:r w:rsidRPr="00D87B5F">
        <w:rPr>
          <w:position w:val="-12"/>
        </w:rPr>
        <w:object w:dxaOrig="240" w:dyaOrig="360" w14:anchorId="2E9D9B8F">
          <v:shape id="_x0000_i1195" type="#_x0000_t75" style="width:12pt;height:18.85pt" o:ole="">
            <v:imagedata r:id="rId290" o:title=""/>
          </v:shape>
          <o:OLEObject Type="Embed" ProgID="Equation.DSMT4" ShapeID="_x0000_i1195" DrawAspect="Content" ObjectID="_1790752914" r:id="rId291"/>
        </w:object>
      </w:r>
      <w:r>
        <w:t xml:space="preserve"> with a similar parameterization for </w:t>
      </w:r>
      <w:r w:rsidRPr="00D87B5F">
        <w:rPr>
          <w:position w:val="-12"/>
        </w:rPr>
        <w:object w:dxaOrig="380" w:dyaOrig="360" w14:anchorId="4AE92F7C">
          <v:shape id="_x0000_i1196" type="#_x0000_t75" style="width:19.3pt;height:18.85pt" o:ole="">
            <v:imagedata r:id="rId292" o:title=""/>
          </v:shape>
          <o:OLEObject Type="Embed" ProgID="Equation.DSMT4" ShapeID="_x0000_i1196" DrawAspect="Content" ObjectID="_1790752915" r:id="rId293"/>
        </w:object>
      </w:r>
      <w:r>
        <w:t>:</w:t>
      </w:r>
    </w:p>
    <w:p w14:paraId="51C111BD" w14:textId="0B46D1A4" w:rsidR="00D82B3B" w:rsidRDefault="003532CA" w:rsidP="007F2BF6">
      <w:pPr>
        <w:tabs>
          <w:tab w:val="left" w:pos="7920"/>
          <w:tab w:val="right" w:pos="9360"/>
        </w:tabs>
        <w:spacing w:before="60" w:after="60"/>
        <w:jc w:val="both"/>
      </w:pPr>
      <w:r w:rsidRPr="00657764">
        <w:rPr>
          <w:position w:val="-30"/>
        </w:rPr>
        <w:object w:dxaOrig="1719" w:dyaOrig="680" w14:anchorId="2F510214">
          <v:shape id="_x0000_i1197" type="#_x0000_t75" style="width:85.7pt;height:33.85pt" o:ole="" o:preferrelative="f">
            <v:imagedata r:id="rId294" o:title=""/>
            <o:lock v:ext="edit" aspectratio="f"/>
          </v:shape>
          <o:OLEObject Type="Embed" ProgID="Equation.DSMT4" ShapeID="_x0000_i1197" DrawAspect="Content" ObjectID="_1790752916" r:id="rId295"/>
        </w:object>
      </w:r>
      <w:r w:rsidR="00657764">
        <w:t>.</w:t>
      </w:r>
      <w:r w:rsidR="0038799D">
        <w:tab/>
        <w:t xml:space="preserve">                (17)</w:t>
      </w:r>
      <w:r w:rsidR="00D82B3B">
        <w:tab/>
      </w:r>
    </w:p>
    <w:p w14:paraId="17212C85" w14:textId="277BC1A8" w:rsidR="00657764" w:rsidRDefault="00657764" w:rsidP="007F2BF6">
      <w:pPr>
        <w:tabs>
          <w:tab w:val="right" w:pos="9360"/>
        </w:tabs>
        <w:jc w:val="both"/>
      </w:pPr>
      <w:r>
        <w:t xml:space="preserve">Once the model is estimated with </w:t>
      </w:r>
      <w:r w:rsidRPr="00D87B5F">
        <w:rPr>
          <w:position w:val="-12"/>
        </w:rPr>
        <w:object w:dxaOrig="279" w:dyaOrig="380" w14:anchorId="6C558D05">
          <v:shape id="_x0000_i1198" type="#_x0000_t75" style="width:13.7pt;height:19.3pt" o:ole="">
            <v:imagedata r:id="rId296" o:title=""/>
          </v:shape>
          <o:OLEObject Type="Embed" ProgID="Equation.DSMT4" ShapeID="_x0000_i1198" DrawAspect="Content" ObjectID="_1790752917" r:id="rId297"/>
        </w:object>
      </w:r>
      <w:r>
        <w:t xml:space="preserve"> (and </w:t>
      </w:r>
      <w:r w:rsidRPr="00D87B5F">
        <w:rPr>
          <w:position w:val="-12"/>
        </w:rPr>
        <w:object w:dxaOrig="400" w:dyaOrig="380" w14:anchorId="2BB3C9C5">
          <v:shape id="_x0000_i1199" type="#_x0000_t75" style="width:20.15pt;height:19.3pt" o:ole="">
            <v:imagedata r:id="rId298" o:title=""/>
          </v:shape>
          <o:OLEObject Type="Embed" ProgID="Equation.DSMT4" ShapeID="_x0000_i1199" DrawAspect="Content" ObjectID="_1790752918" r:id="rId299"/>
        </w:object>
      </w:r>
      <w:r>
        <w:t>, we run a final iteration with the implied value</w:t>
      </w:r>
      <w:r w:rsidR="00CE67DF">
        <w:t>s</w:t>
      </w:r>
      <w:r>
        <w:t xml:space="preserve"> of </w:t>
      </w:r>
      <w:r w:rsidRPr="00D87B5F">
        <w:rPr>
          <w:position w:val="-12"/>
        </w:rPr>
        <w:object w:dxaOrig="240" w:dyaOrig="360" w14:anchorId="628B3FBC">
          <v:shape id="_x0000_i1200" type="#_x0000_t75" style="width:12pt;height:18.85pt" o:ole="">
            <v:imagedata r:id="rId300" o:title=""/>
          </v:shape>
          <o:OLEObject Type="Embed" ProgID="Equation.DSMT4" ShapeID="_x0000_i1200" DrawAspect="Content" ObjectID="_1790752919" r:id="rId301"/>
        </w:object>
      </w:r>
      <w:r>
        <w:t xml:space="preserve"> </w:t>
      </w:r>
      <w:r w:rsidR="00CE67DF">
        <w:t xml:space="preserve">and </w:t>
      </w:r>
      <w:r w:rsidR="00CE67DF" w:rsidRPr="00D87B5F">
        <w:rPr>
          <w:position w:val="-12"/>
        </w:rPr>
        <w:object w:dxaOrig="279" w:dyaOrig="360" w14:anchorId="240BB49F">
          <v:shape id="_x0000_i1201" type="#_x0000_t75" style="width:13.7pt;height:18.85pt" o:ole="">
            <v:imagedata r:id="rId302" o:title=""/>
          </v:shape>
          <o:OLEObject Type="Embed" ProgID="Equation.DSMT4" ShapeID="_x0000_i1201" DrawAspect="Content" ObjectID="_1790752920" r:id="rId303"/>
        </w:object>
      </w:r>
      <w:r w:rsidR="00CE67DF">
        <w:t xml:space="preserve"> to get the standard errors of all parameters, including </w:t>
      </w:r>
      <w:r w:rsidR="00CE67DF" w:rsidRPr="00D87B5F">
        <w:rPr>
          <w:position w:val="-12"/>
        </w:rPr>
        <w:object w:dxaOrig="240" w:dyaOrig="360" w14:anchorId="7F228118">
          <v:shape id="_x0000_i1202" type="#_x0000_t75" style="width:12pt;height:18.85pt" o:ole="">
            <v:imagedata r:id="rId300" o:title=""/>
          </v:shape>
          <o:OLEObject Type="Embed" ProgID="Equation.DSMT4" ShapeID="_x0000_i1202" DrawAspect="Content" ObjectID="_1790752921" r:id="rId304"/>
        </w:object>
      </w:r>
      <w:r w:rsidR="00CE67DF">
        <w:t xml:space="preserve"> </w:t>
      </w:r>
      <w:proofErr w:type="spellStart"/>
      <w:r w:rsidR="00CE67DF">
        <w:t>and</w:t>
      </w:r>
      <w:proofErr w:type="spellEnd"/>
      <w:r w:rsidR="00CE67DF">
        <w:t xml:space="preserve"> </w:t>
      </w:r>
      <w:r w:rsidR="00CE67DF" w:rsidRPr="00D87B5F">
        <w:rPr>
          <w:position w:val="-12"/>
        </w:rPr>
        <w:object w:dxaOrig="279" w:dyaOrig="360" w14:anchorId="69BF7EC3">
          <v:shape id="_x0000_i1203" type="#_x0000_t75" style="width:13.7pt;height:18.85pt" o:ole="">
            <v:imagedata r:id="rId302" o:title=""/>
          </v:shape>
          <o:OLEObject Type="Embed" ProgID="Equation.DSMT4" ShapeID="_x0000_i1203" DrawAspect="Content" ObjectID="_1790752922" r:id="rId305"/>
        </w:object>
      </w:r>
      <w:r w:rsidR="00CE67DF">
        <w:t>.</w:t>
      </w:r>
    </w:p>
    <w:p w14:paraId="3B730381" w14:textId="0DED9F7A" w:rsidR="000A544B" w:rsidRPr="008674F2" w:rsidRDefault="000A544B" w:rsidP="00B4106B">
      <w:pPr>
        <w:autoSpaceDE w:val="0"/>
        <w:autoSpaceDN w:val="0"/>
        <w:adjustRightInd w:val="0"/>
        <w:spacing w:line="276" w:lineRule="auto"/>
        <w:jc w:val="both"/>
        <w:rPr>
          <w:rFonts w:cs="Times New Roman"/>
          <w:szCs w:val="24"/>
        </w:rPr>
      </w:pPr>
    </w:p>
    <w:p w14:paraId="260FF3D4" w14:textId="781C7897" w:rsidR="003F4D6F" w:rsidRPr="00504DC0" w:rsidRDefault="001C3C10" w:rsidP="003D7128">
      <w:pPr>
        <w:numPr>
          <w:ilvl w:val="0"/>
          <w:numId w:val="5"/>
        </w:numPr>
        <w:spacing w:line="276" w:lineRule="auto"/>
        <w:ind w:left="540" w:hanging="540"/>
        <w:rPr>
          <w:b/>
          <w:bCs/>
          <w:caps/>
        </w:rPr>
      </w:pPr>
      <w:r w:rsidRPr="00504DC0">
        <w:rPr>
          <w:b/>
          <w:bCs/>
          <w:caps/>
        </w:rPr>
        <w:t>Application</w:t>
      </w:r>
      <w:r w:rsidR="008E5C31" w:rsidRPr="00504DC0">
        <w:rPr>
          <w:b/>
          <w:bCs/>
          <w:caps/>
        </w:rPr>
        <w:t xml:space="preserve"> to urban residence choice and walking</w:t>
      </w:r>
      <w:r w:rsidR="00F03F01">
        <w:rPr>
          <w:b/>
          <w:bCs/>
          <w:caps/>
        </w:rPr>
        <w:t xml:space="preserve"> </w:t>
      </w:r>
      <w:r w:rsidR="008E5C31" w:rsidRPr="00504DC0">
        <w:rPr>
          <w:b/>
          <w:bCs/>
          <w:caps/>
        </w:rPr>
        <w:t>frequency</w:t>
      </w:r>
    </w:p>
    <w:p w14:paraId="51E0E499" w14:textId="667BDB7C" w:rsidR="007A28A2" w:rsidRPr="00E937C8" w:rsidRDefault="007A28A2" w:rsidP="0038799D">
      <w:pPr>
        <w:pStyle w:val="ListParagraph"/>
        <w:numPr>
          <w:ilvl w:val="1"/>
          <w:numId w:val="7"/>
        </w:numPr>
        <w:spacing w:line="276" w:lineRule="auto"/>
        <w:ind w:left="540" w:hanging="540"/>
        <w:jc w:val="both"/>
        <w:rPr>
          <w:b/>
          <w:bCs/>
        </w:rPr>
      </w:pPr>
      <w:r w:rsidRPr="00E937C8">
        <w:rPr>
          <w:b/>
          <w:bCs/>
        </w:rPr>
        <w:t>Background</w:t>
      </w:r>
    </w:p>
    <w:p w14:paraId="24C72C98" w14:textId="4FB9D9DD" w:rsidR="006F68BC" w:rsidRDefault="00B153E8" w:rsidP="00B4106B">
      <w:pPr>
        <w:spacing w:line="276" w:lineRule="auto"/>
        <w:jc w:val="both"/>
        <w:rPr>
          <w:rFonts w:cs="Times New Roman"/>
          <w:szCs w:val="24"/>
        </w:rPr>
      </w:pPr>
      <w:r w:rsidRPr="00340ECC">
        <w:rPr>
          <w:rFonts w:cs="Times New Roman"/>
          <w:szCs w:val="24"/>
        </w:rPr>
        <w:t xml:space="preserve">Walking is a travel mode that requires no motorization, is a natural human-learned skill from childhood for most individuals, </w:t>
      </w:r>
      <w:r w:rsidR="00D37A2F" w:rsidRPr="00340ECC">
        <w:rPr>
          <w:rFonts w:cs="Times New Roman"/>
          <w:szCs w:val="24"/>
        </w:rPr>
        <w:t xml:space="preserve">entails zero monetary cost, </w:t>
      </w:r>
      <w:r w:rsidRPr="00340ECC">
        <w:rPr>
          <w:rFonts w:cs="Times New Roman"/>
          <w:szCs w:val="24"/>
        </w:rPr>
        <w:t>can ease traffic congestion on our roadways, and contributes to a reduction of the transportation sector’s carbon footprint</w:t>
      </w:r>
      <w:r w:rsidR="008E5C31">
        <w:rPr>
          <w:rFonts w:cs="Times New Roman"/>
          <w:szCs w:val="24"/>
        </w:rPr>
        <w:t xml:space="preserve"> </w:t>
      </w:r>
      <w:r w:rsidR="008E5C31" w:rsidRPr="0051631C">
        <w:rPr>
          <w:rFonts w:cs="Times New Roman"/>
          <w:szCs w:val="24"/>
        </w:rPr>
        <w:t xml:space="preserve">(see </w:t>
      </w:r>
      <w:r w:rsidR="00C90BC5">
        <w:rPr>
          <w:rFonts w:cs="Times New Roman"/>
          <w:szCs w:val="24"/>
        </w:rPr>
        <w:t>Longo et al., 2015</w:t>
      </w:r>
      <w:r w:rsidR="008E5C31">
        <w:rPr>
          <w:rFonts w:cs="Times New Roman"/>
          <w:szCs w:val="24"/>
        </w:rPr>
        <w:t>)</w:t>
      </w:r>
      <w:r w:rsidRPr="00340ECC">
        <w:rPr>
          <w:rFonts w:cs="Times New Roman"/>
          <w:szCs w:val="24"/>
        </w:rPr>
        <w:t xml:space="preserve">. </w:t>
      </w:r>
      <w:r w:rsidR="00A92086" w:rsidRPr="00340ECC">
        <w:rPr>
          <w:rFonts w:cs="Times New Roman"/>
          <w:szCs w:val="24"/>
        </w:rPr>
        <w:t>At the individual level, walking</w:t>
      </w:r>
      <w:r w:rsidR="007A1514">
        <w:rPr>
          <w:rFonts w:cs="Times New Roman"/>
          <w:szCs w:val="24"/>
        </w:rPr>
        <w:t>, as a contributor to physical activity,</w:t>
      </w:r>
      <w:r w:rsidR="00A92086" w:rsidRPr="00340ECC">
        <w:rPr>
          <w:rFonts w:cs="Times New Roman"/>
          <w:szCs w:val="24"/>
        </w:rPr>
        <w:t xml:space="preserve"> can provide substantial health benefits</w:t>
      </w:r>
      <w:r w:rsidR="00DE310F" w:rsidRPr="00340ECC">
        <w:rPr>
          <w:rFonts w:cs="Times New Roman"/>
          <w:szCs w:val="24"/>
        </w:rPr>
        <w:t xml:space="preserve">, including both mental and physical. </w:t>
      </w:r>
      <w:bookmarkStart w:id="5" w:name="_Hlk155432574"/>
    </w:p>
    <w:p w14:paraId="0A5C378B" w14:textId="4FE2F93B" w:rsidR="00442728" w:rsidRDefault="006A5EA7" w:rsidP="00B4106B">
      <w:pPr>
        <w:spacing w:line="276" w:lineRule="auto"/>
        <w:ind w:firstLine="720"/>
        <w:jc w:val="both"/>
        <w:rPr>
          <w:rFonts w:cs="Times New Roman"/>
          <w:color w:val="000000" w:themeColor="text1"/>
          <w:szCs w:val="24"/>
        </w:rPr>
      </w:pPr>
      <w:r w:rsidRPr="00340ECC">
        <w:rPr>
          <w:rFonts w:cs="Times New Roman"/>
          <w:szCs w:val="24"/>
        </w:rPr>
        <w:t xml:space="preserve">An important </w:t>
      </w:r>
      <w:r w:rsidR="006F68BC">
        <w:rPr>
          <w:rFonts w:cs="Times New Roman"/>
          <w:szCs w:val="24"/>
        </w:rPr>
        <w:t xml:space="preserve">issue that has attracted substantial interest in the </w:t>
      </w:r>
      <w:r w:rsidR="002374EF">
        <w:rPr>
          <w:rFonts w:cs="Times New Roman"/>
          <w:szCs w:val="24"/>
        </w:rPr>
        <w:t xml:space="preserve">land use-transportation literature in the </w:t>
      </w:r>
      <w:r w:rsidR="006F68BC">
        <w:rPr>
          <w:rFonts w:cs="Times New Roman"/>
          <w:szCs w:val="24"/>
        </w:rPr>
        <w:t xml:space="preserve">past </w:t>
      </w:r>
      <w:r w:rsidR="00280800" w:rsidRPr="00340ECC">
        <w:rPr>
          <w:rFonts w:cs="Times New Roman"/>
          <w:szCs w:val="24"/>
        </w:rPr>
        <w:t>is</w:t>
      </w:r>
      <w:r w:rsidRPr="00340ECC">
        <w:rPr>
          <w:rFonts w:cs="Times New Roman"/>
          <w:szCs w:val="24"/>
        </w:rPr>
        <w:t xml:space="preserve"> the </w:t>
      </w:r>
      <w:r w:rsidR="006F68BC">
        <w:rPr>
          <w:rFonts w:cs="Times New Roman"/>
          <w:szCs w:val="24"/>
        </w:rPr>
        <w:t>differential</w:t>
      </w:r>
      <w:r w:rsidRPr="00340ECC">
        <w:rPr>
          <w:rFonts w:cs="Times New Roman"/>
          <w:szCs w:val="24"/>
        </w:rPr>
        <w:t xml:space="preserve"> walking tendency </w:t>
      </w:r>
      <w:r w:rsidR="00442728">
        <w:rPr>
          <w:rFonts w:cs="Times New Roman"/>
          <w:szCs w:val="24"/>
        </w:rPr>
        <w:t xml:space="preserve">based on residential built environment. </w:t>
      </w:r>
      <w:r w:rsidR="002374EF">
        <w:rPr>
          <w:rFonts w:cs="Times New Roman"/>
          <w:szCs w:val="24"/>
        </w:rPr>
        <w:t xml:space="preserve">Of keen interest </w:t>
      </w:r>
      <w:r w:rsidR="00280800" w:rsidRPr="00340ECC">
        <w:rPr>
          <w:rFonts w:cs="Times New Roman"/>
          <w:szCs w:val="24"/>
        </w:rPr>
        <w:t xml:space="preserve">over the years has been to disentangle associative effects from causal effects </w:t>
      </w:r>
      <w:r w:rsidR="00280800" w:rsidRPr="00340ECC">
        <w:rPr>
          <w:rFonts w:cs="Times New Roman"/>
          <w:color w:val="000000" w:themeColor="text1"/>
          <w:szCs w:val="24"/>
        </w:rPr>
        <w:t>in</w:t>
      </w:r>
      <w:r w:rsidR="004771A0" w:rsidRPr="00340ECC">
        <w:rPr>
          <w:rFonts w:cs="Times New Roman"/>
          <w:color w:val="000000" w:themeColor="text1"/>
          <w:szCs w:val="24"/>
        </w:rPr>
        <w:t xml:space="preserve"> </w:t>
      </w:r>
      <w:r w:rsidR="00CF2B4D">
        <w:rPr>
          <w:rFonts w:cs="Times New Roman"/>
          <w:color w:val="000000" w:themeColor="text1"/>
          <w:szCs w:val="24"/>
        </w:rPr>
        <w:lastRenderedPageBreak/>
        <w:t xml:space="preserve">the </w:t>
      </w:r>
      <w:r w:rsidR="00280800" w:rsidRPr="00340ECC">
        <w:rPr>
          <w:rFonts w:cs="Times New Roman"/>
          <w:color w:val="000000" w:themeColor="text1"/>
          <w:szCs w:val="24"/>
        </w:rPr>
        <w:t xml:space="preserve">residential built environment </w:t>
      </w:r>
      <w:r w:rsidR="000F446E">
        <w:rPr>
          <w:rFonts w:cs="Times New Roman"/>
          <w:color w:val="000000" w:themeColor="text1"/>
          <w:szCs w:val="24"/>
        </w:rPr>
        <w:t xml:space="preserve">(BE) </w:t>
      </w:r>
      <w:r w:rsidR="00CF2B4D">
        <w:rPr>
          <w:rFonts w:cs="Times New Roman"/>
          <w:color w:val="000000" w:themeColor="text1"/>
          <w:szCs w:val="24"/>
        </w:rPr>
        <w:t>influence</w:t>
      </w:r>
      <w:r w:rsidR="004771A0" w:rsidRPr="00340ECC">
        <w:rPr>
          <w:rFonts w:cs="Times New Roman"/>
          <w:color w:val="000000" w:themeColor="text1"/>
          <w:szCs w:val="24"/>
        </w:rPr>
        <w:t xml:space="preserve"> </w:t>
      </w:r>
      <w:r w:rsidR="00280800" w:rsidRPr="00340ECC">
        <w:rPr>
          <w:rFonts w:cs="Times New Roman"/>
          <w:color w:val="000000" w:themeColor="text1"/>
          <w:szCs w:val="24"/>
        </w:rPr>
        <w:t xml:space="preserve">on </w:t>
      </w:r>
      <w:r w:rsidR="002374EF">
        <w:rPr>
          <w:rFonts w:cs="Times New Roman"/>
          <w:color w:val="000000" w:themeColor="text1"/>
          <w:szCs w:val="24"/>
        </w:rPr>
        <w:t xml:space="preserve">active </w:t>
      </w:r>
      <w:r w:rsidR="00280800" w:rsidRPr="00340ECC">
        <w:rPr>
          <w:rFonts w:cs="Times New Roman"/>
          <w:color w:val="000000" w:themeColor="text1"/>
          <w:szCs w:val="24"/>
        </w:rPr>
        <w:t>travel behavior</w:t>
      </w:r>
      <w:r w:rsidR="00D1476A" w:rsidRPr="00340ECC">
        <w:rPr>
          <w:rFonts w:cs="Times New Roman"/>
          <w:color w:val="000000" w:themeColor="text1"/>
          <w:szCs w:val="24"/>
        </w:rPr>
        <w:t xml:space="preserve"> (for example, </w:t>
      </w:r>
      <w:r w:rsidR="00D1476A" w:rsidRPr="00340ECC">
        <w:rPr>
          <w:rFonts w:cs="Times New Roman"/>
          <w:szCs w:val="24"/>
        </w:rPr>
        <w:t xml:space="preserve">see Van Wee, 2009, Van Acker </w:t>
      </w:r>
      <w:r w:rsidR="00D1476A" w:rsidRPr="00340ECC">
        <w:rPr>
          <w:rFonts w:cs="Times New Roman"/>
          <w:i/>
          <w:iCs/>
          <w:szCs w:val="24"/>
        </w:rPr>
        <w:t>et al.</w:t>
      </w:r>
      <w:r w:rsidR="00D1476A" w:rsidRPr="00340ECC">
        <w:rPr>
          <w:rFonts w:cs="Times New Roman"/>
          <w:szCs w:val="24"/>
        </w:rPr>
        <w:t>, 2014, Bhat et al., 201</w:t>
      </w:r>
      <w:r w:rsidR="004740DF">
        <w:rPr>
          <w:rFonts w:cs="Times New Roman"/>
          <w:szCs w:val="24"/>
        </w:rPr>
        <w:t>6)</w:t>
      </w:r>
      <w:r w:rsidR="00D1476A" w:rsidRPr="00340ECC">
        <w:rPr>
          <w:rFonts w:cs="Times New Roman"/>
          <w:szCs w:val="24"/>
        </w:rPr>
        <w:t>.</w:t>
      </w:r>
      <w:bookmarkEnd w:id="5"/>
      <w:r w:rsidR="00D1476A" w:rsidRPr="00340ECC">
        <w:rPr>
          <w:rFonts w:cs="Times New Roman"/>
          <w:szCs w:val="24"/>
        </w:rPr>
        <w:t xml:space="preserve"> This is particularly important when using cross-sectional data that entails the joint observation</w:t>
      </w:r>
      <w:r w:rsidR="00BD420F">
        <w:rPr>
          <w:rFonts w:cs="Times New Roman"/>
          <w:szCs w:val="24"/>
        </w:rPr>
        <w:t>, at a specific point in time,</w:t>
      </w:r>
      <w:r w:rsidR="00D1476A" w:rsidRPr="00340ECC">
        <w:rPr>
          <w:rFonts w:cs="Times New Roman"/>
          <w:szCs w:val="24"/>
        </w:rPr>
        <w:t xml:space="preserve"> of the residential location of households and activity-travel choices. </w:t>
      </w:r>
      <w:r w:rsidR="00602ADE" w:rsidRPr="00340ECC">
        <w:rPr>
          <w:rFonts w:cs="Times New Roman"/>
          <w:szCs w:val="24"/>
        </w:rPr>
        <w:t>From an econometric perspective, t</w:t>
      </w:r>
      <w:r w:rsidR="00D1476A" w:rsidRPr="00340ECC">
        <w:rPr>
          <w:rFonts w:cs="Times New Roman"/>
          <w:szCs w:val="24"/>
        </w:rPr>
        <w:t xml:space="preserve">he </w:t>
      </w:r>
      <w:r w:rsidR="00BD420F">
        <w:rPr>
          <w:rFonts w:cs="Times New Roman"/>
          <w:szCs w:val="24"/>
        </w:rPr>
        <w:t xml:space="preserve">“single-point-in-time” observation </w:t>
      </w:r>
      <w:r w:rsidR="00D1476A" w:rsidRPr="00340ECC">
        <w:rPr>
          <w:rFonts w:cs="Times New Roman"/>
          <w:szCs w:val="24"/>
        </w:rPr>
        <w:t>co-mingl</w:t>
      </w:r>
      <w:r w:rsidR="00BD420F">
        <w:rPr>
          <w:rFonts w:cs="Times New Roman"/>
          <w:szCs w:val="24"/>
        </w:rPr>
        <w:t>es</w:t>
      </w:r>
      <w:r w:rsidR="00D1476A" w:rsidRPr="00340ECC">
        <w:rPr>
          <w:rFonts w:cs="Times New Roman"/>
          <w:szCs w:val="24"/>
        </w:rPr>
        <w:t xml:space="preserve"> the “true” BE effect </w:t>
      </w:r>
      <w:r w:rsidR="00BD420F">
        <w:rPr>
          <w:rFonts w:cs="Times New Roman"/>
          <w:szCs w:val="24"/>
        </w:rPr>
        <w:t>of residential location with</w:t>
      </w:r>
      <w:r w:rsidR="00D1476A" w:rsidRPr="00340ECC">
        <w:rPr>
          <w:rFonts w:cs="Times New Roman"/>
          <w:szCs w:val="24"/>
        </w:rPr>
        <w:t xml:space="preserve"> a</w:t>
      </w:r>
      <w:r w:rsidR="00BD420F">
        <w:rPr>
          <w:rFonts w:cs="Times New Roman"/>
          <w:szCs w:val="24"/>
        </w:rPr>
        <w:t xml:space="preserve">n associative effect due to the </w:t>
      </w:r>
      <w:r w:rsidR="00D1476A" w:rsidRPr="00340ECC">
        <w:rPr>
          <w:rFonts w:cs="Times New Roman"/>
          <w:szCs w:val="24"/>
        </w:rPr>
        <w:t>non-random assig</w:t>
      </w:r>
      <w:r w:rsidR="00BD420F">
        <w:rPr>
          <w:rFonts w:cs="Times New Roman"/>
          <w:szCs w:val="24"/>
        </w:rPr>
        <w:t xml:space="preserve">nment of individuals </w:t>
      </w:r>
      <w:r w:rsidR="00D1476A" w:rsidRPr="00340ECC">
        <w:rPr>
          <w:rFonts w:cs="Times New Roman"/>
          <w:szCs w:val="24"/>
        </w:rPr>
        <w:t>to residential locations</w:t>
      </w:r>
      <w:r w:rsidR="004B4E9B">
        <w:rPr>
          <w:rFonts w:cs="Times New Roman"/>
          <w:szCs w:val="24"/>
        </w:rPr>
        <w:t xml:space="preserve">. </w:t>
      </w:r>
      <w:r w:rsidR="00A57D00" w:rsidRPr="00340ECC">
        <w:rPr>
          <w:rFonts w:cs="Times New Roman"/>
          <w:color w:val="000000" w:themeColor="text1"/>
          <w:szCs w:val="24"/>
        </w:rPr>
        <w:t xml:space="preserve">The question then is </w:t>
      </w:r>
      <w:r w:rsidR="004771A0" w:rsidRPr="00340ECC">
        <w:rPr>
          <w:rFonts w:cs="Times New Roman"/>
          <w:color w:val="000000" w:themeColor="text1"/>
          <w:szCs w:val="24"/>
        </w:rPr>
        <w:t xml:space="preserve">whether </w:t>
      </w:r>
      <w:r w:rsidR="004B4E9B">
        <w:rPr>
          <w:rFonts w:cs="Times New Roman"/>
          <w:color w:val="000000" w:themeColor="text1"/>
          <w:szCs w:val="24"/>
        </w:rPr>
        <w:t>any</w:t>
      </w:r>
      <w:r w:rsidR="004771A0" w:rsidRPr="00340ECC">
        <w:rPr>
          <w:rFonts w:cs="Times New Roman"/>
          <w:color w:val="000000" w:themeColor="text1"/>
          <w:szCs w:val="24"/>
        </w:rPr>
        <w:t xml:space="preserve"> co-movement between </w:t>
      </w:r>
      <w:r w:rsidR="004B4E9B">
        <w:rPr>
          <w:rFonts w:cs="Times New Roman"/>
          <w:color w:val="000000" w:themeColor="text1"/>
          <w:szCs w:val="24"/>
        </w:rPr>
        <w:t xml:space="preserve">residential BE and </w:t>
      </w:r>
      <w:r w:rsidR="004771A0" w:rsidRPr="00340ECC">
        <w:rPr>
          <w:rFonts w:cs="Times New Roman"/>
          <w:color w:val="000000" w:themeColor="text1"/>
          <w:szCs w:val="24"/>
        </w:rPr>
        <w:t>walking intensi</w:t>
      </w:r>
      <w:r w:rsidR="004B4E9B">
        <w:rPr>
          <w:rFonts w:cs="Times New Roman"/>
          <w:color w:val="000000" w:themeColor="text1"/>
          <w:szCs w:val="24"/>
        </w:rPr>
        <w:t xml:space="preserve">ty </w:t>
      </w:r>
      <w:r w:rsidR="008736C1">
        <w:rPr>
          <w:rFonts w:cs="Times New Roman"/>
          <w:color w:val="000000" w:themeColor="text1"/>
          <w:szCs w:val="24"/>
        </w:rPr>
        <w:t>represents</w:t>
      </w:r>
      <w:r w:rsidR="004771A0" w:rsidRPr="00340ECC">
        <w:rPr>
          <w:rFonts w:cs="Times New Roman"/>
          <w:color w:val="000000" w:themeColor="text1"/>
          <w:szCs w:val="24"/>
        </w:rPr>
        <w:t xml:space="preserve"> a true “causal” </w:t>
      </w:r>
      <w:r w:rsidR="004B4E9B">
        <w:rPr>
          <w:rFonts w:cs="Times New Roman"/>
          <w:color w:val="000000" w:themeColor="text1"/>
          <w:szCs w:val="24"/>
        </w:rPr>
        <w:t xml:space="preserve">BE </w:t>
      </w:r>
      <w:r w:rsidR="004771A0" w:rsidRPr="00340ECC">
        <w:rPr>
          <w:rFonts w:cs="Times New Roman"/>
          <w:color w:val="000000" w:themeColor="text1"/>
          <w:szCs w:val="24"/>
        </w:rPr>
        <w:t xml:space="preserve">effect </w:t>
      </w:r>
      <w:r w:rsidR="008736C1">
        <w:rPr>
          <w:rFonts w:cs="Times New Roman"/>
          <w:color w:val="000000" w:themeColor="text1"/>
          <w:szCs w:val="24"/>
        </w:rPr>
        <w:t xml:space="preserve">on walking intensity </w:t>
      </w:r>
      <w:r w:rsidR="004771A0" w:rsidRPr="00340ECC">
        <w:rPr>
          <w:rFonts w:cs="Times New Roman"/>
          <w:color w:val="000000" w:themeColor="text1"/>
          <w:szCs w:val="24"/>
        </w:rPr>
        <w:t>or simply an associative residential self-selection effect</w:t>
      </w:r>
      <w:r w:rsidR="008736C1">
        <w:rPr>
          <w:rFonts w:cs="Times New Roman"/>
          <w:color w:val="000000" w:themeColor="text1"/>
          <w:szCs w:val="24"/>
        </w:rPr>
        <w:t xml:space="preserve">. </w:t>
      </w:r>
    </w:p>
    <w:p w14:paraId="38D44028" w14:textId="6185023C" w:rsidR="00C735DA" w:rsidRDefault="00280800" w:rsidP="004B4E9B">
      <w:pPr>
        <w:spacing w:line="276" w:lineRule="auto"/>
        <w:ind w:firstLine="720"/>
        <w:jc w:val="both"/>
        <w:rPr>
          <w:rFonts w:cs="Times New Roman"/>
          <w:color w:val="000000" w:themeColor="text1"/>
          <w:szCs w:val="24"/>
        </w:rPr>
      </w:pPr>
      <w:r w:rsidRPr="00340ECC">
        <w:rPr>
          <w:rFonts w:cs="Times New Roman"/>
          <w:color w:val="000000" w:themeColor="text1"/>
          <w:szCs w:val="24"/>
        </w:rPr>
        <w:t xml:space="preserve">In </w:t>
      </w:r>
      <w:r w:rsidR="001832A8" w:rsidRPr="00340ECC">
        <w:rPr>
          <w:rFonts w:cs="Times New Roman"/>
          <w:color w:val="000000" w:themeColor="text1"/>
          <w:szCs w:val="24"/>
        </w:rPr>
        <w:t>the</w:t>
      </w:r>
      <w:r w:rsidRPr="00340ECC">
        <w:rPr>
          <w:rFonts w:cs="Times New Roman"/>
          <w:color w:val="000000" w:themeColor="text1"/>
          <w:szCs w:val="24"/>
        </w:rPr>
        <w:t xml:space="preserve"> current </w:t>
      </w:r>
      <w:r w:rsidR="001832A8" w:rsidRPr="00340ECC">
        <w:rPr>
          <w:rFonts w:cs="Times New Roman"/>
          <w:color w:val="000000" w:themeColor="text1"/>
          <w:szCs w:val="24"/>
        </w:rPr>
        <w:t>paper</w:t>
      </w:r>
      <w:r w:rsidRPr="00340ECC">
        <w:rPr>
          <w:rFonts w:cs="Times New Roman"/>
          <w:color w:val="000000" w:themeColor="text1"/>
          <w:szCs w:val="24"/>
        </w:rPr>
        <w:t xml:space="preserve">, </w:t>
      </w:r>
      <w:r w:rsidR="00F83533">
        <w:rPr>
          <w:rFonts w:cs="Times New Roman"/>
          <w:color w:val="000000" w:themeColor="text1"/>
          <w:szCs w:val="24"/>
        </w:rPr>
        <w:t xml:space="preserve">we focus on </w:t>
      </w:r>
      <w:r w:rsidR="004B4E9B">
        <w:rPr>
          <w:rFonts w:cs="Times New Roman"/>
          <w:color w:val="000000" w:themeColor="text1"/>
          <w:szCs w:val="24"/>
        </w:rPr>
        <w:t xml:space="preserve">walking patterns among </w:t>
      </w:r>
      <w:r w:rsidR="00E052CD">
        <w:rPr>
          <w:rFonts w:cs="Times New Roman"/>
          <w:color w:val="000000" w:themeColor="text1"/>
          <w:szCs w:val="24"/>
        </w:rPr>
        <w:t>not-so-young</w:t>
      </w:r>
      <w:r w:rsidR="00F83533">
        <w:rPr>
          <w:rFonts w:cs="Times New Roman"/>
          <w:color w:val="000000" w:themeColor="text1"/>
          <w:szCs w:val="24"/>
        </w:rPr>
        <w:t xml:space="preserve"> adults (50+ age group), given </w:t>
      </w:r>
      <w:bookmarkStart w:id="6" w:name="_Hlk155432879"/>
      <w:r w:rsidR="00F83533">
        <w:rPr>
          <w:rFonts w:cs="Times New Roman"/>
          <w:color w:val="000000" w:themeColor="text1"/>
          <w:szCs w:val="24"/>
        </w:rPr>
        <w:t>the particularly large impact of COVID-19 on</w:t>
      </w:r>
      <w:r w:rsidR="002B57CC">
        <w:rPr>
          <w:rFonts w:cs="Times New Roman"/>
          <w:color w:val="000000" w:themeColor="text1"/>
          <w:szCs w:val="24"/>
        </w:rPr>
        <w:t xml:space="preserve"> the</w:t>
      </w:r>
      <w:r w:rsidR="00F83533">
        <w:rPr>
          <w:rFonts w:cs="Times New Roman"/>
          <w:color w:val="000000" w:themeColor="text1"/>
          <w:szCs w:val="24"/>
        </w:rPr>
        <w:t xml:space="preserve"> active-travel (including walking) </w:t>
      </w:r>
      <w:r w:rsidR="002B57CC">
        <w:rPr>
          <w:rFonts w:cs="Times New Roman"/>
          <w:color w:val="000000" w:themeColor="text1"/>
          <w:szCs w:val="24"/>
        </w:rPr>
        <w:t xml:space="preserve">patterns of </w:t>
      </w:r>
      <w:r w:rsidR="00F83533">
        <w:rPr>
          <w:rFonts w:cs="Times New Roman"/>
          <w:color w:val="000000" w:themeColor="text1"/>
          <w:szCs w:val="24"/>
        </w:rPr>
        <w:t>older adults</w:t>
      </w:r>
      <w:r w:rsidR="00A438EB">
        <w:rPr>
          <w:rFonts w:cs="Times New Roman"/>
          <w:color w:val="000000" w:themeColor="text1"/>
          <w:szCs w:val="24"/>
        </w:rPr>
        <w:t xml:space="preserve">. </w:t>
      </w:r>
      <w:bookmarkEnd w:id="6"/>
      <w:r w:rsidR="005E707A" w:rsidRPr="00340ECC">
        <w:rPr>
          <w:rFonts w:cs="Times New Roman"/>
          <w:color w:val="000000" w:themeColor="text1"/>
          <w:szCs w:val="24"/>
        </w:rPr>
        <w:t xml:space="preserve">The BE attributes of </w:t>
      </w:r>
      <w:r w:rsidR="005E707A" w:rsidRPr="00340ECC">
        <w:rPr>
          <w:rFonts w:cs="Times New Roman"/>
          <w:szCs w:val="24"/>
        </w:rPr>
        <w:t xml:space="preserve">the residential location of individuals </w:t>
      </w:r>
      <w:r w:rsidR="007B3018">
        <w:rPr>
          <w:rFonts w:cs="Times New Roman"/>
          <w:szCs w:val="24"/>
        </w:rPr>
        <w:t xml:space="preserve">in our study </w:t>
      </w:r>
      <w:r w:rsidR="005E707A" w:rsidRPr="00340ECC">
        <w:rPr>
          <w:rFonts w:cs="Times New Roman"/>
          <w:szCs w:val="24"/>
        </w:rPr>
        <w:t xml:space="preserve">are captured using the single </w:t>
      </w:r>
      <w:r w:rsidR="00070667" w:rsidRPr="00340ECC">
        <w:rPr>
          <w:rFonts w:cs="Times New Roman"/>
          <w:szCs w:val="24"/>
        </w:rPr>
        <w:t xml:space="preserve">attribute of residential density, </w:t>
      </w:r>
      <w:r w:rsidR="00EB35E1">
        <w:rPr>
          <w:rFonts w:cs="Times New Roman"/>
          <w:szCs w:val="24"/>
        </w:rPr>
        <w:t>because of</w:t>
      </w:r>
      <w:r w:rsidR="00070667" w:rsidRPr="00340ECC">
        <w:rPr>
          <w:rFonts w:cs="Times New Roman"/>
          <w:szCs w:val="24"/>
        </w:rPr>
        <w:t xml:space="preserve"> the well-established </w:t>
      </w:r>
      <w:r w:rsidR="005E707A" w:rsidRPr="00340ECC">
        <w:rPr>
          <w:rFonts w:cs="Times New Roman"/>
          <w:szCs w:val="24"/>
        </w:rPr>
        <w:t xml:space="preserve">strong association between density and other BE elements (see, for example, </w:t>
      </w:r>
      <w:bookmarkStart w:id="7" w:name="_Hlk155433095"/>
      <w:r w:rsidR="005E707A" w:rsidRPr="00340ECC">
        <w:rPr>
          <w:rFonts w:cs="Times New Roman"/>
          <w:szCs w:val="24"/>
        </w:rPr>
        <w:t xml:space="preserve">Bhat and Singh, 2000, </w:t>
      </w:r>
      <w:r w:rsidR="00772163">
        <w:rPr>
          <w:rFonts w:cs="Times New Roman"/>
          <w:szCs w:val="24"/>
        </w:rPr>
        <w:t xml:space="preserve">Ewing and Cervero, 2010, </w:t>
      </w:r>
      <w:r w:rsidR="005E707A" w:rsidRPr="00340ECC">
        <w:rPr>
          <w:rFonts w:cs="Times New Roman"/>
          <w:szCs w:val="24"/>
        </w:rPr>
        <w:t xml:space="preserve">Kim and Brownstone, 2013, </w:t>
      </w:r>
      <w:r w:rsidR="00772163">
        <w:rPr>
          <w:rFonts w:cs="Times New Roman"/>
          <w:szCs w:val="24"/>
        </w:rPr>
        <w:t>and Wang et al., 2021</w:t>
      </w:r>
      <w:r w:rsidR="005E707A" w:rsidRPr="00340ECC">
        <w:rPr>
          <w:rFonts w:cs="Times New Roman"/>
          <w:szCs w:val="24"/>
        </w:rPr>
        <w:t>).</w:t>
      </w:r>
      <w:r w:rsidR="001C487A" w:rsidRPr="00340ECC">
        <w:rPr>
          <w:rFonts w:cs="Times New Roman"/>
          <w:szCs w:val="24"/>
        </w:rPr>
        <w:t xml:space="preserve"> </w:t>
      </w:r>
      <w:bookmarkEnd w:id="7"/>
      <w:r w:rsidR="001C487A" w:rsidRPr="00340ECC">
        <w:rPr>
          <w:rFonts w:cs="Times New Roman"/>
          <w:szCs w:val="24"/>
        </w:rPr>
        <w:t>As in most of these earlier studies, we use a binary classification of residential density as living in a</w:t>
      </w:r>
      <w:r w:rsidR="00E66F0F">
        <w:rPr>
          <w:rFonts w:cs="Times New Roman"/>
          <w:szCs w:val="24"/>
        </w:rPr>
        <w:t>n urban area</w:t>
      </w:r>
      <w:r w:rsidR="007B3018">
        <w:rPr>
          <w:rFonts w:cs="Times New Roman"/>
          <w:szCs w:val="24"/>
        </w:rPr>
        <w:t xml:space="preserve"> (associated with </w:t>
      </w:r>
      <w:r w:rsidR="007B3018" w:rsidRPr="00340ECC">
        <w:rPr>
          <w:rFonts w:cs="Times New Roman"/>
          <w:szCs w:val="24"/>
        </w:rPr>
        <w:t xml:space="preserve">pedestrian-friendly </w:t>
      </w:r>
      <w:r w:rsidR="007B3018">
        <w:rPr>
          <w:rFonts w:cs="Times New Roman"/>
          <w:szCs w:val="24"/>
        </w:rPr>
        <w:t>BE)</w:t>
      </w:r>
      <w:r w:rsidR="00E66F0F">
        <w:rPr>
          <w:rFonts w:cs="Times New Roman"/>
          <w:szCs w:val="24"/>
        </w:rPr>
        <w:t xml:space="preserve"> or </w:t>
      </w:r>
      <w:r w:rsidR="007B3018">
        <w:rPr>
          <w:rFonts w:cs="Times New Roman"/>
          <w:szCs w:val="24"/>
        </w:rPr>
        <w:t>a non-urban area</w:t>
      </w:r>
      <w:r w:rsidR="004B4E9B">
        <w:rPr>
          <w:rFonts w:cs="Times New Roman"/>
          <w:szCs w:val="24"/>
        </w:rPr>
        <w:t xml:space="preserve"> </w:t>
      </w:r>
      <w:r w:rsidR="007B3018">
        <w:rPr>
          <w:rFonts w:cs="Times New Roman"/>
          <w:szCs w:val="24"/>
        </w:rPr>
        <w:t xml:space="preserve">(associated with a car-centric infrastructure environment) </w:t>
      </w:r>
      <w:r w:rsidR="00333230">
        <w:rPr>
          <w:rFonts w:cs="Times New Roman"/>
          <w:szCs w:val="24"/>
        </w:rPr>
        <w:t>(this urban/non-urban classification was based on the metropolitan statistical area of residence)</w:t>
      </w:r>
      <w:r w:rsidR="00E66F0F">
        <w:rPr>
          <w:rFonts w:cs="Times New Roman"/>
          <w:szCs w:val="24"/>
        </w:rPr>
        <w:t xml:space="preserve">. </w:t>
      </w:r>
    </w:p>
    <w:p w14:paraId="0D8B3874" w14:textId="62719EF7" w:rsidR="00D80509" w:rsidRDefault="006D10EA" w:rsidP="008853A6">
      <w:pPr>
        <w:spacing w:line="276" w:lineRule="auto"/>
        <w:ind w:firstLine="720"/>
        <w:jc w:val="both"/>
        <w:rPr>
          <w:rFonts w:cs="Times New Roman"/>
          <w:szCs w:val="24"/>
        </w:rPr>
      </w:pPr>
      <w:r w:rsidRPr="0031004A">
        <w:rPr>
          <w:rFonts w:cs="Times New Roman"/>
          <w:color w:val="000000"/>
          <w:szCs w:val="24"/>
        </w:rPr>
        <w:t xml:space="preserve">The </w:t>
      </w:r>
      <w:r w:rsidR="00CE67DF">
        <w:rPr>
          <w:rFonts w:cs="Times New Roman"/>
          <w:color w:val="000000"/>
          <w:szCs w:val="24"/>
        </w:rPr>
        <w:t xml:space="preserve">sample used  in estimation is drawn from a </w:t>
      </w:r>
      <w:r w:rsidRPr="0031004A">
        <w:rPr>
          <w:rFonts w:cs="Times New Roman"/>
          <w:color w:val="000000"/>
          <w:szCs w:val="24"/>
        </w:rPr>
        <w:t xml:space="preserve">walking survey of older adults in the US population </w:t>
      </w:r>
      <w:r w:rsidR="0031004A" w:rsidRPr="0031004A">
        <w:rPr>
          <w:rFonts w:cs="Times New Roman"/>
          <w:color w:val="000000"/>
          <w:szCs w:val="24"/>
        </w:rPr>
        <w:t xml:space="preserve">used in the current paper </w:t>
      </w:r>
      <w:r w:rsidRPr="0031004A">
        <w:rPr>
          <w:rFonts w:cs="Times New Roman"/>
          <w:color w:val="000000"/>
          <w:szCs w:val="24"/>
        </w:rPr>
        <w:t>was undertaken through the Foresight 50+ Consumer Omnibus panel sur</w:t>
      </w:r>
      <w:r w:rsidR="00FB7034" w:rsidRPr="0031004A">
        <w:rPr>
          <w:rFonts w:cs="Times New Roman"/>
          <w:color w:val="000000"/>
          <w:szCs w:val="24"/>
        </w:rPr>
        <w:t xml:space="preserve">vey, which </w:t>
      </w:r>
      <w:r w:rsidR="00AF1536" w:rsidRPr="0031004A">
        <w:rPr>
          <w:rFonts w:cs="Times New Roman"/>
          <w:color w:val="000000"/>
          <w:szCs w:val="24"/>
        </w:rPr>
        <w:t xml:space="preserve">is </w:t>
      </w:r>
      <w:r w:rsidR="00FB7034" w:rsidRPr="0031004A">
        <w:rPr>
          <w:rFonts w:cs="Times New Roman"/>
          <w:color w:val="000000"/>
          <w:szCs w:val="24"/>
        </w:rPr>
        <w:t xml:space="preserve">a mixed mode survey (online and telephone) </w:t>
      </w:r>
      <w:r w:rsidR="00AF1536" w:rsidRPr="0031004A">
        <w:rPr>
          <w:rFonts w:cs="Times New Roman"/>
          <w:szCs w:val="24"/>
        </w:rPr>
        <w:t>funded and operated by the National Opinion Research Center (NORC) at the University of Chicago</w:t>
      </w:r>
      <w:r w:rsidR="00FB7034" w:rsidRPr="0031004A">
        <w:rPr>
          <w:rFonts w:cs="Times New Roman"/>
          <w:szCs w:val="24"/>
        </w:rPr>
        <w:t>. The survey</w:t>
      </w:r>
      <w:r w:rsidR="00AF1536" w:rsidRPr="0031004A">
        <w:rPr>
          <w:rFonts w:cs="Times New Roman"/>
          <w:szCs w:val="24"/>
        </w:rPr>
        <w:t xml:space="preserve"> constitutes a probability-based</w:t>
      </w:r>
      <w:r w:rsidR="00FB7034" w:rsidRPr="0031004A">
        <w:rPr>
          <w:rFonts w:cs="Times New Roman"/>
          <w:szCs w:val="24"/>
        </w:rPr>
        <w:t xml:space="preserve"> </w:t>
      </w:r>
      <w:r w:rsidR="00AF1536" w:rsidRPr="0031004A">
        <w:rPr>
          <w:rFonts w:cs="Times New Roman"/>
          <w:szCs w:val="24"/>
        </w:rPr>
        <w:t xml:space="preserve">panel designed to be representative of the US household population age 50 or older. </w:t>
      </w:r>
      <w:r w:rsidRPr="0031004A">
        <w:rPr>
          <w:rFonts w:cs="Times New Roman"/>
          <w:color w:val="000000"/>
          <w:szCs w:val="24"/>
        </w:rPr>
        <w:t xml:space="preserve">The survey questions and </w:t>
      </w:r>
      <w:r w:rsidR="00AF1536" w:rsidRPr="0031004A">
        <w:rPr>
          <w:rFonts w:cs="Times New Roman"/>
          <w:color w:val="000000"/>
          <w:szCs w:val="24"/>
        </w:rPr>
        <w:t xml:space="preserve">survey </w:t>
      </w:r>
      <w:r w:rsidRPr="0031004A">
        <w:rPr>
          <w:rFonts w:cs="Times New Roman"/>
          <w:color w:val="000000"/>
          <w:szCs w:val="24"/>
        </w:rPr>
        <w:t xml:space="preserve">instrument </w:t>
      </w:r>
      <w:r w:rsidR="00AF1536" w:rsidRPr="0031004A">
        <w:rPr>
          <w:rFonts w:cs="Times New Roman"/>
          <w:color w:val="000000"/>
          <w:szCs w:val="24"/>
        </w:rPr>
        <w:t xml:space="preserve">in the Foresight 50+ survey </w:t>
      </w:r>
      <w:r w:rsidRPr="0031004A">
        <w:rPr>
          <w:rFonts w:cs="Times New Roman"/>
          <w:color w:val="000000"/>
          <w:szCs w:val="24"/>
        </w:rPr>
        <w:t xml:space="preserve">vary by month. The specific walking survey instrument used in the current paper </w:t>
      </w:r>
      <w:r w:rsidR="00AF1536" w:rsidRPr="0031004A">
        <w:rPr>
          <w:rFonts w:cs="Times New Roman"/>
          <w:color w:val="000000"/>
          <w:szCs w:val="24"/>
        </w:rPr>
        <w:t>was funded by the American Association of Retired Persons (AARP) and undertaken in July 2022.</w:t>
      </w:r>
      <w:r w:rsidR="00AF1536" w:rsidRPr="00B4106B">
        <w:rPr>
          <w:rFonts w:cs="Times New Roman"/>
          <w:color w:val="000000"/>
          <w:szCs w:val="24"/>
          <w:vertAlign w:val="superscript"/>
        </w:rPr>
        <w:footnoteReference w:id="7"/>
      </w:r>
      <w:r w:rsidR="00AF1536" w:rsidRPr="0031004A">
        <w:rPr>
          <w:rFonts w:cs="Times New Roman"/>
          <w:color w:val="000000"/>
          <w:szCs w:val="24"/>
        </w:rPr>
        <w:t xml:space="preserve"> </w:t>
      </w:r>
      <w:r w:rsidR="00FB7034" w:rsidRPr="0031004A">
        <w:rPr>
          <w:rFonts w:cs="Times New Roman"/>
          <w:color w:val="000000"/>
          <w:szCs w:val="24"/>
        </w:rPr>
        <w:t>A sample of 1691 individuals aged 50 years or older was obtained</w:t>
      </w:r>
      <w:r w:rsidR="00163E0F">
        <w:rPr>
          <w:rFonts w:cs="Times New Roman"/>
          <w:color w:val="000000"/>
          <w:szCs w:val="24"/>
        </w:rPr>
        <w:t xml:space="preserve">, of whom </w:t>
      </w:r>
      <w:r w:rsidR="00163E0F" w:rsidRPr="000009D0">
        <w:rPr>
          <w:rFonts w:cs="Times New Roman"/>
          <w:szCs w:val="24"/>
        </w:rPr>
        <w:t>1461 (86.4%) resid</w:t>
      </w:r>
      <w:r w:rsidR="00163E0F">
        <w:rPr>
          <w:rFonts w:cs="Times New Roman"/>
          <w:szCs w:val="24"/>
        </w:rPr>
        <w:t>e</w:t>
      </w:r>
      <w:r w:rsidR="00163E0F" w:rsidRPr="000009D0">
        <w:rPr>
          <w:rFonts w:cs="Times New Roman"/>
          <w:szCs w:val="24"/>
        </w:rPr>
        <w:t xml:space="preserve"> in urban areas</w:t>
      </w:r>
      <w:r w:rsidR="00EB35E1">
        <w:rPr>
          <w:rFonts w:cs="Times New Roman"/>
          <w:szCs w:val="24"/>
        </w:rPr>
        <w:t>.</w:t>
      </w:r>
      <w:r w:rsidR="00163E0F" w:rsidRPr="000009D0">
        <w:rPr>
          <w:rFonts w:cs="Times New Roman"/>
          <w:szCs w:val="24"/>
        </w:rPr>
        <w:t xml:space="preserve"> </w:t>
      </w:r>
      <w:r w:rsidR="00163E0F" w:rsidRPr="00340ECC">
        <w:rPr>
          <w:rFonts w:cs="Times New Roman"/>
          <w:szCs w:val="24"/>
        </w:rPr>
        <w:t xml:space="preserve">The ordered-response outcome in our empirical analysis corresponds to </w:t>
      </w:r>
      <w:r w:rsidR="00163E0F">
        <w:rPr>
          <w:rFonts w:cs="Times New Roman"/>
          <w:szCs w:val="24"/>
        </w:rPr>
        <w:t xml:space="preserve">an ordinal scale of </w:t>
      </w:r>
      <w:r w:rsidR="00163E0F">
        <w:rPr>
          <w:rFonts w:cs="Times New Roman"/>
          <w:color w:val="000000" w:themeColor="text1"/>
          <w:szCs w:val="24"/>
        </w:rPr>
        <w:t xml:space="preserve">weekly walking frequency (in days per week of walking for at least 10 minutes) as follows: </w:t>
      </w:r>
      <w:r w:rsidR="00163E0F" w:rsidRPr="000009D0">
        <w:rPr>
          <w:rFonts w:cs="Times New Roman"/>
          <w:szCs w:val="24"/>
        </w:rPr>
        <w:t>(a) Do not walk any day (19.2</w:t>
      </w:r>
      <w:r w:rsidR="00163E0F">
        <w:rPr>
          <w:rFonts w:cs="Times New Roman"/>
          <w:szCs w:val="24"/>
        </w:rPr>
        <w:t>%</w:t>
      </w:r>
      <w:r w:rsidR="00163E0F" w:rsidRPr="000009D0">
        <w:rPr>
          <w:rFonts w:cs="Times New Roman"/>
          <w:szCs w:val="24"/>
        </w:rPr>
        <w:t>), (b) Walk 1-2 days per week (17.0</w:t>
      </w:r>
      <w:r w:rsidR="00163E0F">
        <w:rPr>
          <w:rFonts w:cs="Times New Roman"/>
          <w:szCs w:val="24"/>
        </w:rPr>
        <w:t>%</w:t>
      </w:r>
      <w:r w:rsidR="00163E0F" w:rsidRPr="000009D0">
        <w:rPr>
          <w:rFonts w:cs="Times New Roman"/>
          <w:szCs w:val="24"/>
        </w:rPr>
        <w:t>), (c) Walk 3-4 days per week (27.9</w:t>
      </w:r>
      <w:r w:rsidR="00163E0F">
        <w:rPr>
          <w:rFonts w:cs="Times New Roman"/>
          <w:szCs w:val="24"/>
        </w:rPr>
        <w:t>%</w:t>
      </w:r>
      <w:r w:rsidR="00163E0F" w:rsidRPr="000009D0">
        <w:rPr>
          <w:rFonts w:cs="Times New Roman"/>
          <w:szCs w:val="24"/>
        </w:rPr>
        <w:t>), (d) Walk 5-6 days per week (21.1</w:t>
      </w:r>
      <w:r w:rsidR="00163E0F">
        <w:rPr>
          <w:rFonts w:cs="Times New Roman"/>
          <w:szCs w:val="24"/>
        </w:rPr>
        <w:t>%</w:t>
      </w:r>
      <w:r w:rsidR="00163E0F" w:rsidRPr="000009D0">
        <w:rPr>
          <w:rFonts w:cs="Times New Roman"/>
          <w:szCs w:val="24"/>
        </w:rPr>
        <w:t>), and (e) Walk 7 days per week (14.8</w:t>
      </w:r>
      <w:r w:rsidR="00163E0F">
        <w:rPr>
          <w:rFonts w:cs="Times New Roman"/>
          <w:szCs w:val="24"/>
        </w:rPr>
        <w:t>%</w:t>
      </w:r>
      <w:r w:rsidR="00163E0F" w:rsidRPr="000009D0">
        <w:rPr>
          <w:rFonts w:cs="Times New Roman"/>
          <w:szCs w:val="24"/>
        </w:rPr>
        <w:t>).</w:t>
      </w:r>
    </w:p>
    <w:p w14:paraId="3BEC58A0" w14:textId="77777777" w:rsidR="008853A6" w:rsidRPr="008853A6" w:rsidRDefault="008853A6" w:rsidP="008853A6">
      <w:pPr>
        <w:spacing w:line="276" w:lineRule="auto"/>
        <w:ind w:firstLine="720"/>
        <w:jc w:val="both"/>
        <w:rPr>
          <w:rFonts w:cs="Times New Roman"/>
          <w:color w:val="000000" w:themeColor="text1"/>
          <w:szCs w:val="24"/>
        </w:rPr>
      </w:pPr>
    </w:p>
    <w:p w14:paraId="3B23F3D5" w14:textId="705C96C9" w:rsidR="000009D0" w:rsidRPr="00E937C8" w:rsidRDefault="00E937C8" w:rsidP="00E937C8">
      <w:pPr>
        <w:pStyle w:val="ListParagraph"/>
        <w:numPr>
          <w:ilvl w:val="1"/>
          <w:numId w:val="7"/>
        </w:numPr>
        <w:autoSpaceDE w:val="0"/>
        <w:autoSpaceDN w:val="0"/>
        <w:adjustRightInd w:val="0"/>
        <w:spacing w:line="276" w:lineRule="auto"/>
        <w:jc w:val="both"/>
        <w:rPr>
          <w:b/>
          <w:bCs/>
        </w:rPr>
      </w:pPr>
      <w:r>
        <w:rPr>
          <w:b/>
          <w:bCs/>
        </w:rPr>
        <w:t xml:space="preserve"> </w:t>
      </w:r>
      <w:r w:rsidR="0038799D">
        <w:rPr>
          <w:b/>
          <w:bCs/>
        </w:rPr>
        <w:t xml:space="preserve">  </w:t>
      </w:r>
      <w:r w:rsidR="000009D0" w:rsidRPr="00E937C8">
        <w:rPr>
          <w:b/>
          <w:bCs/>
        </w:rPr>
        <w:t>Model Results</w:t>
      </w:r>
    </w:p>
    <w:p w14:paraId="34B06BE2" w14:textId="7ADBD490" w:rsidR="00102A55" w:rsidRPr="00AB4649" w:rsidRDefault="00102A55" w:rsidP="00B4106B">
      <w:pPr>
        <w:spacing w:line="276" w:lineRule="auto"/>
        <w:jc w:val="both"/>
        <w:rPr>
          <w:rFonts w:cs="Times New Roman"/>
          <w:szCs w:val="24"/>
        </w:rPr>
      </w:pPr>
      <w:r w:rsidRPr="00AB4649">
        <w:rPr>
          <w:rFonts w:cs="Times New Roman"/>
          <w:szCs w:val="24"/>
        </w:rPr>
        <w:t>A number of different specifications in terms of variables and the functional forms of variables were attempted in arriving at the final model specification. All variables, except age, are in either bracketed categories (income), or are naturally discrete</w:t>
      </w:r>
      <w:r w:rsidR="00333230" w:rsidRPr="00AB4649">
        <w:rPr>
          <w:rFonts w:cs="Times New Roman"/>
          <w:szCs w:val="24"/>
        </w:rPr>
        <w:t xml:space="preserve">. Examples of the latter include </w:t>
      </w:r>
      <w:r w:rsidRPr="00AB4649">
        <w:rPr>
          <w:rFonts w:cs="Times New Roman"/>
          <w:szCs w:val="24"/>
        </w:rPr>
        <w:t xml:space="preserve">gender, </w:t>
      </w:r>
      <w:r w:rsidRPr="00AB4649">
        <w:rPr>
          <w:rFonts w:cs="Times New Roman"/>
          <w:szCs w:val="24"/>
        </w:rPr>
        <w:lastRenderedPageBreak/>
        <w:t>race/ethnicity, education level, housing tenure</w:t>
      </w:r>
      <w:r w:rsidR="00485E66" w:rsidRPr="00AB4649">
        <w:rPr>
          <w:rFonts w:cs="Times New Roman"/>
          <w:szCs w:val="24"/>
        </w:rPr>
        <w:t>, dwelling type</w:t>
      </w:r>
      <w:r w:rsidR="002A3AB4" w:rsidRPr="00AB4649">
        <w:rPr>
          <w:rFonts w:cs="Times New Roman"/>
          <w:szCs w:val="24"/>
        </w:rPr>
        <w:t xml:space="preserve">, </w:t>
      </w:r>
      <w:r w:rsidR="00F75AE3" w:rsidRPr="00AB4649">
        <w:rPr>
          <w:rFonts w:cs="Times New Roman"/>
          <w:szCs w:val="24"/>
        </w:rPr>
        <w:t>employment status (paid employee</w:t>
      </w:r>
      <w:r w:rsidR="00333230" w:rsidRPr="00AB4649">
        <w:rPr>
          <w:rFonts w:cs="Times New Roman"/>
          <w:szCs w:val="24"/>
        </w:rPr>
        <w:t>, self-employed,</w:t>
      </w:r>
      <w:r w:rsidR="00F75AE3" w:rsidRPr="00AB4649">
        <w:rPr>
          <w:rFonts w:cs="Times New Roman"/>
          <w:szCs w:val="24"/>
        </w:rPr>
        <w:t xml:space="preserve"> </w:t>
      </w:r>
      <w:r w:rsidR="00333230" w:rsidRPr="00AB4649">
        <w:rPr>
          <w:rFonts w:cs="Times New Roman"/>
          <w:szCs w:val="24"/>
        </w:rPr>
        <w:t xml:space="preserve">unemployed/laid off temporarily, unemployed/looking for job, </w:t>
      </w:r>
      <w:r w:rsidR="002A3AB4" w:rsidRPr="00AB4649">
        <w:rPr>
          <w:rFonts w:cs="Times New Roman"/>
          <w:szCs w:val="24"/>
        </w:rPr>
        <w:t>unemployed</w:t>
      </w:r>
      <w:r w:rsidR="00333230" w:rsidRPr="00AB4649">
        <w:rPr>
          <w:rFonts w:cs="Times New Roman"/>
          <w:szCs w:val="24"/>
        </w:rPr>
        <w:t>/</w:t>
      </w:r>
      <w:r w:rsidR="002A3AB4" w:rsidRPr="00AB4649">
        <w:rPr>
          <w:rFonts w:cs="Times New Roman"/>
          <w:szCs w:val="24"/>
        </w:rPr>
        <w:t xml:space="preserve">retired, </w:t>
      </w:r>
      <w:r w:rsidR="00333230" w:rsidRPr="00AB4649">
        <w:rPr>
          <w:rFonts w:cs="Times New Roman"/>
          <w:szCs w:val="24"/>
        </w:rPr>
        <w:t xml:space="preserve">and </w:t>
      </w:r>
      <w:r w:rsidR="002A3AB4" w:rsidRPr="00AB4649">
        <w:rPr>
          <w:rFonts w:cs="Times New Roman"/>
          <w:szCs w:val="24"/>
        </w:rPr>
        <w:t>unemploye</w:t>
      </w:r>
      <w:r w:rsidR="00333230" w:rsidRPr="00AB4649">
        <w:rPr>
          <w:rFonts w:cs="Times New Roman"/>
          <w:szCs w:val="24"/>
        </w:rPr>
        <w:t>d/</w:t>
      </w:r>
      <w:r w:rsidR="002A3AB4" w:rsidRPr="00AB4649">
        <w:rPr>
          <w:rFonts w:cs="Times New Roman"/>
          <w:szCs w:val="24"/>
        </w:rPr>
        <w:t xml:space="preserve"> physically disabled</w:t>
      </w:r>
      <w:r w:rsidR="00333230" w:rsidRPr="00AB4649">
        <w:rPr>
          <w:rFonts w:cs="Times New Roman"/>
          <w:szCs w:val="24"/>
        </w:rPr>
        <w:t>)</w:t>
      </w:r>
      <w:r w:rsidR="002A3AB4" w:rsidRPr="00AB4649">
        <w:rPr>
          <w:rFonts w:cs="Times New Roman"/>
          <w:szCs w:val="24"/>
        </w:rPr>
        <w:t xml:space="preserve">, </w:t>
      </w:r>
      <w:r w:rsidRPr="00AB4649">
        <w:rPr>
          <w:rFonts w:cs="Times New Roman"/>
          <w:szCs w:val="24"/>
        </w:rPr>
        <w:t>household structure</w:t>
      </w:r>
      <w:r w:rsidR="00C05CBC" w:rsidRPr="00AB4649">
        <w:rPr>
          <w:rFonts w:cs="Times New Roman"/>
          <w:szCs w:val="24"/>
        </w:rPr>
        <w:t xml:space="preserve"> (single adult, single parent, married or unmarried couple, nuclear family, joint family of related individuals with more than two adults aged 18 or more and at least one individual </w:t>
      </w:r>
      <w:r w:rsidR="00D50EC2" w:rsidRPr="00AB4649">
        <w:rPr>
          <w:rFonts w:cs="Times New Roman"/>
          <w:szCs w:val="24"/>
        </w:rPr>
        <w:t>of 17 years of age or younger</w:t>
      </w:r>
      <w:r w:rsidR="00C05CBC" w:rsidRPr="00AB4649">
        <w:rPr>
          <w:rFonts w:cs="Times New Roman"/>
          <w:szCs w:val="24"/>
        </w:rPr>
        <w:t xml:space="preserve">, household with more than two adults </w:t>
      </w:r>
      <w:r w:rsidR="00D50EC2" w:rsidRPr="00AB4649">
        <w:rPr>
          <w:rFonts w:cs="Times New Roman"/>
          <w:szCs w:val="24"/>
        </w:rPr>
        <w:t xml:space="preserve">aged 18 or more </w:t>
      </w:r>
      <w:r w:rsidR="00C05CBC" w:rsidRPr="00AB4649">
        <w:rPr>
          <w:rFonts w:cs="Times New Roman"/>
          <w:szCs w:val="24"/>
        </w:rPr>
        <w:t xml:space="preserve">and no </w:t>
      </w:r>
      <w:r w:rsidR="00D50EC2" w:rsidRPr="00AB4649">
        <w:rPr>
          <w:rFonts w:cs="Times New Roman"/>
          <w:szCs w:val="24"/>
        </w:rPr>
        <w:t>individual 17 years or younger</w:t>
      </w:r>
      <w:r w:rsidR="00C05CBC" w:rsidRPr="00AB4649">
        <w:rPr>
          <w:rFonts w:cs="Times New Roman"/>
          <w:szCs w:val="24"/>
        </w:rPr>
        <w:t>)</w:t>
      </w:r>
      <w:r w:rsidR="002A3AB4" w:rsidRPr="00AB4649">
        <w:rPr>
          <w:rFonts w:cs="Times New Roman"/>
          <w:szCs w:val="24"/>
        </w:rPr>
        <w:t>, and residence region of the U.S</w:t>
      </w:r>
      <w:r w:rsidRPr="00AB4649">
        <w:rPr>
          <w:rFonts w:cs="Times New Roman"/>
          <w:szCs w:val="24"/>
        </w:rPr>
        <w:t>.</w:t>
      </w:r>
      <w:r w:rsidR="00F75AE3" w:rsidRPr="00202391">
        <w:rPr>
          <w:rFonts w:cs="Times New Roman"/>
          <w:szCs w:val="24"/>
          <w:vertAlign w:val="superscript"/>
        </w:rPr>
        <w:footnoteReference w:id="8"/>
      </w:r>
      <w:r w:rsidRPr="00202391">
        <w:rPr>
          <w:rFonts w:cs="Times New Roman"/>
          <w:szCs w:val="24"/>
          <w:vertAlign w:val="superscript"/>
        </w:rPr>
        <w:t xml:space="preserve"> </w:t>
      </w:r>
      <w:r w:rsidRPr="00AB4649">
        <w:rPr>
          <w:rFonts w:cs="Times New Roman"/>
          <w:szCs w:val="24"/>
        </w:rPr>
        <w:t xml:space="preserve">The </w:t>
      </w:r>
      <w:r w:rsidR="00333230" w:rsidRPr="00AB4649">
        <w:rPr>
          <w:rFonts w:cs="Times New Roman"/>
          <w:szCs w:val="24"/>
        </w:rPr>
        <w:t xml:space="preserve">influence of the bracketed and discrete exogenous variables </w:t>
      </w:r>
      <w:r w:rsidRPr="00AB4649">
        <w:rPr>
          <w:rFonts w:cs="Times New Roman"/>
          <w:szCs w:val="24"/>
        </w:rPr>
        <w:t xml:space="preserve">were tested as dummy variables in the most disaggregate form possible, and progressively combined </w:t>
      </w:r>
      <w:r w:rsidR="00333230" w:rsidRPr="00AB4649">
        <w:rPr>
          <w:rFonts w:cs="Times New Roman"/>
          <w:szCs w:val="24"/>
        </w:rPr>
        <w:t xml:space="preserve">for parsimony </w:t>
      </w:r>
      <w:r w:rsidRPr="00AB4649">
        <w:rPr>
          <w:rFonts w:cs="Times New Roman"/>
          <w:szCs w:val="24"/>
        </w:rPr>
        <w:t>based on statistical tests</w:t>
      </w:r>
      <w:r w:rsidR="00333230" w:rsidRPr="00AB4649">
        <w:rPr>
          <w:rFonts w:cs="Times New Roman"/>
          <w:szCs w:val="24"/>
        </w:rPr>
        <w:t xml:space="preserve">. </w:t>
      </w:r>
      <w:r w:rsidRPr="00AB4649">
        <w:rPr>
          <w:rFonts w:cs="Times New Roman"/>
          <w:szCs w:val="24"/>
        </w:rPr>
        <w:t xml:space="preserve"> </w:t>
      </w:r>
      <w:r w:rsidR="00C05CBC" w:rsidRPr="00AB4649">
        <w:rPr>
          <w:rFonts w:cs="Times New Roman"/>
          <w:szCs w:val="24"/>
        </w:rPr>
        <w:t xml:space="preserve">For the </w:t>
      </w:r>
      <w:r w:rsidR="00D50EC2" w:rsidRPr="00AB4649">
        <w:rPr>
          <w:rFonts w:cs="Times New Roman"/>
          <w:szCs w:val="24"/>
        </w:rPr>
        <w:t xml:space="preserve">continuous </w:t>
      </w:r>
      <w:r w:rsidR="00C05CBC" w:rsidRPr="00AB4649">
        <w:rPr>
          <w:rFonts w:cs="Times New Roman"/>
          <w:szCs w:val="24"/>
        </w:rPr>
        <w:t xml:space="preserve">age variable, </w:t>
      </w:r>
      <w:r w:rsidR="00CB79F0">
        <w:rPr>
          <w:rFonts w:cs="Times New Roman"/>
          <w:szCs w:val="24"/>
        </w:rPr>
        <w:t xml:space="preserve">alternative </w:t>
      </w:r>
      <w:r w:rsidRPr="00AB4649">
        <w:rPr>
          <w:rFonts w:cs="Times New Roman"/>
          <w:szCs w:val="24"/>
        </w:rPr>
        <w:t>functional forms</w:t>
      </w:r>
      <w:r w:rsidR="00CB79F0">
        <w:rPr>
          <w:rFonts w:cs="Times New Roman"/>
          <w:szCs w:val="24"/>
        </w:rPr>
        <w:t xml:space="preserve"> (such as </w:t>
      </w:r>
      <w:r w:rsidRPr="00AB4649">
        <w:rPr>
          <w:rFonts w:cs="Times New Roman"/>
          <w:szCs w:val="24"/>
        </w:rPr>
        <w:t>a continuous linear form, a continuous logarithm form, a piece-wise linear form, and a set of dummy variables for different ranges</w:t>
      </w:r>
      <w:r w:rsidR="00CB79F0">
        <w:rPr>
          <w:rFonts w:cs="Times New Roman"/>
          <w:szCs w:val="24"/>
        </w:rPr>
        <w:t>) were tested</w:t>
      </w:r>
      <w:r w:rsidRPr="00AB4649">
        <w:rPr>
          <w:rFonts w:cs="Times New Roman"/>
          <w:szCs w:val="24"/>
        </w:rPr>
        <w:t xml:space="preserve">. </w:t>
      </w:r>
      <w:r w:rsidR="00D50EC2" w:rsidRPr="00AB4649">
        <w:rPr>
          <w:rFonts w:cs="Times New Roman"/>
          <w:szCs w:val="24"/>
        </w:rPr>
        <w:t>At the end</w:t>
      </w:r>
      <w:r w:rsidR="00163E0F">
        <w:rPr>
          <w:rFonts w:cs="Times New Roman"/>
          <w:szCs w:val="24"/>
        </w:rPr>
        <w:t>,</w:t>
      </w:r>
      <w:r w:rsidR="00D50EC2" w:rsidRPr="00AB4649">
        <w:rPr>
          <w:rFonts w:cs="Times New Roman"/>
          <w:szCs w:val="24"/>
        </w:rPr>
        <w:t xml:space="preserve"> the effect of age was best represented in dummy variable form. </w:t>
      </w:r>
      <w:r w:rsidRPr="00AB4649">
        <w:rPr>
          <w:rFonts w:cs="Times New Roman"/>
          <w:szCs w:val="24"/>
        </w:rPr>
        <w:t>Further, we examined interaction effects across</w:t>
      </w:r>
      <w:r w:rsidR="00C05CBC" w:rsidRPr="00AB4649">
        <w:rPr>
          <w:rFonts w:cs="Times New Roman"/>
          <w:szCs w:val="24"/>
        </w:rPr>
        <w:t xml:space="preserve"> </w:t>
      </w:r>
      <w:r w:rsidRPr="00AB4649">
        <w:rPr>
          <w:rFonts w:cs="Times New Roman"/>
          <w:szCs w:val="24"/>
        </w:rPr>
        <w:t xml:space="preserve">variables, </w:t>
      </w:r>
      <w:r w:rsidR="00C05CBC" w:rsidRPr="00AB4649">
        <w:rPr>
          <w:rFonts w:cs="Times New Roman"/>
          <w:szCs w:val="24"/>
        </w:rPr>
        <w:t xml:space="preserve">including between urban and gender, urban and race/ethnicity, </w:t>
      </w:r>
      <w:r w:rsidR="00D50EC2" w:rsidRPr="00AB4649">
        <w:rPr>
          <w:rFonts w:cs="Times New Roman"/>
          <w:szCs w:val="24"/>
        </w:rPr>
        <w:t xml:space="preserve">and </w:t>
      </w:r>
      <w:r w:rsidR="00C05CBC" w:rsidRPr="00AB4649">
        <w:rPr>
          <w:rFonts w:cs="Times New Roman"/>
          <w:szCs w:val="24"/>
        </w:rPr>
        <w:t>urban and household structure</w:t>
      </w:r>
      <w:r w:rsidR="00D50EC2" w:rsidRPr="00AB4649">
        <w:rPr>
          <w:rFonts w:cs="Times New Roman"/>
          <w:szCs w:val="24"/>
        </w:rPr>
        <w:t xml:space="preserve"> in the walk frequency equation (after accounting for the jointness through correlation effects between the urban residence and walk frequency endogenous outcomes)</w:t>
      </w:r>
      <w:r w:rsidR="00C05CBC" w:rsidRPr="00AB4649">
        <w:rPr>
          <w:rFonts w:cs="Times New Roman"/>
          <w:szCs w:val="24"/>
        </w:rPr>
        <w:t xml:space="preserve">, </w:t>
      </w:r>
      <w:r w:rsidR="00D50EC2" w:rsidRPr="00AB4649">
        <w:rPr>
          <w:rFonts w:cs="Times New Roman"/>
          <w:szCs w:val="24"/>
        </w:rPr>
        <w:t xml:space="preserve">but none of </w:t>
      </w:r>
      <w:r w:rsidRPr="00AB4649">
        <w:rPr>
          <w:rFonts w:cs="Times New Roman"/>
          <w:szCs w:val="24"/>
        </w:rPr>
        <w:t xml:space="preserve">these came out to be statistically significant.  </w:t>
      </w:r>
    </w:p>
    <w:p w14:paraId="6F27864E" w14:textId="06B3CF1E" w:rsidR="00102A55" w:rsidRDefault="00102A55" w:rsidP="00B4106B">
      <w:pPr>
        <w:shd w:val="clear" w:color="auto" w:fill="FFFFFF"/>
        <w:spacing w:line="276" w:lineRule="auto"/>
        <w:ind w:firstLine="720"/>
        <w:jc w:val="both"/>
        <w:rPr>
          <w:rFonts w:cs="Times New Roman"/>
          <w:szCs w:val="24"/>
        </w:rPr>
      </w:pPr>
      <w:bookmarkStart w:id="8" w:name="_Hlk91324619"/>
      <w:r w:rsidRPr="00AB4649">
        <w:rPr>
          <w:rFonts w:cs="Times New Roman"/>
          <w:szCs w:val="24"/>
        </w:rPr>
        <w:t xml:space="preserve">The final model specification is presented in Table </w:t>
      </w:r>
      <w:r w:rsidR="00E76311">
        <w:rPr>
          <w:rFonts w:cs="Times New Roman"/>
          <w:szCs w:val="24"/>
        </w:rPr>
        <w:t>1</w:t>
      </w:r>
      <w:r w:rsidRPr="00AB4649">
        <w:rPr>
          <w:rFonts w:cs="Times New Roman"/>
          <w:szCs w:val="24"/>
        </w:rPr>
        <w:t xml:space="preserve">. </w:t>
      </w:r>
      <w:bookmarkEnd w:id="8"/>
      <w:r w:rsidRPr="00AB4649">
        <w:rPr>
          <w:rFonts w:cs="Times New Roman"/>
          <w:szCs w:val="24"/>
        </w:rPr>
        <w:t xml:space="preserve">The parameters </w:t>
      </w:r>
      <w:r w:rsidR="00AB4649" w:rsidRPr="00AB4649">
        <w:rPr>
          <w:rFonts w:cs="Times New Roman"/>
          <w:szCs w:val="24"/>
        </w:rPr>
        <w:t xml:space="preserve">for the urban </w:t>
      </w:r>
      <w:r w:rsidR="00352364">
        <w:rPr>
          <w:rFonts w:cs="Times New Roman"/>
          <w:szCs w:val="24"/>
        </w:rPr>
        <w:t xml:space="preserve">or non-urban </w:t>
      </w:r>
      <w:r w:rsidR="00AB4649" w:rsidRPr="00AB4649">
        <w:rPr>
          <w:rFonts w:cs="Times New Roman"/>
          <w:szCs w:val="24"/>
        </w:rPr>
        <w:t xml:space="preserve">residence model component </w:t>
      </w:r>
      <w:r w:rsidRPr="00AB4649">
        <w:rPr>
          <w:rFonts w:cs="Times New Roman"/>
          <w:szCs w:val="24"/>
        </w:rPr>
        <w:t xml:space="preserve">represent the elements of the </w:t>
      </w:r>
      <w:r w:rsidR="00B00F0B" w:rsidRPr="00AB4649">
        <w:rPr>
          <w:rFonts w:cs="Times New Roman"/>
          <w:position w:val="-10"/>
          <w:szCs w:val="24"/>
        </w:rPr>
        <w:object w:dxaOrig="200" w:dyaOrig="320" w14:anchorId="273EA766">
          <v:shape id="_x0000_i1204" type="#_x0000_t75" style="width:9.85pt;height:15.85pt" o:ole="" o:preferrelative="f">
            <v:imagedata r:id="rId220" o:title=""/>
            <o:lock v:ext="edit" aspectratio="f"/>
          </v:shape>
          <o:OLEObject Type="Embed" ProgID="Equation.DSMT4" ShapeID="_x0000_i1204" DrawAspect="Content" ObjectID="_1790752923" r:id="rId306"/>
        </w:object>
      </w:r>
      <w:r w:rsidR="00AB4649" w:rsidRPr="00AB4649">
        <w:rPr>
          <w:rFonts w:cs="Times New Roman"/>
          <w:szCs w:val="24"/>
        </w:rPr>
        <w:t xml:space="preserve"> vector (that is, the effect of exogenous variables on the propensity to live in an urban region), while those for the walk frequency component refer to the elements of the </w:t>
      </w:r>
      <w:r w:rsidR="00E214AA" w:rsidRPr="00AB4649">
        <w:rPr>
          <w:rFonts w:cs="Times New Roman"/>
          <w:position w:val="-10"/>
          <w:szCs w:val="24"/>
        </w:rPr>
        <w:object w:dxaOrig="200" w:dyaOrig="260" w14:anchorId="29A8B04C">
          <v:shape id="_x0000_i1205" type="#_x0000_t75" style="width:12pt;height:13.3pt" o:ole="" o:preferrelative="f">
            <v:imagedata r:id="rId19" o:title=""/>
            <o:lock v:ext="edit" aspectratio="f"/>
          </v:shape>
          <o:OLEObject Type="Embed" ProgID="Equation.DSMT4" ShapeID="_x0000_i1205" DrawAspect="Content" ObjectID="_1790752924" r:id="rId307"/>
        </w:object>
      </w:r>
      <w:r w:rsidR="00AB4649" w:rsidRPr="00AB4649">
        <w:rPr>
          <w:rFonts w:cs="Times New Roman"/>
          <w:szCs w:val="24"/>
        </w:rPr>
        <w:t xml:space="preserve"> vector </w:t>
      </w:r>
      <w:r w:rsidR="00202391">
        <w:rPr>
          <w:rFonts w:cs="Times New Roman"/>
          <w:szCs w:val="24"/>
        </w:rPr>
        <w:t xml:space="preserve">and </w:t>
      </w:r>
      <w:r w:rsidR="00AB4649" w:rsidRPr="00AB4649">
        <w:rPr>
          <w:rFonts w:cs="Times New Roman"/>
          <w:szCs w:val="24"/>
        </w:rPr>
        <w:t xml:space="preserve">the urban “treatment” effect  parameter </w:t>
      </w:r>
      <w:r w:rsidR="00B00F0B" w:rsidRPr="00AB4649">
        <w:rPr>
          <w:rFonts w:cs="Times New Roman"/>
          <w:position w:val="-6"/>
          <w:szCs w:val="24"/>
        </w:rPr>
        <w:object w:dxaOrig="220" w:dyaOrig="279" w14:anchorId="47802EF2">
          <v:shape id="_x0000_i1206" type="#_x0000_t75" style="width:12pt;height:13.7pt" o:ole="" o:preferrelative="f">
            <v:imagedata r:id="rId21" o:title=""/>
            <o:lock v:ext="edit" aspectratio="f"/>
          </v:shape>
          <o:OLEObject Type="Embed" ProgID="Equation.DSMT4" ShapeID="_x0000_i1206" DrawAspect="Content" ObjectID="_1790752925" r:id="rId308"/>
        </w:object>
      </w:r>
      <w:r w:rsidR="00AB4649" w:rsidRPr="00AB4649">
        <w:rPr>
          <w:rFonts w:cs="Times New Roman"/>
          <w:szCs w:val="24"/>
        </w:rPr>
        <w:t xml:space="preserve"> (that is, the effect of exogenous variables and “urban” residence on the propensity underlying walking frequency).  </w:t>
      </w:r>
      <w:r w:rsidR="00202391">
        <w:rPr>
          <w:rFonts w:cs="Times New Roman"/>
          <w:szCs w:val="24"/>
        </w:rPr>
        <w:t xml:space="preserve">In Table 1, categories that do not appear in the column for </w:t>
      </w:r>
      <w:r w:rsidR="003951C5">
        <w:rPr>
          <w:rFonts w:cs="Times New Roman"/>
          <w:szCs w:val="24"/>
        </w:rPr>
        <w:t>urban living propensity or walk frequency propensity constitute the base categories. A</w:t>
      </w:r>
      <w:r w:rsidR="00B4106B">
        <w:rPr>
          <w:rFonts w:cs="Times New Roman"/>
          <w:szCs w:val="24"/>
        </w:rPr>
        <w:t xml:space="preserve"> ‘</w:t>
      </w:r>
      <w:r w:rsidR="003951C5">
        <w:rPr>
          <w:rFonts w:cs="Times New Roman"/>
          <w:szCs w:val="24"/>
        </w:rPr>
        <w:t>-</w:t>
      </w:r>
      <w:r w:rsidR="00B4106B">
        <w:rPr>
          <w:rFonts w:cs="Times New Roman"/>
          <w:szCs w:val="24"/>
        </w:rPr>
        <w:t>’</w:t>
      </w:r>
      <w:r w:rsidR="003951C5">
        <w:rPr>
          <w:rFonts w:cs="Times New Roman"/>
          <w:szCs w:val="24"/>
        </w:rPr>
        <w:t xml:space="preserve"> in the table implies that the corresponding coefficient was not statistically significant </w:t>
      </w:r>
      <w:r w:rsidR="00F84B2A">
        <w:rPr>
          <w:rFonts w:cs="Times New Roman"/>
          <w:szCs w:val="24"/>
        </w:rPr>
        <w:t xml:space="preserve">at </w:t>
      </w:r>
      <w:r w:rsidR="009724B2">
        <w:rPr>
          <w:rFonts w:cs="Times New Roman"/>
          <w:szCs w:val="24"/>
        </w:rPr>
        <w:t xml:space="preserve">even </w:t>
      </w:r>
      <w:r w:rsidR="00F84B2A">
        <w:rPr>
          <w:rFonts w:cs="Times New Roman"/>
          <w:szCs w:val="24"/>
        </w:rPr>
        <w:t xml:space="preserve">the 10% </w:t>
      </w:r>
      <w:r w:rsidR="002936FC">
        <w:rPr>
          <w:rFonts w:cs="Times New Roman"/>
          <w:szCs w:val="24"/>
        </w:rPr>
        <w:t xml:space="preserve">level of significance. </w:t>
      </w:r>
    </w:p>
    <w:p w14:paraId="4B7EEF67" w14:textId="76A6AE7F" w:rsidR="00656A34" w:rsidRDefault="00B00F0B" w:rsidP="00656A34">
      <w:pPr>
        <w:spacing w:line="276" w:lineRule="auto"/>
        <w:ind w:firstLine="720"/>
        <w:jc w:val="both"/>
        <w:rPr>
          <w:rFonts w:cs="Times New Roman"/>
          <w:szCs w:val="24"/>
        </w:rPr>
      </w:pPr>
      <w:r w:rsidRPr="00352C7E">
        <w:rPr>
          <w:rFonts w:cs="Times New Roman"/>
          <w:szCs w:val="24"/>
        </w:rPr>
        <w:t xml:space="preserve">The results indicate that individuals from higher income households, with higher than a bachelor’s degree, and older individuals </w:t>
      </w:r>
      <w:r>
        <w:rPr>
          <w:rFonts w:cs="Times New Roman"/>
          <w:szCs w:val="24"/>
        </w:rPr>
        <w:t xml:space="preserve">(80 years or older) </w:t>
      </w:r>
      <w:r w:rsidRPr="00352C7E">
        <w:rPr>
          <w:rFonts w:cs="Times New Roman"/>
          <w:szCs w:val="24"/>
        </w:rPr>
        <w:t xml:space="preserve">are more likely than their peers to be urban residents. In the context of a post-COVID landscape, these are quite interesting and suggest some shifts in residential choice patterns from before. There </w:t>
      </w:r>
      <w:r>
        <w:rPr>
          <w:rFonts w:cs="Times New Roman"/>
          <w:szCs w:val="24"/>
        </w:rPr>
        <w:t xml:space="preserve">appears to be </w:t>
      </w:r>
      <w:r w:rsidRPr="00352C7E">
        <w:rPr>
          <w:rFonts w:cs="Times New Roman"/>
          <w:szCs w:val="24"/>
        </w:rPr>
        <w:t xml:space="preserve">more of </w:t>
      </w:r>
      <w:r>
        <w:rPr>
          <w:rFonts w:cs="Times New Roman"/>
          <w:szCs w:val="24"/>
        </w:rPr>
        <w:t xml:space="preserve">a </w:t>
      </w:r>
      <w:r w:rsidRPr="00352C7E">
        <w:rPr>
          <w:rFonts w:cs="Times New Roman"/>
          <w:szCs w:val="24"/>
        </w:rPr>
        <w:t xml:space="preserve">move away from urban areas (to non-urban areas) among individuals with lower incomes and with low formal education degrees, in their quest to get better quality housing farther away, facilitated also by increased teleworking potential for erstwhile “blue collar” jobs (see Asmussen et al., </w:t>
      </w:r>
      <w:r>
        <w:rPr>
          <w:rFonts w:cs="Times New Roman"/>
          <w:szCs w:val="24"/>
        </w:rPr>
        <w:t>202</w:t>
      </w:r>
      <w:r w:rsidR="00127514">
        <w:rPr>
          <w:rFonts w:cs="Times New Roman"/>
          <w:szCs w:val="24"/>
        </w:rPr>
        <w:t>4</w:t>
      </w:r>
      <w:r w:rsidRPr="00352C7E">
        <w:rPr>
          <w:rFonts w:cs="Times New Roman"/>
          <w:szCs w:val="24"/>
        </w:rPr>
        <w:t xml:space="preserve">). Besides, recent studies have suggested that there has been a tempering in the market potential differential for employability between urban and non-urban areas, which would once again spur moves of low income individuals and those with low formal education degrees toward non-urban areas </w:t>
      </w:r>
      <w:r w:rsidRPr="00352C7E">
        <w:rPr>
          <w:rFonts w:cs="Times New Roman"/>
          <w:szCs w:val="24"/>
        </w:rPr>
        <w:fldChar w:fldCharType="begin"/>
      </w:r>
      <w:r w:rsidRPr="00352C7E">
        <w:rPr>
          <w:rFonts w:cs="Times New Roman"/>
          <w:szCs w:val="24"/>
        </w:rPr>
        <w:instrText xml:space="preserve"> ADDIN ZOTERO_ITEM CSL_CITATION {"citationID":"4V3kwyy4","properties":{"formattedCitation":"(Blumenberg and Wander, 2022)","plainCitation":"(Blumenberg and Wander, 2022)","noteIndex":0},"citationItems":[{"id":688,"uris":["http://zotero.org/users/local/1ztI2Oc6/items/NWMTQEMB","http://zotero.org/users/12832277/items/NWMTQEMB"],"itemData":{"id":688,"type":"article-journal","abstract":"The growing affordable housing crisis in high-cost metropolitan areas may force households to seek lower cost housing in the outer reaches of metropolitan areas contributing to the recent increase in commute distance. To explore this assertion, we test the relationship between the availability of affordable housing relative to jobs and commute distance in two diverse metropolitan statistical areas in Southern California: Los Angeles-Orange (higher cost, coastal, older, more urban) and Riverside-San Bernardino (lower cost, inland, newer, more suburban). A worse “fit” between the number of low-wage jobs and affordable housing rentals is associated with longer commute distances in LA-Orange, but is not statistically significant in Riverside-San Bernardino. This study’s findings highlight the differences in housing dynamics and commute distances between higher cost coastal regions and lower cost inland regions—and underscore the importance of protecting and expanding the supply of affordable housing in job-rich neighborhoods located in more expensive, coastal cities.","container-title":"Urban Geography","DOI":"10.1080/02723638.2022.2087319","ISSN":"0272-3638","issue":"0","note":"publisher: Routledge\n_eprint: https://doi.org/10.1080/02723638.2022.2087319","page":"1-20","source":"Taylor and Francis+NEJM","title":"Housing Affordability and Commute Distance","volume":"0","author":[{"family":"Blumenberg","given":"Evelyn"},{"family":"Wander","given":"Madeline"}],"issued":{"date-parts":[["2022",6,15]]}}}],"schema":"https://github.com/citation-style-language/schema/raw/master/csl-citation.json"} </w:instrText>
      </w:r>
      <w:r w:rsidRPr="00352C7E">
        <w:rPr>
          <w:rFonts w:cs="Times New Roman"/>
          <w:szCs w:val="24"/>
        </w:rPr>
        <w:fldChar w:fldCharType="separate"/>
      </w:r>
      <w:r w:rsidRPr="00352C7E">
        <w:rPr>
          <w:rFonts w:cs="Times New Roman"/>
          <w:szCs w:val="24"/>
        </w:rPr>
        <w:t>(</w:t>
      </w:r>
      <w:bookmarkStart w:id="9" w:name="_Hlk155433237"/>
      <w:r w:rsidRPr="00352C7E">
        <w:rPr>
          <w:rFonts w:cs="Times New Roman"/>
          <w:szCs w:val="24"/>
        </w:rPr>
        <w:t>Blumenberg and Wander, 2022</w:t>
      </w:r>
      <w:bookmarkEnd w:id="9"/>
      <w:r w:rsidRPr="00352C7E">
        <w:rPr>
          <w:rFonts w:cs="Times New Roman"/>
          <w:szCs w:val="24"/>
        </w:rPr>
        <w:t>)</w:t>
      </w:r>
      <w:r w:rsidRPr="00352C7E">
        <w:rPr>
          <w:rFonts w:cs="Times New Roman"/>
          <w:szCs w:val="24"/>
        </w:rPr>
        <w:fldChar w:fldCharType="end"/>
      </w:r>
      <w:r w:rsidRPr="00352C7E">
        <w:rPr>
          <w:rFonts w:cs="Times New Roman"/>
          <w:szCs w:val="24"/>
        </w:rPr>
        <w:t xml:space="preserve">. The higher tendency of older individuals to be located in </w:t>
      </w:r>
      <w:r w:rsidRPr="00352C7E">
        <w:rPr>
          <w:rFonts w:cs="Times New Roman"/>
          <w:szCs w:val="24"/>
        </w:rPr>
        <w:lastRenderedPageBreak/>
        <w:t>urban areas may be tied to the reluctance to move away from current residences relative to younger individuals. Older individuals typically are averse to changes in life rhythms because stability provides a form of mental self-esteem boost (a sense of control and reduced stress/anxiety) for them at a time when their physical self-esteem may be on the decline (Duque et al., 20</w:t>
      </w:r>
      <w:r>
        <w:rPr>
          <w:rFonts w:cs="Times New Roman"/>
          <w:szCs w:val="24"/>
        </w:rPr>
        <w:t>21</w:t>
      </w:r>
      <w:r w:rsidRPr="00352C7E">
        <w:rPr>
          <w:rFonts w:cs="Times New Roman"/>
          <w:szCs w:val="24"/>
        </w:rPr>
        <w:t xml:space="preserve">). </w:t>
      </w:r>
    </w:p>
    <w:p w14:paraId="78386026" w14:textId="77777777" w:rsidR="00656A34" w:rsidRDefault="00656A34" w:rsidP="00656A34">
      <w:pPr>
        <w:spacing w:line="276" w:lineRule="auto"/>
        <w:jc w:val="both"/>
        <w:rPr>
          <w:b/>
          <w:bCs/>
        </w:rPr>
      </w:pPr>
    </w:p>
    <w:p w14:paraId="1DF960D9" w14:textId="5FB32FA9" w:rsidR="00B00F0B" w:rsidRPr="00656A34" w:rsidRDefault="00B00F0B" w:rsidP="00656A34">
      <w:pPr>
        <w:spacing w:line="276" w:lineRule="auto"/>
        <w:jc w:val="both"/>
        <w:rPr>
          <w:rFonts w:cs="Times New Roman"/>
          <w:szCs w:val="24"/>
        </w:rPr>
      </w:pPr>
      <w:r w:rsidRPr="001F473C">
        <w:rPr>
          <w:b/>
          <w:bCs/>
        </w:rPr>
        <w:t xml:space="preserve">Table </w:t>
      </w:r>
      <w:r>
        <w:rPr>
          <w:b/>
          <w:bCs/>
        </w:rPr>
        <w:t>1</w:t>
      </w:r>
      <w:r w:rsidRPr="001F473C">
        <w:rPr>
          <w:b/>
          <w:bCs/>
        </w:rPr>
        <w:t>: Main outcome results (coefficients represent effects on underlying latent propensity)</w:t>
      </w:r>
    </w:p>
    <w:tbl>
      <w:tblPr>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575"/>
        <w:gridCol w:w="938"/>
        <w:gridCol w:w="939"/>
        <w:gridCol w:w="939"/>
        <w:gridCol w:w="939"/>
      </w:tblGrid>
      <w:tr w:rsidR="00B00F0B" w:rsidRPr="00656A34" w14:paraId="644BA153" w14:textId="77777777" w:rsidTr="00D76ED6">
        <w:trPr>
          <w:trHeight w:val="302"/>
        </w:trPr>
        <w:tc>
          <w:tcPr>
            <w:tcW w:w="2988" w:type="pct"/>
            <w:vMerge w:val="restart"/>
            <w:tcBorders>
              <w:top w:val="double" w:sz="4" w:space="0" w:color="auto"/>
              <w:bottom w:val="double" w:sz="4" w:space="0" w:color="auto"/>
              <w:right w:val="double" w:sz="4" w:space="0" w:color="auto"/>
            </w:tcBorders>
            <w:shd w:val="clear" w:color="auto" w:fill="auto"/>
            <w:noWrap/>
            <w:vAlign w:val="center"/>
            <w:hideMark/>
          </w:tcPr>
          <w:p w14:paraId="03051743" w14:textId="77777777" w:rsidR="00B00F0B" w:rsidRPr="00656A34" w:rsidRDefault="00B00F0B" w:rsidP="00456E56">
            <w:pPr>
              <w:rPr>
                <w:rFonts w:cs="Times New Roman"/>
                <w:b/>
                <w:bCs/>
                <w:color w:val="000000"/>
                <w:sz w:val="23"/>
                <w:szCs w:val="23"/>
              </w:rPr>
            </w:pPr>
            <w:r w:rsidRPr="00656A34">
              <w:rPr>
                <w:rFonts w:cs="Times New Roman"/>
                <w:b/>
                <w:bCs/>
                <w:color w:val="000000"/>
                <w:sz w:val="23"/>
                <w:szCs w:val="23"/>
              </w:rPr>
              <w:t>Variables</w:t>
            </w:r>
          </w:p>
          <w:p w14:paraId="755A222E" w14:textId="77777777" w:rsidR="00B00F0B" w:rsidRPr="00656A34" w:rsidRDefault="00B00F0B" w:rsidP="00456E56">
            <w:pPr>
              <w:rPr>
                <w:rFonts w:cs="Times New Roman"/>
                <w:b/>
                <w:bCs/>
                <w:color w:val="000000"/>
                <w:sz w:val="23"/>
                <w:szCs w:val="23"/>
              </w:rPr>
            </w:pPr>
          </w:p>
        </w:tc>
        <w:tc>
          <w:tcPr>
            <w:tcW w:w="1006" w:type="pct"/>
            <w:gridSpan w:val="2"/>
            <w:tcBorders>
              <w:top w:val="double" w:sz="4" w:space="0" w:color="auto"/>
              <w:bottom w:val="double" w:sz="4" w:space="0" w:color="auto"/>
              <w:right w:val="double" w:sz="4" w:space="0" w:color="auto"/>
            </w:tcBorders>
            <w:vAlign w:val="center"/>
          </w:tcPr>
          <w:p w14:paraId="1DDE2B70" w14:textId="77777777" w:rsidR="00B00F0B" w:rsidRPr="00656A34" w:rsidRDefault="00B00F0B" w:rsidP="00456E56">
            <w:pPr>
              <w:jc w:val="center"/>
              <w:rPr>
                <w:rFonts w:cs="Times New Roman"/>
                <w:b/>
                <w:bCs/>
                <w:color w:val="000000"/>
                <w:sz w:val="23"/>
                <w:szCs w:val="23"/>
              </w:rPr>
            </w:pPr>
            <w:r w:rsidRPr="00656A34">
              <w:rPr>
                <w:rFonts w:cs="Times New Roman"/>
                <w:b/>
                <w:bCs/>
                <w:color w:val="000000"/>
                <w:sz w:val="23"/>
                <w:szCs w:val="23"/>
              </w:rPr>
              <w:t>Urban Neighborhood Living</w:t>
            </w:r>
          </w:p>
        </w:tc>
        <w:tc>
          <w:tcPr>
            <w:tcW w:w="1006" w:type="pct"/>
            <w:gridSpan w:val="2"/>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6F35214E" w14:textId="77777777" w:rsidR="00B00F0B" w:rsidRPr="00656A34" w:rsidRDefault="00B00F0B" w:rsidP="00456E56">
            <w:pPr>
              <w:jc w:val="center"/>
              <w:rPr>
                <w:rFonts w:cs="Times New Roman"/>
                <w:b/>
                <w:bCs/>
                <w:color w:val="000000"/>
                <w:sz w:val="23"/>
                <w:szCs w:val="23"/>
              </w:rPr>
            </w:pPr>
            <w:r w:rsidRPr="00656A34">
              <w:rPr>
                <w:rFonts w:cs="Times New Roman"/>
                <w:b/>
                <w:bCs/>
                <w:color w:val="000000"/>
                <w:sz w:val="23"/>
                <w:szCs w:val="23"/>
              </w:rPr>
              <w:t>Walk Frequency (days per week)</w:t>
            </w:r>
          </w:p>
        </w:tc>
      </w:tr>
      <w:tr w:rsidR="00B00F0B" w:rsidRPr="00656A34" w14:paraId="36B2C18C" w14:textId="77777777" w:rsidTr="00D76ED6">
        <w:trPr>
          <w:trHeight w:val="302"/>
        </w:trPr>
        <w:tc>
          <w:tcPr>
            <w:tcW w:w="2988" w:type="pct"/>
            <w:vMerge/>
            <w:tcBorders>
              <w:top w:val="double" w:sz="4" w:space="0" w:color="auto"/>
              <w:bottom w:val="double" w:sz="4" w:space="0" w:color="auto"/>
              <w:right w:val="double" w:sz="4" w:space="0" w:color="auto"/>
            </w:tcBorders>
            <w:vAlign w:val="center"/>
            <w:hideMark/>
          </w:tcPr>
          <w:p w14:paraId="4478CDE3" w14:textId="77777777" w:rsidR="00B00F0B" w:rsidRPr="00656A34" w:rsidRDefault="00B00F0B" w:rsidP="00456E56">
            <w:pPr>
              <w:rPr>
                <w:rFonts w:cs="Times New Roman"/>
                <w:b/>
                <w:bCs/>
                <w:color w:val="000000"/>
                <w:sz w:val="23"/>
                <w:szCs w:val="23"/>
              </w:rPr>
            </w:pPr>
          </w:p>
        </w:tc>
        <w:tc>
          <w:tcPr>
            <w:tcW w:w="503" w:type="pct"/>
            <w:tcBorders>
              <w:top w:val="double" w:sz="4" w:space="0" w:color="auto"/>
              <w:bottom w:val="double" w:sz="4" w:space="0" w:color="auto"/>
              <w:right w:val="single" w:sz="4" w:space="0" w:color="auto"/>
            </w:tcBorders>
            <w:vAlign w:val="center"/>
          </w:tcPr>
          <w:p w14:paraId="697F440C" w14:textId="77777777" w:rsidR="00B00F0B" w:rsidRPr="00656A34" w:rsidRDefault="00B00F0B" w:rsidP="00456E56">
            <w:pPr>
              <w:jc w:val="center"/>
              <w:rPr>
                <w:rFonts w:cs="Times New Roman"/>
                <w:b/>
                <w:bCs/>
                <w:color w:val="000000"/>
                <w:sz w:val="23"/>
                <w:szCs w:val="23"/>
              </w:rPr>
            </w:pPr>
            <w:r w:rsidRPr="00656A34">
              <w:rPr>
                <w:rFonts w:cs="Times New Roman"/>
                <w:b/>
                <w:bCs/>
                <w:color w:val="000000"/>
                <w:sz w:val="23"/>
                <w:szCs w:val="23"/>
              </w:rPr>
              <w:t>Coeff.</w:t>
            </w:r>
          </w:p>
        </w:tc>
        <w:tc>
          <w:tcPr>
            <w:tcW w:w="503" w:type="pct"/>
            <w:tcBorders>
              <w:top w:val="double" w:sz="4" w:space="0" w:color="auto"/>
              <w:left w:val="single" w:sz="4" w:space="0" w:color="auto"/>
              <w:bottom w:val="double" w:sz="4" w:space="0" w:color="auto"/>
              <w:right w:val="double" w:sz="4" w:space="0" w:color="auto"/>
            </w:tcBorders>
            <w:vAlign w:val="center"/>
          </w:tcPr>
          <w:p w14:paraId="52625E3E" w14:textId="77777777" w:rsidR="00B00F0B" w:rsidRPr="00656A34" w:rsidRDefault="00B00F0B" w:rsidP="00456E56">
            <w:pPr>
              <w:jc w:val="center"/>
              <w:rPr>
                <w:rFonts w:cs="Times New Roman"/>
                <w:b/>
                <w:bCs/>
                <w:color w:val="000000"/>
                <w:sz w:val="23"/>
                <w:szCs w:val="23"/>
              </w:rPr>
            </w:pPr>
            <w:r w:rsidRPr="00656A34">
              <w:rPr>
                <w:rFonts w:cs="Times New Roman"/>
                <w:b/>
                <w:bCs/>
                <w:color w:val="000000"/>
                <w:sz w:val="23"/>
                <w:szCs w:val="23"/>
              </w:rPr>
              <w:t>t-stat</w:t>
            </w:r>
          </w:p>
        </w:tc>
        <w:tc>
          <w:tcPr>
            <w:tcW w:w="503" w:type="pct"/>
            <w:tcBorders>
              <w:top w:val="double" w:sz="4" w:space="0" w:color="auto"/>
              <w:left w:val="double" w:sz="4" w:space="0" w:color="auto"/>
              <w:bottom w:val="double" w:sz="4" w:space="0" w:color="auto"/>
              <w:right w:val="single" w:sz="4" w:space="0" w:color="auto"/>
            </w:tcBorders>
            <w:shd w:val="clear" w:color="auto" w:fill="auto"/>
            <w:noWrap/>
            <w:vAlign w:val="center"/>
            <w:hideMark/>
          </w:tcPr>
          <w:p w14:paraId="22C66138" w14:textId="77777777" w:rsidR="00B00F0B" w:rsidRPr="00656A34" w:rsidRDefault="00B00F0B" w:rsidP="00456E56">
            <w:pPr>
              <w:jc w:val="center"/>
              <w:rPr>
                <w:rFonts w:cs="Times New Roman"/>
                <w:b/>
                <w:bCs/>
                <w:color w:val="000000"/>
                <w:sz w:val="23"/>
                <w:szCs w:val="23"/>
              </w:rPr>
            </w:pPr>
            <w:r w:rsidRPr="00656A34">
              <w:rPr>
                <w:rFonts w:cs="Times New Roman"/>
                <w:b/>
                <w:bCs/>
                <w:color w:val="000000"/>
                <w:sz w:val="23"/>
                <w:szCs w:val="23"/>
              </w:rPr>
              <w:t>Coeff.</w:t>
            </w:r>
          </w:p>
        </w:tc>
        <w:tc>
          <w:tcPr>
            <w:tcW w:w="503" w:type="pct"/>
            <w:tcBorders>
              <w:top w:val="double" w:sz="4" w:space="0" w:color="auto"/>
              <w:left w:val="single" w:sz="4" w:space="0" w:color="auto"/>
              <w:bottom w:val="double" w:sz="4" w:space="0" w:color="auto"/>
              <w:right w:val="double" w:sz="4" w:space="0" w:color="auto"/>
            </w:tcBorders>
            <w:shd w:val="clear" w:color="auto" w:fill="auto"/>
            <w:noWrap/>
            <w:vAlign w:val="center"/>
            <w:hideMark/>
          </w:tcPr>
          <w:p w14:paraId="2F8C5C04" w14:textId="77777777" w:rsidR="00B00F0B" w:rsidRPr="00656A34" w:rsidRDefault="00B00F0B" w:rsidP="00456E56">
            <w:pPr>
              <w:jc w:val="center"/>
              <w:rPr>
                <w:rFonts w:cs="Times New Roman"/>
                <w:b/>
                <w:bCs/>
                <w:color w:val="000000"/>
                <w:sz w:val="23"/>
                <w:szCs w:val="23"/>
              </w:rPr>
            </w:pPr>
            <w:r w:rsidRPr="00656A34">
              <w:rPr>
                <w:rFonts w:cs="Times New Roman"/>
                <w:b/>
                <w:bCs/>
                <w:color w:val="000000"/>
                <w:sz w:val="23"/>
                <w:szCs w:val="23"/>
              </w:rPr>
              <w:t>t-stat</w:t>
            </w:r>
          </w:p>
        </w:tc>
      </w:tr>
      <w:tr w:rsidR="00B00F0B" w:rsidRPr="00656A34" w14:paraId="7DF1C5AE" w14:textId="77777777" w:rsidTr="00D76ED6">
        <w:trPr>
          <w:trHeight w:val="302"/>
        </w:trPr>
        <w:tc>
          <w:tcPr>
            <w:tcW w:w="2988" w:type="pct"/>
            <w:tcBorders>
              <w:right w:val="double" w:sz="4" w:space="0" w:color="auto"/>
            </w:tcBorders>
            <w:shd w:val="clear" w:color="auto" w:fill="auto"/>
            <w:noWrap/>
            <w:vAlign w:val="center"/>
            <w:hideMark/>
          </w:tcPr>
          <w:p w14:paraId="02B7E544" w14:textId="77777777" w:rsidR="00B00F0B" w:rsidRPr="00656A34" w:rsidRDefault="00B00F0B" w:rsidP="00456E56">
            <w:pPr>
              <w:rPr>
                <w:rFonts w:cs="Times New Roman"/>
                <w:color w:val="000000"/>
                <w:sz w:val="23"/>
                <w:szCs w:val="23"/>
              </w:rPr>
            </w:pPr>
            <w:r w:rsidRPr="00656A34">
              <w:rPr>
                <w:rFonts w:cs="Times New Roman"/>
                <w:color w:val="000000"/>
                <w:sz w:val="23"/>
                <w:szCs w:val="23"/>
              </w:rPr>
              <w:t>Annual Household Income</w:t>
            </w:r>
          </w:p>
        </w:tc>
        <w:tc>
          <w:tcPr>
            <w:tcW w:w="503" w:type="pct"/>
            <w:tcBorders>
              <w:right w:val="single" w:sz="4" w:space="0" w:color="auto"/>
            </w:tcBorders>
            <w:vAlign w:val="center"/>
          </w:tcPr>
          <w:p w14:paraId="63E3072A" w14:textId="77777777" w:rsidR="00B00F0B" w:rsidRPr="00656A34" w:rsidRDefault="00B00F0B" w:rsidP="00456E56">
            <w:pPr>
              <w:jc w:val="right"/>
              <w:rPr>
                <w:rFonts w:cs="Times New Roman"/>
                <w:color w:val="000000"/>
                <w:sz w:val="23"/>
                <w:szCs w:val="23"/>
              </w:rPr>
            </w:pPr>
          </w:p>
        </w:tc>
        <w:tc>
          <w:tcPr>
            <w:tcW w:w="503" w:type="pct"/>
            <w:tcBorders>
              <w:top w:val="double" w:sz="4" w:space="0" w:color="auto"/>
              <w:left w:val="single" w:sz="4" w:space="0" w:color="auto"/>
              <w:bottom w:val="nil"/>
              <w:right w:val="double" w:sz="4" w:space="0" w:color="auto"/>
            </w:tcBorders>
            <w:vAlign w:val="center"/>
          </w:tcPr>
          <w:p w14:paraId="1796CF92" w14:textId="77777777" w:rsidR="00B00F0B" w:rsidRPr="00656A34" w:rsidRDefault="00B00F0B" w:rsidP="00456E56">
            <w:pPr>
              <w:jc w:val="right"/>
              <w:rPr>
                <w:rFonts w:cs="Times New Roman"/>
                <w:color w:val="000000"/>
                <w:sz w:val="23"/>
                <w:szCs w:val="23"/>
              </w:rPr>
            </w:pPr>
          </w:p>
        </w:tc>
        <w:tc>
          <w:tcPr>
            <w:tcW w:w="503" w:type="pct"/>
            <w:tcBorders>
              <w:right w:val="single" w:sz="4" w:space="0" w:color="auto"/>
            </w:tcBorders>
            <w:vAlign w:val="center"/>
          </w:tcPr>
          <w:p w14:paraId="0FA5E171" w14:textId="77777777" w:rsidR="00B00F0B" w:rsidRPr="00656A34" w:rsidRDefault="00B00F0B" w:rsidP="00456E56">
            <w:pPr>
              <w:jc w:val="right"/>
              <w:rPr>
                <w:rFonts w:cs="Times New Roman"/>
                <w:color w:val="000000"/>
                <w:sz w:val="23"/>
                <w:szCs w:val="23"/>
              </w:rPr>
            </w:pPr>
          </w:p>
        </w:tc>
        <w:tc>
          <w:tcPr>
            <w:tcW w:w="503" w:type="pct"/>
            <w:tcBorders>
              <w:top w:val="double" w:sz="4" w:space="0" w:color="auto"/>
              <w:left w:val="single" w:sz="4" w:space="0" w:color="auto"/>
              <w:bottom w:val="nil"/>
              <w:right w:val="double" w:sz="4" w:space="0" w:color="auto"/>
            </w:tcBorders>
            <w:vAlign w:val="center"/>
          </w:tcPr>
          <w:p w14:paraId="69C677E0" w14:textId="77777777" w:rsidR="00B00F0B" w:rsidRPr="00656A34" w:rsidRDefault="00B00F0B" w:rsidP="00456E56">
            <w:pPr>
              <w:jc w:val="right"/>
              <w:rPr>
                <w:rFonts w:cs="Times New Roman"/>
                <w:color w:val="000000"/>
                <w:sz w:val="23"/>
                <w:szCs w:val="23"/>
              </w:rPr>
            </w:pPr>
          </w:p>
        </w:tc>
      </w:tr>
      <w:tr w:rsidR="00B00F0B" w:rsidRPr="00656A34" w14:paraId="7958E339" w14:textId="77777777" w:rsidTr="00D76ED6">
        <w:trPr>
          <w:trHeight w:val="302"/>
        </w:trPr>
        <w:tc>
          <w:tcPr>
            <w:tcW w:w="2988" w:type="pct"/>
            <w:tcBorders>
              <w:right w:val="double" w:sz="4" w:space="0" w:color="auto"/>
            </w:tcBorders>
            <w:shd w:val="clear" w:color="auto" w:fill="auto"/>
            <w:noWrap/>
            <w:vAlign w:val="center"/>
          </w:tcPr>
          <w:p w14:paraId="3F39A756" w14:textId="77777777" w:rsidR="00B00F0B" w:rsidRPr="00656A34" w:rsidRDefault="00B00F0B" w:rsidP="00456E56">
            <w:pPr>
              <w:ind w:left="330"/>
              <w:rPr>
                <w:rFonts w:cs="Times New Roman"/>
                <w:color w:val="000000"/>
                <w:sz w:val="23"/>
                <w:szCs w:val="23"/>
              </w:rPr>
            </w:pPr>
            <w:r w:rsidRPr="00656A34">
              <w:rPr>
                <w:rFonts w:cs="Times New Roman"/>
                <w:color w:val="000000"/>
                <w:sz w:val="23"/>
                <w:szCs w:val="23"/>
              </w:rPr>
              <w:t>$75,000-$149,999</w:t>
            </w:r>
          </w:p>
        </w:tc>
        <w:tc>
          <w:tcPr>
            <w:tcW w:w="503" w:type="pct"/>
            <w:tcBorders>
              <w:right w:val="single" w:sz="4" w:space="0" w:color="auto"/>
            </w:tcBorders>
            <w:vAlign w:val="center"/>
          </w:tcPr>
          <w:p w14:paraId="21D5634A" w14:textId="77777777" w:rsidR="00B00F0B" w:rsidRPr="00656A34" w:rsidRDefault="00B00F0B" w:rsidP="00456E56">
            <w:pPr>
              <w:jc w:val="right"/>
              <w:rPr>
                <w:rFonts w:cs="Times New Roman"/>
                <w:sz w:val="23"/>
                <w:szCs w:val="23"/>
              </w:rPr>
            </w:pPr>
            <w:r w:rsidRPr="00656A34">
              <w:rPr>
                <w:rFonts w:cs="Times New Roman"/>
                <w:sz w:val="23"/>
                <w:szCs w:val="23"/>
              </w:rPr>
              <w:t>0.375</w:t>
            </w:r>
          </w:p>
        </w:tc>
        <w:tc>
          <w:tcPr>
            <w:tcW w:w="503" w:type="pct"/>
            <w:tcBorders>
              <w:top w:val="nil"/>
              <w:left w:val="single" w:sz="4" w:space="0" w:color="auto"/>
              <w:bottom w:val="nil"/>
              <w:right w:val="double" w:sz="4" w:space="0" w:color="auto"/>
            </w:tcBorders>
            <w:vAlign w:val="center"/>
          </w:tcPr>
          <w:p w14:paraId="124EC795" w14:textId="77777777" w:rsidR="00B00F0B" w:rsidRPr="00656A34" w:rsidRDefault="00B00F0B" w:rsidP="00456E56">
            <w:pPr>
              <w:jc w:val="right"/>
              <w:rPr>
                <w:rFonts w:cs="Times New Roman"/>
                <w:sz w:val="23"/>
                <w:szCs w:val="23"/>
              </w:rPr>
            </w:pPr>
            <w:r w:rsidRPr="00656A34">
              <w:rPr>
                <w:rFonts w:cs="Times New Roman"/>
                <w:sz w:val="23"/>
                <w:szCs w:val="23"/>
              </w:rPr>
              <w:t>3.704</w:t>
            </w:r>
          </w:p>
        </w:tc>
        <w:tc>
          <w:tcPr>
            <w:tcW w:w="503" w:type="pct"/>
            <w:tcBorders>
              <w:right w:val="single" w:sz="4" w:space="0" w:color="auto"/>
            </w:tcBorders>
            <w:vAlign w:val="center"/>
          </w:tcPr>
          <w:p w14:paraId="734B4D5B" w14:textId="77777777" w:rsidR="00B00F0B" w:rsidRPr="00656A34" w:rsidRDefault="00B00F0B" w:rsidP="00456E56">
            <w:pPr>
              <w:jc w:val="right"/>
              <w:rPr>
                <w:rFonts w:cs="Times New Roman"/>
                <w:sz w:val="23"/>
                <w:szCs w:val="23"/>
              </w:rPr>
            </w:pPr>
          </w:p>
        </w:tc>
        <w:tc>
          <w:tcPr>
            <w:tcW w:w="503" w:type="pct"/>
            <w:tcBorders>
              <w:top w:val="nil"/>
              <w:left w:val="single" w:sz="4" w:space="0" w:color="auto"/>
              <w:bottom w:val="nil"/>
              <w:right w:val="double" w:sz="4" w:space="0" w:color="auto"/>
            </w:tcBorders>
            <w:vAlign w:val="center"/>
          </w:tcPr>
          <w:p w14:paraId="2AE39F09" w14:textId="77777777" w:rsidR="00B00F0B" w:rsidRPr="00656A34" w:rsidRDefault="00B00F0B" w:rsidP="00456E56">
            <w:pPr>
              <w:jc w:val="right"/>
              <w:rPr>
                <w:rFonts w:cs="Times New Roman"/>
                <w:sz w:val="23"/>
                <w:szCs w:val="23"/>
              </w:rPr>
            </w:pPr>
          </w:p>
        </w:tc>
      </w:tr>
      <w:tr w:rsidR="00B00F0B" w:rsidRPr="00656A34" w14:paraId="5EDA58CB" w14:textId="77777777" w:rsidTr="00D76ED6">
        <w:trPr>
          <w:trHeight w:val="302"/>
        </w:trPr>
        <w:tc>
          <w:tcPr>
            <w:tcW w:w="2988" w:type="pct"/>
            <w:tcBorders>
              <w:right w:val="double" w:sz="4" w:space="0" w:color="auto"/>
            </w:tcBorders>
            <w:shd w:val="clear" w:color="auto" w:fill="auto"/>
            <w:noWrap/>
            <w:vAlign w:val="center"/>
          </w:tcPr>
          <w:p w14:paraId="6212026F" w14:textId="77777777" w:rsidR="00B00F0B" w:rsidRPr="00656A34" w:rsidRDefault="00B00F0B" w:rsidP="00456E56">
            <w:pPr>
              <w:ind w:left="330"/>
              <w:rPr>
                <w:rFonts w:cs="Times New Roman"/>
                <w:color w:val="000000"/>
                <w:sz w:val="23"/>
                <w:szCs w:val="23"/>
              </w:rPr>
            </w:pPr>
            <w:r w:rsidRPr="00656A34">
              <w:rPr>
                <w:rFonts w:cs="Times New Roman"/>
                <w:color w:val="000000"/>
                <w:sz w:val="23"/>
                <w:szCs w:val="23"/>
              </w:rPr>
              <w:t>$150,000 and higher</w:t>
            </w:r>
          </w:p>
        </w:tc>
        <w:tc>
          <w:tcPr>
            <w:tcW w:w="503" w:type="pct"/>
            <w:tcBorders>
              <w:right w:val="single" w:sz="4" w:space="0" w:color="auto"/>
            </w:tcBorders>
            <w:vAlign w:val="center"/>
          </w:tcPr>
          <w:p w14:paraId="67F4388F" w14:textId="77777777" w:rsidR="00B00F0B" w:rsidRPr="00656A34" w:rsidRDefault="00B00F0B" w:rsidP="00456E56">
            <w:pPr>
              <w:jc w:val="right"/>
              <w:rPr>
                <w:rFonts w:cs="Times New Roman"/>
                <w:sz w:val="23"/>
                <w:szCs w:val="23"/>
              </w:rPr>
            </w:pPr>
            <w:r w:rsidRPr="00656A34">
              <w:rPr>
                <w:rFonts w:cs="Times New Roman"/>
                <w:sz w:val="23"/>
                <w:szCs w:val="23"/>
              </w:rPr>
              <w:t>0.884</w:t>
            </w:r>
          </w:p>
        </w:tc>
        <w:tc>
          <w:tcPr>
            <w:tcW w:w="503" w:type="pct"/>
            <w:tcBorders>
              <w:top w:val="nil"/>
              <w:left w:val="single" w:sz="4" w:space="0" w:color="auto"/>
              <w:bottom w:val="nil"/>
              <w:right w:val="double" w:sz="4" w:space="0" w:color="auto"/>
            </w:tcBorders>
            <w:vAlign w:val="center"/>
          </w:tcPr>
          <w:p w14:paraId="1F2AB6CB" w14:textId="77777777" w:rsidR="00B00F0B" w:rsidRPr="00656A34" w:rsidRDefault="00B00F0B" w:rsidP="00456E56">
            <w:pPr>
              <w:jc w:val="right"/>
              <w:rPr>
                <w:rFonts w:cs="Times New Roman"/>
                <w:sz w:val="23"/>
                <w:szCs w:val="23"/>
              </w:rPr>
            </w:pPr>
            <w:r w:rsidRPr="00656A34">
              <w:rPr>
                <w:rFonts w:cs="Times New Roman"/>
                <w:sz w:val="23"/>
                <w:szCs w:val="23"/>
              </w:rPr>
              <w:t>4.771</w:t>
            </w:r>
          </w:p>
        </w:tc>
        <w:tc>
          <w:tcPr>
            <w:tcW w:w="503" w:type="pct"/>
            <w:tcBorders>
              <w:right w:val="single" w:sz="4" w:space="0" w:color="auto"/>
            </w:tcBorders>
            <w:vAlign w:val="center"/>
          </w:tcPr>
          <w:p w14:paraId="44B3525A" w14:textId="77777777" w:rsidR="00B00F0B" w:rsidRPr="00656A34" w:rsidRDefault="00B00F0B" w:rsidP="00456E56">
            <w:pPr>
              <w:jc w:val="right"/>
              <w:rPr>
                <w:rFonts w:cs="Times New Roman"/>
                <w:sz w:val="23"/>
                <w:szCs w:val="23"/>
              </w:rPr>
            </w:pPr>
          </w:p>
        </w:tc>
        <w:tc>
          <w:tcPr>
            <w:tcW w:w="503" w:type="pct"/>
            <w:tcBorders>
              <w:top w:val="nil"/>
              <w:left w:val="single" w:sz="4" w:space="0" w:color="auto"/>
              <w:bottom w:val="nil"/>
              <w:right w:val="double" w:sz="4" w:space="0" w:color="auto"/>
            </w:tcBorders>
            <w:vAlign w:val="center"/>
          </w:tcPr>
          <w:p w14:paraId="2E6B20E9" w14:textId="77777777" w:rsidR="00B00F0B" w:rsidRPr="00656A34" w:rsidRDefault="00B00F0B" w:rsidP="00456E56">
            <w:pPr>
              <w:jc w:val="right"/>
              <w:rPr>
                <w:rFonts w:cs="Times New Roman"/>
                <w:sz w:val="23"/>
                <w:szCs w:val="23"/>
              </w:rPr>
            </w:pPr>
          </w:p>
        </w:tc>
      </w:tr>
      <w:tr w:rsidR="00B00F0B" w:rsidRPr="00656A34" w14:paraId="67DED076" w14:textId="77777777" w:rsidTr="00D76ED6">
        <w:trPr>
          <w:trHeight w:val="302"/>
        </w:trPr>
        <w:tc>
          <w:tcPr>
            <w:tcW w:w="2988" w:type="pct"/>
            <w:tcBorders>
              <w:right w:val="double" w:sz="4" w:space="0" w:color="auto"/>
            </w:tcBorders>
            <w:shd w:val="clear" w:color="auto" w:fill="auto"/>
            <w:noWrap/>
            <w:vAlign w:val="center"/>
          </w:tcPr>
          <w:p w14:paraId="798D4EE4" w14:textId="77777777" w:rsidR="00B00F0B" w:rsidRPr="00656A34" w:rsidRDefault="00B00F0B" w:rsidP="00456E56">
            <w:pPr>
              <w:ind w:left="330"/>
              <w:rPr>
                <w:rFonts w:cs="Times New Roman"/>
                <w:color w:val="000000"/>
                <w:sz w:val="23"/>
                <w:szCs w:val="23"/>
              </w:rPr>
            </w:pPr>
            <w:r w:rsidRPr="00656A34">
              <w:rPr>
                <w:rFonts w:cs="Times New Roman"/>
                <w:color w:val="000000"/>
                <w:sz w:val="23"/>
                <w:szCs w:val="23"/>
              </w:rPr>
              <w:t>$100,000 and higher</w:t>
            </w:r>
          </w:p>
        </w:tc>
        <w:tc>
          <w:tcPr>
            <w:tcW w:w="503" w:type="pct"/>
            <w:tcBorders>
              <w:right w:val="single" w:sz="4" w:space="0" w:color="auto"/>
            </w:tcBorders>
            <w:vAlign w:val="center"/>
          </w:tcPr>
          <w:p w14:paraId="3D18774A" w14:textId="77777777" w:rsidR="00B00F0B" w:rsidRPr="00656A34" w:rsidRDefault="00B00F0B" w:rsidP="00456E56">
            <w:pPr>
              <w:jc w:val="right"/>
              <w:rPr>
                <w:rFonts w:cs="Times New Roman"/>
                <w:sz w:val="23"/>
                <w:szCs w:val="23"/>
              </w:rPr>
            </w:pPr>
            <w:r w:rsidRPr="00656A34">
              <w:rPr>
                <w:rFonts w:cs="Times New Roman"/>
                <w:sz w:val="23"/>
                <w:szCs w:val="23"/>
              </w:rPr>
              <w:t>-</w:t>
            </w:r>
          </w:p>
        </w:tc>
        <w:tc>
          <w:tcPr>
            <w:tcW w:w="503" w:type="pct"/>
            <w:tcBorders>
              <w:top w:val="nil"/>
              <w:left w:val="single" w:sz="4" w:space="0" w:color="auto"/>
              <w:bottom w:val="nil"/>
              <w:right w:val="double" w:sz="4" w:space="0" w:color="auto"/>
            </w:tcBorders>
            <w:vAlign w:val="center"/>
          </w:tcPr>
          <w:p w14:paraId="6EA53276" w14:textId="77777777" w:rsidR="00B00F0B" w:rsidRPr="00656A34" w:rsidRDefault="00B00F0B" w:rsidP="00456E56">
            <w:pPr>
              <w:jc w:val="right"/>
              <w:rPr>
                <w:rFonts w:cs="Times New Roman"/>
                <w:sz w:val="23"/>
                <w:szCs w:val="23"/>
              </w:rPr>
            </w:pPr>
            <w:r w:rsidRPr="00656A34">
              <w:rPr>
                <w:rFonts w:cs="Times New Roman"/>
                <w:sz w:val="23"/>
                <w:szCs w:val="23"/>
              </w:rPr>
              <w:t>-</w:t>
            </w:r>
          </w:p>
        </w:tc>
        <w:tc>
          <w:tcPr>
            <w:tcW w:w="503" w:type="pct"/>
            <w:tcBorders>
              <w:right w:val="single" w:sz="4" w:space="0" w:color="auto"/>
            </w:tcBorders>
            <w:vAlign w:val="center"/>
          </w:tcPr>
          <w:p w14:paraId="528DDE3D" w14:textId="77777777" w:rsidR="00B00F0B" w:rsidRPr="00656A34" w:rsidRDefault="00B00F0B" w:rsidP="00456E56">
            <w:pPr>
              <w:jc w:val="right"/>
              <w:rPr>
                <w:rFonts w:cs="Times New Roman"/>
                <w:sz w:val="23"/>
                <w:szCs w:val="23"/>
              </w:rPr>
            </w:pPr>
            <w:r w:rsidRPr="00656A34">
              <w:rPr>
                <w:rFonts w:cs="Times New Roman"/>
                <w:sz w:val="23"/>
                <w:szCs w:val="23"/>
              </w:rPr>
              <w:t>0.114</w:t>
            </w:r>
          </w:p>
        </w:tc>
        <w:tc>
          <w:tcPr>
            <w:tcW w:w="503" w:type="pct"/>
            <w:tcBorders>
              <w:top w:val="nil"/>
              <w:left w:val="single" w:sz="4" w:space="0" w:color="auto"/>
              <w:bottom w:val="nil"/>
              <w:right w:val="double" w:sz="4" w:space="0" w:color="auto"/>
            </w:tcBorders>
            <w:vAlign w:val="center"/>
          </w:tcPr>
          <w:p w14:paraId="2793B04A" w14:textId="77777777" w:rsidR="00B00F0B" w:rsidRPr="00656A34" w:rsidRDefault="00B00F0B" w:rsidP="00456E56">
            <w:pPr>
              <w:jc w:val="right"/>
              <w:rPr>
                <w:rFonts w:cs="Times New Roman"/>
                <w:sz w:val="23"/>
                <w:szCs w:val="23"/>
              </w:rPr>
            </w:pPr>
            <w:r w:rsidRPr="00656A34">
              <w:rPr>
                <w:rFonts w:cs="Times New Roman"/>
                <w:sz w:val="23"/>
                <w:szCs w:val="23"/>
              </w:rPr>
              <w:t>1.983</w:t>
            </w:r>
          </w:p>
        </w:tc>
      </w:tr>
      <w:tr w:rsidR="00B00F0B" w:rsidRPr="00656A34" w14:paraId="3EB368CC" w14:textId="77777777" w:rsidTr="00D76ED6">
        <w:trPr>
          <w:trHeight w:val="302"/>
        </w:trPr>
        <w:tc>
          <w:tcPr>
            <w:tcW w:w="2988" w:type="pct"/>
            <w:tcBorders>
              <w:right w:val="double" w:sz="4" w:space="0" w:color="auto"/>
            </w:tcBorders>
            <w:shd w:val="clear" w:color="auto" w:fill="auto"/>
            <w:noWrap/>
            <w:vAlign w:val="center"/>
            <w:hideMark/>
          </w:tcPr>
          <w:p w14:paraId="69F026F1" w14:textId="77777777" w:rsidR="00B00F0B" w:rsidRPr="00656A34" w:rsidRDefault="00B00F0B" w:rsidP="00456E56">
            <w:pPr>
              <w:rPr>
                <w:rFonts w:cs="Times New Roman"/>
                <w:color w:val="000000"/>
                <w:sz w:val="23"/>
                <w:szCs w:val="23"/>
              </w:rPr>
            </w:pPr>
            <w:r w:rsidRPr="00656A34">
              <w:rPr>
                <w:rFonts w:cs="Times New Roman"/>
                <w:color w:val="000000"/>
                <w:sz w:val="23"/>
                <w:szCs w:val="23"/>
              </w:rPr>
              <w:t>Higher than Bachelor’s Degree</w:t>
            </w:r>
          </w:p>
        </w:tc>
        <w:tc>
          <w:tcPr>
            <w:tcW w:w="503" w:type="pct"/>
            <w:tcBorders>
              <w:right w:val="single" w:sz="4" w:space="0" w:color="auto"/>
            </w:tcBorders>
            <w:vAlign w:val="center"/>
          </w:tcPr>
          <w:p w14:paraId="3D12D0DB"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0.307</w:t>
            </w:r>
          </w:p>
        </w:tc>
        <w:tc>
          <w:tcPr>
            <w:tcW w:w="503" w:type="pct"/>
            <w:tcBorders>
              <w:top w:val="nil"/>
              <w:left w:val="single" w:sz="4" w:space="0" w:color="auto"/>
              <w:right w:val="double" w:sz="4" w:space="0" w:color="auto"/>
            </w:tcBorders>
            <w:vAlign w:val="center"/>
          </w:tcPr>
          <w:p w14:paraId="15E32B37"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3.117</w:t>
            </w:r>
          </w:p>
        </w:tc>
        <w:tc>
          <w:tcPr>
            <w:tcW w:w="503" w:type="pct"/>
            <w:tcBorders>
              <w:left w:val="double" w:sz="4" w:space="0" w:color="auto"/>
              <w:right w:val="single" w:sz="4" w:space="0" w:color="auto"/>
            </w:tcBorders>
            <w:shd w:val="clear" w:color="auto" w:fill="auto"/>
            <w:noWrap/>
            <w:vAlign w:val="center"/>
          </w:tcPr>
          <w:p w14:paraId="46FDA5A9"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w:t>
            </w:r>
          </w:p>
        </w:tc>
        <w:tc>
          <w:tcPr>
            <w:tcW w:w="503" w:type="pct"/>
            <w:tcBorders>
              <w:top w:val="nil"/>
              <w:left w:val="single" w:sz="4" w:space="0" w:color="auto"/>
              <w:right w:val="double" w:sz="4" w:space="0" w:color="auto"/>
            </w:tcBorders>
            <w:shd w:val="clear" w:color="auto" w:fill="auto"/>
            <w:noWrap/>
            <w:vAlign w:val="center"/>
          </w:tcPr>
          <w:p w14:paraId="0BC92594"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w:t>
            </w:r>
          </w:p>
        </w:tc>
      </w:tr>
      <w:tr w:rsidR="00B00F0B" w:rsidRPr="00656A34" w14:paraId="57C45EDE" w14:textId="77777777" w:rsidTr="00D76ED6">
        <w:trPr>
          <w:trHeight w:val="302"/>
        </w:trPr>
        <w:tc>
          <w:tcPr>
            <w:tcW w:w="2988" w:type="pct"/>
            <w:tcBorders>
              <w:right w:val="double" w:sz="4" w:space="0" w:color="auto"/>
            </w:tcBorders>
            <w:shd w:val="clear" w:color="auto" w:fill="auto"/>
            <w:noWrap/>
            <w:vAlign w:val="center"/>
          </w:tcPr>
          <w:p w14:paraId="03C81F46" w14:textId="77777777" w:rsidR="00B00F0B" w:rsidRPr="00656A34" w:rsidRDefault="00B00F0B" w:rsidP="00456E56">
            <w:pPr>
              <w:rPr>
                <w:rFonts w:cs="Times New Roman"/>
                <w:color w:val="000000"/>
                <w:sz w:val="23"/>
                <w:szCs w:val="23"/>
              </w:rPr>
            </w:pPr>
            <w:r w:rsidRPr="00656A34">
              <w:rPr>
                <w:rFonts w:cs="Times New Roman"/>
                <w:color w:val="000000"/>
                <w:sz w:val="23"/>
                <w:szCs w:val="23"/>
              </w:rPr>
              <w:t>Woman</w:t>
            </w:r>
          </w:p>
        </w:tc>
        <w:tc>
          <w:tcPr>
            <w:tcW w:w="503" w:type="pct"/>
            <w:tcBorders>
              <w:right w:val="single" w:sz="4" w:space="0" w:color="auto"/>
            </w:tcBorders>
            <w:vAlign w:val="center"/>
          </w:tcPr>
          <w:p w14:paraId="2F6466A5" w14:textId="77777777" w:rsidR="00B00F0B" w:rsidRPr="00656A34" w:rsidRDefault="00B00F0B" w:rsidP="00456E56">
            <w:pPr>
              <w:pStyle w:val="ListParagraph"/>
              <w:ind w:left="0"/>
              <w:jc w:val="right"/>
              <w:rPr>
                <w:b/>
                <w:bCs/>
                <w:color w:val="000000"/>
                <w:sz w:val="23"/>
                <w:szCs w:val="23"/>
              </w:rPr>
            </w:pPr>
            <w:r w:rsidRPr="00656A34">
              <w:rPr>
                <w:color w:val="000000"/>
                <w:sz w:val="23"/>
                <w:szCs w:val="23"/>
              </w:rPr>
              <w:t>-</w:t>
            </w:r>
          </w:p>
        </w:tc>
        <w:tc>
          <w:tcPr>
            <w:tcW w:w="503" w:type="pct"/>
            <w:tcBorders>
              <w:left w:val="single" w:sz="4" w:space="0" w:color="auto"/>
              <w:right w:val="double" w:sz="4" w:space="0" w:color="auto"/>
            </w:tcBorders>
            <w:vAlign w:val="center"/>
          </w:tcPr>
          <w:p w14:paraId="39C293D8"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w:t>
            </w:r>
          </w:p>
        </w:tc>
        <w:tc>
          <w:tcPr>
            <w:tcW w:w="503" w:type="pct"/>
            <w:tcBorders>
              <w:left w:val="double" w:sz="4" w:space="0" w:color="auto"/>
              <w:right w:val="single" w:sz="4" w:space="0" w:color="auto"/>
            </w:tcBorders>
            <w:shd w:val="clear" w:color="auto" w:fill="auto"/>
            <w:noWrap/>
            <w:vAlign w:val="center"/>
          </w:tcPr>
          <w:p w14:paraId="78AE9F61"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-0.124</w:t>
            </w:r>
          </w:p>
        </w:tc>
        <w:tc>
          <w:tcPr>
            <w:tcW w:w="503" w:type="pct"/>
            <w:tcBorders>
              <w:left w:val="single" w:sz="4" w:space="0" w:color="auto"/>
              <w:right w:val="double" w:sz="4" w:space="0" w:color="auto"/>
            </w:tcBorders>
            <w:shd w:val="clear" w:color="auto" w:fill="auto"/>
            <w:noWrap/>
            <w:vAlign w:val="center"/>
          </w:tcPr>
          <w:p w14:paraId="5E254B3D"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-2.362</w:t>
            </w:r>
          </w:p>
        </w:tc>
      </w:tr>
      <w:tr w:rsidR="00B00F0B" w:rsidRPr="00656A34" w14:paraId="313322EF" w14:textId="77777777" w:rsidTr="00D76ED6">
        <w:trPr>
          <w:trHeight w:val="302"/>
        </w:trPr>
        <w:tc>
          <w:tcPr>
            <w:tcW w:w="2988" w:type="pct"/>
            <w:tcBorders>
              <w:right w:val="double" w:sz="4" w:space="0" w:color="auto"/>
            </w:tcBorders>
            <w:shd w:val="clear" w:color="auto" w:fill="auto"/>
            <w:noWrap/>
            <w:vAlign w:val="center"/>
            <w:hideMark/>
          </w:tcPr>
          <w:p w14:paraId="23784038" w14:textId="77777777" w:rsidR="00B00F0B" w:rsidRPr="00656A34" w:rsidRDefault="00B00F0B" w:rsidP="00456E56">
            <w:pPr>
              <w:rPr>
                <w:rFonts w:cs="Times New Roman"/>
                <w:color w:val="000000"/>
                <w:sz w:val="23"/>
                <w:szCs w:val="23"/>
              </w:rPr>
            </w:pPr>
            <w:r w:rsidRPr="00656A34">
              <w:rPr>
                <w:rFonts w:cs="Times New Roman"/>
                <w:color w:val="000000"/>
                <w:sz w:val="23"/>
                <w:szCs w:val="23"/>
              </w:rPr>
              <w:t>Age</w:t>
            </w:r>
          </w:p>
        </w:tc>
        <w:tc>
          <w:tcPr>
            <w:tcW w:w="503" w:type="pct"/>
            <w:tcBorders>
              <w:right w:val="single" w:sz="4" w:space="0" w:color="auto"/>
            </w:tcBorders>
            <w:vAlign w:val="center"/>
          </w:tcPr>
          <w:p w14:paraId="57446874" w14:textId="77777777" w:rsidR="00B00F0B" w:rsidRPr="00656A34" w:rsidRDefault="00B00F0B" w:rsidP="00456E56">
            <w:pPr>
              <w:jc w:val="right"/>
              <w:rPr>
                <w:rFonts w:cs="Times New Roman"/>
                <w:color w:val="000000"/>
                <w:sz w:val="23"/>
                <w:szCs w:val="23"/>
              </w:rPr>
            </w:pPr>
          </w:p>
        </w:tc>
        <w:tc>
          <w:tcPr>
            <w:tcW w:w="503" w:type="pct"/>
            <w:tcBorders>
              <w:left w:val="single" w:sz="4" w:space="0" w:color="auto"/>
              <w:right w:val="double" w:sz="4" w:space="0" w:color="auto"/>
            </w:tcBorders>
            <w:vAlign w:val="center"/>
          </w:tcPr>
          <w:p w14:paraId="7668083F" w14:textId="77777777" w:rsidR="00B00F0B" w:rsidRPr="00656A34" w:rsidRDefault="00B00F0B" w:rsidP="00456E56">
            <w:pPr>
              <w:jc w:val="right"/>
              <w:rPr>
                <w:rFonts w:cs="Times New Roman"/>
                <w:color w:val="000000"/>
                <w:sz w:val="23"/>
                <w:szCs w:val="23"/>
              </w:rPr>
            </w:pPr>
          </w:p>
        </w:tc>
        <w:tc>
          <w:tcPr>
            <w:tcW w:w="503" w:type="pct"/>
            <w:tcBorders>
              <w:left w:val="double" w:sz="4" w:space="0" w:color="auto"/>
              <w:right w:val="single" w:sz="4" w:space="0" w:color="auto"/>
            </w:tcBorders>
            <w:shd w:val="clear" w:color="auto" w:fill="auto"/>
            <w:noWrap/>
            <w:vAlign w:val="center"/>
          </w:tcPr>
          <w:p w14:paraId="10115E7D" w14:textId="77777777" w:rsidR="00B00F0B" w:rsidRPr="00656A34" w:rsidRDefault="00B00F0B" w:rsidP="00456E56">
            <w:pPr>
              <w:jc w:val="right"/>
              <w:rPr>
                <w:rFonts w:cs="Times New Roman"/>
                <w:color w:val="000000"/>
                <w:sz w:val="23"/>
                <w:szCs w:val="23"/>
              </w:rPr>
            </w:pPr>
          </w:p>
        </w:tc>
        <w:tc>
          <w:tcPr>
            <w:tcW w:w="503" w:type="pct"/>
            <w:tcBorders>
              <w:left w:val="single" w:sz="4" w:space="0" w:color="auto"/>
              <w:right w:val="double" w:sz="4" w:space="0" w:color="auto"/>
            </w:tcBorders>
            <w:shd w:val="clear" w:color="auto" w:fill="auto"/>
            <w:noWrap/>
            <w:vAlign w:val="center"/>
          </w:tcPr>
          <w:p w14:paraId="05628FCB" w14:textId="77777777" w:rsidR="00B00F0B" w:rsidRPr="00656A34" w:rsidRDefault="00B00F0B" w:rsidP="00456E56">
            <w:pPr>
              <w:jc w:val="right"/>
              <w:rPr>
                <w:rFonts w:cs="Times New Roman"/>
                <w:sz w:val="23"/>
                <w:szCs w:val="23"/>
              </w:rPr>
            </w:pPr>
          </w:p>
        </w:tc>
      </w:tr>
      <w:tr w:rsidR="00B00F0B" w:rsidRPr="00656A34" w14:paraId="0194EC27" w14:textId="77777777" w:rsidTr="00D76ED6">
        <w:trPr>
          <w:trHeight w:val="302"/>
        </w:trPr>
        <w:tc>
          <w:tcPr>
            <w:tcW w:w="2988" w:type="pct"/>
            <w:tcBorders>
              <w:right w:val="double" w:sz="4" w:space="0" w:color="auto"/>
            </w:tcBorders>
            <w:shd w:val="clear" w:color="auto" w:fill="auto"/>
            <w:noWrap/>
            <w:vAlign w:val="center"/>
            <w:hideMark/>
          </w:tcPr>
          <w:p w14:paraId="11CFE98B" w14:textId="77777777" w:rsidR="00B00F0B" w:rsidRPr="00656A34" w:rsidRDefault="00B00F0B" w:rsidP="00456E56">
            <w:pPr>
              <w:ind w:firstLineChars="100" w:firstLine="230"/>
              <w:rPr>
                <w:rFonts w:cs="Times New Roman"/>
                <w:color w:val="000000"/>
                <w:sz w:val="23"/>
                <w:szCs w:val="23"/>
              </w:rPr>
            </w:pPr>
            <w:r w:rsidRPr="00656A34">
              <w:rPr>
                <w:rFonts w:cs="Times New Roman"/>
                <w:color w:val="000000"/>
                <w:sz w:val="23"/>
                <w:szCs w:val="23"/>
              </w:rPr>
              <w:t xml:space="preserve">  75 years or older</w:t>
            </w:r>
          </w:p>
        </w:tc>
        <w:tc>
          <w:tcPr>
            <w:tcW w:w="503" w:type="pct"/>
            <w:tcBorders>
              <w:right w:val="single" w:sz="4" w:space="0" w:color="auto"/>
            </w:tcBorders>
            <w:vAlign w:val="center"/>
          </w:tcPr>
          <w:p w14:paraId="703F2E3E"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w:t>
            </w:r>
          </w:p>
        </w:tc>
        <w:tc>
          <w:tcPr>
            <w:tcW w:w="503" w:type="pct"/>
            <w:tcBorders>
              <w:left w:val="single" w:sz="4" w:space="0" w:color="auto"/>
              <w:right w:val="double" w:sz="4" w:space="0" w:color="auto"/>
            </w:tcBorders>
            <w:vAlign w:val="center"/>
          </w:tcPr>
          <w:p w14:paraId="42DDFBEE"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w:t>
            </w:r>
          </w:p>
        </w:tc>
        <w:tc>
          <w:tcPr>
            <w:tcW w:w="503" w:type="pct"/>
            <w:tcBorders>
              <w:left w:val="double" w:sz="4" w:space="0" w:color="auto"/>
              <w:right w:val="single" w:sz="4" w:space="0" w:color="auto"/>
            </w:tcBorders>
            <w:shd w:val="clear" w:color="auto" w:fill="auto"/>
            <w:noWrap/>
            <w:vAlign w:val="center"/>
          </w:tcPr>
          <w:p w14:paraId="5916B998"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-0.231</w:t>
            </w:r>
          </w:p>
        </w:tc>
        <w:tc>
          <w:tcPr>
            <w:tcW w:w="503" w:type="pct"/>
            <w:tcBorders>
              <w:left w:val="single" w:sz="4" w:space="0" w:color="auto"/>
              <w:right w:val="double" w:sz="4" w:space="0" w:color="auto"/>
            </w:tcBorders>
            <w:shd w:val="clear" w:color="auto" w:fill="auto"/>
            <w:noWrap/>
            <w:vAlign w:val="center"/>
          </w:tcPr>
          <w:p w14:paraId="57DAD7C8"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-2.750</w:t>
            </w:r>
          </w:p>
        </w:tc>
      </w:tr>
      <w:tr w:rsidR="00B00F0B" w:rsidRPr="00656A34" w14:paraId="2ABD3FC9" w14:textId="77777777" w:rsidTr="00D76ED6">
        <w:trPr>
          <w:trHeight w:val="302"/>
        </w:trPr>
        <w:tc>
          <w:tcPr>
            <w:tcW w:w="2988" w:type="pct"/>
            <w:tcBorders>
              <w:right w:val="double" w:sz="4" w:space="0" w:color="auto"/>
            </w:tcBorders>
            <w:shd w:val="clear" w:color="auto" w:fill="auto"/>
            <w:noWrap/>
            <w:vAlign w:val="center"/>
            <w:hideMark/>
          </w:tcPr>
          <w:p w14:paraId="49343523" w14:textId="77777777" w:rsidR="00B00F0B" w:rsidRPr="00656A34" w:rsidRDefault="00B00F0B" w:rsidP="00456E56">
            <w:pPr>
              <w:ind w:firstLineChars="100" w:firstLine="230"/>
              <w:rPr>
                <w:rFonts w:cs="Times New Roman"/>
                <w:color w:val="000000"/>
                <w:sz w:val="23"/>
                <w:szCs w:val="23"/>
              </w:rPr>
            </w:pPr>
            <w:r w:rsidRPr="00656A34">
              <w:rPr>
                <w:rFonts w:cs="Times New Roman"/>
                <w:color w:val="000000"/>
                <w:sz w:val="23"/>
                <w:szCs w:val="23"/>
              </w:rPr>
              <w:t xml:space="preserve">  80 years or older</w:t>
            </w:r>
          </w:p>
        </w:tc>
        <w:tc>
          <w:tcPr>
            <w:tcW w:w="503" w:type="pct"/>
            <w:tcBorders>
              <w:right w:val="single" w:sz="4" w:space="0" w:color="auto"/>
            </w:tcBorders>
            <w:vAlign w:val="center"/>
          </w:tcPr>
          <w:p w14:paraId="72E7568E"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0.475</w:t>
            </w:r>
          </w:p>
        </w:tc>
        <w:tc>
          <w:tcPr>
            <w:tcW w:w="503" w:type="pct"/>
            <w:tcBorders>
              <w:left w:val="single" w:sz="4" w:space="0" w:color="auto"/>
              <w:right w:val="double" w:sz="4" w:space="0" w:color="auto"/>
            </w:tcBorders>
            <w:vAlign w:val="center"/>
          </w:tcPr>
          <w:p w14:paraId="2FF07EE5"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2.312</w:t>
            </w:r>
          </w:p>
        </w:tc>
        <w:tc>
          <w:tcPr>
            <w:tcW w:w="503" w:type="pct"/>
            <w:tcBorders>
              <w:left w:val="double" w:sz="4" w:space="0" w:color="auto"/>
              <w:right w:val="single" w:sz="4" w:space="0" w:color="auto"/>
            </w:tcBorders>
            <w:shd w:val="clear" w:color="auto" w:fill="auto"/>
            <w:noWrap/>
            <w:vAlign w:val="center"/>
          </w:tcPr>
          <w:p w14:paraId="3840F407"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w:t>
            </w:r>
          </w:p>
        </w:tc>
        <w:tc>
          <w:tcPr>
            <w:tcW w:w="503" w:type="pct"/>
            <w:tcBorders>
              <w:left w:val="single" w:sz="4" w:space="0" w:color="auto"/>
              <w:right w:val="double" w:sz="4" w:space="0" w:color="auto"/>
            </w:tcBorders>
            <w:shd w:val="clear" w:color="auto" w:fill="auto"/>
            <w:noWrap/>
            <w:vAlign w:val="center"/>
          </w:tcPr>
          <w:p w14:paraId="2EDE8C68"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w:t>
            </w:r>
          </w:p>
        </w:tc>
      </w:tr>
      <w:tr w:rsidR="00B00F0B" w:rsidRPr="00656A34" w14:paraId="2C8D025F" w14:textId="77777777" w:rsidTr="00D76ED6">
        <w:trPr>
          <w:trHeight w:val="302"/>
        </w:trPr>
        <w:tc>
          <w:tcPr>
            <w:tcW w:w="2988" w:type="pct"/>
            <w:tcBorders>
              <w:right w:val="double" w:sz="4" w:space="0" w:color="auto"/>
            </w:tcBorders>
            <w:shd w:val="clear" w:color="auto" w:fill="auto"/>
            <w:noWrap/>
            <w:vAlign w:val="center"/>
          </w:tcPr>
          <w:p w14:paraId="3944B8DE" w14:textId="77777777" w:rsidR="00B00F0B" w:rsidRPr="00656A34" w:rsidRDefault="00B00F0B" w:rsidP="00456E56">
            <w:pPr>
              <w:rPr>
                <w:rFonts w:cs="Times New Roman"/>
                <w:color w:val="000000"/>
                <w:sz w:val="23"/>
                <w:szCs w:val="23"/>
              </w:rPr>
            </w:pPr>
            <w:r w:rsidRPr="00656A34">
              <w:rPr>
                <w:rFonts w:cs="Times New Roman"/>
                <w:color w:val="000000"/>
                <w:sz w:val="23"/>
                <w:szCs w:val="23"/>
              </w:rPr>
              <w:t>White Non-Hispanic</w:t>
            </w:r>
          </w:p>
        </w:tc>
        <w:tc>
          <w:tcPr>
            <w:tcW w:w="503" w:type="pct"/>
            <w:tcBorders>
              <w:right w:val="single" w:sz="4" w:space="0" w:color="auto"/>
            </w:tcBorders>
            <w:vAlign w:val="center"/>
          </w:tcPr>
          <w:p w14:paraId="1C74F4FE" w14:textId="77777777" w:rsidR="00B00F0B" w:rsidRPr="00656A34" w:rsidRDefault="00B00F0B" w:rsidP="00456E56">
            <w:pPr>
              <w:jc w:val="right"/>
              <w:rPr>
                <w:rFonts w:cs="Times New Roman"/>
                <w:sz w:val="23"/>
                <w:szCs w:val="23"/>
              </w:rPr>
            </w:pPr>
            <w:r w:rsidRPr="00656A34">
              <w:rPr>
                <w:rFonts w:cs="Times New Roman"/>
                <w:sz w:val="23"/>
                <w:szCs w:val="23"/>
              </w:rPr>
              <w:t>-0.736</w:t>
            </w:r>
          </w:p>
        </w:tc>
        <w:tc>
          <w:tcPr>
            <w:tcW w:w="503" w:type="pct"/>
            <w:tcBorders>
              <w:left w:val="single" w:sz="4" w:space="0" w:color="auto"/>
              <w:right w:val="double" w:sz="4" w:space="0" w:color="auto"/>
            </w:tcBorders>
            <w:vAlign w:val="center"/>
          </w:tcPr>
          <w:p w14:paraId="4DE76DAB" w14:textId="77777777" w:rsidR="00B00F0B" w:rsidRPr="00656A34" w:rsidRDefault="00B00F0B" w:rsidP="00456E56">
            <w:pPr>
              <w:jc w:val="right"/>
              <w:rPr>
                <w:rFonts w:cs="Times New Roman"/>
                <w:sz w:val="23"/>
                <w:szCs w:val="23"/>
              </w:rPr>
            </w:pPr>
            <w:r w:rsidRPr="00656A34">
              <w:rPr>
                <w:rFonts w:cs="Times New Roman"/>
                <w:sz w:val="23"/>
                <w:szCs w:val="23"/>
              </w:rPr>
              <w:t>-8.523</w:t>
            </w:r>
          </w:p>
        </w:tc>
        <w:tc>
          <w:tcPr>
            <w:tcW w:w="503" w:type="pct"/>
            <w:tcBorders>
              <w:left w:val="double" w:sz="4" w:space="0" w:color="auto"/>
              <w:right w:val="single" w:sz="4" w:space="0" w:color="auto"/>
            </w:tcBorders>
            <w:shd w:val="clear" w:color="auto" w:fill="auto"/>
            <w:noWrap/>
            <w:vAlign w:val="center"/>
          </w:tcPr>
          <w:p w14:paraId="42671835" w14:textId="77777777" w:rsidR="00B00F0B" w:rsidRPr="00656A34" w:rsidRDefault="00B00F0B" w:rsidP="00456E56">
            <w:pPr>
              <w:jc w:val="right"/>
              <w:rPr>
                <w:rFonts w:cs="Times New Roman"/>
                <w:sz w:val="23"/>
                <w:szCs w:val="23"/>
              </w:rPr>
            </w:pPr>
            <w:r w:rsidRPr="00656A34">
              <w:rPr>
                <w:rFonts w:cs="Times New Roman"/>
                <w:sz w:val="23"/>
                <w:szCs w:val="23"/>
              </w:rPr>
              <w:t>-</w:t>
            </w:r>
          </w:p>
        </w:tc>
        <w:tc>
          <w:tcPr>
            <w:tcW w:w="503" w:type="pct"/>
            <w:tcBorders>
              <w:left w:val="single" w:sz="4" w:space="0" w:color="auto"/>
              <w:right w:val="double" w:sz="4" w:space="0" w:color="auto"/>
            </w:tcBorders>
            <w:shd w:val="clear" w:color="auto" w:fill="auto"/>
            <w:noWrap/>
            <w:vAlign w:val="center"/>
          </w:tcPr>
          <w:p w14:paraId="08186FFD" w14:textId="77777777" w:rsidR="00B00F0B" w:rsidRPr="00656A34" w:rsidRDefault="00B00F0B" w:rsidP="00456E56">
            <w:pPr>
              <w:jc w:val="right"/>
              <w:rPr>
                <w:rFonts w:cs="Times New Roman"/>
                <w:sz w:val="23"/>
                <w:szCs w:val="23"/>
              </w:rPr>
            </w:pPr>
            <w:r w:rsidRPr="00656A34">
              <w:rPr>
                <w:rFonts w:cs="Times New Roman"/>
                <w:sz w:val="23"/>
                <w:szCs w:val="23"/>
              </w:rPr>
              <w:t>-</w:t>
            </w:r>
          </w:p>
        </w:tc>
      </w:tr>
      <w:tr w:rsidR="00B00F0B" w:rsidRPr="00656A34" w14:paraId="33CA1722" w14:textId="77777777" w:rsidTr="00D76ED6">
        <w:trPr>
          <w:trHeight w:val="302"/>
        </w:trPr>
        <w:tc>
          <w:tcPr>
            <w:tcW w:w="2988" w:type="pct"/>
            <w:tcBorders>
              <w:right w:val="double" w:sz="4" w:space="0" w:color="auto"/>
            </w:tcBorders>
            <w:shd w:val="clear" w:color="auto" w:fill="auto"/>
            <w:noWrap/>
            <w:vAlign w:val="center"/>
            <w:hideMark/>
          </w:tcPr>
          <w:p w14:paraId="38A0B899" w14:textId="77777777" w:rsidR="00B00F0B" w:rsidRPr="00656A34" w:rsidRDefault="00B00F0B" w:rsidP="00456E56">
            <w:pPr>
              <w:rPr>
                <w:rFonts w:cs="Times New Roman"/>
                <w:color w:val="000000"/>
                <w:sz w:val="23"/>
                <w:szCs w:val="23"/>
              </w:rPr>
            </w:pPr>
            <w:r w:rsidRPr="00656A34">
              <w:rPr>
                <w:rFonts w:cs="Times New Roman"/>
                <w:color w:val="000000"/>
                <w:sz w:val="23"/>
                <w:szCs w:val="23"/>
              </w:rPr>
              <w:t>House Owned</w:t>
            </w:r>
          </w:p>
        </w:tc>
        <w:tc>
          <w:tcPr>
            <w:tcW w:w="503" w:type="pct"/>
            <w:tcBorders>
              <w:right w:val="single" w:sz="4" w:space="0" w:color="auto"/>
            </w:tcBorders>
            <w:vAlign w:val="center"/>
          </w:tcPr>
          <w:p w14:paraId="08D6A75E"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-0.353</w:t>
            </w:r>
          </w:p>
        </w:tc>
        <w:tc>
          <w:tcPr>
            <w:tcW w:w="503" w:type="pct"/>
            <w:tcBorders>
              <w:left w:val="single" w:sz="4" w:space="0" w:color="auto"/>
              <w:right w:val="double" w:sz="4" w:space="0" w:color="auto"/>
            </w:tcBorders>
            <w:vAlign w:val="center"/>
          </w:tcPr>
          <w:p w14:paraId="2DDF7633"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-2.953</w:t>
            </w:r>
          </w:p>
        </w:tc>
        <w:tc>
          <w:tcPr>
            <w:tcW w:w="503" w:type="pct"/>
            <w:tcBorders>
              <w:left w:val="double" w:sz="4" w:space="0" w:color="auto"/>
              <w:right w:val="single" w:sz="4" w:space="0" w:color="auto"/>
            </w:tcBorders>
            <w:shd w:val="clear" w:color="auto" w:fill="auto"/>
            <w:noWrap/>
            <w:vAlign w:val="center"/>
          </w:tcPr>
          <w:p w14:paraId="70C64D14" w14:textId="77777777" w:rsidR="00B00F0B" w:rsidRPr="00656A34" w:rsidRDefault="00B00F0B" w:rsidP="00456E56">
            <w:pPr>
              <w:jc w:val="right"/>
              <w:rPr>
                <w:rFonts w:cs="Times New Roman"/>
                <w:i/>
                <w:iCs/>
                <w:color w:val="000000"/>
                <w:sz w:val="23"/>
                <w:szCs w:val="23"/>
              </w:rPr>
            </w:pPr>
            <w:r w:rsidRPr="00656A34">
              <w:rPr>
                <w:rFonts w:cs="Times New Roman"/>
                <w:i/>
                <w:iCs/>
                <w:color w:val="000000"/>
                <w:sz w:val="23"/>
                <w:szCs w:val="23"/>
              </w:rPr>
              <w:t>-</w:t>
            </w:r>
          </w:p>
        </w:tc>
        <w:tc>
          <w:tcPr>
            <w:tcW w:w="503" w:type="pct"/>
            <w:tcBorders>
              <w:left w:val="single" w:sz="4" w:space="0" w:color="auto"/>
              <w:right w:val="double" w:sz="4" w:space="0" w:color="auto"/>
            </w:tcBorders>
            <w:shd w:val="clear" w:color="auto" w:fill="auto"/>
            <w:noWrap/>
            <w:vAlign w:val="center"/>
          </w:tcPr>
          <w:p w14:paraId="0287EE35" w14:textId="77777777" w:rsidR="00B00F0B" w:rsidRPr="00656A34" w:rsidRDefault="00B00F0B" w:rsidP="00456E56">
            <w:pPr>
              <w:jc w:val="right"/>
              <w:rPr>
                <w:rFonts w:cs="Times New Roman"/>
                <w:sz w:val="23"/>
                <w:szCs w:val="23"/>
              </w:rPr>
            </w:pPr>
            <w:r w:rsidRPr="00656A34">
              <w:rPr>
                <w:rFonts w:cs="Times New Roman"/>
                <w:sz w:val="23"/>
                <w:szCs w:val="23"/>
              </w:rPr>
              <w:t>-</w:t>
            </w:r>
          </w:p>
        </w:tc>
      </w:tr>
      <w:tr w:rsidR="00B00F0B" w:rsidRPr="00656A34" w14:paraId="36729331" w14:textId="77777777" w:rsidTr="00D76ED6">
        <w:trPr>
          <w:trHeight w:val="302"/>
        </w:trPr>
        <w:tc>
          <w:tcPr>
            <w:tcW w:w="2988" w:type="pct"/>
            <w:tcBorders>
              <w:right w:val="double" w:sz="4" w:space="0" w:color="auto"/>
            </w:tcBorders>
            <w:shd w:val="clear" w:color="auto" w:fill="auto"/>
            <w:noWrap/>
            <w:vAlign w:val="center"/>
            <w:hideMark/>
          </w:tcPr>
          <w:p w14:paraId="6AE64FD0" w14:textId="77777777" w:rsidR="00B00F0B" w:rsidRPr="00656A34" w:rsidRDefault="00B00F0B" w:rsidP="00456E56">
            <w:pPr>
              <w:rPr>
                <w:rFonts w:cs="Times New Roman"/>
                <w:color w:val="000000"/>
                <w:sz w:val="23"/>
                <w:szCs w:val="23"/>
              </w:rPr>
            </w:pPr>
            <w:r w:rsidRPr="00656A34">
              <w:rPr>
                <w:rFonts w:cs="Times New Roman"/>
                <w:color w:val="000000"/>
                <w:sz w:val="23"/>
                <w:szCs w:val="23"/>
              </w:rPr>
              <w:t>Apartment Dwelling</w:t>
            </w:r>
          </w:p>
        </w:tc>
        <w:tc>
          <w:tcPr>
            <w:tcW w:w="503" w:type="pct"/>
            <w:tcBorders>
              <w:right w:val="single" w:sz="4" w:space="0" w:color="auto"/>
            </w:tcBorders>
            <w:vAlign w:val="center"/>
          </w:tcPr>
          <w:p w14:paraId="2090D4F4"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0.523</w:t>
            </w:r>
          </w:p>
        </w:tc>
        <w:tc>
          <w:tcPr>
            <w:tcW w:w="503" w:type="pct"/>
            <w:tcBorders>
              <w:left w:val="single" w:sz="4" w:space="0" w:color="auto"/>
              <w:right w:val="double" w:sz="4" w:space="0" w:color="auto"/>
            </w:tcBorders>
            <w:vAlign w:val="center"/>
          </w:tcPr>
          <w:p w14:paraId="6F4647D0"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3.390</w:t>
            </w:r>
          </w:p>
        </w:tc>
        <w:tc>
          <w:tcPr>
            <w:tcW w:w="503" w:type="pct"/>
            <w:tcBorders>
              <w:left w:val="double" w:sz="4" w:space="0" w:color="auto"/>
              <w:right w:val="single" w:sz="4" w:space="0" w:color="auto"/>
            </w:tcBorders>
            <w:shd w:val="clear" w:color="auto" w:fill="auto"/>
            <w:noWrap/>
            <w:vAlign w:val="center"/>
          </w:tcPr>
          <w:p w14:paraId="763DF916"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w:t>
            </w:r>
          </w:p>
        </w:tc>
        <w:tc>
          <w:tcPr>
            <w:tcW w:w="503" w:type="pct"/>
            <w:tcBorders>
              <w:left w:val="single" w:sz="4" w:space="0" w:color="auto"/>
              <w:right w:val="double" w:sz="4" w:space="0" w:color="auto"/>
            </w:tcBorders>
            <w:shd w:val="clear" w:color="auto" w:fill="auto"/>
            <w:noWrap/>
            <w:vAlign w:val="center"/>
          </w:tcPr>
          <w:p w14:paraId="4289AB04"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w:t>
            </w:r>
          </w:p>
        </w:tc>
      </w:tr>
      <w:tr w:rsidR="00B00F0B" w:rsidRPr="00656A34" w14:paraId="1DD04393" w14:textId="77777777" w:rsidTr="00D76ED6">
        <w:trPr>
          <w:trHeight w:val="302"/>
        </w:trPr>
        <w:tc>
          <w:tcPr>
            <w:tcW w:w="2988" w:type="pct"/>
            <w:tcBorders>
              <w:right w:val="double" w:sz="4" w:space="0" w:color="auto"/>
            </w:tcBorders>
            <w:shd w:val="clear" w:color="auto" w:fill="auto"/>
            <w:noWrap/>
            <w:vAlign w:val="center"/>
          </w:tcPr>
          <w:p w14:paraId="6485975D" w14:textId="77777777" w:rsidR="00B00F0B" w:rsidRPr="00656A34" w:rsidRDefault="00B00F0B" w:rsidP="00456E56">
            <w:pPr>
              <w:rPr>
                <w:rFonts w:cs="Times New Roman"/>
                <w:color w:val="000000"/>
                <w:sz w:val="23"/>
                <w:szCs w:val="23"/>
              </w:rPr>
            </w:pPr>
            <w:r w:rsidRPr="00656A34">
              <w:rPr>
                <w:rFonts w:cs="Times New Roman"/>
                <w:color w:val="000000"/>
                <w:sz w:val="23"/>
                <w:szCs w:val="23"/>
              </w:rPr>
              <w:t>Unemployed and Disabled</w:t>
            </w:r>
          </w:p>
        </w:tc>
        <w:tc>
          <w:tcPr>
            <w:tcW w:w="503" w:type="pct"/>
            <w:tcBorders>
              <w:right w:val="single" w:sz="4" w:space="0" w:color="auto"/>
            </w:tcBorders>
            <w:vAlign w:val="center"/>
          </w:tcPr>
          <w:p w14:paraId="740CBF72"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w:t>
            </w:r>
          </w:p>
        </w:tc>
        <w:tc>
          <w:tcPr>
            <w:tcW w:w="503" w:type="pct"/>
            <w:tcBorders>
              <w:left w:val="single" w:sz="4" w:space="0" w:color="auto"/>
              <w:right w:val="double" w:sz="4" w:space="0" w:color="auto"/>
            </w:tcBorders>
            <w:vAlign w:val="center"/>
          </w:tcPr>
          <w:p w14:paraId="28197180"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w:t>
            </w:r>
          </w:p>
        </w:tc>
        <w:tc>
          <w:tcPr>
            <w:tcW w:w="503" w:type="pct"/>
            <w:tcBorders>
              <w:left w:val="double" w:sz="4" w:space="0" w:color="auto"/>
              <w:right w:val="single" w:sz="4" w:space="0" w:color="auto"/>
            </w:tcBorders>
            <w:shd w:val="clear" w:color="auto" w:fill="auto"/>
            <w:noWrap/>
            <w:vAlign w:val="center"/>
          </w:tcPr>
          <w:p w14:paraId="7324035A"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-0.397</w:t>
            </w:r>
          </w:p>
        </w:tc>
        <w:tc>
          <w:tcPr>
            <w:tcW w:w="503" w:type="pct"/>
            <w:tcBorders>
              <w:left w:val="single" w:sz="4" w:space="0" w:color="auto"/>
              <w:right w:val="double" w:sz="4" w:space="0" w:color="auto"/>
            </w:tcBorders>
            <w:shd w:val="clear" w:color="auto" w:fill="auto"/>
            <w:noWrap/>
            <w:vAlign w:val="center"/>
          </w:tcPr>
          <w:p w14:paraId="47A19B51"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-3.789</w:t>
            </w:r>
          </w:p>
        </w:tc>
      </w:tr>
      <w:tr w:rsidR="00B00F0B" w:rsidRPr="00656A34" w14:paraId="5D0EA8F8" w14:textId="77777777" w:rsidTr="00D76ED6">
        <w:trPr>
          <w:trHeight w:val="302"/>
        </w:trPr>
        <w:tc>
          <w:tcPr>
            <w:tcW w:w="2988" w:type="pct"/>
            <w:tcBorders>
              <w:right w:val="double" w:sz="4" w:space="0" w:color="auto"/>
            </w:tcBorders>
            <w:shd w:val="clear" w:color="auto" w:fill="auto"/>
            <w:noWrap/>
            <w:vAlign w:val="center"/>
          </w:tcPr>
          <w:p w14:paraId="59BD2D60" w14:textId="77777777" w:rsidR="00B00F0B" w:rsidRPr="00656A34" w:rsidRDefault="00B00F0B" w:rsidP="00456E56">
            <w:pPr>
              <w:rPr>
                <w:rFonts w:cs="Times New Roman"/>
                <w:color w:val="000000"/>
                <w:sz w:val="23"/>
                <w:szCs w:val="23"/>
              </w:rPr>
            </w:pPr>
            <w:r w:rsidRPr="00656A34">
              <w:rPr>
                <w:rFonts w:cs="Times New Roman"/>
                <w:color w:val="000000"/>
                <w:sz w:val="23"/>
                <w:szCs w:val="23"/>
              </w:rPr>
              <w:t>Unemployed and Retired</w:t>
            </w:r>
          </w:p>
        </w:tc>
        <w:tc>
          <w:tcPr>
            <w:tcW w:w="503" w:type="pct"/>
            <w:tcBorders>
              <w:right w:val="single" w:sz="4" w:space="0" w:color="auto"/>
            </w:tcBorders>
            <w:vAlign w:val="center"/>
          </w:tcPr>
          <w:p w14:paraId="4982A6F3"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w:t>
            </w:r>
          </w:p>
        </w:tc>
        <w:tc>
          <w:tcPr>
            <w:tcW w:w="503" w:type="pct"/>
            <w:tcBorders>
              <w:left w:val="single" w:sz="4" w:space="0" w:color="auto"/>
              <w:right w:val="double" w:sz="4" w:space="0" w:color="auto"/>
            </w:tcBorders>
            <w:vAlign w:val="center"/>
          </w:tcPr>
          <w:p w14:paraId="344B8169"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w:t>
            </w:r>
          </w:p>
        </w:tc>
        <w:tc>
          <w:tcPr>
            <w:tcW w:w="503" w:type="pct"/>
            <w:tcBorders>
              <w:left w:val="double" w:sz="4" w:space="0" w:color="auto"/>
              <w:right w:val="single" w:sz="4" w:space="0" w:color="auto"/>
            </w:tcBorders>
            <w:shd w:val="clear" w:color="auto" w:fill="auto"/>
            <w:noWrap/>
            <w:vAlign w:val="center"/>
          </w:tcPr>
          <w:p w14:paraId="4FB05769"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-0.124</w:t>
            </w:r>
          </w:p>
        </w:tc>
        <w:tc>
          <w:tcPr>
            <w:tcW w:w="503" w:type="pct"/>
            <w:tcBorders>
              <w:left w:val="single" w:sz="4" w:space="0" w:color="auto"/>
              <w:right w:val="double" w:sz="4" w:space="0" w:color="auto"/>
            </w:tcBorders>
            <w:shd w:val="clear" w:color="auto" w:fill="auto"/>
            <w:noWrap/>
            <w:vAlign w:val="center"/>
          </w:tcPr>
          <w:p w14:paraId="3B162ED0"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-2.258</w:t>
            </w:r>
          </w:p>
        </w:tc>
      </w:tr>
      <w:tr w:rsidR="00B00F0B" w:rsidRPr="00656A34" w14:paraId="65195F4E" w14:textId="77777777" w:rsidTr="00D76ED6">
        <w:trPr>
          <w:trHeight w:val="302"/>
        </w:trPr>
        <w:tc>
          <w:tcPr>
            <w:tcW w:w="2988" w:type="pct"/>
            <w:tcBorders>
              <w:right w:val="double" w:sz="4" w:space="0" w:color="auto"/>
            </w:tcBorders>
            <w:shd w:val="clear" w:color="auto" w:fill="auto"/>
            <w:noWrap/>
            <w:vAlign w:val="center"/>
          </w:tcPr>
          <w:p w14:paraId="16750FE8" w14:textId="77777777" w:rsidR="00B00F0B" w:rsidRPr="00656A34" w:rsidRDefault="00B00F0B" w:rsidP="00456E56">
            <w:pPr>
              <w:rPr>
                <w:rFonts w:cs="Times New Roman"/>
                <w:color w:val="000000"/>
                <w:sz w:val="23"/>
                <w:szCs w:val="23"/>
              </w:rPr>
            </w:pPr>
            <w:r w:rsidRPr="00656A34">
              <w:rPr>
                <w:rFonts w:cs="Times New Roman"/>
                <w:color w:val="000000"/>
                <w:sz w:val="23"/>
                <w:szCs w:val="23"/>
              </w:rPr>
              <w:t>Geographic Residence Region</w:t>
            </w:r>
          </w:p>
        </w:tc>
        <w:tc>
          <w:tcPr>
            <w:tcW w:w="503" w:type="pct"/>
            <w:tcBorders>
              <w:right w:val="single" w:sz="4" w:space="0" w:color="auto"/>
            </w:tcBorders>
            <w:vAlign w:val="center"/>
          </w:tcPr>
          <w:p w14:paraId="23EFFAA5" w14:textId="77777777" w:rsidR="00B00F0B" w:rsidRPr="00656A34" w:rsidRDefault="00B00F0B" w:rsidP="00456E56">
            <w:pPr>
              <w:jc w:val="right"/>
              <w:rPr>
                <w:rFonts w:cs="Times New Roman"/>
                <w:color w:val="000000"/>
                <w:sz w:val="23"/>
                <w:szCs w:val="23"/>
              </w:rPr>
            </w:pPr>
          </w:p>
        </w:tc>
        <w:tc>
          <w:tcPr>
            <w:tcW w:w="503" w:type="pct"/>
            <w:tcBorders>
              <w:left w:val="single" w:sz="4" w:space="0" w:color="auto"/>
              <w:right w:val="double" w:sz="4" w:space="0" w:color="auto"/>
            </w:tcBorders>
            <w:vAlign w:val="center"/>
          </w:tcPr>
          <w:p w14:paraId="486F4ABB" w14:textId="77777777" w:rsidR="00B00F0B" w:rsidRPr="00656A34" w:rsidRDefault="00B00F0B" w:rsidP="00456E56">
            <w:pPr>
              <w:jc w:val="right"/>
              <w:rPr>
                <w:rFonts w:cs="Times New Roman"/>
                <w:color w:val="000000"/>
                <w:sz w:val="23"/>
                <w:szCs w:val="23"/>
              </w:rPr>
            </w:pPr>
          </w:p>
        </w:tc>
        <w:tc>
          <w:tcPr>
            <w:tcW w:w="503" w:type="pct"/>
            <w:tcBorders>
              <w:left w:val="double" w:sz="4" w:space="0" w:color="auto"/>
              <w:right w:val="single" w:sz="4" w:space="0" w:color="auto"/>
            </w:tcBorders>
            <w:shd w:val="clear" w:color="auto" w:fill="auto"/>
            <w:noWrap/>
            <w:vAlign w:val="center"/>
          </w:tcPr>
          <w:p w14:paraId="7092CA03" w14:textId="77777777" w:rsidR="00B00F0B" w:rsidRPr="00656A34" w:rsidRDefault="00B00F0B" w:rsidP="00456E56">
            <w:pPr>
              <w:jc w:val="right"/>
              <w:rPr>
                <w:rFonts w:cs="Times New Roman"/>
                <w:color w:val="000000"/>
                <w:sz w:val="23"/>
                <w:szCs w:val="23"/>
              </w:rPr>
            </w:pPr>
          </w:p>
        </w:tc>
        <w:tc>
          <w:tcPr>
            <w:tcW w:w="503" w:type="pct"/>
            <w:tcBorders>
              <w:left w:val="single" w:sz="4" w:space="0" w:color="auto"/>
              <w:right w:val="double" w:sz="4" w:space="0" w:color="auto"/>
            </w:tcBorders>
            <w:shd w:val="clear" w:color="auto" w:fill="auto"/>
            <w:noWrap/>
            <w:vAlign w:val="center"/>
          </w:tcPr>
          <w:p w14:paraId="4A5CCC60" w14:textId="77777777" w:rsidR="00B00F0B" w:rsidRPr="00656A34" w:rsidRDefault="00B00F0B" w:rsidP="00456E56">
            <w:pPr>
              <w:jc w:val="right"/>
              <w:rPr>
                <w:rFonts w:cs="Times New Roman"/>
                <w:color w:val="000000"/>
                <w:sz w:val="23"/>
                <w:szCs w:val="23"/>
              </w:rPr>
            </w:pPr>
          </w:p>
        </w:tc>
      </w:tr>
      <w:tr w:rsidR="00B00F0B" w:rsidRPr="00656A34" w14:paraId="5D994F94" w14:textId="77777777" w:rsidTr="00D76ED6">
        <w:trPr>
          <w:trHeight w:val="302"/>
        </w:trPr>
        <w:tc>
          <w:tcPr>
            <w:tcW w:w="2988" w:type="pct"/>
            <w:tcBorders>
              <w:right w:val="double" w:sz="4" w:space="0" w:color="auto"/>
            </w:tcBorders>
            <w:shd w:val="clear" w:color="auto" w:fill="auto"/>
            <w:noWrap/>
            <w:vAlign w:val="center"/>
          </w:tcPr>
          <w:p w14:paraId="196A2AC6" w14:textId="77777777" w:rsidR="00B00F0B" w:rsidRPr="00656A34" w:rsidRDefault="00B00F0B" w:rsidP="00456E56">
            <w:pPr>
              <w:ind w:left="330"/>
              <w:rPr>
                <w:rFonts w:cs="Times New Roman"/>
                <w:color w:val="000000"/>
                <w:sz w:val="23"/>
                <w:szCs w:val="23"/>
              </w:rPr>
            </w:pPr>
            <w:r w:rsidRPr="00656A34">
              <w:rPr>
                <w:rFonts w:cs="Times New Roman"/>
                <w:color w:val="000000"/>
                <w:sz w:val="23"/>
                <w:szCs w:val="23"/>
              </w:rPr>
              <w:t>South and Midwest</w:t>
            </w:r>
          </w:p>
        </w:tc>
        <w:tc>
          <w:tcPr>
            <w:tcW w:w="503" w:type="pct"/>
            <w:tcBorders>
              <w:right w:val="single" w:sz="4" w:space="0" w:color="auto"/>
            </w:tcBorders>
            <w:vAlign w:val="center"/>
          </w:tcPr>
          <w:p w14:paraId="18F7B5F0"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-0.358</w:t>
            </w:r>
          </w:p>
        </w:tc>
        <w:tc>
          <w:tcPr>
            <w:tcW w:w="503" w:type="pct"/>
            <w:tcBorders>
              <w:left w:val="single" w:sz="4" w:space="0" w:color="auto"/>
              <w:right w:val="double" w:sz="4" w:space="0" w:color="auto"/>
            </w:tcBorders>
            <w:vAlign w:val="center"/>
          </w:tcPr>
          <w:p w14:paraId="720B8104"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-3.942</w:t>
            </w:r>
          </w:p>
        </w:tc>
        <w:tc>
          <w:tcPr>
            <w:tcW w:w="503" w:type="pct"/>
            <w:tcBorders>
              <w:left w:val="double" w:sz="4" w:space="0" w:color="auto"/>
              <w:right w:val="single" w:sz="4" w:space="0" w:color="auto"/>
            </w:tcBorders>
            <w:shd w:val="clear" w:color="auto" w:fill="auto"/>
            <w:noWrap/>
            <w:vAlign w:val="center"/>
          </w:tcPr>
          <w:p w14:paraId="3E616592"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w:t>
            </w:r>
          </w:p>
        </w:tc>
        <w:tc>
          <w:tcPr>
            <w:tcW w:w="503" w:type="pct"/>
            <w:tcBorders>
              <w:left w:val="single" w:sz="4" w:space="0" w:color="auto"/>
              <w:right w:val="double" w:sz="4" w:space="0" w:color="auto"/>
            </w:tcBorders>
            <w:shd w:val="clear" w:color="auto" w:fill="auto"/>
            <w:noWrap/>
            <w:vAlign w:val="center"/>
          </w:tcPr>
          <w:p w14:paraId="39827A44" w14:textId="77777777" w:rsidR="00B00F0B" w:rsidRPr="00656A34" w:rsidRDefault="00B00F0B" w:rsidP="00456E56">
            <w:pPr>
              <w:jc w:val="right"/>
              <w:rPr>
                <w:rFonts w:cs="Times New Roman"/>
                <w:sz w:val="23"/>
                <w:szCs w:val="23"/>
              </w:rPr>
            </w:pPr>
            <w:r w:rsidRPr="00656A34">
              <w:rPr>
                <w:rFonts w:cs="Times New Roman"/>
                <w:sz w:val="23"/>
                <w:szCs w:val="23"/>
              </w:rPr>
              <w:t>-</w:t>
            </w:r>
          </w:p>
        </w:tc>
      </w:tr>
      <w:tr w:rsidR="00B00F0B" w:rsidRPr="00656A34" w14:paraId="162F271A" w14:textId="77777777" w:rsidTr="00D76ED6">
        <w:trPr>
          <w:trHeight w:val="302"/>
        </w:trPr>
        <w:tc>
          <w:tcPr>
            <w:tcW w:w="2988" w:type="pct"/>
            <w:tcBorders>
              <w:right w:val="double" w:sz="4" w:space="0" w:color="auto"/>
            </w:tcBorders>
            <w:shd w:val="clear" w:color="auto" w:fill="auto"/>
            <w:noWrap/>
            <w:vAlign w:val="center"/>
            <w:hideMark/>
          </w:tcPr>
          <w:p w14:paraId="5D8EC88A" w14:textId="77777777" w:rsidR="00B00F0B" w:rsidRPr="00656A34" w:rsidRDefault="00B00F0B" w:rsidP="00456E56">
            <w:pPr>
              <w:ind w:left="330"/>
              <w:rPr>
                <w:rFonts w:cs="Times New Roman"/>
                <w:color w:val="000000"/>
                <w:sz w:val="23"/>
                <w:szCs w:val="23"/>
              </w:rPr>
            </w:pPr>
            <w:r w:rsidRPr="00656A34">
              <w:rPr>
                <w:rFonts w:cs="Times New Roman"/>
                <w:color w:val="000000"/>
                <w:sz w:val="23"/>
                <w:szCs w:val="23"/>
              </w:rPr>
              <w:t>West</w:t>
            </w:r>
          </w:p>
        </w:tc>
        <w:tc>
          <w:tcPr>
            <w:tcW w:w="503" w:type="pct"/>
            <w:tcBorders>
              <w:right w:val="single" w:sz="4" w:space="0" w:color="auto"/>
            </w:tcBorders>
            <w:vAlign w:val="center"/>
          </w:tcPr>
          <w:p w14:paraId="49B045ED"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w:t>
            </w:r>
          </w:p>
        </w:tc>
        <w:tc>
          <w:tcPr>
            <w:tcW w:w="503" w:type="pct"/>
            <w:tcBorders>
              <w:left w:val="single" w:sz="4" w:space="0" w:color="auto"/>
              <w:right w:val="double" w:sz="4" w:space="0" w:color="auto"/>
            </w:tcBorders>
            <w:vAlign w:val="center"/>
          </w:tcPr>
          <w:p w14:paraId="0A776F3D"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w:t>
            </w:r>
          </w:p>
        </w:tc>
        <w:tc>
          <w:tcPr>
            <w:tcW w:w="503" w:type="pct"/>
            <w:tcBorders>
              <w:left w:val="double" w:sz="4" w:space="0" w:color="auto"/>
              <w:right w:val="single" w:sz="4" w:space="0" w:color="auto"/>
            </w:tcBorders>
            <w:shd w:val="clear" w:color="auto" w:fill="auto"/>
            <w:noWrap/>
            <w:vAlign w:val="center"/>
          </w:tcPr>
          <w:p w14:paraId="22F33E58"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0.181</w:t>
            </w:r>
          </w:p>
        </w:tc>
        <w:tc>
          <w:tcPr>
            <w:tcW w:w="503" w:type="pct"/>
            <w:tcBorders>
              <w:left w:val="single" w:sz="4" w:space="0" w:color="auto"/>
              <w:right w:val="double" w:sz="4" w:space="0" w:color="auto"/>
            </w:tcBorders>
            <w:shd w:val="clear" w:color="auto" w:fill="auto"/>
            <w:noWrap/>
            <w:vAlign w:val="center"/>
          </w:tcPr>
          <w:p w14:paraId="68AB7EDF"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3.090</w:t>
            </w:r>
          </w:p>
        </w:tc>
      </w:tr>
      <w:tr w:rsidR="00B00F0B" w:rsidRPr="00656A34" w14:paraId="0AA2DE4E" w14:textId="77777777" w:rsidTr="00D76ED6">
        <w:trPr>
          <w:trHeight w:val="302"/>
        </w:trPr>
        <w:tc>
          <w:tcPr>
            <w:tcW w:w="2988" w:type="pct"/>
            <w:tcBorders>
              <w:top w:val="double" w:sz="4" w:space="0" w:color="auto"/>
              <w:bottom w:val="single" w:sz="4" w:space="0" w:color="auto"/>
              <w:right w:val="double" w:sz="4" w:space="0" w:color="auto"/>
            </w:tcBorders>
            <w:shd w:val="clear" w:color="auto" w:fill="auto"/>
            <w:noWrap/>
            <w:vAlign w:val="center"/>
            <w:hideMark/>
          </w:tcPr>
          <w:p w14:paraId="29FBCE1D" w14:textId="77777777" w:rsidR="00B00F0B" w:rsidRPr="00656A34" w:rsidRDefault="00B00F0B" w:rsidP="00456E56">
            <w:pPr>
              <w:rPr>
                <w:rFonts w:cs="Times New Roman"/>
                <w:color w:val="000000"/>
                <w:sz w:val="23"/>
                <w:szCs w:val="23"/>
              </w:rPr>
            </w:pPr>
            <w:r w:rsidRPr="00656A34">
              <w:rPr>
                <w:rFonts w:cs="Times New Roman"/>
                <w:color w:val="000000"/>
                <w:sz w:val="23"/>
                <w:szCs w:val="23"/>
              </w:rPr>
              <w:t>Correlation between the Normally Transformed Underlying Propensities between Urban Residence and Walking Frequency Error Terms</w:t>
            </w:r>
          </w:p>
        </w:tc>
        <w:tc>
          <w:tcPr>
            <w:tcW w:w="2012" w:type="pct"/>
            <w:gridSpan w:val="4"/>
            <w:tcBorders>
              <w:top w:val="double" w:sz="4" w:space="0" w:color="auto"/>
              <w:bottom w:val="single" w:sz="4" w:space="0" w:color="auto"/>
              <w:right w:val="double" w:sz="4" w:space="0" w:color="auto"/>
            </w:tcBorders>
            <w:vAlign w:val="center"/>
          </w:tcPr>
          <w:p w14:paraId="3C1EF4D2" w14:textId="77777777" w:rsidR="00B00F0B" w:rsidRPr="00656A34" w:rsidRDefault="00B00F0B" w:rsidP="00456E56">
            <w:pPr>
              <w:jc w:val="center"/>
              <w:rPr>
                <w:rFonts w:cs="Times New Roman"/>
                <w:color w:val="000000"/>
                <w:sz w:val="23"/>
                <w:szCs w:val="23"/>
              </w:rPr>
            </w:pPr>
            <w:r w:rsidRPr="00656A34">
              <w:rPr>
                <w:rFonts w:cs="Times New Roman"/>
                <w:color w:val="000000"/>
                <w:sz w:val="23"/>
                <w:szCs w:val="23"/>
              </w:rPr>
              <w:t>-0.257 (t-statistic -2.687)</w:t>
            </w:r>
          </w:p>
        </w:tc>
      </w:tr>
      <w:tr w:rsidR="00B00F0B" w:rsidRPr="00656A34" w14:paraId="65163059" w14:textId="77777777" w:rsidTr="00D76ED6">
        <w:trPr>
          <w:trHeight w:val="302"/>
        </w:trPr>
        <w:tc>
          <w:tcPr>
            <w:tcW w:w="2988" w:type="pct"/>
            <w:tcBorders>
              <w:top w:val="single" w:sz="4" w:space="0" w:color="auto"/>
              <w:bottom w:val="single" w:sz="4" w:space="0" w:color="auto"/>
              <w:right w:val="double" w:sz="4" w:space="0" w:color="auto"/>
            </w:tcBorders>
            <w:shd w:val="clear" w:color="auto" w:fill="auto"/>
            <w:noWrap/>
            <w:vAlign w:val="center"/>
            <w:hideMark/>
          </w:tcPr>
          <w:p w14:paraId="25370ACA" w14:textId="77777777" w:rsidR="00B00F0B" w:rsidRPr="00656A34" w:rsidRDefault="00B00F0B" w:rsidP="00456E56">
            <w:pPr>
              <w:rPr>
                <w:rFonts w:cs="Times New Roman"/>
                <w:color w:val="000000"/>
                <w:sz w:val="23"/>
                <w:szCs w:val="23"/>
              </w:rPr>
            </w:pPr>
            <w:r w:rsidRPr="00656A34">
              <w:rPr>
                <w:rFonts w:cs="Times New Roman"/>
                <w:color w:val="000000"/>
                <w:sz w:val="23"/>
                <w:szCs w:val="23"/>
              </w:rPr>
              <w:t>“True” Causal Effect of Urban Neighborhood Living</w:t>
            </w:r>
          </w:p>
        </w:tc>
        <w:tc>
          <w:tcPr>
            <w:tcW w:w="503" w:type="pct"/>
            <w:tcBorders>
              <w:top w:val="single" w:sz="4" w:space="0" w:color="auto"/>
              <w:bottom w:val="single" w:sz="4" w:space="0" w:color="auto"/>
              <w:right w:val="single" w:sz="4" w:space="0" w:color="auto"/>
            </w:tcBorders>
            <w:vAlign w:val="center"/>
          </w:tcPr>
          <w:p w14:paraId="4BA5A08D"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NA</w:t>
            </w:r>
          </w:p>
        </w:tc>
        <w:tc>
          <w:tcPr>
            <w:tcW w:w="503" w:type="pct"/>
            <w:tcBorders>
              <w:top w:val="single" w:sz="4" w:space="0" w:color="auto"/>
              <w:left w:val="single" w:sz="4" w:space="0" w:color="auto"/>
              <w:bottom w:val="single" w:sz="4" w:space="0" w:color="auto"/>
              <w:right w:val="double" w:sz="4" w:space="0" w:color="auto"/>
            </w:tcBorders>
            <w:vAlign w:val="center"/>
          </w:tcPr>
          <w:p w14:paraId="2C0D31C4"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NA</w:t>
            </w:r>
          </w:p>
        </w:tc>
        <w:tc>
          <w:tcPr>
            <w:tcW w:w="503" w:type="pct"/>
            <w:tcBorders>
              <w:top w:val="single" w:sz="4" w:space="0" w:color="auto"/>
              <w:left w:val="double" w:sz="4" w:space="0" w:color="auto"/>
              <w:bottom w:val="single" w:sz="4" w:space="0" w:color="auto"/>
              <w:right w:val="single" w:sz="4" w:space="0" w:color="auto"/>
            </w:tcBorders>
            <w:shd w:val="clear" w:color="auto" w:fill="auto"/>
            <w:noWrap/>
            <w:vAlign w:val="center"/>
          </w:tcPr>
          <w:p w14:paraId="113AFF4D"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0.467</w:t>
            </w:r>
          </w:p>
        </w:tc>
        <w:tc>
          <w:tcPr>
            <w:tcW w:w="503" w:type="pct"/>
            <w:tcBorders>
              <w:top w:val="single" w:sz="4" w:space="0" w:color="auto"/>
              <w:left w:val="single" w:sz="4" w:space="0" w:color="auto"/>
              <w:bottom w:val="single" w:sz="4" w:space="0" w:color="auto"/>
              <w:right w:val="double" w:sz="4" w:space="0" w:color="auto"/>
            </w:tcBorders>
            <w:shd w:val="clear" w:color="auto" w:fill="auto"/>
            <w:noWrap/>
            <w:vAlign w:val="center"/>
          </w:tcPr>
          <w:p w14:paraId="1F60F14F"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2.540</w:t>
            </w:r>
          </w:p>
        </w:tc>
      </w:tr>
      <w:tr w:rsidR="00B00F0B" w:rsidRPr="00656A34" w14:paraId="6F6D0FAF" w14:textId="77777777" w:rsidTr="00D76ED6">
        <w:trPr>
          <w:trHeight w:val="302"/>
        </w:trPr>
        <w:tc>
          <w:tcPr>
            <w:tcW w:w="2988" w:type="pct"/>
            <w:tcBorders>
              <w:top w:val="single" w:sz="4" w:space="0" w:color="auto"/>
              <w:bottom w:val="double" w:sz="4" w:space="0" w:color="auto"/>
              <w:right w:val="double" w:sz="4" w:space="0" w:color="auto"/>
            </w:tcBorders>
            <w:shd w:val="clear" w:color="auto" w:fill="auto"/>
            <w:noWrap/>
            <w:vAlign w:val="center"/>
          </w:tcPr>
          <w:p w14:paraId="1F49BF91" w14:textId="77777777" w:rsidR="00B00F0B" w:rsidRPr="00656A34" w:rsidRDefault="00B00F0B" w:rsidP="00456E56">
            <w:pPr>
              <w:rPr>
                <w:rFonts w:cs="Times New Roman"/>
                <w:color w:val="000000"/>
                <w:sz w:val="23"/>
                <w:szCs w:val="23"/>
              </w:rPr>
            </w:pPr>
            <w:r w:rsidRPr="00656A34">
              <w:rPr>
                <w:rFonts w:cs="Times New Roman"/>
                <w:color w:val="000000"/>
                <w:sz w:val="23"/>
                <w:szCs w:val="23"/>
              </w:rPr>
              <w:t xml:space="preserve">YJ Parameters (t-statistic computed with respect to the value of 1.000) </w:t>
            </w:r>
          </w:p>
        </w:tc>
        <w:tc>
          <w:tcPr>
            <w:tcW w:w="503" w:type="pct"/>
            <w:tcBorders>
              <w:top w:val="single" w:sz="4" w:space="0" w:color="auto"/>
              <w:bottom w:val="double" w:sz="4" w:space="0" w:color="auto"/>
              <w:right w:val="single" w:sz="4" w:space="0" w:color="auto"/>
            </w:tcBorders>
            <w:vAlign w:val="center"/>
          </w:tcPr>
          <w:p w14:paraId="6B46F377"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1.000*</w:t>
            </w:r>
          </w:p>
        </w:tc>
        <w:tc>
          <w:tcPr>
            <w:tcW w:w="503" w:type="pct"/>
            <w:tcBorders>
              <w:top w:val="single" w:sz="4" w:space="0" w:color="auto"/>
              <w:left w:val="single" w:sz="4" w:space="0" w:color="auto"/>
              <w:bottom w:val="double" w:sz="4" w:space="0" w:color="auto"/>
              <w:right w:val="double" w:sz="4" w:space="0" w:color="auto"/>
            </w:tcBorders>
            <w:vAlign w:val="center"/>
          </w:tcPr>
          <w:p w14:paraId="1BF71B9C"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w:t>
            </w:r>
          </w:p>
        </w:tc>
        <w:tc>
          <w:tcPr>
            <w:tcW w:w="503" w:type="pct"/>
            <w:tcBorders>
              <w:top w:val="single" w:sz="4" w:space="0" w:color="auto"/>
              <w:left w:val="double" w:sz="4" w:space="0" w:color="auto"/>
              <w:bottom w:val="double" w:sz="4" w:space="0" w:color="auto"/>
              <w:right w:val="single" w:sz="4" w:space="0" w:color="auto"/>
            </w:tcBorders>
            <w:shd w:val="clear" w:color="auto" w:fill="auto"/>
            <w:noWrap/>
            <w:vAlign w:val="center"/>
          </w:tcPr>
          <w:p w14:paraId="71EB016A"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0.526</w:t>
            </w:r>
          </w:p>
        </w:tc>
        <w:tc>
          <w:tcPr>
            <w:tcW w:w="503" w:type="pct"/>
            <w:tcBorders>
              <w:top w:val="single" w:sz="4" w:space="0" w:color="auto"/>
              <w:left w:val="single" w:sz="4" w:space="0" w:color="auto"/>
              <w:bottom w:val="double" w:sz="4" w:space="0" w:color="auto"/>
              <w:right w:val="double" w:sz="4" w:space="0" w:color="auto"/>
            </w:tcBorders>
            <w:shd w:val="clear" w:color="auto" w:fill="auto"/>
            <w:noWrap/>
            <w:vAlign w:val="center"/>
          </w:tcPr>
          <w:p w14:paraId="5FA2463A"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2.843</w:t>
            </w:r>
          </w:p>
        </w:tc>
      </w:tr>
      <w:tr w:rsidR="00B00F0B" w:rsidRPr="00656A34" w14:paraId="2734587A" w14:textId="77777777" w:rsidTr="00D76ED6">
        <w:trPr>
          <w:trHeight w:val="302"/>
        </w:trPr>
        <w:tc>
          <w:tcPr>
            <w:tcW w:w="2988" w:type="pct"/>
            <w:tcBorders>
              <w:top w:val="double" w:sz="4" w:space="0" w:color="auto"/>
              <w:bottom w:val="nil"/>
              <w:right w:val="double" w:sz="4" w:space="0" w:color="auto"/>
            </w:tcBorders>
            <w:shd w:val="clear" w:color="auto" w:fill="auto"/>
            <w:noWrap/>
            <w:vAlign w:val="center"/>
            <w:hideMark/>
          </w:tcPr>
          <w:p w14:paraId="45FFAD00" w14:textId="77777777" w:rsidR="00B00F0B" w:rsidRPr="00656A34" w:rsidRDefault="00B00F0B" w:rsidP="00456E56">
            <w:pPr>
              <w:rPr>
                <w:rFonts w:cs="Times New Roman"/>
                <w:b/>
                <w:i/>
                <w:color w:val="000000"/>
                <w:sz w:val="23"/>
                <w:szCs w:val="23"/>
              </w:rPr>
            </w:pPr>
            <w:r w:rsidRPr="00656A34">
              <w:rPr>
                <w:rFonts w:cs="Times New Roman"/>
                <w:b/>
                <w:i/>
                <w:color w:val="000000"/>
                <w:sz w:val="23"/>
                <w:szCs w:val="23"/>
              </w:rPr>
              <w:t>Constant and Thresholds</w:t>
            </w:r>
          </w:p>
        </w:tc>
        <w:tc>
          <w:tcPr>
            <w:tcW w:w="503" w:type="pct"/>
            <w:tcBorders>
              <w:top w:val="double" w:sz="4" w:space="0" w:color="auto"/>
              <w:bottom w:val="nil"/>
              <w:right w:val="single" w:sz="4" w:space="0" w:color="auto"/>
            </w:tcBorders>
            <w:vAlign w:val="center"/>
          </w:tcPr>
          <w:p w14:paraId="7C9CBFB9" w14:textId="77777777" w:rsidR="00B00F0B" w:rsidRPr="00656A34" w:rsidRDefault="00B00F0B" w:rsidP="00456E56">
            <w:pPr>
              <w:jc w:val="right"/>
              <w:rPr>
                <w:rFonts w:cs="Times New Roman"/>
                <w:color w:val="000000"/>
                <w:sz w:val="23"/>
                <w:szCs w:val="23"/>
              </w:rPr>
            </w:pPr>
          </w:p>
        </w:tc>
        <w:tc>
          <w:tcPr>
            <w:tcW w:w="503" w:type="pct"/>
            <w:tcBorders>
              <w:top w:val="double" w:sz="4" w:space="0" w:color="auto"/>
              <w:left w:val="single" w:sz="4" w:space="0" w:color="auto"/>
              <w:bottom w:val="nil"/>
              <w:right w:val="double" w:sz="4" w:space="0" w:color="auto"/>
            </w:tcBorders>
            <w:vAlign w:val="center"/>
          </w:tcPr>
          <w:p w14:paraId="24741D89" w14:textId="77777777" w:rsidR="00B00F0B" w:rsidRPr="00656A34" w:rsidRDefault="00B00F0B" w:rsidP="00456E56">
            <w:pPr>
              <w:jc w:val="right"/>
              <w:rPr>
                <w:rFonts w:cs="Times New Roman"/>
                <w:color w:val="000000"/>
                <w:sz w:val="23"/>
                <w:szCs w:val="23"/>
              </w:rPr>
            </w:pPr>
          </w:p>
        </w:tc>
        <w:tc>
          <w:tcPr>
            <w:tcW w:w="503" w:type="pct"/>
            <w:tcBorders>
              <w:top w:val="double" w:sz="4" w:space="0" w:color="auto"/>
              <w:left w:val="double" w:sz="4" w:space="0" w:color="auto"/>
              <w:bottom w:val="nil"/>
              <w:right w:val="single" w:sz="4" w:space="0" w:color="auto"/>
            </w:tcBorders>
            <w:shd w:val="clear" w:color="auto" w:fill="auto"/>
            <w:noWrap/>
            <w:vAlign w:val="center"/>
          </w:tcPr>
          <w:p w14:paraId="159DD807" w14:textId="77777777" w:rsidR="00B00F0B" w:rsidRPr="00656A34" w:rsidRDefault="00B00F0B" w:rsidP="00456E56">
            <w:pPr>
              <w:jc w:val="right"/>
              <w:rPr>
                <w:rFonts w:cs="Times New Roman"/>
                <w:color w:val="000000"/>
                <w:sz w:val="23"/>
                <w:szCs w:val="23"/>
              </w:rPr>
            </w:pPr>
          </w:p>
        </w:tc>
        <w:tc>
          <w:tcPr>
            <w:tcW w:w="503" w:type="pct"/>
            <w:tcBorders>
              <w:top w:val="double" w:sz="4" w:space="0" w:color="auto"/>
              <w:left w:val="single" w:sz="4" w:space="0" w:color="auto"/>
              <w:bottom w:val="nil"/>
              <w:right w:val="double" w:sz="4" w:space="0" w:color="auto"/>
            </w:tcBorders>
            <w:shd w:val="clear" w:color="auto" w:fill="auto"/>
            <w:noWrap/>
            <w:vAlign w:val="center"/>
          </w:tcPr>
          <w:p w14:paraId="6375546A" w14:textId="77777777" w:rsidR="00B00F0B" w:rsidRPr="00656A34" w:rsidRDefault="00B00F0B" w:rsidP="00456E56">
            <w:pPr>
              <w:jc w:val="right"/>
              <w:rPr>
                <w:rFonts w:cs="Times New Roman"/>
                <w:sz w:val="23"/>
                <w:szCs w:val="23"/>
              </w:rPr>
            </w:pPr>
          </w:p>
        </w:tc>
      </w:tr>
      <w:tr w:rsidR="00B00F0B" w:rsidRPr="00656A34" w14:paraId="1E8C52AD" w14:textId="77777777" w:rsidTr="00D76ED6">
        <w:trPr>
          <w:trHeight w:val="302"/>
        </w:trPr>
        <w:tc>
          <w:tcPr>
            <w:tcW w:w="2988" w:type="pct"/>
            <w:tcBorders>
              <w:top w:val="nil"/>
              <w:bottom w:val="nil"/>
              <w:right w:val="double" w:sz="4" w:space="0" w:color="auto"/>
            </w:tcBorders>
            <w:shd w:val="clear" w:color="auto" w:fill="auto"/>
            <w:noWrap/>
            <w:vAlign w:val="center"/>
            <w:hideMark/>
          </w:tcPr>
          <w:p w14:paraId="1E32FE5D" w14:textId="77777777" w:rsidR="00B00F0B" w:rsidRPr="00656A34" w:rsidRDefault="00B00F0B" w:rsidP="00456E56">
            <w:pPr>
              <w:ind w:left="164"/>
              <w:rPr>
                <w:rFonts w:cs="Times New Roman"/>
                <w:iCs/>
                <w:color w:val="000000"/>
                <w:sz w:val="23"/>
                <w:szCs w:val="23"/>
              </w:rPr>
            </w:pPr>
            <w:r w:rsidRPr="00656A34">
              <w:rPr>
                <w:rFonts w:cs="Times New Roman"/>
                <w:iCs/>
                <w:color w:val="000000"/>
                <w:sz w:val="23"/>
                <w:szCs w:val="23"/>
              </w:rPr>
              <w:t xml:space="preserve">Constant </w:t>
            </w:r>
          </w:p>
        </w:tc>
        <w:tc>
          <w:tcPr>
            <w:tcW w:w="503" w:type="pct"/>
            <w:tcBorders>
              <w:top w:val="nil"/>
              <w:bottom w:val="nil"/>
              <w:right w:val="single" w:sz="4" w:space="0" w:color="auto"/>
            </w:tcBorders>
            <w:vAlign w:val="center"/>
          </w:tcPr>
          <w:p w14:paraId="2554F88C"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1.683</w:t>
            </w:r>
          </w:p>
        </w:tc>
        <w:tc>
          <w:tcPr>
            <w:tcW w:w="503" w:type="pct"/>
            <w:tcBorders>
              <w:top w:val="nil"/>
              <w:left w:val="single" w:sz="4" w:space="0" w:color="auto"/>
              <w:bottom w:val="nil"/>
              <w:right w:val="double" w:sz="4" w:space="0" w:color="auto"/>
            </w:tcBorders>
            <w:vAlign w:val="center"/>
          </w:tcPr>
          <w:p w14:paraId="47CFE6A1"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12.731</w:t>
            </w:r>
          </w:p>
        </w:tc>
        <w:tc>
          <w:tcPr>
            <w:tcW w:w="503" w:type="pct"/>
            <w:tcBorders>
              <w:top w:val="nil"/>
              <w:left w:val="double" w:sz="4" w:space="0" w:color="auto"/>
              <w:bottom w:val="nil"/>
              <w:right w:val="single" w:sz="4" w:space="0" w:color="auto"/>
            </w:tcBorders>
            <w:shd w:val="clear" w:color="auto" w:fill="auto"/>
            <w:noWrap/>
            <w:vAlign w:val="center"/>
          </w:tcPr>
          <w:p w14:paraId="0DCF8B2E"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0.446</w:t>
            </w:r>
          </w:p>
        </w:tc>
        <w:tc>
          <w:tcPr>
            <w:tcW w:w="503" w:type="pct"/>
            <w:tcBorders>
              <w:top w:val="nil"/>
              <w:left w:val="single" w:sz="4" w:space="0" w:color="auto"/>
              <w:bottom w:val="nil"/>
              <w:right w:val="double" w:sz="4" w:space="0" w:color="auto"/>
            </w:tcBorders>
            <w:shd w:val="clear" w:color="auto" w:fill="auto"/>
            <w:noWrap/>
            <w:vAlign w:val="center"/>
          </w:tcPr>
          <w:p w14:paraId="6E1B0B45"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2.802</w:t>
            </w:r>
          </w:p>
        </w:tc>
      </w:tr>
      <w:tr w:rsidR="00B00F0B" w:rsidRPr="00656A34" w14:paraId="1E412A5F" w14:textId="77777777" w:rsidTr="00D76ED6">
        <w:trPr>
          <w:trHeight w:val="302"/>
        </w:trPr>
        <w:tc>
          <w:tcPr>
            <w:tcW w:w="2988" w:type="pct"/>
            <w:tcBorders>
              <w:top w:val="nil"/>
              <w:bottom w:val="nil"/>
              <w:right w:val="double" w:sz="4" w:space="0" w:color="auto"/>
            </w:tcBorders>
            <w:shd w:val="clear" w:color="auto" w:fill="auto"/>
            <w:noWrap/>
            <w:vAlign w:val="center"/>
            <w:hideMark/>
          </w:tcPr>
          <w:p w14:paraId="084C6D06" w14:textId="77777777" w:rsidR="00B00F0B" w:rsidRPr="00656A34" w:rsidRDefault="00B00F0B" w:rsidP="00456E56">
            <w:pPr>
              <w:ind w:left="164"/>
              <w:rPr>
                <w:rFonts w:cs="Times New Roman"/>
                <w:iCs/>
                <w:color w:val="000000"/>
                <w:sz w:val="23"/>
                <w:szCs w:val="23"/>
              </w:rPr>
            </w:pPr>
            <w:r w:rsidRPr="00656A34">
              <w:rPr>
                <w:rFonts w:cs="Times New Roman"/>
                <w:iCs/>
                <w:color w:val="000000"/>
                <w:sz w:val="23"/>
                <w:szCs w:val="23"/>
              </w:rPr>
              <w:t>Threshold between walk 1/2 days per week and 3/4 days per week</w:t>
            </w:r>
          </w:p>
        </w:tc>
        <w:tc>
          <w:tcPr>
            <w:tcW w:w="503" w:type="pct"/>
            <w:tcBorders>
              <w:top w:val="nil"/>
              <w:bottom w:val="nil"/>
              <w:right w:val="single" w:sz="4" w:space="0" w:color="auto"/>
            </w:tcBorders>
            <w:vAlign w:val="center"/>
          </w:tcPr>
          <w:p w14:paraId="76FF3F2A"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w:t>
            </w:r>
          </w:p>
        </w:tc>
        <w:tc>
          <w:tcPr>
            <w:tcW w:w="503" w:type="pct"/>
            <w:tcBorders>
              <w:top w:val="nil"/>
              <w:left w:val="single" w:sz="4" w:space="0" w:color="auto"/>
              <w:bottom w:val="nil"/>
              <w:right w:val="double" w:sz="4" w:space="0" w:color="auto"/>
            </w:tcBorders>
            <w:vAlign w:val="center"/>
          </w:tcPr>
          <w:p w14:paraId="3927331B"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w:t>
            </w:r>
          </w:p>
        </w:tc>
        <w:tc>
          <w:tcPr>
            <w:tcW w:w="503" w:type="pct"/>
            <w:tcBorders>
              <w:top w:val="nil"/>
              <w:left w:val="double" w:sz="4" w:space="0" w:color="auto"/>
              <w:bottom w:val="nil"/>
              <w:right w:val="single" w:sz="4" w:space="0" w:color="auto"/>
            </w:tcBorders>
            <w:shd w:val="clear" w:color="auto" w:fill="auto"/>
            <w:noWrap/>
            <w:vAlign w:val="center"/>
          </w:tcPr>
          <w:p w14:paraId="2FE06E99"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0.440</w:t>
            </w:r>
          </w:p>
        </w:tc>
        <w:tc>
          <w:tcPr>
            <w:tcW w:w="503" w:type="pct"/>
            <w:tcBorders>
              <w:top w:val="nil"/>
              <w:left w:val="single" w:sz="4" w:space="0" w:color="auto"/>
              <w:bottom w:val="nil"/>
              <w:right w:val="double" w:sz="4" w:space="0" w:color="auto"/>
            </w:tcBorders>
            <w:shd w:val="clear" w:color="auto" w:fill="auto"/>
            <w:noWrap/>
            <w:vAlign w:val="center"/>
          </w:tcPr>
          <w:p w14:paraId="4FFFAA9D"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1.934</w:t>
            </w:r>
          </w:p>
        </w:tc>
      </w:tr>
      <w:tr w:rsidR="00B00F0B" w:rsidRPr="00656A34" w14:paraId="3F007FB7" w14:textId="77777777" w:rsidTr="00D76ED6">
        <w:trPr>
          <w:trHeight w:val="302"/>
        </w:trPr>
        <w:tc>
          <w:tcPr>
            <w:tcW w:w="2988" w:type="pct"/>
            <w:tcBorders>
              <w:top w:val="nil"/>
              <w:bottom w:val="nil"/>
              <w:right w:val="double" w:sz="4" w:space="0" w:color="auto"/>
            </w:tcBorders>
            <w:shd w:val="clear" w:color="auto" w:fill="auto"/>
            <w:noWrap/>
            <w:vAlign w:val="center"/>
            <w:hideMark/>
          </w:tcPr>
          <w:p w14:paraId="4503301D" w14:textId="77777777" w:rsidR="00B00F0B" w:rsidRPr="00656A34" w:rsidRDefault="00B00F0B" w:rsidP="00456E56">
            <w:pPr>
              <w:ind w:left="164"/>
              <w:rPr>
                <w:rFonts w:cs="Times New Roman"/>
                <w:iCs/>
                <w:color w:val="000000"/>
                <w:sz w:val="23"/>
                <w:szCs w:val="23"/>
              </w:rPr>
            </w:pPr>
            <w:r w:rsidRPr="00656A34">
              <w:rPr>
                <w:rFonts w:cs="Times New Roman"/>
                <w:iCs/>
                <w:color w:val="000000"/>
                <w:sz w:val="23"/>
                <w:szCs w:val="23"/>
              </w:rPr>
              <w:t>Threshold between walk 3/4 days per week and 5/6 days per week</w:t>
            </w:r>
          </w:p>
        </w:tc>
        <w:tc>
          <w:tcPr>
            <w:tcW w:w="503" w:type="pct"/>
            <w:tcBorders>
              <w:top w:val="nil"/>
              <w:bottom w:val="nil"/>
              <w:right w:val="single" w:sz="4" w:space="0" w:color="auto"/>
            </w:tcBorders>
            <w:vAlign w:val="center"/>
          </w:tcPr>
          <w:p w14:paraId="2659ABD1"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w:t>
            </w:r>
          </w:p>
        </w:tc>
        <w:tc>
          <w:tcPr>
            <w:tcW w:w="503" w:type="pct"/>
            <w:tcBorders>
              <w:top w:val="nil"/>
              <w:left w:val="single" w:sz="4" w:space="0" w:color="auto"/>
              <w:bottom w:val="nil"/>
              <w:right w:val="double" w:sz="4" w:space="0" w:color="auto"/>
            </w:tcBorders>
            <w:vAlign w:val="center"/>
          </w:tcPr>
          <w:p w14:paraId="59213E40"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w:t>
            </w:r>
          </w:p>
        </w:tc>
        <w:tc>
          <w:tcPr>
            <w:tcW w:w="503" w:type="pct"/>
            <w:tcBorders>
              <w:top w:val="nil"/>
              <w:left w:val="double" w:sz="4" w:space="0" w:color="auto"/>
              <w:bottom w:val="nil"/>
              <w:right w:val="single" w:sz="4" w:space="0" w:color="auto"/>
            </w:tcBorders>
            <w:shd w:val="clear" w:color="auto" w:fill="auto"/>
            <w:noWrap/>
            <w:vAlign w:val="center"/>
          </w:tcPr>
          <w:p w14:paraId="6B5E0878"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1.168</w:t>
            </w:r>
          </w:p>
        </w:tc>
        <w:tc>
          <w:tcPr>
            <w:tcW w:w="503" w:type="pct"/>
            <w:tcBorders>
              <w:top w:val="nil"/>
              <w:left w:val="single" w:sz="4" w:space="0" w:color="auto"/>
              <w:bottom w:val="nil"/>
              <w:right w:val="double" w:sz="4" w:space="0" w:color="auto"/>
            </w:tcBorders>
            <w:shd w:val="clear" w:color="auto" w:fill="auto"/>
            <w:noWrap/>
            <w:vAlign w:val="center"/>
          </w:tcPr>
          <w:p w14:paraId="1177E107"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5.197</w:t>
            </w:r>
          </w:p>
        </w:tc>
      </w:tr>
      <w:tr w:rsidR="00B00F0B" w:rsidRPr="00656A34" w14:paraId="76F7534B" w14:textId="77777777" w:rsidTr="00D76ED6">
        <w:trPr>
          <w:trHeight w:val="302"/>
        </w:trPr>
        <w:tc>
          <w:tcPr>
            <w:tcW w:w="2988" w:type="pct"/>
            <w:tcBorders>
              <w:top w:val="nil"/>
              <w:bottom w:val="double" w:sz="4" w:space="0" w:color="auto"/>
              <w:right w:val="double" w:sz="4" w:space="0" w:color="auto"/>
            </w:tcBorders>
            <w:shd w:val="clear" w:color="auto" w:fill="auto"/>
            <w:noWrap/>
            <w:vAlign w:val="center"/>
          </w:tcPr>
          <w:p w14:paraId="113075D6" w14:textId="77777777" w:rsidR="00B00F0B" w:rsidRPr="00656A34" w:rsidRDefault="00B00F0B" w:rsidP="00456E56">
            <w:pPr>
              <w:ind w:left="164"/>
              <w:rPr>
                <w:rFonts w:cs="Times New Roman"/>
                <w:iCs/>
                <w:color w:val="000000"/>
                <w:sz w:val="23"/>
                <w:szCs w:val="23"/>
              </w:rPr>
            </w:pPr>
            <w:r w:rsidRPr="00656A34">
              <w:rPr>
                <w:rFonts w:cs="Times New Roman"/>
                <w:iCs/>
                <w:color w:val="000000"/>
                <w:sz w:val="23"/>
                <w:szCs w:val="23"/>
              </w:rPr>
              <w:t>Threshold between walk 5/6 days per week and 7 days per week</w:t>
            </w:r>
          </w:p>
        </w:tc>
        <w:tc>
          <w:tcPr>
            <w:tcW w:w="503" w:type="pct"/>
            <w:tcBorders>
              <w:top w:val="nil"/>
              <w:bottom w:val="double" w:sz="4" w:space="0" w:color="auto"/>
              <w:right w:val="single" w:sz="4" w:space="0" w:color="auto"/>
            </w:tcBorders>
            <w:vAlign w:val="center"/>
          </w:tcPr>
          <w:p w14:paraId="0B254ADE" w14:textId="77777777" w:rsidR="00B00F0B" w:rsidRPr="00656A34" w:rsidRDefault="00B00F0B" w:rsidP="00456E56">
            <w:pPr>
              <w:jc w:val="right"/>
              <w:rPr>
                <w:rFonts w:cs="Times New Roman"/>
                <w:sz w:val="23"/>
                <w:szCs w:val="23"/>
              </w:rPr>
            </w:pPr>
            <w:r w:rsidRPr="00656A34">
              <w:rPr>
                <w:rFonts w:cs="Times New Roman"/>
                <w:sz w:val="23"/>
                <w:szCs w:val="23"/>
              </w:rPr>
              <w:t>-</w:t>
            </w:r>
          </w:p>
        </w:tc>
        <w:tc>
          <w:tcPr>
            <w:tcW w:w="503" w:type="pct"/>
            <w:tcBorders>
              <w:top w:val="nil"/>
              <w:left w:val="single" w:sz="4" w:space="0" w:color="auto"/>
              <w:bottom w:val="double" w:sz="4" w:space="0" w:color="auto"/>
              <w:right w:val="double" w:sz="4" w:space="0" w:color="auto"/>
            </w:tcBorders>
            <w:vAlign w:val="center"/>
          </w:tcPr>
          <w:p w14:paraId="30B5DC00" w14:textId="77777777" w:rsidR="00B00F0B" w:rsidRPr="00656A34" w:rsidRDefault="00B00F0B" w:rsidP="00456E56">
            <w:pPr>
              <w:jc w:val="right"/>
              <w:rPr>
                <w:rFonts w:cs="Times New Roman"/>
                <w:sz w:val="23"/>
                <w:szCs w:val="23"/>
              </w:rPr>
            </w:pPr>
            <w:r w:rsidRPr="00656A34">
              <w:rPr>
                <w:rFonts w:cs="Times New Roman"/>
                <w:sz w:val="23"/>
                <w:szCs w:val="23"/>
              </w:rPr>
              <w:t>-</w:t>
            </w:r>
          </w:p>
        </w:tc>
        <w:tc>
          <w:tcPr>
            <w:tcW w:w="503" w:type="pct"/>
            <w:tcBorders>
              <w:top w:val="nil"/>
              <w:left w:val="double" w:sz="4" w:space="0" w:color="auto"/>
              <w:bottom w:val="double" w:sz="4" w:space="0" w:color="auto"/>
              <w:right w:val="single" w:sz="4" w:space="0" w:color="auto"/>
            </w:tcBorders>
            <w:shd w:val="clear" w:color="auto" w:fill="auto"/>
            <w:noWrap/>
            <w:vAlign w:val="center"/>
          </w:tcPr>
          <w:p w14:paraId="4BC5AC10"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2.068</w:t>
            </w:r>
          </w:p>
        </w:tc>
        <w:tc>
          <w:tcPr>
            <w:tcW w:w="503" w:type="pct"/>
            <w:tcBorders>
              <w:top w:val="nil"/>
              <w:left w:val="single" w:sz="4" w:space="0" w:color="auto"/>
              <w:bottom w:val="double" w:sz="4" w:space="0" w:color="auto"/>
              <w:right w:val="double" w:sz="4" w:space="0" w:color="auto"/>
            </w:tcBorders>
            <w:shd w:val="clear" w:color="auto" w:fill="auto"/>
            <w:noWrap/>
            <w:vAlign w:val="center"/>
          </w:tcPr>
          <w:p w14:paraId="7966C743" w14:textId="77777777" w:rsidR="00B00F0B" w:rsidRPr="00656A34" w:rsidRDefault="00B00F0B" w:rsidP="00456E56">
            <w:pPr>
              <w:jc w:val="right"/>
              <w:rPr>
                <w:rFonts w:cs="Times New Roman"/>
                <w:color w:val="000000"/>
                <w:sz w:val="23"/>
                <w:szCs w:val="23"/>
              </w:rPr>
            </w:pPr>
            <w:r w:rsidRPr="00656A34">
              <w:rPr>
                <w:rFonts w:cs="Times New Roman"/>
                <w:color w:val="000000"/>
                <w:sz w:val="23"/>
                <w:szCs w:val="23"/>
              </w:rPr>
              <w:t>9.053</w:t>
            </w:r>
          </w:p>
        </w:tc>
      </w:tr>
    </w:tbl>
    <w:p w14:paraId="09434B20" w14:textId="77777777" w:rsidR="00B00F0B" w:rsidRDefault="00B00F0B" w:rsidP="00656A34">
      <w:pPr>
        <w:jc w:val="both"/>
        <w:rPr>
          <w:color w:val="000000"/>
          <w:sz w:val="20"/>
          <w:szCs w:val="20"/>
        </w:rPr>
      </w:pPr>
      <w:r w:rsidRPr="00E214AA">
        <w:rPr>
          <w:sz w:val="20"/>
          <w:szCs w:val="20"/>
        </w:rPr>
        <w:t>*</w:t>
      </w:r>
      <w:r w:rsidRPr="00E214AA">
        <w:rPr>
          <w:color w:val="000000"/>
          <w:sz w:val="20"/>
          <w:szCs w:val="20"/>
        </w:rPr>
        <w:t xml:space="preserve"> YJ parameter for the urban residence error term fixed to one because it was not statistically significantly different from one at any reasonable level of significance. </w:t>
      </w:r>
    </w:p>
    <w:p w14:paraId="08F3E83D" w14:textId="2B5AF407" w:rsidR="00B00F0B" w:rsidRDefault="00B00F0B" w:rsidP="00B00F0B">
      <w:pPr>
        <w:spacing w:line="276" w:lineRule="auto"/>
        <w:jc w:val="both"/>
        <w:rPr>
          <w:rFonts w:cs="Times New Roman"/>
          <w:szCs w:val="24"/>
        </w:rPr>
      </w:pPr>
    </w:p>
    <w:p w14:paraId="5B5074E0" w14:textId="7F149551" w:rsidR="00656A34" w:rsidRPr="00352C7E" w:rsidRDefault="00656A34" w:rsidP="00656A34">
      <w:pPr>
        <w:spacing w:line="276" w:lineRule="auto"/>
        <w:ind w:firstLine="720"/>
        <w:jc w:val="both"/>
        <w:rPr>
          <w:rFonts w:cs="Times New Roman"/>
          <w:szCs w:val="24"/>
        </w:rPr>
      </w:pPr>
      <w:r w:rsidRPr="00352C7E">
        <w:rPr>
          <w:rFonts w:cs="Times New Roman"/>
          <w:szCs w:val="24"/>
        </w:rPr>
        <w:lastRenderedPageBreak/>
        <w:t xml:space="preserve">While some effects on residential location may have shifted in the aftermath of the COVID pandemic, others do not appear to have. In particular, individuals who identify as white non-Hispanic and those who live in an owned single-unit house </w:t>
      </w:r>
      <w:r>
        <w:rPr>
          <w:rFonts w:cs="Times New Roman"/>
          <w:szCs w:val="24"/>
        </w:rPr>
        <w:t xml:space="preserve">(that is, do not live in rented apartment dwellings) </w:t>
      </w:r>
      <w:r w:rsidRPr="00352C7E">
        <w:rPr>
          <w:rFonts w:cs="Times New Roman"/>
          <w:szCs w:val="24"/>
        </w:rPr>
        <w:t>are unlikely urban area residents. This is tied to non-white individuals having limited opportunities of residential mobility over decades, containing them to urban areas with a high supply of rental apartment dwellings. This may be traced to the long history of racial discrimination in the housing sector in the United States, offering more opportunit</w:t>
      </w:r>
      <w:r>
        <w:rPr>
          <w:rFonts w:cs="Times New Roman"/>
          <w:szCs w:val="24"/>
        </w:rPr>
        <w:t>ies</w:t>
      </w:r>
      <w:r w:rsidRPr="00352C7E">
        <w:rPr>
          <w:rFonts w:cs="Times New Roman"/>
          <w:szCs w:val="24"/>
        </w:rPr>
        <w:t xml:space="preserve"> to white families to secure government-insured mortgages, while non-white families were not afforded the same level of benefits </w:t>
      </w:r>
      <w:r w:rsidRPr="00352C7E">
        <w:rPr>
          <w:rFonts w:cs="Times New Roman"/>
          <w:b/>
          <w:bCs/>
          <w:szCs w:val="24"/>
        </w:rPr>
        <w:fldChar w:fldCharType="begin"/>
      </w:r>
      <w:r w:rsidRPr="00352C7E">
        <w:rPr>
          <w:rFonts w:cs="Times New Roman"/>
          <w:b/>
          <w:bCs/>
          <w:szCs w:val="24"/>
        </w:rPr>
        <w:instrText xml:space="preserve"> ADDIN ZOTERO_ITEM CSL_CITATION {"citationID":"6LcmqM0M","properties":{"formattedCitation":"(Faber, 2020)","plainCitation":"(Faber, 2020)","noteIndex":0},"citationItems":[{"id":735,"uris":["http://zotero.org/users/local/1ztI2Oc6/items/DAMLH326","http://zotero.org/users/12832277/items/DAMLH326"],"itemData":{"id":735,"type":"article-journal","container-title":"American Sociological Review","issue":"5","note":"publisher: SAGE Publications Sage CA: Los Angeles, CA","page":"739–775","source":"Google Scholar","title":"We Built This: Consequences of New Deal Era Intervention in America’s Racial Geography","title-short":"We Built This","volume":"85","author":[{"family":"Faber","given":"Jacob W."}],"issued":{"date-parts":[["2020"]]}}}],"schema":"https://github.com/citation-style-language/schema/raw/master/csl-citation.json"} </w:instrText>
      </w:r>
      <w:r w:rsidRPr="00352C7E">
        <w:rPr>
          <w:rFonts w:cs="Times New Roman"/>
          <w:b/>
          <w:bCs/>
          <w:szCs w:val="24"/>
        </w:rPr>
        <w:fldChar w:fldCharType="separate"/>
      </w:r>
      <w:r w:rsidRPr="00352C7E">
        <w:rPr>
          <w:rFonts w:cs="Times New Roman"/>
          <w:szCs w:val="24"/>
        </w:rPr>
        <w:t>(Faber, 2020</w:t>
      </w:r>
      <w:r>
        <w:rPr>
          <w:rFonts w:cs="Times New Roman"/>
          <w:szCs w:val="24"/>
        </w:rPr>
        <w:t>; Bhat et al., 2022</w:t>
      </w:r>
      <w:r w:rsidRPr="00352C7E">
        <w:rPr>
          <w:rFonts w:cs="Times New Roman"/>
          <w:szCs w:val="24"/>
        </w:rPr>
        <w:t>)</w:t>
      </w:r>
      <w:r w:rsidRPr="00352C7E">
        <w:rPr>
          <w:rFonts w:cs="Times New Roman"/>
          <w:b/>
          <w:bCs/>
          <w:szCs w:val="24"/>
        </w:rPr>
        <w:fldChar w:fldCharType="end"/>
      </w:r>
      <w:r w:rsidRPr="00352C7E">
        <w:rPr>
          <w:rFonts w:cs="Times New Roman"/>
          <w:szCs w:val="24"/>
        </w:rPr>
        <w:t xml:space="preserve">. </w:t>
      </w:r>
      <w:r>
        <w:rPr>
          <w:rFonts w:cs="Times New Roman"/>
          <w:szCs w:val="24"/>
        </w:rPr>
        <w:t>Also, individuals in the south and midwest of the country are less likely to be located in urban areas, as these parts of the country have large swaths of land with more spatial dispersion of residences.</w:t>
      </w:r>
    </w:p>
    <w:p w14:paraId="0311C0AB" w14:textId="684ABD9C" w:rsidR="00350551" w:rsidRDefault="0085385D" w:rsidP="00B4106B">
      <w:pPr>
        <w:spacing w:line="276" w:lineRule="auto"/>
        <w:ind w:firstLine="720"/>
        <w:jc w:val="both"/>
        <w:rPr>
          <w:rFonts w:cs="Times New Roman"/>
          <w:szCs w:val="24"/>
        </w:rPr>
      </w:pPr>
      <w:r>
        <w:rPr>
          <w:rFonts w:cs="Times New Roman"/>
          <w:szCs w:val="24"/>
        </w:rPr>
        <w:t>In terms of walking frequency, individuals from high income households (100K per year</w:t>
      </w:r>
      <w:r w:rsidR="002936FC">
        <w:rPr>
          <w:rFonts w:cs="Times New Roman"/>
          <w:szCs w:val="24"/>
        </w:rPr>
        <w:t xml:space="preserve"> or over</w:t>
      </w:r>
      <w:r>
        <w:rPr>
          <w:rFonts w:cs="Times New Roman"/>
          <w:szCs w:val="24"/>
        </w:rPr>
        <w:t>) are more likely to walk over multiple days of the week relative to individuals from low income households (less than 100</w:t>
      </w:r>
      <w:r w:rsidR="00477DCD">
        <w:rPr>
          <w:rFonts w:cs="Times New Roman"/>
          <w:szCs w:val="24"/>
        </w:rPr>
        <w:t>K per year)</w:t>
      </w:r>
      <w:r>
        <w:rPr>
          <w:rFonts w:cs="Times New Roman"/>
          <w:szCs w:val="24"/>
        </w:rPr>
        <w:t>, while women</w:t>
      </w:r>
      <w:r w:rsidR="002936FC">
        <w:rPr>
          <w:rFonts w:cs="Times New Roman"/>
          <w:szCs w:val="24"/>
        </w:rPr>
        <w:t xml:space="preserve"> tend to have </w:t>
      </w:r>
      <w:r w:rsidR="0051631C">
        <w:rPr>
          <w:rFonts w:cs="Times New Roman"/>
          <w:szCs w:val="24"/>
        </w:rPr>
        <w:t xml:space="preserve">a lower </w:t>
      </w:r>
      <w:r>
        <w:rPr>
          <w:rFonts w:cs="Times New Roman"/>
          <w:szCs w:val="24"/>
        </w:rPr>
        <w:t xml:space="preserve">walking </w:t>
      </w:r>
      <w:r w:rsidR="0051631C">
        <w:rPr>
          <w:rFonts w:cs="Times New Roman"/>
          <w:szCs w:val="24"/>
        </w:rPr>
        <w:t>propensity</w:t>
      </w:r>
      <w:r w:rsidR="002936FC">
        <w:rPr>
          <w:rFonts w:cs="Times New Roman"/>
          <w:szCs w:val="24"/>
        </w:rPr>
        <w:t xml:space="preserve"> compared to men</w:t>
      </w:r>
      <w:r>
        <w:rPr>
          <w:rFonts w:cs="Times New Roman"/>
          <w:szCs w:val="24"/>
        </w:rPr>
        <w:t xml:space="preserve">. Both of these results may be tied to time availability, </w:t>
      </w:r>
      <w:r w:rsidR="00477DCD">
        <w:rPr>
          <w:rFonts w:cs="Times New Roman"/>
          <w:szCs w:val="24"/>
        </w:rPr>
        <w:t xml:space="preserve">with both low income earners and women well known to be time poor </w:t>
      </w:r>
      <w:r w:rsidR="00350551">
        <w:rPr>
          <w:rFonts w:cs="Times New Roman"/>
          <w:szCs w:val="24"/>
        </w:rPr>
        <w:t xml:space="preserve">because of work-related and, in the case of women, also home-related responsibilities </w:t>
      </w:r>
      <w:r w:rsidR="00FD334C">
        <w:rPr>
          <w:rFonts w:cs="Times New Roman"/>
          <w:szCs w:val="24"/>
        </w:rPr>
        <w:t>(</w:t>
      </w:r>
      <w:r w:rsidR="00FD334C" w:rsidRPr="00FD334C">
        <w:rPr>
          <w:rFonts w:cs="Times New Roman"/>
          <w:szCs w:val="24"/>
        </w:rPr>
        <w:t xml:space="preserve">see </w:t>
      </w:r>
      <w:bookmarkStart w:id="10" w:name="_Hlk155435414"/>
      <w:r w:rsidR="00FD334C" w:rsidRPr="00FD334C">
        <w:rPr>
          <w:rFonts w:cs="Times New Roman"/>
          <w:szCs w:val="24"/>
        </w:rPr>
        <w:t>Bernardo et al., 2015, Cerrato and Cifre, 2018</w:t>
      </w:r>
      <w:r w:rsidR="00FD334C">
        <w:rPr>
          <w:rFonts w:cs="Times New Roman"/>
          <w:szCs w:val="24"/>
        </w:rPr>
        <w:t>, and Mondal and Bhat, 2021</w:t>
      </w:r>
      <w:bookmarkEnd w:id="10"/>
      <w:r w:rsidR="00FD334C" w:rsidRPr="00FD334C">
        <w:rPr>
          <w:rFonts w:cs="Times New Roman"/>
          <w:szCs w:val="24"/>
        </w:rPr>
        <w:t xml:space="preserve">). </w:t>
      </w:r>
      <w:r w:rsidR="00477DCD">
        <w:rPr>
          <w:rFonts w:cs="Times New Roman"/>
          <w:szCs w:val="24"/>
        </w:rPr>
        <w:t>The result that older individuals (75 years and over)</w:t>
      </w:r>
      <w:r w:rsidR="00350551">
        <w:rPr>
          <w:rFonts w:cs="Times New Roman"/>
          <w:szCs w:val="24"/>
        </w:rPr>
        <w:t xml:space="preserve">, and those unemployed due to disabilities or who have retired, </w:t>
      </w:r>
      <w:r w:rsidR="0051631C">
        <w:rPr>
          <w:rFonts w:cs="Times New Roman"/>
          <w:szCs w:val="24"/>
        </w:rPr>
        <w:t xml:space="preserve">have a depressed walking propensity </w:t>
      </w:r>
      <w:r w:rsidR="00350551">
        <w:rPr>
          <w:rFonts w:cs="Times New Roman"/>
          <w:szCs w:val="24"/>
        </w:rPr>
        <w:t xml:space="preserve">than their peers </w:t>
      </w:r>
      <w:r w:rsidR="00477DCD">
        <w:rPr>
          <w:rFonts w:cs="Times New Roman"/>
          <w:szCs w:val="24"/>
        </w:rPr>
        <w:t>may be attributed to actual or perceived mobility limitations.</w:t>
      </w:r>
      <w:r w:rsidR="00350551">
        <w:rPr>
          <w:rFonts w:cs="Times New Roman"/>
          <w:szCs w:val="24"/>
        </w:rPr>
        <w:t xml:space="preserve"> From a geographic standpoint, residents from the west of the country </w:t>
      </w:r>
      <w:r w:rsidR="0051631C">
        <w:rPr>
          <w:rFonts w:cs="Times New Roman"/>
          <w:szCs w:val="24"/>
        </w:rPr>
        <w:t xml:space="preserve">are, in general, more predisposed to </w:t>
      </w:r>
      <w:r w:rsidR="00350551">
        <w:rPr>
          <w:rFonts w:cs="Times New Roman"/>
          <w:szCs w:val="24"/>
        </w:rPr>
        <w:t>walk</w:t>
      </w:r>
      <w:r w:rsidR="0051631C">
        <w:rPr>
          <w:rFonts w:cs="Times New Roman"/>
          <w:szCs w:val="24"/>
        </w:rPr>
        <w:t xml:space="preserve"> frequently</w:t>
      </w:r>
      <w:r w:rsidR="00350551">
        <w:rPr>
          <w:rFonts w:cs="Times New Roman"/>
          <w:szCs w:val="24"/>
        </w:rPr>
        <w:t xml:space="preserve">. </w:t>
      </w:r>
    </w:p>
    <w:p w14:paraId="4C5B1DB4" w14:textId="05F50586" w:rsidR="00093616" w:rsidRDefault="00754F89" w:rsidP="00B4106B">
      <w:pPr>
        <w:spacing w:line="276" w:lineRule="auto"/>
        <w:ind w:firstLine="720"/>
        <w:jc w:val="both"/>
        <w:rPr>
          <w:rFonts w:cs="Times New Roman"/>
          <w:szCs w:val="24"/>
        </w:rPr>
      </w:pPr>
      <w:r>
        <w:rPr>
          <w:rFonts w:cs="Times New Roman"/>
          <w:szCs w:val="24"/>
        </w:rPr>
        <w:t xml:space="preserve">As discussed earlier, we control for possible association in the residential choice-walking frequency choices when investigating the “true” causal effect of residential choice on walking frequency. Our results suggest that </w:t>
      </w:r>
      <w:r w:rsidR="005A1D13">
        <w:rPr>
          <w:rFonts w:cs="Times New Roman"/>
          <w:szCs w:val="24"/>
        </w:rPr>
        <w:t xml:space="preserve">rural areas are better characterized </w:t>
      </w:r>
      <w:r w:rsidR="00024E11">
        <w:rPr>
          <w:rFonts w:cs="Times New Roman"/>
          <w:szCs w:val="24"/>
        </w:rPr>
        <w:t xml:space="preserve">(than urban areas) </w:t>
      </w:r>
      <w:r w:rsidR="005A1D13">
        <w:rPr>
          <w:rFonts w:cs="Times New Roman"/>
          <w:szCs w:val="24"/>
        </w:rPr>
        <w:t xml:space="preserve">by </w:t>
      </w:r>
      <w:r>
        <w:rPr>
          <w:rFonts w:cs="Times New Roman"/>
          <w:szCs w:val="24"/>
        </w:rPr>
        <w:t xml:space="preserve">unobserved </w:t>
      </w:r>
      <w:r w:rsidR="00F06519">
        <w:rPr>
          <w:rFonts w:cs="Times New Roman"/>
          <w:szCs w:val="24"/>
        </w:rPr>
        <w:t xml:space="preserve">basic-level walking needs of safety/comfort </w:t>
      </w:r>
      <w:r>
        <w:rPr>
          <w:rFonts w:cs="Times New Roman"/>
          <w:szCs w:val="24"/>
        </w:rPr>
        <w:t>factors</w:t>
      </w:r>
      <w:r w:rsidR="00024E11">
        <w:rPr>
          <w:rFonts w:cs="Times New Roman"/>
          <w:szCs w:val="24"/>
        </w:rPr>
        <w:t xml:space="preserve">, which </w:t>
      </w:r>
      <w:r w:rsidR="005A1D13">
        <w:rPr>
          <w:rFonts w:cs="Times New Roman"/>
          <w:szCs w:val="24"/>
        </w:rPr>
        <w:t xml:space="preserve">also </w:t>
      </w:r>
      <w:r w:rsidR="00F06519">
        <w:rPr>
          <w:rFonts w:cs="Times New Roman"/>
          <w:szCs w:val="24"/>
        </w:rPr>
        <w:t>promote walking</w:t>
      </w:r>
      <w:r w:rsidR="00024E11">
        <w:rPr>
          <w:rFonts w:cs="Times New Roman"/>
          <w:szCs w:val="24"/>
        </w:rPr>
        <w:t xml:space="preserve"> frequency. This is </w:t>
      </w:r>
      <w:r w:rsidR="005A1D13">
        <w:rPr>
          <w:rFonts w:cs="Times New Roman"/>
          <w:szCs w:val="24"/>
        </w:rPr>
        <w:t>evidenced by the negative correlation in the error terms between the urban are</w:t>
      </w:r>
      <w:r w:rsidR="00024E11">
        <w:rPr>
          <w:rFonts w:cs="Times New Roman"/>
          <w:szCs w:val="24"/>
        </w:rPr>
        <w:t>a</w:t>
      </w:r>
      <w:r w:rsidR="005A1D13">
        <w:rPr>
          <w:rFonts w:cs="Times New Roman"/>
          <w:szCs w:val="24"/>
        </w:rPr>
        <w:t xml:space="preserve"> living propensity and the walk frequency equations. </w:t>
      </w:r>
      <w:r w:rsidR="00024E11">
        <w:rPr>
          <w:rFonts w:cs="Times New Roman"/>
          <w:szCs w:val="24"/>
        </w:rPr>
        <w:t xml:space="preserve">After accommodating for this association, the results show a clear positive “true” causal effect of urban living on walking frequency. If the association effects due to unobserved effects were ignored, the “true” urban effect gets underestimated. </w:t>
      </w:r>
      <w:r w:rsidR="005F5D2B">
        <w:rPr>
          <w:rFonts w:cs="Times New Roman"/>
          <w:szCs w:val="24"/>
        </w:rPr>
        <w:t xml:space="preserve">In fact, if the association is ignored, the urban effect becomes statistically insignificant </w:t>
      </w:r>
      <w:r w:rsidR="00933936">
        <w:rPr>
          <w:rFonts w:cs="Times New Roman"/>
          <w:szCs w:val="24"/>
        </w:rPr>
        <w:t xml:space="preserve">at even the 65% confidence level </w:t>
      </w:r>
      <w:r w:rsidR="005F5D2B">
        <w:rPr>
          <w:rFonts w:cs="Times New Roman"/>
          <w:szCs w:val="24"/>
        </w:rPr>
        <w:t>(coefficient is 0.0</w:t>
      </w:r>
      <w:r w:rsidR="00A31B45">
        <w:rPr>
          <w:rFonts w:cs="Times New Roman"/>
          <w:szCs w:val="24"/>
        </w:rPr>
        <w:t>740 with a t-statistic of 0.926)</w:t>
      </w:r>
      <w:r w:rsidR="009850BA">
        <w:rPr>
          <w:rFonts w:cs="Times New Roman"/>
          <w:szCs w:val="24"/>
        </w:rPr>
        <w:t xml:space="preserve">. Overall, the results indicate that, in the aftermath of the worst of the pandemic, built environment factors associated with urban residence continue to have an important positive </w:t>
      </w:r>
      <w:r w:rsidR="0051631C">
        <w:rPr>
          <w:rFonts w:cs="Times New Roman"/>
          <w:szCs w:val="24"/>
        </w:rPr>
        <w:t xml:space="preserve">causal </w:t>
      </w:r>
      <w:r w:rsidR="009850BA">
        <w:rPr>
          <w:rFonts w:cs="Times New Roman"/>
          <w:szCs w:val="24"/>
        </w:rPr>
        <w:t xml:space="preserve">influence on walking activity engagement of “not-so-young” adults over the course of the week, consistent with earlier studies (see, for example, Lotfata et al., 2022). </w:t>
      </w:r>
      <w:r w:rsidR="00FC4D32">
        <w:rPr>
          <w:rFonts w:cs="Times New Roman"/>
          <w:szCs w:val="24"/>
        </w:rPr>
        <w:t xml:space="preserve">At the same time, </w:t>
      </w:r>
      <w:r w:rsidR="00416710">
        <w:rPr>
          <w:rFonts w:cs="Times New Roman"/>
          <w:szCs w:val="24"/>
        </w:rPr>
        <w:t xml:space="preserve">the negative association between urban living and walk frequency </w:t>
      </w:r>
      <w:r w:rsidR="00FC4D32">
        <w:rPr>
          <w:rFonts w:cs="Times New Roman"/>
          <w:szCs w:val="24"/>
        </w:rPr>
        <w:t>suggest</w:t>
      </w:r>
      <w:r w:rsidR="00933936">
        <w:rPr>
          <w:rFonts w:cs="Times New Roman"/>
          <w:szCs w:val="24"/>
        </w:rPr>
        <w:t>s</w:t>
      </w:r>
      <w:r w:rsidR="00FC4D32">
        <w:rPr>
          <w:rFonts w:cs="Times New Roman"/>
          <w:szCs w:val="24"/>
        </w:rPr>
        <w:t xml:space="preserve"> that </w:t>
      </w:r>
      <w:r w:rsidR="00FD334C">
        <w:rPr>
          <w:rFonts w:cs="Times New Roman"/>
          <w:szCs w:val="24"/>
        </w:rPr>
        <w:t>walking environments need to be designed to feel less crowded</w:t>
      </w:r>
      <w:r w:rsidR="00416710">
        <w:rPr>
          <w:rFonts w:cs="Times New Roman"/>
          <w:szCs w:val="24"/>
        </w:rPr>
        <w:t xml:space="preserve"> (such as through the design of wide sidewalks </w:t>
      </w:r>
      <w:r w:rsidR="007062A5">
        <w:rPr>
          <w:rFonts w:cs="Times New Roman"/>
          <w:szCs w:val="24"/>
        </w:rPr>
        <w:t>and a well-distributed</w:t>
      </w:r>
      <w:r w:rsidR="00416710">
        <w:rPr>
          <w:rFonts w:cs="Times New Roman"/>
          <w:szCs w:val="24"/>
        </w:rPr>
        <w:t xml:space="preserve"> network of pedestrian walkways</w:t>
      </w:r>
      <w:r w:rsidR="007062A5">
        <w:rPr>
          <w:rFonts w:cs="Times New Roman"/>
          <w:szCs w:val="24"/>
        </w:rPr>
        <w:t xml:space="preserve"> throughout the urban landscape to reduce pedestrian movement clustering)</w:t>
      </w:r>
      <w:r w:rsidR="00FD334C">
        <w:rPr>
          <w:rFonts w:cs="Times New Roman"/>
          <w:szCs w:val="24"/>
        </w:rPr>
        <w:t xml:space="preserve">, so that </w:t>
      </w:r>
      <w:r w:rsidR="00416710">
        <w:rPr>
          <w:rFonts w:cs="Times New Roman"/>
          <w:szCs w:val="24"/>
        </w:rPr>
        <w:t xml:space="preserve">basic-level walking needs </w:t>
      </w:r>
      <w:r w:rsidR="00FD334C">
        <w:rPr>
          <w:rFonts w:cs="Times New Roman"/>
          <w:szCs w:val="24"/>
        </w:rPr>
        <w:t xml:space="preserve">related to </w:t>
      </w:r>
      <w:r w:rsidR="00416710">
        <w:rPr>
          <w:rFonts w:cs="Times New Roman"/>
          <w:szCs w:val="24"/>
        </w:rPr>
        <w:t>safe health environments are fulfilled</w:t>
      </w:r>
      <w:r w:rsidR="00FD334C">
        <w:rPr>
          <w:rFonts w:cs="Times New Roman"/>
          <w:szCs w:val="24"/>
        </w:rPr>
        <w:t xml:space="preserve">. </w:t>
      </w:r>
    </w:p>
    <w:p w14:paraId="5E4BA041" w14:textId="1487B4BB" w:rsidR="00FD768A" w:rsidRDefault="00093616" w:rsidP="00B4106B">
      <w:pPr>
        <w:spacing w:line="276" w:lineRule="auto"/>
        <w:ind w:firstLine="720"/>
        <w:jc w:val="both"/>
        <w:rPr>
          <w:rFonts w:cs="Times New Roman"/>
          <w:szCs w:val="24"/>
        </w:rPr>
      </w:pPr>
      <w:r>
        <w:rPr>
          <w:rFonts w:cs="Times New Roman"/>
          <w:szCs w:val="24"/>
        </w:rPr>
        <w:lastRenderedPageBreak/>
        <w:t xml:space="preserve">The YJ </w:t>
      </w:r>
      <w:r w:rsidR="00FE57B3">
        <w:rPr>
          <w:rFonts w:cs="Times New Roman"/>
          <w:szCs w:val="24"/>
        </w:rPr>
        <w:t>parameters  indicate</w:t>
      </w:r>
      <w:r w:rsidR="00762E93">
        <w:rPr>
          <w:rFonts w:cs="Times New Roman"/>
          <w:szCs w:val="24"/>
        </w:rPr>
        <w:t>d</w:t>
      </w:r>
      <w:r w:rsidR="00FE57B3">
        <w:rPr>
          <w:rFonts w:cs="Times New Roman"/>
          <w:szCs w:val="24"/>
        </w:rPr>
        <w:t xml:space="preserve"> that the urban equation error </w:t>
      </w:r>
      <w:r w:rsidR="00416710">
        <w:rPr>
          <w:rFonts w:cs="Times New Roman"/>
          <w:szCs w:val="24"/>
        </w:rPr>
        <w:t>i</w:t>
      </w:r>
      <w:r w:rsidR="00FE57B3">
        <w:rPr>
          <w:rFonts w:cs="Times New Roman"/>
          <w:szCs w:val="24"/>
        </w:rPr>
        <w:t xml:space="preserve">s not statistically significantly different from one </w:t>
      </w:r>
      <w:r w:rsidR="00A31B45">
        <w:rPr>
          <w:rFonts w:cs="Times New Roman"/>
          <w:szCs w:val="24"/>
        </w:rPr>
        <w:t xml:space="preserve">at any reasonable level of significance, </w:t>
      </w:r>
      <w:r w:rsidR="00FE57B3">
        <w:rPr>
          <w:rFonts w:cs="Times New Roman"/>
          <w:szCs w:val="24"/>
        </w:rPr>
        <w:t xml:space="preserve">implying that we cannot reject that the urban error term is indeed normally distributed. </w:t>
      </w:r>
      <w:r w:rsidR="00A31B45">
        <w:rPr>
          <w:rFonts w:cs="Times New Roman"/>
          <w:szCs w:val="24"/>
        </w:rPr>
        <w:t xml:space="preserve">So, we constrained the YJ parameter to the value of one. </w:t>
      </w:r>
      <w:r w:rsidR="00FD141C">
        <w:rPr>
          <w:rFonts w:cs="Times New Roman"/>
          <w:szCs w:val="24"/>
        </w:rPr>
        <w:t xml:space="preserve">This normal marginal distribution for the urban living propensity is quite reasonable; there is no intuitive reason to expect skewness in this propensity. </w:t>
      </w:r>
      <w:r w:rsidR="00FE57B3">
        <w:rPr>
          <w:rFonts w:cs="Times New Roman"/>
          <w:szCs w:val="24"/>
        </w:rPr>
        <w:t>However, the YJ parameter for the walking frequency error term is significantly lower than one, indicating a rightward skew; that is, a small number of individuals have a high walk frequency</w:t>
      </w:r>
      <w:r w:rsidR="00CE67DF">
        <w:rPr>
          <w:rFonts w:cs="Times New Roman"/>
          <w:szCs w:val="24"/>
        </w:rPr>
        <w:t xml:space="preserve">, as we hypothesized in Section </w:t>
      </w:r>
      <w:r w:rsidR="00163E0F">
        <w:rPr>
          <w:rFonts w:cs="Times New Roman"/>
          <w:szCs w:val="24"/>
        </w:rPr>
        <w:t>2.1</w:t>
      </w:r>
      <w:r w:rsidR="00FE57B3">
        <w:rPr>
          <w:rFonts w:cs="Times New Roman"/>
          <w:szCs w:val="24"/>
        </w:rPr>
        <w:t xml:space="preserve">. </w:t>
      </w:r>
    </w:p>
    <w:p w14:paraId="09D043AE" w14:textId="122EA087" w:rsidR="009724B2" w:rsidRDefault="009724B2" w:rsidP="00B4106B">
      <w:pPr>
        <w:spacing w:line="276" w:lineRule="auto"/>
        <w:ind w:firstLine="720"/>
        <w:jc w:val="both"/>
        <w:rPr>
          <w:rFonts w:cs="Times New Roman"/>
          <w:szCs w:val="24"/>
        </w:rPr>
      </w:pPr>
      <w:r>
        <w:rPr>
          <w:rFonts w:cs="Times New Roman"/>
          <w:szCs w:val="24"/>
        </w:rPr>
        <w:t xml:space="preserve">Finally, the constants and thresholds toward the end of the table do not have any substantive behavioral interpretation, though they serve the important purpose of mapping the latent propensities underlying the urban residence and walk frequency latent propensities to the corresponding categorical outcomes. </w:t>
      </w:r>
    </w:p>
    <w:p w14:paraId="237AB845" w14:textId="77777777" w:rsidR="009376C1" w:rsidRPr="009376C1" w:rsidRDefault="009376C1" w:rsidP="00B4106B">
      <w:pPr>
        <w:spacing w:line="276" w:lineRule="auto"/>
        <w:ind w:firstLine="720"/>
        <w:jc w:val="both"/>
        <w:rPr>
          <w:rFonts w:cs="Times New Roman"/>
          <w:szCs w:val="24"/>
        </w:rPr>
      </w:pPr>
    </w:p>
    <w:p w14:paraId="75B7B7B2" w14:textId="3F24209F" w:rsidR="00D0568F" w:rsidRPr="00B4106B" w:rsidRDefault="00D0568F" w:rsidP="00E937C8">
      <w:pPr>
        <w:numPr>
          <w:ilvl w:val="1"/>
          <w:numId w:val="7"/>
        </w:numPr>
        <w:spacing w:line="276" w:lineRule="auto"/>
        <w:ind w:left="540" w:hanging="540"/>
        <w:jc w:val="both"/>
        <w:rPr>
          <w:b/>
          <w:bCs/>
        </w:rPr>
      </w:pPr>
      <w:r w:rsidRPr="00B4106B">
        <w:rPr>
          <w:b/>
          <w:bCs/>
        </w:rPr>
        <w:t>Data Fit</w:t>
      </w:r>
      <w:r w:rsidR="00047801" w:rsidRPr="00B4106B">
        <w:rPr>
          <w:b/>
          <w:bCs/>
        </w:rPr>
        <w:t xml:space="preserve"> Measures</w:t>
      </w:r>
    </w:p>
    <w:p w14:paraId="674C7576" w14:textId="7ABF1877" w:rsidR="007148AE" w:rsidRDefault="00332FB7" w:rsidP="00B4106B">
      <w:pPr>
        <w:spacing w:line="276" w:lineRule="auto"/>
        <w:jc w:val="both"/>
        <w:rPr>
          <w:rFonts w:cs="Times New Roman"/>
          <w:szCs w:val="24"/>
        </w:rPr>
      </w:pPr>
      <w:r>
        <w:rPr>
          <w:rFonts w:cs="Times New Roman"/>
          <w:szCs w:val="24"/>
        </w:rPr>
        <w:t>W</w:t>
      </w:r>
      <w:r w:rsidR="00047801" w:rsidRPr="009376C1">
        <w:rPr>
          <w:rFonts w:cs="Times New Roman"/>
          <w:szCs w:val="24"/>
        </w:rPr>
        <w:t xml:space="preserve">e compare our proposed </w:t>
      </w:r>
      <w:r>
        <w:rPr>
          <w:rFonts w:cs="Times New Roman"/>
          <w:szCs w:val="24"/>
        </w:rPr>
        <w:t xml:space="preserve">bivariate YJ </w:t>
      </w:r>
      <w:r w:rsidR="00047801" w:rsidRPr="009376C1">
        <w:rPr>
          <w:rFonts w:cs="Times New Roman"/>
          <w:szCs w:val="24"/>
        </w:rPr>
        <w:t xml:space="preserve">model with </w:t>
      </w:r>
      <w:r w:rsidR="00163E0F">
        <w:rPr>
          <w:rFonts w:cs="Times New Roman"/>
          <w:szCs w:val="24"/>
        </w:rPr>
        <w:t xml:space="preserve">five </w:t>
      </w:r>
      <w:r w:rsidR="00047801" w:rsidRPr="009376C1">
        <w:rPr>
          <w:rFonts w:cs="Times New Roman"/>
          <w:szCs w:val="24"/>
        </w:rPr>
        <w:t xml:space="preserve">other restrictive versions: (i) </w:t>
      </w:r>
      <w:r w:rsidR="0051631C" w:rsidRPr="009376C1">
        <w:rPr>
          <w:rFonts w:cs="Times New Roman"/>
          <w:szCs w:val="24"/>
        </w:rPr>
        <w:t>a model that imposes error normality for both the urban residence and walk frequency outcomes as well as ignores endogeneity of urban residence (independent normal model)</w:t>
      </w:r>
      <w:r w:rsidR="0051631C">
        <w:rPr>
          <w:rFonts w:cs="Times New Roman"/>
          <w:szCs w:val="24"/>
        </w:rPr>
        <w:t xml:space="preserve">, (ii) </w:t>
      </w:r>
      <w:r w:rsidR="00047801" w:rsidRPr="009376C1">
        <w:rPr>
          <w:rFonts w:cs="Times New Roman"/>
          <w:szCs w:val="24"/>
        </w:rPr>
        <w:t xml:space="preserve">a model that considers the </w:t>
      </w:r>
      <w:r w:rsidR="000F3B47" w:rsidRPr="009376C1">
        <w:rPr>
          <w:rFonts w:cs="Times New Roman"/>
          <w:szCs w:val="24"/>
        </w:rPr>
        <w:t xml:space="preserve">endogeneity in urban residence, but considers bivariate normality (bivariate normal model), </w:t>
      </w:r>
      <w:r w:rsidR="003E0F5F">
        <w:rPr>
          <w:rFonts w:cs="Times New Roman"/>
          <w:szCs w:val="24"/>
        </w:rPr>
        <w:t xml:space="preserve">(iii) a model that </w:t>
      </w:r>
      <w:r w:rsidR="003E0F5F" w:rsidRPr="009376C1">
        <w:rPr>
          <w:rFonts w:cs="Times New Roman"/>
          <w:szCs w:val="24"/>
        </w:rPr>
        <w:t>ignores the endogeneity in urban residence, but considers</w:t>
      </w:r>
      <w:r w:rsidR="003E0F5F">
        <w:rPr>
          <w:rFonts w:cs="Times New Roman"/>
          <w:szCs w:val="24"/>
        </w:rPr>
        <w:t xml:space="preserve"> a</w:t>
      </w:r>
      <w:r w:rsidR="003E0F5F" w:rsidRPr="009376C1">
        <w:rPr>
          <w:rFonts w:cs="Times New Roman"/>
          <w:szCs w:val="24"/>
        </w:rPr>
        <w:t xml:space="preserve"> </w:t>
      </w:r>
      <w:r w:rsidR="003E0F5F">
        <w:rPr>
          <w:rFonts w:cs="Times New Roman"/>
          <w:szCs w:val="24"/>
        </w:rPr>
        <w:t xml:space="preserve">skew-normal distribution </w:t>
      </w:r>
      <w:r w:rsidR="003E0F5F" w:rsidRPr="009376C1">
        <w:rPr>
          <w:rFonts w:cs="Times New Roman"/>
          <w:szCs w:val="24"/>
        </w:rPr>
        <w:t xml:space="preserve">for the walk frequency outcome (independent </w:t>
      </w:r>
      <w:r w:rsidR="003E0F5F">
        <w:rPr>
          <w:rFonts w:cs="Times New Roman"/>
          <w:szCs w:val="24"/>
        </w:rPr>
        <w:t>skew-normal</w:t>
      </w:r>
      <w:r w:rsidR="003E0F5F" w:rsidRPr="009376C1">
        <w:rPr>
          <w:rFonts w:cs="Times New Roman"/>
          <w:szCs w:val="24"/>
        </w:rPr>
        <w:t xml:space="preserve"> model</w:t>
      </w:r>
      <w:r w:rsidR="003E0F5F">
        <w:rPr>
          <w:rFonts w:cs="Times New Roman"/>
          <w:szCs w:val="24"/>
        </w:rPr>
        <w:t xml:space="preserve">), (iv) a model that considers the endogeneity in urban residence and adopts a skew-normal distribution for the walk frequency outcome (bivariate skew-normal model), and </w:t>
      </w:r>
      <w:r w:rsidR="000F3B47" w:rsidRPr="009376C1">
        <w:rPr>
          <w:rFonts w:cs="Times New Roman"/>
          <w:szCs w:val="24"/>
        </w:rPr>
        <w:t>(</w:t>
      </w:r>
      <w:r w:rsidR="003E0F5F">
        <w:rPr>
          <w:rFonts w:cs="Times New Roman"/>
          <w:szCs w:val="24"/>
        </w:rPr>
        <w:t>v</w:t>
      </w:r>
      <w:r w:rsidR="000F3B47" w:rsidRPr="009376C1">
        <w:rPr>
          <w:rFonts w:cs="Times New Roman"/>
          <w:szCs w:val="24"/>
        </w:rPr>
        <w:t>) a model that ignores the endogeneity in urban residence, but considers</w:t>
      </w:r>
      <w:r w:rsidR="00282AEC">
        <w:rPr>
          <w:rFonts w:cs="Times New Roman"/>
          <w:szCs w:val="24"/>
        </w:rPr>
        <w:t xml:space="preserve"> a</w:t>
      </w:r>
      <w:r w:rsidR="000F3B47" w:rsidRPr="009376C1">
        <w:rPr>
          <w:rFonts w:cs="Times New Roman"/>
          <w:szCs w:val="24"/>
        </w:rPr>
        <w:t xml:space="preserve"> YJ-transformation for the walk frequency outcome (independent YJ model)</w:t>
      </w:r>
      <w:r w:rsidR="003E0F5F">
        <w:rPr>
          <w:rFonts w:cs="Times New Roman"/>
          <w:szCs w:val="24"/>
        </w:rPr>
        <w:t>.</w:t>
      </w:r>
      <w:r w:rsidR="000F3B47" w:rsidRPr="009376C1">
        <w:rPr>
          <w:rFonts w:cs="Times New Roman"/>
          <w:szCs w:val="24"/>
        </w:rPr>
        <w:t xml:space="preserve"> </w:t>
      </w:r>
      <w:r w:rsidR="00282AEC">
        <w:rPr>
          <w:rFonts w:cs="Times New Roman"/>
          <w:szCs w:val="24"/>
        </w:rPr>
        <w:t>A</w:t>
      </w:r>
      <w:r w:rsidR="00282AEC" w:rsidRPr="009376C1">
        <w:rPr>
          <w:rFonts w:cs="Times New Roman"/>
          <w:szCs w:val="24"/>
        </w:rPr>
        <w:t xml:space="preserve">s in our proposed </w:t>
      </w:r>
      <w:r w:rsidR="00282AEC">
        <w:rPr>
          <w:rFonts w:cs="Times New Roman"/>
          <w:szCs w:val="24"/>
        </w:rPr>
        <w:t xml:space="preserve">bivariate YJ </w:t>
      </w:r>
      <w:r w:rsidR="00282AEC" w:rsidRPr="009376C1">
        <w:rPr>
          <w:rFonts w:cs="Times New Roman"/>
          <w:szCs w:val="24"/>
        </w:rPr>
        <w:t>model, the hypothesis of normality of the error term in the urban residence outcome</w:t>
      </w:r>
      <w:r w:rsidR="00282AEC">
        <w:rPr>
          <w:rFonts w:cs="Times New Roman"/>
          <w:szCs w:val="24"/>
        </w:rPr>
        <w:t xml:space="preserve"> could not be ignored in the</w:t>
      </w:r>
      <w:r w:rsidR="00163E0F">
        <w:rPr>
          <w:rFonts w:cs="Times New Roman"/>
          <w:szCs w:val="24"/>
        </w:rPr>
        <w:t xml:space="preserve"> other non-normal model specifications</w:t>
      </w:r>
      <w:r w:rsidR="00D82B3B">
        <w:rPr>
          <w:rFonts w:cs="Times New Roman"/>
          <w:szCs w:val="24"/>
        </w:rPr>
        <w:t xml:space="preserve"> too</w:t>
      </w:r>
      <w:r w:rsidR="00163E0F">
        <w:rPr>
          <w:rFonts w:cs="Times New Roman"/>
          <w:szCs w:val="24"/>
        </w:rPr>
        <w:t xml:space="preserve">. </w:t>
      </w:r>
      <w:r w:rsidR="00282AEC">
        <w:rPr>
          <w:rFonts w:cs="Times New Roman"/>
          <w:szCs w:val="24"/>
        </w:rPr>
        <w:t xml:space="preserve"> </w:t>
      </w:r>
    </w:p>
    <w:p w14:paraId="11129C42" w14:textId="45EB188A" w:rsidR="00702571" w:rsidRDefault="007148AE" w:rsidP="007148AE">
      <w:pPr>
        <w:spacing w:line="276" w:lineRule="auto"/>
        <w:ind w:firstLine="720"/>
        <w:jc w:val="both"/>
      </w:pPr>
      <w:r>
        <w:rPr>
          <w:rFonts w:cs="Times New Roman"/>
          <w:szCs w:val="24"/>
        </w:rPr>
        <w:t xml:space="preserve">We consider the skew-normal distribution </w:t>
      </w:r>
      <w:r w:rsidR="00D82B3B">
        <w:rPr>
          <w:rFonts w:cs="Times New Roman"/>
          <w:szCs w:val="24"/>
        </w:rPr>
        <w:t xml:space="preserve">in our analysis as an empirical  comparison point with </w:t>
      </w:r>
      <w:r>
        <w:rPr>
          <w:rFonts w:cs="Times New Roman"/>
          <w:szCs w:val="24"/>
        </w:rPr>
        <w:t>our proposed approac</w:t>
      </w:r>
      <w:r w:rsidR="00D82B3B">
        <w:rPr>
          <w:rFonts w:cs="Times New Roman"/>
          <w:szCs w:val="24"/>
        </w:rPr>
        <w:t>h</w:t>
      </w:r>
      <w:r>
        <w:rPr>
          <w:rFonts w:cs="Times New Roman"/>
          <w:szCs w:val="24"/>
        </w:rPr>
        <w:t>. Conceptually, though, there are t</w:t>
      </w:r>
      <w:r w:rsidR="000775C1">
        <w:rPr>
          <w:rFonts w:cs="Times New Roman"/>
          <w:szCs w:val="24"/>
        </w:rPr>
        <w:t>hree</w:t>
      </w:r>
      <w:r>
        <w:rPr>
          <w:rFonts w:cs="Times New Roman"/>
          <w:szCs w:val="24"/>
        </w:rPr>
        <w:t xml:space="preserve"> reasons that one may prefer our YJ approach anyway in multivariate models. First, </w:t>
      </w:r>
      <w:r>
        <w:t xml:space="preserve">while there are different variants of </w:t>
      </w:r>
      <w:r w:rsidR="00163E0F">
        <w:t>the</w:t>
      </w:r>
      <w:r>
        <w:t xml:space="preserve"> multivariate skew-normal distribution (see </w:t>
      </w:r>
      <w:r w:rsidR="00DF08FA" w:rsidRPr="00DF08FA">
        <w:t>Arellano-Valle and Azzalini, 2006</w:t>
      </w:r>
      <w:r w:rsidR="00DF08FA">
        <w:t xml:space="preserve">, and </w:t>
      </w:r>
      <w:r>
        <w:t xml:space="preserve">Lee and McLachlan, 2022), the most common </w:t>
      </w:r>
      <w:r w:rsidR="00163E0F">
        <w:t xml:space="preserve">one </w:t>
      </w:r>
      <w:r>
        <w:t>corresponds to skewness characterized by a single scalar variable, also referred to as the restricted multivariate skew normal (rMSN) distribution. This is the classical skew-normal distribution as proposed by Azzalini and Dalla Valle (1996). The advantage of th</w:t>
      </w:r>
      <w:r w:rsidR="00163E0F">
        <w:t>e</w:t>
      </w:r>
      <w:r>
        <w:t xml:space="preserve"> rMSN distribution is that the cumulative distribution function corresponds to that of a multivariate normal cdf with dimensionality one more than the dimensionality of the outcomes. This comes in handy when the number of outcomes in the model system is quite large (not much of an issue in our case because there are only two outcomes). The disadvantage is that independence cannot be maintained between any two error </w:t>
      </w:r>
      <w:r w:rsidR="00A92360">
        <w:t xml:space="preserve">components within an </w:t>
      </w:r>
      <w:r>
        <w:t>rMSN distribut</w:t>
      </w:r>
      <w:r w:rsidR="00A92360">
        <w:t>ion</w:t>
      </w:r>
      <w:r>
        <w:t>, except if one of them is normally distributed</w:t>
      </w:r>
      <w:r w:rsidR="00A92360">
        <w:t xml:space="preserve"> (that is, two univariate skew-normally distributed random terms that are tied together using the rMSN distribution will necessarily get correlated, thus not allowing for testing for independence</w:t>
      </w:r>
      <w:r w:rsidR="001E2C5F">
        <w:t xml:space="preserve">; see Bhat and Sidharthan, 2012 for a </w:t>
      </w:r>
      <w:r w:rsidR="001E2C5F">
        <w:lastRenderedPageBreak/>
        <w:t>detailed discussion)</w:t>
      </w:r>
      <w:r w:rsidR="00A92360">
        <w:t xml:space="preserve">. Second, </w:t>
      </w:r>
      <w:r w:rsidR="00931537">
        <w:t xml:space="preserve">maximum likelihood estimation of skew-normal parameters can be difficult in many cases, especially limited-dependent model systems. This is because of the </w:t>
      </w:r>
      <w:r w:rsidR="001E2C5F">
        <w:t xml:space="preserve">very </w:t>
      </w:r>
      <w:r w:rsidR="00931537">
        <w:t xml:space="preserve">close connection between the </w:t>
      </w:r>
      <w:r w:rsidR="005539F3">
        <w:t>location</w:t>
      </w:r>
      <w:r w:rsidR="00931537">
        <w:t xml:space="preserve">, </w:t>
      </w:r>
      <w:r w:rsidR="005539F3">
        <w:t>scale</w:t>
      </w:r>
      <w:r w:rsidR="00931537">
        <w:t xml:space="preserve">, and </w:t>
      </w:r>
      <w:r w:rsidR="001E2C5F">
        <w:t xml:space="preserve">skew parameters in characterizing the skew-normal distribution. </w:t>
      </w:r>
      <w:r w:rsidR="005539F3">
        <w:t xml:space="preserve">In particular, even when the location and scale </w:t>
      </w:r>
      <w:r w:rsidR="00702571">
        <w:t xml:space="preserve">parameters </w:t>
      </w:r>
      <w:r w:rsidR="005539F3">
        <w:t xml:space="preserve">are set to zero and one, the mean is directly related to the skew parameter </w:t>
      </w:r>
      <w:r w:rsidR="00702571">
        <w:t>and so is the variance. Thus, especially when the location and scale of an underlying random variable is not identifiable, the skew parameter can be difficult to estimate, as we observed in our own estimations.</w:t>
      </w:r>
      <w:r w:rsidR="000D02B5">
        <w:rPr>
          <w:rStyle w:val="FootnoteReference"/>
        </w:rPr>
        <w:footnoteReference w:id="9"/>
      </w:r>
      <w:r w:rsidR="00702571">
        <w:t xml:space="preserve"> </w:t>
      </w:r>
      <w:r w:rsidR="0086763B">
        <w:t xml:space="preserve">In our </w:t>
      </w:r>
      <w:r w:rsidR="00163E0F">
        <w:t xml:space="preserve">YJ </w:t>
      </w:r>
      <w:r w:rsidR="0086763B">
        <w:t>approach</w:t>
      </w:r>
      <w:r w:rsidR="000775C1">
        <w:t xml:space="preserve">, </w:t>
      </w:r>
      <w:r w:rsidR="0086763B">
        <w:t xml:space="preserve">we do not have any such difficulty during estimation, because </w:t>
      </w:r>
      <w:r w:rsidR="000775C1">
        <w:t xml:space="preserve">the transformation parameter </w:t>
      </w:r>
      <w:r w:rsidR="002024F4" w:rsidRPr="00AF36FD">
        <w:rPr>
          <w:position w:val="-6"/>
        </w:rPr>
        <w:object w:dxaOrig="220" w:dyaOrig="279" w14:anchorId="5B8E7F20">
          <v:shape id="_x0000_i1207" type="#_x0000_t75" style="width:10.7pt;height:13.7pt" o:ole="" o:preferrelative="f">
            <v:imagedata r:id="rId309" o:title=""/>
            <o:lock v:ext="edit" aspectratio="f"/>
          </v:shape>
          <o:OLEObject Type="Embed" ProgID="Equation.DSMT4" ShapeID="_x0000_i1207" DrawAspect="Content" ObjectID="_1790752926" r:id="rId310"/>
        </w:object>
      </w:r>
      <w:r w:rsidR="00AF36FD">
        <w:t xml:space="preserve"> </w:t>
      </w:r>
      <w:r w:rsidR="000775C1">
        <w:t xml:space="preserve">is rather </w:t>
      </w:r>
      <w:r w:rsidR="00AF36FD">
        <w:t>distinct</w:t>
      </w:r>
      <w:r w:rsidR="000775C1">
        <w:t xml:space="preserve"> from the parameters </w:t>
      </w:r>
      <w:r w:rsidR="00AF36FD">
        <w:t xml:space="preserve">characterizing the </w:t>
      </w:r>
      <w:r w:rsidR="000775C1">
        <w:t xml:space="preserve">distribution parameters of </w:t>
      </w:r>
      <w:r w:rsidR="00AF36FD" w:rsidRPr="00AF36FD">
        <w:rPr>
          <w:i/>
          <w:iCs/>
        </w:rPr>
        <w:t>G</w:t>
      </w:r>
      <w:r w:rsidR="00AF36FD">
        <w:t xml:space="preserve">. </w:t>
      </w:r>
      <w:r w:rsidR="000775C1">
        <w:t>Third, the YJ transportation approach, coupled with a</w:t>
      </w:r>
      <w:r w:rsidR="00D82B3B">
        <w:t xml:space="preserve"> </w:t>
      </w:r>
      <w:r w:rsidR="000775C1">
        <w:t>normal distribution for the YJ-transformed variables, is quite flexible and is able to mimic skew-normal distributions well</w:t>
      </w:r>
      <w:r w:rsidR="00D82B3B">
        <w:t xml:space="preserve"> (Bhat et al., 2024)</w:t>
      </w:r>
      <w:r w:rsidR="00163E0F">
        <w:t>.</w:t>
      </w:r>
      <w:r w:rsidR="000775C1">
        <w:t xml:space="preserve"> </w:t>
      </w:r>
    </w:p>
    <w:p w14:paraId="19B2417E" w14:textId="578ED2B2" w:rsidR="00F905F6" w:rsidRPr="00BA1B41" w:rsidRDefault="000775C1" w:rsidP="00656A34">
      <w:pPr>
        <w:spacing w:line="276" w:lineRule="auto"/>
        <w:ind w:firstLine="720"/>
        <w:jc w:val="both"/>
      </w:pPr>
      <w:r>
        <w:t xml:space="preserve">Turning back to the data fit from our empirical analysis, </w:t>
      </w:r>
      <w:r w:rsidR="000D02B5">
        <w:t>t</w:t>
      </w:r>
      <w:r w:rsidR="000D02B5" w:rsidRPr="00BA1B41">
        <w:t>he adjusted likelihood ratio index of each model is first computed as follows with respect to the log-likelihood with only the constants</w:t>
      </w:r>
      <w:r w:rsidR="00163E0F">
        <w:t>/thresholds</w:t>
      </w:r>
      <w:r w:rsidR="000D02B5" w:rsidRPr="00BA1B41">
        <w:t xml:space="preserve"> in the outcomes:</w:t>
      </w:r>
    </w:p>
    <w:p w14:paraId="5A44ECFC" w14:textId="57EFA3C0" w:rsidR="000D02B5" w:rsidRPr="00FC2A05" w:rsidRDefault="002024F4" w:rsidP="00656A34">
      <w:pPr>
        <w:tabs>
          <w:tab w:val="right" w:pos="9360"/>
        </w:tabs>
        <w:spacing w:before="60" w:after="60" w:line="276" w:lineRule="auto"/>
        <w:jc w:val="right"/>
      </w:pPr>
      <w:r w:rsidRPr="006502E4">
        <w:rPr>
          <w:noProof/>
          <w:position w:val="-28"/>
        </w:rPr>
        <w:object w:dxaOrig="1800" w:dyaOrig="720" w14:anchorId="148F3F54">
          <v:shape id="_x0000_i1208" type="#_x0000_t75" alt="" style="width:90pt;height:36pt" o:ole="" o:preferrelative="f">
            <v:imagedata r:id="rId311" o:title=""/>
            <o:lock v:ext="edit" aspectratio="f"/>
          </v:shape>
          <o:OLEObject Type="Embed" ProgID="Equation.DSMT4" ShapeID="_x0000_i1208" DrawAspect="Content" ObjectID="_1790752927" r:id="rId312"/>
        </w:object>
      </w:r>
      <w:r w:rsidR="000D02B5" w:rsidRPr="00FC2A05">
        <w:tab/>
        <w:t>(1</w:t>
      </w:r>
      <w:r w:rsidR="00D82B3B">
        <w:t>8</w:t>
      </w:r>
      <w:r w:rsidR="000D02B5" w:rsidRPr="00FC2A05">
        <w:t>)</w:t>
      </w:r>
    </w:p>
    <w:p w14:paraId="38DA5E7B" w14:textId="5F66CC1C" w:rsidR="00047801" w:rsidRPr="00F905F6" w:rsidRDefault="000D02B5" w:rsidP="00F905F6">
      <w:pPr>
        <w:spacing w:line="276" w:lineRule="auto"/>
        <w:jc w:val="both"/>
      </w:pPr>
      <w:r w:rsidRPr="00C72653">
        <w:t xml:space="preserve">where </w:t>
      </w:r>
      <w:r w:rsidR="002024F4" w:rsidRPr="006502E4">
        <w:rPr>
          <w:noProof/>
          <w:position w:val="-10"/>
        </w:rPr>
        <w:object w:dxaOrig="520" w:dyaOrig="380" w14:anchorId="567D330F">
          <v:shape id="_x0000_i1209" type="#_x0000_t75" alt="" style="width:25.7pt;height:18.85pt" o:ole="" o:preferrelative="f">
            <v:imagedata r:id="rId313" o:title=""/>
            <o:lock v:ext="edit" aspectratio="f"/>
          </v:shape>
          <o:OLEObject Type="Embed" ProgID="Equation.DSMT4" ShapeID="_x0000_i1209" DrawAspect="Content" ObjectID="_1790752928" r:id="rId314"/>
        </w:object>
      </w:r>
      <w:r w:rsidRPr="00FC2A05">
        <w:t xml:space="preserve"> </w:t>
      </w:r>
      <w:r w:rsidR="00EA65A1">
        <w:t xml:space="preserve">is </w:t>
      </w:r>
      <w:r w:rsidRPr="00FC2A05">
        <w:t>the log-likelihood function at convergence and</w:t>
      </w:r>
      <w:r w:rsidR="00EA65A1">
        <w:t xml:space="preserve"> </w:t>
      </w:r>
      <w:r w:rsidR="00EA65A1" w:rsidRPr="006502E4">
        <w:rPr>
          <w:noProof/>
          <w:position w:val="-10"/>
        </w:rPr>
        <w:object w:dxaOrig="499" w:dyaOrig="320" w14:anchorId="19F46406">
          <v:shape id="_x0000_i1210" type="#_x0000_t75" alt="" style="width:24.85pt;height:15.85pt;mso-width-percent:0;mso-height-percent:0;mso-width-percent:0;mso-height-percent:0" o:ole="" o:preferrelative="f">
            <v:imagedata r:id="rId315" o:title=""/>
            <o:lock v:ext="edit" aspectratio="f"/>
          </v:shape>
          <o:OLEObject Type="Embed" ProgID="Equation.DSMT4" ShapeID="_x0000_i1210" DrawAspect="Content" ObjectID="_1790752929" r:id="rId316"/>
        </w:object>
      </w:r>
      <w:r w:rsidR="00EA65A1">
        <w:rPr>
          <w:noProof/>
        </w:rPr>
        <w:t xml:space="preserve"> is the log-likelihood function with only the constants and the thresholds</w:t>
      </w:r>
      <w:r w:rsidR="00EA65A1">
        <w:t xml:space="preserve">; </w:t>
      </w:r>
      <w:r w:rsidRPr="000D02B5">
        <w:rPr>
          <w:i/>
          <w:iCs/>
        </w:rPr>
        <w:t>M</w:t>
      </w:r>
      <w:r w:rsidRPr="00BA1B41">
        <w:t xml:space="preserve"> is the number of parameters (excluding the constants</w:t>
      </w:r>
      <w:r w:rsidR="00EA65A1">
        <w:t xml:space="preserve"> and thresholds</w:t>
      </w:r>
      <w:r w:rsidRPr="00BA1B41">
        <w:t xml:space="preserve">) estimated in the model. </w:t>
      </w:r>
      <w:r>
        <w:t>Further, t</w:t>
      </w:r>
      <w:r w:rsidR="00402CD8">
        <w:t xml:space="preserve">he “independent normal”, the “bivariate model”, and the “independent YJ” models are </w:t>
      </w:r>
      <w:r w:rsidR="00047801" w:rsidRPr="009376C1">
        <w:rPr>
          <w:rFonts w:cs="Times New Roman"/>
          <w:szCs w:val="24"/>
        </w:rPr>
        <w:t>nested within our proposed “</w:t>
      </w:r>
      <w:r w:rsidR="000F3B47" w:rsidRPr="009376C1">
        <w:rPr>
          <w:rFonts w:cs="Times New Roman"/>
          <w:szCs w:val="24"/>
        </w:rPr>
        <w:t>bivariate YJ model</w:t>
      </w:r>
      <w:r w:rsidR="00047801" w:rsidRPr="009376C1">
        <w:rPr>
          <w:rFonts w:cs="Times New Roman"/>
          <w:szCs w:val="24"/>
        </w:rPr>
        <w:t xml:space="preserve">”, </w:t>
      </w:r>
      <w:r w:rsidR="000F3B47" w:rsidRPr="009376C1">
        <w:rPr>
          <w:rFonts w:cs="Times New Roman"/>
          <w:szCs w:val="24"/>
        </w:rPr>
        <w:t xml:space="preserve">making it easy to compare </w:t>
      </w:r>
      <w:r w:rsidR="00047801" w:rsidRPr="009376C1">
        <w:rPr>
          <w:rFonts w:cs="Times New Roman"/>
          <w:szCs w:val="24"/>
        </w:rPr>
        <w:t>performance</w:t>
      </w:r>
      <w:r w:rsidR="000F3B47" w:rsidRPr="009376C1">
        <w:rPr>
          <w:rFonts w:cs="Times New Roman"/>
          <w:szCs w:val="24"/>
        </w:rPr>
        <w:t xml:space="preserve">s </w:t>
      </w:r>
      <w:r w:rsidR="00047801" w:rsidRPr="009376C1">
        <w:rPr>
          <w:rFonts w:cs="Times New Roman"/>
          <w:szCs w:val="24"/>
        </w:rPr>
        <w:t xml:space="preserve">using the likelihood ratio test. The </w:t>
      </w:r>
      <w:r w:rsidR="00E56FE8" w:rsidRPr="009376C1">
        <w:rPr>
          <w:rFonts w:cs="Times New Roman"/>
          <w:szCs w:val="24"/>
        </w:rPr>
        <w:t xml:space="preserve">relevant likelihood-based </w:t>
      </w:r>
      <w:r w:rsidR="00047801" w:rsidRPr="009376C1">
        <w:rPr>
          <w:rFonts w:cs="Times New Roman"/>
          <w:szCs w:val="24"/>
        </w:rPr>
        <w:t xml:space="preserve">data fit measures are provided in </w:t>
      </w:r>
      <w:r w:rsidR="00697D26" w:rsidRPr="009376C1">
        <w:rPr>
          <w:rFonts w:cs="Times New Roman"/>
          <w:szCs w:val="24"/>
        </w:rPr>
        <w:t xml:space="preserve">the top panel of </w:t>
      </w:r>
      <w:r w:rsidR="00047801" w:rsidRPr="009376C1">
        <w:rPr>
          <w:rFonts w:cs="Times New Roman"/>
          <w:szCs w:val="24"/>
        </w:rPr>
        <w:t xml:space="preserve">Table </w:t>
      </w:r>
      <w:r w:rsidR="00E76311">
        <w:rPr>
          <w:rFonts w:cs="Times New Roman"/>
          <w:szCs w:val="24"/>
        </w:rPr>
        <w:t>2</w:t>
      </w:r>
      <w:r w:rsidR="00047801" w:rsidRPr="009376C1">
        <w:rPr>
          <w:rFonts w:cs="Times New Roman"/>
          <w:szCs w:val="24"/>
        </w:rPr>
        <w:t xml:space="preserve">. </w:t>
      </w:r>
      <w:r w:rsidR="00163E0F">
        <w:t xml:space="preserve">The </w:t>
      </w:r>
      <w:r w:rsidR="002024F4" w:rsidRPr="00D87B5F">
        <w:rPr>
          <w:position w:val="-10"/>
        </w:rPr>
        <w:object w:dxaOrig="320" w:dyaOrig="360" w14:anchorId="4612F299">
          <v:shape id="_x0000_i1211" type="#_x0000_t75" style="width:16.3pt;height:18pt" o:ole="" o:preferrelative="f">
            <v:imagedata r:id="rId317" o:title=""/>
            <o:lock v:ext="edit" aspectratio="f"/>
          </v:shape>
          <o:OLEObject Type="Embed" ProgID="Equation.DSMT4" ShapeID="_x0000_i1211" DrawAspect="Content" ObjectID="_1790752930" r:id="rId318"/>
        </w:object>
      </w:r>
      <w:r w:rsidR="00163E0F">
        <w:t xml:space="preserve"> value for our proposed model is better than that for all the other models. </w:t>
      </w:r>
      <w:r w:rsidR="0028261A">
        <w:rPr>
          <w:rFonts w:cs="Times New Roman"/>
          <w:szCs w:val="24"/>
        </w:rPr>
        <w:t>L</w:t>
      </w:r>
      <w:r w:rsidR="00047801" w:rsidRPr="009376C1">
        <w:rPr>
          <w:rFonts w:cs="Times New Roman"/>
          <w:szCs w:val="24"/>
        </w:rPr>
        <w:t xml:space="preserve">ikelihood ratio </w:t>
      </w:r>
      <w:r w:rsidR="0028261A">
        <w:rPr>
          <w:rFonts w:cs="Times New Roman"/>
          <w:szCs w:val="24"/>
        </w:rPr>
        <w:t xml:space="preserve">(LR) </w:t>
      </w:r>
      <w:r w:rsidR="00047801" w:rsidRPr="009376C1">
        <w:rPr>
          <w:rFonts w:cs="Times New Roman"/>
          <w:szCs w:val="24"/>
        </w:rPr>
        <w:t xml:space="preserve">tests (when the proposed model is compared to the three </w:t>
      </w:r>
      <w:r w:rsidR="00163E0F">
        <w:rPr>
          <w:rFonts w:cs="Times New Roman"/>
          <w:szCs w:val="24"/>
        </w:rPr>
        <w:t>nested and restricted</w:t>
      </w:r>
      <w:r w:rsidR="00047801" w:rsidRPr="009376C1">
        <w:rPr>
          <w:rFonts w:cs="Times New Roman"/>
          <w:szCs w:val="24"/>
        </w:rPr>
        <w:t xml:space="preserve"> versions) yield values that are</w:t>
      </w:r>
      <w:r w:rsidR="0051631C">
        <w:rPr>
          <w:rFonts w:cs="Times New Roman"/>
          <w:szCs w:val="24"/>
        </w:rPr>
        <w:t xml:space="preserve"> </w:t>
      </w:r>
      <w:r w:rsidR="00047801" w:rsidRPr="009376C1">
        <w:rPr>
          <w:rFonts w:cs="Times New Roman"/>
          <w:szCs w:val="24"/>
        </w:rPr>
        <w:t xml:space="preserve">higher than the critical chi-squared table values at any reasonable significance </w:t>
      </w:r>
      <w:r w:rsidR="0051631C">
        <w:rPr>
          <w:rFonts w:cs="Times New Roman"/>
          <w:szCs w:val="24"/>
        </w:rPr>
        <w:t xml:space="preserve">level </w:t>
      </w:r>
      <w:r w:rsidR="00047801" w:rsidRPr="009376C1">
        <w:rPr>
          <w:rFonts w:cs="Times New Roman"/>
          <w:szCs w:val="24"/>
        </w:rPr>
        <w:t xml:space="preserve">(at the respective degrees of freedom). </w:t>
      </w:r>
      <w:r w:rsidR="003E0F5F">
        <w:rPr>
          <w:rFonts w:cs="Times New Roman"/>
          <w:szCs w:val="24"/>
        </w:rPr>
        <w:t xml:space="preserve">The “independent skew-normal” and “bivariate skew-normal” are not nested within our proposed model, but can be compared using a non-nested likelihood ratio test. </w:t>
      </w:r>
      <w:r>
        <w:rPr>
          <w:rFonts w:cs="Times New Roman"/>
          <w:szCs w:val="24"/>
        </w:rPr>
        <w:t xml:space="preserve">For example, </w:t>
      </w:r>
      <w:r>
        <w:t>l</w:t>
      </w:r>
      <w:r w:rsidR="003E0F5F" w:rsidRPr="00BA1B41">
        <w:t xml:space="preserve">et </w:t>
      </w:r>
      <w:r w:rsidR="00F55F82" w:rsidRPr="000D02B5">
        <w:rPr>
          <w:position w:val="-14"/>
        </w:rPr>
        <w:object w:dxaOrig="1840" w:dyaOrig="400" w14:anchorId="26658DFC">
          <v:shape id="_x0000_i1212" type="#_x0000_t75" style="width:92.15pt;height:20.15pt" o:ole="" o:preferrelative="f">
            <v:imagedata r:id="rId319" o:title=""/>
            <o:lock v:ext="edit" aspectratio="f"/>
          </v:shape>
          <o:OLEObject Type="Embed" ProgID="Equation.DSMT4" ShapeID="_x0000_i1212" DrawAspect="Content" ObjectID="_1790752931" r:id="rId320"/>
        </w:object>
      </w:r>
      <w:r>
        <w:t xml:space="preserve"> be the </w:t>
      </w:r>
      <w:r w:rsidR="002024F4" w:rsidRPr="00D87B5F">
        <w:rPr>
          <w:position w:val="-10"/>
        </w:rPr>
        <w:object w:dxaOrig="320" w:dyaOrig="360" w14:anchorId="71C61440">
          <v:shape id="_x0000_i1213" type="#_x0000_t75" style="width:16.3pt;height:18pt" o:ole="" o:preferrelative="f">
            <v:imagedata r:id="rId317" o:title=""/>
            <o:lock v:ext="edit" aspectratio="f"/>
          </v:shape>
          <o:OLEObject Type="Embed" ProgID="Equation.DSMT4" ShapeID="_x0000_i1213" DrawAspect="Content" ObjectID="_1790752932" r:id="rId321"/>
        </w:object>
      </w:r>
      <w:r>
        <w:t xml:space="preserve"> for the proposed YJ and the independent skew models, respectively. </w:t>
      </w:r>
      <w:r w:rsidR="003E0F5F" w:rsidRPr="00FC2A05">
        <w:t xml:space="preserve">If the difference in the indices is </w:t>
      </w:r>
      <w:r w:rsidR="002024F4" w:rsidRPr="000D02B5">
        <w:rPr>
          <w:noProof/>
          <w:position w:val="-14"/>
        </w:rPr>
        <w:object w:dxaOrig="2040" w:dyaOrig="400" w14:anchorId="6A2D7F99">
          <v:shape id="_x0000_i1214" type="#_x0000_t75" alt="" style="width:102pt;height:20.15pt" o:ole="" o:preferrelative="f">
            <v:imagedata r:id="rId322" o:title=""/>
            <o:lock v:ext="edit" aspectratio="f"/>
          </v:shape>
          <o:OLEObject Type="Embed" ProgID="Equation.DSMT4" ShapeID="_x0000_i1214" DrawAspect="Content" ObjectID="_1790752933" r:id="rId323"/>
        </w:object>
      </w:r>
      <w:r w:rsidR="003E0F5F" w:rsidRPr="00FC2A05">
        <w:t xml:space="preserve">, then the probability that this difference could have occurred by chance is no larger than </w:t>
      </w:r>
      <w:r w:rsidR="002024F4" w:rsidRPr="006502E4">
        <w:rPr>
          <w:noProof/>
          <w:position w:val="-12"/>
        </w:rPr>
        <w:object w:dxaOrig="3580" w:dyaOrig="380" w14:anchorId="6E84F655">
          <v:shape id="_x0000_i1215" type="#_x0000_t75" alt="" style="width:179.15pt;height:18pt;mso-width-percent:0;mso-height-percent:0;mso-width-percent:0;mso-height-percent:0" o:ole="" o:preferrelative="f">
            <v:imagedata r:id="rId324" o:title=""/>
            <o:lock v:ext="edit" aspectratio="f"/>
          </v:shape>
          <o:OLEObject Type="Embed" ProgID="Equation.DSMT4" ShapeID="_x0000_i1215" DrawAspect="Content" ObjectID="_1790752934" r:id="rId325"/>
        </w:object>
      </w:r>
      <w:r w:rsidR="003E0F5F" w:rsidRPr="00FC2A05">
        <w:t>, with a small value for the probability of chance occurrence suggesting that the difference is statistically significant and the model with the higher value for the adjusted likelihood ratio index is pr</w:t>
      </w:r>
      <w:r w:rsidR="003E0F5F" w:rsidRPr="00BA1B41">
        <w:t>eferred.</w:t>
      </w:r>
      <w:r w:rsidR="0086763B">
        <w:t xml:space="preserve"> </w:t>
      </w:r>
      <w:r w:rsidR="0086763B">
        <w:lastRenderedPageBreak/>
        <w:t xml:space="preserve">The results for these non-nested LR tests are also provided in the top panel of Table 2, and again indicate the superior fit of our proposed YJ approach relative to the skew-normal approach. </w:t>
      </w:r>
    </w:p>
    <w:p w14:paraId="475A1C63" w14:textId="3A70C527" w:rsidR="00C0093D" w:rsidRDefault="00E56FE8" w:rsidP="00F905F6">
      <w:pPr>
        <w:spacing w:line="276" w:lineRule="auto"/>
        <w:ind w:firstLine="720"/>
        <w:jc w:val="both"/>
        <w:rPr>
          <w:rFonts w:cs="Times New Roman"/>
          <w:szCs w:val="24"/>
        </w:rPr>
      </w:pPr>
      <w:bookmarkStart w:id="11" w:name="_Hlk153102497"/>
      <w:r w:rsidRPr="009376C1">
        <w:rPr>
          <w:rFonts w:cs="Times New Roman"/>
          <w:szCs w:val="24"/>
        </w:rPr>
        <w:t xml:space="preserve">In addition to the likelihood-based data fit measures, we also compute more intuitive </w:t>
      </w:r>
      <w:r w:rsidR="00047801" w:rsidRPr="009376C1">
        <w:rPr>
          <w:rFonts w:cs="Times New Roman"/>
          <w:szCs w:val="24"/>
        </w:rPr>
        <w:t>non-likelihood based data fit metrics</w:t>
      </w:r>
      <w:r w:rsidR="00846F03" w:rsidRPr="009376C1">
        <w:rPr>
          <w:rFonts w:cs="Times New Roman"/>
          <w:szCs w:val="24"/>
        </w:rPr>
        <w:t xml:space="preserve">. At a disaggregate level, we compute the </w:t>
      </w:r>
      <w:r w:rsidR="00697D26" w:rsidRPr="009376C1">
        <w:rPr>
          <w:rFonts w:cs="Times New Roman"/>
          <w:szCs w:val="24"/>
        </w:rPr>
        <w:t xml:space="preserve">average (across individuals) probability of correct prediction (for the joint outcome of urban/non-urban living and walk frequency).  At an aggregate level, we compare the predicted and actual (observed) </w:t>
      </w:r>
      <w:r w:rsidR="00E41D09">
        <w:rPr>
          <w:rFonts w:cs="Times New Roman"/>
          <w:szCs w:val="24"/>
        </w:rPr>
        <w:t>numbers</w:t>
      </w:r>
      <w:r w:rsidR="00697D26" w:rsidRPr="009376C1">
        <w:rPr>
          <w:rFonts w:cs="Times New Roman"/>
          <w:szCs w:val="24"/>
        </w:rPr>
        <w:t xml:space="preserve"> in each of the ten combinations of residence type and walk frequency, and compute a weighted average percentage error (WAPE) across all the ten possible combinations. The </w:t>
      </w:r>
      <w:r w:rsidR="00E76311">
        <w:rPr>
          <w:rFonts w:cs="Times New Roman"/>
          <w:szCs w:val="24"/>
        </w:rPr>
        <w:t>middle</w:t>
      </w:r>
      <w:r w:rsidR="00697D26" w:rsidRPr="009376C1">
        <w:rPr>
          <w:rFonts w:cs="Times New Roman"/>
          <w:szCs w:val="24"/>
        </w:rPr>
        <w:t xml:space="preserve"> panel of </w:t>
      </w:r>
      <w:r w:rsidR="00846F03" w:rsidRPr="009376C1">
        <w:rPr>
          <w:rFonts w:cs="Times New Roman"/>
          <w:szCs w:val="24"/>
        </w:rPr>
        <w:t xml:space="preserve">Table </w:t>
      </w:r>
      <w:r w:rsidR="00E76311">
        <w:rPr>
          <w:rFonts w:cs="Times New Roman"/>
          <w:szCs w:val="24"/>
        </w:rPr>
        <w:t>2</w:t>
      </w:r>
      <w:r w:rsidR="00846F03" w:rsidRPr="009376C1">
        <w:rPr>
          <w:rFonts w:cs="Times New Roman"/>
          <w:szCs w:val="24"/>
        </w:rPr>
        <w:t xml:space="preserve"> presents the</w:t>
      </w:r>
      <w:r w:rsidR="00697D26" w:rsidRPr="009376C1">
        <w:rPr>
          <w:rFonts w:cs="Times New Roman"/>
          <w:szCs w:val="24"/>
        </w:rPr>
        <w:t>se</w:t>
      </w:r>
      <w:r w:rsidR="00846F03" w:rsidRPr="009376C1">
        <w:rPr>
          <w:rFonts w:cs="Times New Roman"/>
          <w:szCs w:val="24"/>
        </w:rPr>
        <w:t xml:space="preserve"> </w:t>
      </w:r>
      <w:r w:rsidR="00697D26" w:rsidRPr="009376C1">
        <w:rPr>
          <w:rFonts w:cs="Times New Roman"/>
          <w:szCs w:val="24"/>
        </w:rPr>
        <w:t xml:space="preserve">non-likelihood </w:t>
      </w:r>
      <w:r w:rsidR="00846F03" w:rsidRPr="009376C1">
        <w:rPr>
          <w:rFonts w:cs="Times New Roman"/>
          <w:szCs w:val="24"/>
        </w:rPr>
        <w:t xml:space="preserve">data fit </w:t>
      </w:r>
      <w:r w:rsidR="00697D26" w:rsidRPr="009376C1">
        <w:rPr>
          <w:rFonts w:cs="Times New Roman"/>
          <w:szCs w:val="24"/>
        </w:rPr>
        <w:t xml:space="preserve">measures. </w:t>
      </w:r>
      <w:r w:rsidR="00846F03" w:rsidRPr="009376C1">
        <w:rPr>
          <w:rFonts w:cs="Times New Roman"/>
          <w:szCs w:val="24"/>
        </w:rPr>
        <w:t>The results clearly show that the predict</w:t>
      </w:r>
      <w:r w:rsidR="00697D26" w:rsidRPr="009376C1">
        <w:rPr>
          <w:rFonts w:cs="Times New Roman"/>
          <w:szCs w:val="24"/>
        </w:rPr>
        <w:t xml:space="preserve">ions from our proposed </w:t>
      </w:r>
      <w:r w:rsidR="00846F03" w:rsidRPr="009376C1">
        <w:rPr>
          <w:rFonts w:cs="Times New Roman"/>
          <w:szCs w:val="24"/>
        </w:rPr>
        <w:t xml:space="preserve">model are closer to the </w:t>
      </w:r>
      <w:r w:rsidR="00697D26" w:rsidRPr="009376C1">
        <w:rPr>
          <w:rFonts w:cs="Times New Roman"/>
          <w:szCs w:val="24"/>
        </w:rPr>
        <w:t xml:space="preserve">observed values at both the disaggregate and aggregate levels. </w:t>
      </w:r>
      <w:r w:rsidR="0028261A">
        <w:rPr>
          <w:rFonts w:cs="Times New Roman"/>
          <w:szCs w:val="24"/>
        </w:rPr>
        <w:t xml:space="preserve">Indeed, the </w:t>
      </w:r>
      <w:r w:rsidR="0051631C">
        <w:rPr>
          <w:rFonts w:cs="Times New Roman"/>
          <w:szCs w:val="24"/>
        </w:rPr>
        <w:t xml:space="preserve">aggregate </w:t>
      </w:r>
      <w:r w:rsidR="0028261A">
        <w:rPr>
          <w:rFonts w:cs="Times New Roman"/>
          <w:szCs w:val="24"/>
        </w:rPr>
        <w:t xml:space="preserve">match of the predicted and actual values for our proposed bivariate YJ model is remarkable, especially given that the proposed model includes just one additional parameter (corresponding to the error term shape for the walk frequency model) relative to the bivariate normal model. Of course, we also </w:t>
      </w:r>
      <w:r w:rsidR="00E41D09">
        <w:rPr>
          <w:rFonts w:cs="Times New Roman"/>
          <w:szCs w:val="24"/>
        </w:rPr>
        <w:t xml:space="preserve">will </w:t>
      </w:r>
      <w:r w:rsidR="0028261A">
        <w:rPr>
          <w:rFonts w:cs="Times New Roman"/>
          <w:szCs w:val="24"/>
        </w:rPr>
        <w:t>note that the WAPE for the other models are not too bad</w:t>
      </w:r>
      <w:r w:rsidR="00E41D09">
        <w:rPr>
          <w:rFonts w:cs="Times New Roman"/>
          <w:szCs w:val="24"/>
        </w:rPr>
        <w:t xml:space="preserve"> either</w:t>
      </w:r>
      <w:r w:rsidR="0028261A">
        <w:rPr>
          <w:rFonts w:cs="Times New Roman"/>
          <w:szCs w:val="24"/>
        </w:rPr>
        <w:t xml:space="preserve">, but the superior fit of the proposed model for each and every combination is clear. Interesting too is that, while the bivariate normal model </w:t>
      </w:r>
      <w:r w:rsidR="009B729A">
        <w:rPr>
          <w:rFonts w:cs="Times New Roman"/>
          <w:szCs w:val="24"/>
        </w:rPr>
        <w:t xml:space="preserve">(the bivariate skew-normal model) </w:t>
      </w:r>
      <w:r w:rsidR="0028261A">
        <w:rPr>
          <w:rFonts w:cs="Times New Roman"/>
          <w:szCs w:val="24"/>
        </w:rPr>
        <w:t xml:space="preserve">does have a </w:t>
      </w:r>
      <w:r w:rsidR="00C0542F">
        <w:rPr>
          <w:rFonts w:cs="Times New Roman"/>
          <w:szCs w:val="24"/>
        </w:rPr>
        <w:t xml:space="preserve">statistically </w:t>
      </w:r>
      <w:r w:rsidR="0028261A">
        <w:rPr>
          <w:rFonts w:cs="Times New Roman"/>
          <w:szCs w:val="24"/>
        </w:rPr>
        <w:t xml:space="preserve">better log-likelihood at convergence </w:t>
      </w:r>
      <w:r w:rsidR="00C0542F">
        <w:rPr>
          <w:rFonts w:cs="Times New Roman"/>
          <w:szCs w:val="24"/>
        </w:rPr>
        <w:t xml:space="preserve">at the 95% confidence level </w:t>
      </w:r>
      <w:r w:rsidR="0028261A">
        <w:rPr>
          <w:rFonts w:cs="Times New Roman"/>
          <w:szCs w:val="24"/>
        </w:rPr>
        <w:t xml:space="preserve">(and </w:t>
      </w:r>
      <w:r w:rsidR="00C0542F">
        <w:rPr>
          <w:rFonts w:cs="Times New Roman"/>
          <w:szCs w:val="24"/>
        </w:rPr>
        <w:t xml:space="preserve">also a better </w:t>
      </w:r>
      <w:r w:rsidR="0028261A">
        <w:rPr>
          <w:rFonts w:cs="Times New Roman"/>
          <w:szCs w:val="24"/>
        </w:rPr>
        <w:t>average probability of correct prediction) relative to the independent normal model</w:t>
      </w:r>
      <w:r w:rsidR="009B729A">
        <w:rPr>
          <w:rFonts w:cs="Times New Roman"/>
          <w:szCs w:val="24"/>
        </w:rPr>
        <w:t xml:space="preserve"> (</w:t>
      </w:r>
      <w:r w:rsidR="0062535E">
        <w:rPr>
          <w:rFonts w:cs="Times New Roman"/>
          <w:szCs w:val="24"/>
        </w:rPr>
        <w:t>the independent skew-normal model)</w:t>
      </w:r>
      <w:r w:rsidR="0028261A">
        <w:rPr>
          <w:rFonts w:cs="Times New Roman"/>
          <w:szCs w:val="24"/>
        </w:rPr>
        <w:t>, the difference between these two models from a data fit perspective at the aggregate level is not too substantial</w:t>
      </w:r>
      <w:r w:rsidR="00C0542F">
        <w:rPr>
          <w:rFonts w:cs="Times New Roman"/>
          <w:szCs w:val="24"/>
        </w:rPr>
        <w:t xml:space="preserve"> (in fact, the independent normal </w:t>
      </w:r>
      <w:r w:rsidR="0062535E">
        <w:rPr>
          <w:rFonts w:cs="Times New Roman"/>
          <w:szCs w:val="24"/>
        </w:rPr>
        <w:t xml:space="preserve">and independent skew-normal </w:t>
      </w:r>
      <w:r w:rsidR="00C0542F">
        <w:rPr>
          <w:rFonts w:cs="Times New Roman"/>
          <w:szCs w:val="24"/>
        </w:rPr>
        <w:t>model</w:t>
      </w:r>
      <w:r w:rsidR="0062535E">
        <w:rPr>
          <w:rFonts w:cs="Times New Roman"/>
          <w:szCs w:val="24"/>
        </w:rPr>
        <w:t>s</w:t>
      </w:r>
      <w:r w:rsidR="00C0542F">
        <w:rPr>
          <w:rFonts w:cs="Times New Roman"/>
          <w:szCs w:val="24"/>
        </w:rPr>
        <w:t xml:space="preserve"> do marginally better</w:t>
      </w:r>
      <w:r w:rsidR="0062535E">
        <w:rPr>
          <w:rFonts w:cs="Times New Roman"/>
          <w:szCs w:val="24"/>
        </w:rPr>
        <w:t xml:space="preserve"> than their respective bivariate counterparts</w:t>
      </w:r>
      <w:r w:rsidR="00C0542F">
        <w:rPr>
          <w:rFonts w:cs="Times New Roman"/>
          <w:szCs w:val="24"/>
        </w:rPr>
        <w:t>; this can happen because the emphasis of the maximum likelihood estimation procedure is on maximizing the probability of the chosen alternative for each individual, not on aggregate predictions)</w:t>
      </w:r>
      <w:r w:rsidR="0028261A">
        <w:rPr>
          <w:rFonts w:cs="Times New Roman"/>
          <w:szCs w:val="24"/>
        </w:rPr>
        <w:t>.</w:t>
      </w:r>
      <w:r w:rsidR="00C0542F">
        <w:rPr>
          <w:rFonts w:cs="Times New Roman"/>
          <w:szCs w:val="24"/>
        </w:rPr>
        <w:t xml:space="preserve"> In contrast, the proposed bivariate YJ model has a clear superior fit at both the disaggregate and aggregate levels. </w:t>
      </w:r>
    </w:p>
    <w:bookmarkEnd w:id="11"/>
    <w:p w14:paraId="1F228BCF" w14:textId="06606F15" w:rsidR="00222560" w:rsidRDefault="00222560" w:rsidP="00222560">
      <w:pPr>
        <w:spacing w:line="276" w:lineRule="auto"/>
        <w:jc w:val="both"/>
        <w:rPr>
          <w:rFonts w:cs="Times New Roman"/>
          <w:szCs w:val="24"/>
        </w:rPr>
        <w:sectPr w:rsidR="00222560" w:rsidSect="00FE38B5">
          <w:footerReference w:type="default" r:id="rId326"/>
          <w:pgSz w:w="12240" w:h="15840"/>
          <w:pgMar w:top="1440" w:right="1440" w:bottom="1440" w:left="1440" w:header="720" w:footer="720" w:gutter="0"/>
          <w:pgNumType w:start="1"/>
          <w:cols w:space="720"/>
          <w:docGrid w:linePitch="360"/>
        </w:sectPr>
      </w:pPr>
    </w:p>
    <w:p w14:paraId="36A4BE90" w14:textId="77777777" w:rsidR="00222560" w:rsidRDefault="00222560" w:rsidP="00222560">
      <w:pPr>
        <w:rPr>
          <w:rFonts w:eastAsia="Calibri"/>
          <w:b/>
          <w:bCs/>
        </w:rPr>
      </w:pPr>
      <w:r w:rsidRPr="00FE3EAF">
        <w:rPr>
          <w:rFonts w:eastAsia="Calibri"/>
          <w:b/>
          <w:bCs/>
        </w:rPr>
        <w:lastRenderedPageBreak/>
        <w:t xml:space="preserve">Table </w:t>
      </w:r>
      <w:r>
        <w:rPr>
          <w:rFonts w:eastAsia="Calibri"/>
          <w:b/>
          <w:bCs/>
        </w:rPr>
        <w:t>2</w:t>
      </w:r>
      <w:r w:rsidRPr="00FE3EAF">
        <w:rPr>
          <w:rFonts w:eastAsia="Calibri"/>
          <w:b/>
          <w:bCs/>
        </w:rPr>
        <w:t xml:space="preserve">: Data </w:t>
      </w:r>
      <w:r>
        <w:rPr>
          <w:rFonts w:eastAsia="Calibri"/>
          <w:b/>
          <w:bCs/>
        </w:rPr>
        <w:t>f</w:t>
      </w:r>
      <w:r w:rsidRPr="00FE3EAF">
        <w:rPr>
          <w:rFonts w:eastAsia="Calibri"/>
          <w:b/>
          <w:bCs/>
        </w:rPr>
        <w:t xml:space="preserve">it </w:t>
      </w:r>
      <w:r>
        <w:rPr>
          <w:rFonts w:eastAsia="Calibri"/>
          <w:b/>
          <w:bCs/>
        </w:rPr>
        <w:t>and ATE m</w:t>
      </w:r>
      <w:r w:rsidRPr="00FE3EAF">
        <w:rPr>
          <w:rFonts w:eastAsia="Calibri"/>
          <w:b/>
          <w:bCs/>
        </w:rPr>
        <w:t>easures</w:t>
      </w:r>
    </w:p>
    <w:tbl>
      <w:tblPr>
        <w:tblW w:w="5141" w:type="pct"/>
        <w:tblInd w:w="-1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50"/>
        <w:gridCol w:w="3781"/>
        <w:gridCol w:w="900"/>
        <w:gridCol w:w="1348"/>
        <w:gridCol w:w="1267"/>
        <w:gridCol w:w="1196"/>
        <w:gridCol w:w="1199"/>
        <w:gridCol w:w="1153"/>
        <w:gridCol w:w="35"/>
        <w:gridCol w:w="1362"/>
      </w:tblGrid>
      <w:tr w:rsidR="008864A2" w:rsidRPr="00222560" w14:paraId="58DC009B" w14:textId="77777777" w:rsidTr="003532CA">
        <w:trPr>
          <w:trHeight w:val="302"/>
        </w:trPr>
        <w:tc>
          <w:tcPr>
            <w:tcW w:w="497" w:type="pct"/>
            <w:tcBorders>
              <w:top w:val="double" w:sz="4" w:space="0" w:color="auto"/>
              <w:bottom w:val="double" w:sz="4" w:space="0" w:color="auto"/>
              <w:right w:val="double" w:sz="4" w:space="0" w:color="auto"/>
            </w:tcBorders>
            <w:tcMar>
              <w:left w:w="58" w:type="dxa"/>
              <w:right w:w="58" w:type="dxa"/>
            </w:tcMar>
            <w:vAlign w:val="center"/>
          </w:tcPr>
          <w:p w14:paraId="692F7C3E" w14:textId="77777777" w:rsidR="003E2204" w:rsidRPr="00222560" w:rsidRDefault="003E2204" w:rsidP="00EA3E26">
            <w:pPr>
              <w:jc w:val="center"/>
              <w:rPr>
                <w:rFonts w:eastAsia="Calibri" w:cs="Times New Roman"/>
                <w:b/>
                <w:bCs/>
                <w:sz w:val="20"/>
                <w:szCs w:val="20"/>
              </w:rPr>
            </w:pPr>
            <w:r w:rsidRPr="00222560">
              <w:rPr>
                <w:rFonts w:eastAsia="Calibri" w:cs="Times New Roman"/>
                <w:b/>
                <w:bCs/>
                <w:sz w:val="20"/>
                <w:szCs w:val="20"/>
              </w:rPr>
              <w:t>Measure Type</w:t>
            </w:r>
          </w:p>
        </w:tc>
        <w:tc>
          <w:tcPr>
            <w:tcW w:w="1722" w:type="pct"/>
            <w:gridSpan w:val="2"/>
            <w:tcBorders>
              <w:top w:val="double" w:sz="4" w:space="0" w:color="auto"/>
              <w:left w:val="double" w:sz="4" w:space="0" w:color="auto"/>
              <w:bottom w:val="double" w:sz="4" w:space="0" w:color="auto"/>
              <w:right w:val="double" w:sz="4" w:space="0" w:color="auto"/>
            </w:tcBorders>
            <w:shd w:val="clear" w:color="auto" w:fill="auto"/>
            <w:noWrap/>
            <w:tcMar>
              <w:left w:w="58" w:type="dxa"/>
              <w:right w:w="58" w:type="dxa"/>
            </w:tcMar>
            <w:vAlign w:val="center"/>
            <w:hideMark/>
          </w:tcPr>
          <w:p w14:paraId="5DBE3FDF" w14:textId="77777777" w:rsidR="003E2204" w:rsidRPr="00222560" w:rsidRDefault="003E2204" w:rsidP="00456E56">
            <w:pPr>
              <w:jc w:val="center"/>
              <w:rPr>
                <w:rFonts w:eastAsia="Times New Roman" w:cs="Times New Roman"/>
                <w:b/>
                <w:bCs/>
                <w:color w:val="000000"/>
                <w:sz w:val="20"/>
                <w:szCs w:val="20"/>
              </w:rPr>
            </w:pPr>
            <w:r w:rsidRPr="00222560">
              <w:rPr>
                <w:rFonts w:eastAsia="Calibri" w:cs="Times New Roman"/>
                <w:b/>
                <w:bCs/>
                <w:sz w:val="20"/>
                <w:szCs w:val="20"/>
              </w:rPr>
              <w:br w:type="page"/>
            </w:r>
            <w:r w:rsidRPr="00222560">
              <w:rPr>
                <w:rFonts w:eastAsia="Times New Roman" w:cs="Times New Roman"/>
                <w:b/>
                <w:bCs/>
                <w:color w:val="000000"/>
                <w:sz w:val="20"/>
                <w:szCs w:val="20"/>
              </w:rPr>
              <w:t>Metric</w:t>
            </w:r>
          </w:p>
        </w:tc>
        <w:tc>
          <w:tcPr>
            <w:tcW w:w="496" w:type="pct"/>
            <w:tcBorders>
              <w:top w:val="double" w:sz="4" w:space="0" w:color="auto"/>
              <w:left w:val="double" w:sz="4" w:space="0" w:color="auto"/>
              <w:bottom w:val="double" w:sz="4" w:space="0" w:color="auto"/>
            </w:tcBorders>
            <w:shd w:val="clear" w:color="auto" w:fill="auto"/>
            <w:noWrap/>
            <w:tcMar>
              <w:left w:w="58" w:type="dxa"/>
              <w:right w:w="58" w:type="dxa"/>
            </w:tcMar>
            <w:vAlign w:val="bottom"/>
            <w:hideMark/>
          </w:tcPr>
          <w:p w14:paraId="66A536AF" w14:textId="1F6A0661" w:rsidR="003E2204" w:rsidRPr="00222560" w:rsidRDefault="003E2204" w:rsidP="00456E56">
            <w:pPr>
              <w:jc w:val="center"/>
              <w:rPr>
                <w:rFonts w:eastAsia="Times New Roman" w:cs="Times New Roman"/>
                <w:b/>
                <w:bCs/>
                <w:color w:val="000000"/>
                <w:sz w:val="20"/>
                <w:szCs w:val="20"/>
              </w:rPr>
            </w:pPr>
            <w:r w:rsidRPr="00222560">
              <w:rPr>
                <w:rFonts w:eastAsia="Times New Roman" w:cs="Times New Roman"/>
                <w:b/>
                <w:bCs/>
                <w:color w:val="000000"/>
                <w:sz w:val="20"/>
                <w:szCs w:val="20"/>
              </w:rPr>
              <w:t>Inde</w:t>
            </w:r>
            <w:r>
              <w:rPr>
                <w:rFonts w:eastAsia="Times New Roman" w:cs="Times New Roman"/>
                <w:b/>
                <w:bCs/>
                <w:color w:val="000000"/>
                <w:sz w:val="20"/>
                <w:szCs w:val="20"/>
              </w:rPr>
              <w:t>p.</w:t>
            </w:r>
            <w:r w:rsidRPr="00222560">
              <w:rPr>
                <w:rFonts w:eastAsia="Times New Roman" w:cs="Times New Roman"/>
                <w:b/>
                <w:bCs/>
                <w:color w:val="000000"/>
                <w:sz w:val="20"/>
                <w:szCs w:val="20"/>
              </w:rPr>
              <w:t xml:space="preserve"> Normal Model </w:t>
            </w:r>
          </w:p>
        </w:tc>
        <w:tc>
          <w:tcPr>
            <w:tcW w:w="466" w:type="pct"/>
            <w:tcBorders>
              <w:top w:val="double" w:sz="4" w:space="0" w:color="auto"/>
              <w:bottom w:val="double" w:sz="4" w:space="0" w:color="auto"/>
            </w:tcBorders>
            <w:shd w:val="clear" w:color="auto" w:fill="auto"/>
            <w:noWrap/>
            <w:tcMar>
              <w:left w:w="58" w:type="dxa"/>
              <w:right w:w="58" w:type="dxa"/>
            </w:tcMar>
            <w:vAlign w:val="bottom"/>
            <w:hideMark/>
          </w:tcPr>
          <w:p w14:paraId="6B2FCE42" w14:textId="77777777" w:rsidR="003E2204" w:rsidRPr="00222560" w:rsidRDefault="003E2204" w:rsidP="00456E56">
            <w:pPr>
              <w:jc w:val="center"/>
              <w:rPr>
                <w:rFonts w:eastAsia="Times New Roman" w:cs="Times New Roman"/>
                <w:b/>
                <w:bCs/>
                <w:color w:val="000000"/>
                <w:sz w:val="20"/>
                <w:szCs w:val="20"/>
              </w:rPr>
            </w:pPr>
            <w:r w:rsidRPr="00222560">
              <w:rPr>
                <w:rFonts w:eastAsia="Times New Roman" w:cs="Times New Roman"/>
                <w:b/>
                <w:bCs/>
                <w:color w:val="000000"/>
                <w:sz w:val="20"/>
                <w:szCs w:val="20"/>
              </w:rPr>
              <w:t>Bivariate Normal Model</w:t>
            </w:r>
          </w:p>
        </w:tc>
        <w:tc>
          <w:tcPr>
            <w:tcW w:w="440" w:type="pct"/>
            <w:tcBorders>
              <w:top w:val="double" w:sz="4" w:space="0" w:color="auto"/>
              <w:bottom w:val="double" w:sz="4" w:space="0" w:color="auto"/>
            </w:tcBorders>
            <w:tcMar>
              <w:left w:w="58" w:type="dxa"/>
              <w:right w:w="58" w:type="dxa"/>
            </w:tcMar>
            <w:vAlign w:val="bottom"/>
          </w:tcPr>
          <w:p w14:paraId="3A911726" w14:textId="2B1C8817" w:rsidR="003E2204" w:rsidRDefault="003E2204" w:rsidP="00456E56">
            <w:pPr>
              <w:jc w:val="center"/>
              <w:rPr>
                <w:rFonts w:eastAsia="Times New Roman" w:cs="Times New Roman"/>
                <w:b/>
                <w:bCs/>
                <w:color w:val="000000"/>
                <w:sz w:val="20"/>
                <w:szCs w:val="20"/>
              </w:rPr>
            </w:pPr>
            <w:r w:rsidRPr="00222560">
              <w:rPr>
                <w:rFonts w:eastAsia="Times New Roman" w:cs="Times New Roman"/>
                <w:b/>
                <w:bCs/>
                <w:color w:val="000000"/>
                <w:sz w:val="20"/>
                <w:szCs w:val="20"/>
              </w:rPr>
              <w:t>Indep</w:t>
            </w:r>
            <w:r>
              <w:rPr>
                <w:rFonts w:eastAsia="Times New Roman" w:cs="Times New Roman"/>
                <w:b/>
                <w:bCs/>
                <w:color w:val="000000"/>
                <w:sz w:val="20"/>
                <w:szCs w:val="20"/>
              </w:rPr>
              <w:t>.</w:t>
            </w:r>
          </w:p>
          <w:p w14:paraId="2408AF64" w14:textId="3334383F" w:rsidR="003E2204" w:rsidRPr="00222560" w:rsidRDefault="003E2204" w:rsidP="00456E56">
            <w:pPr>
              <w:jc w:val="center"/>
              <w:rPr>
                <w:rFonts w:eastAsia="Times New Roman" w:cs="Times New Roman"/>
                <w:b/>
                <w:bCs/>
                <w:color w:val="000000"/>
                <w:sz w:val="20"/>
                <w:szCs w:val="20"/>
              </w:rPr>
            </w:pPr>
            <w:r>
              <w:rPr>
                <w:rFonts w:eastAsia="Times New Roman" w:cs="Times New Roman"/>
                <w:b/>
                <w:bCs/>
                <w:color w:val="000000"/>
                <w:sz w:val="20"/>
                <w:szCs w:val="20"/>
              </w:rPr>
              <w:t>Skew-Normal Model</w:t>
            </w:r>
          </w:p>
        </w:tc>
        <w:tc>
          <w:tcPr>
            <w:tcW w:w="441" w:type="pct"/>
            <w:tcBorders>
              <w:top w:val="double" w:sz="4" w:space="0" w:color="auto"/>
              <w:bottom w:val="double" w:sz="4" w:space="0" w:color="auto"/>
            </w:tcBorders>
            <w:tcMar>
              <w:left w:w="58" w:type="dxa"/>
              <w:right w:w="58" w:type="dxa"/>
            </w:tcMar>
          </w:tcPr>
          <w:p w14:paraId="67529F0B" w14:textId="0C4A5AEE" w:rsidR="003E2204" w:rsidRPr="00222560" w:rsidRDefault="003E2204" w:rsidP="00456E56">
            <w:pPr>
              <w:jc w:val="center"/>
              <w:rPr>
                <w:rFonts w:eastAsia="Times New Roman" w:cs="Times New Roman"/>
                <w:b/>
                <w:bCs/>
                <w:color w:val="000000"/>
                <w:sz w:val="20"/>
                <w:szCs w:val="20"/>
              </w:rPr>
            </w:pPr>
            <w:r>
              <w:rPr>
                <w:rFonts w:eastAsia="Times New Roman" w:cs="Times New Roman"/>
                <w:b/>
                <w:bCs/>
                <w:color w:val="000000"/>
                <w:sz w:val="20"/>
                <w:szCs w:val="20"/>
              </w:rPr>
              <w:t>Bivariate Skew-Normal Model</w:t>
            </w:r>
          </w:p>
        </w:tc>
        <w:tc>
          <w:tcPr>
            <w:tcW w:w="424" w:type="pct"/>
            <w:tcBorders>
              <w:top w:val="double" w:sz="4" w:space="0" w:color="auto"/>
              <w:bottom w:val="double" w:sz="4" w:space="0" w:color="auto"/>
            </w:tcBorders>
            <w:tcMar>
              <w:left w:w="58" w:type="dxa"/>
              <w:right w:w="58" w:type="dxa"/>
            </w:tcMar>
          </w:tcPr>
          <w:p w14:paraId="70182C44" w14:textId="77777777" w:rsidR="003E2204" w:rsidRDefault="003E2204" w:rsidP="00456E56">
            <w:pPr>
              <w:jc w:val="center"/>
              <w:rPr>
                <w:rFonts w:eastAsia="Times New Roman" w:cs="Times New Roman"/>
                <w:b/>
                <w:bCs/>
                <w:color w:val="000000"/>
                <w:sz w:val="20"/>
                <w:szCs w:val="20"/>
              </w:rPr>
            </w:pPr>
          </w:p>
          <w:p w14:paraId="19F9AC27" w14:textId="338E2B19" w:rsidR="003E2204" w:rsidRDefault="003E2204" w:rsidP="00456E56">
            <w:pPr>
              <w:jc w:val="center"/>
              <w:rPr>
                <w:rFonts w:eastAsia="Times New Roman" w:cs="Times New Roman"/>
                <w:b/>
                <w:bCs/>
                <w:color w:val="000000"/>
                <w:sz w:val="20"/>
                <w:szCs w:val="20"/>
              </w:rPr>
            </w:pPr>
            <w:r>
              <w:rPr>
                <w:rFonts w:eastAsia="Times New Roman" w:cs="Times New Roman"/>
                <w:b/>
                <w:bCs/>
                <w:color w:val="000000"/>
                <w:sz w:val="20"/>
                <w:szCs w:val="20"/>
              </w:rPr>
              <w:t>Indep.</w:t>
            </w:r>
          </w:p>
          <w:p w14:paraId="39AD5355" w14:textId="20673CA4" w:rsidR="003E2204" w:rsidRPr="00222560" w:rsidRDefault="003E2204" w:rsidP="00456E56">
            <w:pPr>
              <w:jc w:val="center"/>
              <w:rPr>
                <w:rFonts w:eastAsia="Times New Roman" w:cs="Times New Roman"/>
                <w:b/>
                <w:bCs/>
                <w:color w:val="000000"/>
                <w:sz w:val="20"/>
                <w:szCs w:val="20"/>
              </w:rPr>
            </w:pPr>
            <w:r>
              <w:rPr>
                <w:rFonts w:eastAsia="Times New Roman" w:cs="Times New Roman"/>
                <w:b/>
                <w:bCs/>
                <w:color w:val="000000"/>
                <w:sz w:val="20"/>
                <w:szCs w:val="20"/>
              </w:rPr>
              <w:t>YJ Model</w:t>
            </w:r>
          </w:p>
        </w:tc>
        <w:tc>
          <w:tcPr>
            <w:tcW w:w="514" w:type="pct"/>
            <w:gridSpan w:val="2"/>
            <w:tcBorders>
              <w:top w:val="double" w:sz="4" w:space="0" w:color="auto"/>
              <w:bottom w:val="double" w:sz="4" w:space="0" w:color="auto"/>
            </w:tcBorders>
            <w:tcMar>
              <w:left w:w="58" w:type="dxa"/>
              <w:right w:w="58" w:type="dxa"/>
            </w:tcMar>
            <w:vAlign w:val="bottom"/>
          </w:tcPr>
          <w:p w14:paraId="7C3D5B14" w14:textId="55AF1B0B" w:rsidR="003E2204" w:rsidRPr="00222560" w:rsidRDefault="003E2204" w:rsidP="00456E56">
            <w:pPr>
              <w:jc w:val="center"/>
              <w:rPr>
                <w:rFonts w:eastAsia="Times New Roman" w:cs="Times New Roman"/>
                <w:b/>
                <w:bCs/>
                <w:color w:val="000000"/>
                <w:sz w:val="20"/>
                <w:szCs w:val="20"/>
              </w:rPr>
            </w:pPr>
            <w:r w:rsidRPr="00222560">
              <w:rPr>
                <w:rFonts w:eastAsia="Times New Roman" w:cs="Times New Roman"/>
                <w:b/>
                <w:bCs/>
                <w:color w:val="000000"/>
                <w:sz w:val="20"/>
                <w:szCs w:val="20"/>
              </w:rPr>
              <w:t>Proposed Bivariate YJ Model</w:t>
            </w:r>
          </w:p>
        </w:tc>
      </w:tr>
      <w:tr w:rsidR="00F34F94" w:rsidRPr="00222560" w14:paraId="7D2D0102" w14:textId="77777777" w:rsidTr="00EA3E26">
        <w:trPr>
          <w:trHeight w:val="302"/>
        </w:trPr>
        <w:tc>
          <w:tcPr>
            <w:tcW w:w="497" w:type="pct"/>
            <w:vMerge w:val="restart"/>
            <w:tcBorders>
              <w:top w:val="double" w:sz="4" w:space="0" w:color="auto"/>
              <w:right w:val="double" w:sz="4" w:space="0" w:color="auto"/>
            </w:tcBorders>
          </w:tcPr>
          <w:p w14:paraId="0B101B58" w14:textId="77777777" w:rsidR="000B14E2" w:rsidRPr="00222560" w:rsidRDefault="000B14E2" w:rsidP="00456E56">
            <w:pPr>
              <w:rPr>
                <w:rFonts w:eastAsia="Times New Roman" w:cs="Times New Roman"/>
                <w:b/>
                <w:bCs/>
                <w:color w:val="000000"/>
                <w:sz w:val="20"/>
                <w:szCs w:val="20"/>
              </w:rPr>
            </w:pPr>
          </w:p>
          <w:p w14:paraId="03F5BB11" w14:textId="77777777" w:rsidR="000B14E2" w:rsidRPr="00222560" w:rsidRDefault="000B14E2" w:rsidP="00456E56">
            <w:pPr>
              <w:rPr>
                <w:rFonts w:eastAsia="Times New Roman" w:cs="Times New Roman"/>
                <w:b/>
                <w:bCs/>
                <w:color w:val="000000"/>
                <w:sz w:val="20"/>
                <w:szCs w:val="20"/>
              </w:rPr>
            </w:pPr>
          </w:p>
          <w:p w14:paraId="05162238" w14:textId="77777777" w:rsidR="000B14E2" w:rsidRPr="00222560" w:rsidRDefault="000B14E2" w:rsidP="00456E56">
            <w:pPr>
              <w:rPr>
                <w:rFonts w:eastAsia="Times New Roman" w:cs="Times New Roman"/>
                <w:b/>
                <w:bCs/>
                <w:color w:val="000000"/>
                <w:sz w:val="20"/>
                <w:szCs w:val="20"/>
              </w:rPr>
            </w:pPr>
          </w:p>
          <w:p w14:paraId="3D2B63CF" w14:textId="77777777" w:rsidR="000B14E2" w:rsidRPr="00222560" w:rsidRDefault="000B14E2" w:rsidP="00456E56">
            <w:pPr>
              <w:rPr>
                <w:rFonts w:eastAsia="Times New Roman" w:cs="Times New Roman"/>
                <w:b/>
                <w:bCs/>
                <w:color w:val="000000"/>
                <w:sz w:val="20"/>
                <w:szCs w:val="20"/>
              </w:rPr>
            </w:pPr>
            <w:r w:rsidRPr="00222560">
              <w:rPr>
                <w:rFonts w:eastAsia="Times New Roman" w:cs="Times New Roman"/>
                <w:b/>
                <w:bCs/>
                <w:color w:val="000000"/>
                <w:sz w:val="20"/>
                <w:szCs w:val="20"/>
              </w:rPr>
              <w:t>Likelihood</w:t>
            </w:r>
          </w:p>
          <w:p w14:paraId="44A0CF25" w14:textId="77777777" w:rsidR="000B14E2" w:rsidRPr="00222560" w:rsidRDefault="000B14E2" w:rsidP="00456E56">
            <w:pPr>
              <w:rPr>
                <w:rFonts w:eastAsia="Times New Roman" w:cs="Times New Roman"/>
                <w:b/>
                <w:bCs/>
                <w:color w:val="000000"/>
                <w:sz w:val="20"/>
                <w:szCs w:val="20"/>
              </w:rPr>
            </w:pPr>
            <w:r w:rsidRPr="00222560">
              <w:rPr>
                <w:rFonts w:eastAsia="Times New Roman" w:cs="Times New Roman"/>
                <w:b/>
                <w:bCs/>
                <w:color w:val="000000"/>
                <w:sz w:val="20"/>
                <w:szCs w:val="20"/>
              </w:rPr>
              <w:t>Based Measures</w:t>
            </w:r>
          </w:p>
        </w:tc>
        <w:tc>
          <w:tcPr>
            <w:tcW w:w="1722" w:type="pct"/>
            <w:gridSpan w:val="2"/>
            <w:tcBorders>
              <w:top w:val="double" w:sz="4" w:space="0" w:color="auto"/>
              <w:left w:val="double" w:sz="4" w:space="0" w:color="auto"/>
              <w:right w:val="double" w:sz="4" w:space="0" w:color="auto"/>
            </w:tcBorders>
            <w:shd w:val="clear" w:color="auto" w:fill="auto"/>
            <w:noWrap/>
            <w:vAlign w:val="center"/>
            <w:hideMark/>
          </w:tcPr>
          <w:p w14:paraId="68379B33" w14:textId="77777777" w:rsidR="000B14E2" w:rsidRPr="00222560" w:rsidRDefault="000B14E2" w:rsidP="00456E56">
            <w:pPr>
              <w:rPr>
                <w:rFonts w:eastAsia="Times New Roman" w:cs="Times New Roman"/>
                <w:color w:val="000000"/>
                <w:sz w:val="20"/>
                <w:szCs w:val="20"/>
              </w:rPr>
            </w:pPr>
            <w:r w:rsidRPr="00222560">
              <w:rPr>
                <w:rFonts w:eastAsia="Times New Roman" w:cs="Times New Roman"/>
                <w:color w:val="000000"/>
                <w:sz w:val="20"/>
                <w:szCs w:val="20"/>
              </w:rPr>
              <w:t>Log-likelihood at convergence</w:t>
            </w:r>
          </w:p>
        </w:tc>
        <w:tc>
          <w:tcPr>
            <w:tcW w:w="496" w:type="pct"/>
            <w:tcBorders>
              <w:top w:val="double" w:sz="4" w:space="0" w:color="auto"/>
              <w:left w:val="double" w:sz="4" w:space="0" w:color="auto"/>
            </w:tcBorders>
            <w:shd w:val="clear" w:color="auto" w:fill="auto"/>
            <w:noWrap/>
            <w:vAlign w:val="center"/>
          </w:tcPr>
          <w:p w14:paraId="3849EEC9" w14:textId="77777777" w:rsidR="000B14E2" w:rsidRPr="00222560" w:rsidRDefault="000B14E2" w:rsidP="00F543B6">
            <w:pPr>
              <w:jc w:val="center"/>
              <w:rPr>
                <w:rFonts w:eastAsia="Calibri" w:cs="Times New Roman"/>
                <w:color w:val="000000"/>
                <w:sz w:val="20"/>
                <w:szCs w:val="20"/>
              </w:rPr>
            </w:pPr>
            <w:r w:rsidRPr="00222560">
              <w:rPr>
                <w:rFonts w:eastAsia="Calibri" w:cs="Times New Roman"/>
                <w:color w:val="000000"/>
                <w:sz w:val="20"/>
                <w:szCs w:val="20"/>
              </w:rPr>
              <w:t>-3215.54</w:t>
            </w:r>
          </w:p>
        </w:tc>
        <w:tc>
          <w:tcPr>
            <w:tcW w:w="466" w:type="pct"/>
            <w:tcBorders>
              <w:top w:val="double" w:sz="4" w:space="0" w:color="auto"/>
            </w:tcBorders>
            <w:shd w:val="clear" w:color="auto" w:fill="auto"/>
            <w:noWrap/>
            <w:vAlign w:val="center"/>
            <w:hideMark/>
          </w:tcPr>
          <w:p w14:paraId="075A6725" w14:textId="77777777" w:rsidR="000B14E2" w:rsidRPr="00222560" w:rsidRDefault="000B14E2" w:rsidP="00F543B6">
            <w:pPr>
              <w:jc w:val="center"/>
              <w:rPr>
                <w:rFonts w:eastAsia="Calibri" w:cs="Times New Roman"/>
                <w:color w:val="000000"/>
                <w:sz w:val="20"/>
                <w:szCs w:val="20"/>
              </w:rPr>
            </w:pPr>
            <w:r w:rsidRPr="00222560">
              <w:rPr>
                <w:rFonts w:eastAsia="Calibri" w:cs="Times New Roman"/>
                <w:color w:val="000000"/>
                <w:sz w:val="20"/>
                <w:szCs w:val="20"/>
              </w:rPr>
              <w:t>-3213.46</w:t>
            </w:r>
          </w:p>
        </w:tc>
        <w:tc>
          <w:tcPr>
            <w:tcW w:w="440" w:type="pct"/>
            <w:tcBorders>
              <w:top w:val="double" w:sz="4" w:space="0" w:color="auto"/>
            </w:tcBorders>
            <w:vAlign w:val="center"/>
          </w:tcPr>
          <w:p w14:paraId="3233ACEA" w14:textId="7958A8A1" w:rsidR="000B14E2" w:rsidRPr="00222560" w:rsidRDefault="00F543B6" w:rsidP="00F543B6">
            <w:pPr>
              <w:jc w:val="center"/>
              <w:rPr>
                <w:rFonts w:eastAsia="Calibri" w:cs="Times New Roman"/>
                <w:color w:val="000000"/>
                <w:sz w:val="20"/>
                <w:szCs w:val="20"/>
              </w:rPr>
            </w:pPr>
            <w:r>
              <w:rPr>
                <w:rFonts w:eastAsia="Calibri" w:cs="Times New Roman"/>
                <w:color w:val="000000"/>
                <w:sz w:val="20"/>
                <w:szCs w:val="20"/>
              </w:rPr>
              <w:t>-3212.24</w:t>
            </w:r>
          </w:p>
        </w:tc>
        <w:tc>
          <w:tcPr>
            <w:tcW w:w="441" w:type="pct"/>
            <w:tcBorders>
              <w:top w:val="double" w:sz="4" w:space="0" w:color="auto"/>
            </w:tcBorders>
            <w:vAlign w:val="center"/>
          </w:tcPr>
          <w:p w14:paraId="58C8E3AD" w14:textId="3823424C" w:rsidR="000B14E2" w:rsidRPr="00222560" w:rsidRDefault="00F543B6" w:rsidP="00F543B6">
            <w:pPr>
              <w:jc w:val="center"/>
              <w:rPr>
                <w:rFonts w:eastAsia="Calibri" w:cs="Times New Roman"/>
                <w:color w:val="000000"/>
                <w:sz w:val="20"/>
                <w:szCs w:val="20"/>
              </w:rPr>
            </w:pPr>
            <w:r>
              <w:rPr>
                <w:rFonts w:eastAsia="Calibri" w:cs="Times New Roman"/>
                <w:color w:val="000000"/>
                <w:sz w:val="20"/>
                <w:szCs w:val="20"/>
              </w:rPr>
              <w:t>-3209.13</w:t>
            </w:r>
          </w:p>
        </w:tc>
        <w:tc>
          <w:tcPr>
            <w:tcW w:w="424" w:type="pct"/>
            <w:tcBorders>
              <w:top w:val="double" w:sz="4" w:space="0" w:color="auto"/>
            </w:tcBorders>
            <w:vAlign w:val="center"/>
          </w:tcPr>
          <w:p w14:paraId="6A464256" w14:textId="21E25AF7" w:rsidR="000B14E2" w:rsidRPr="00222560" w:rsidRDefault="00F543B6" w:rsidP="00F543B6">
            <w:pPr>
              <w:jc w:val="center"/>
              <w:rPr>
                <w:rFonts w:eastAsia="Calibri" w:cs="Times New Roman"/>
                <w:color w:val="000000"/>
                <w:sz w:val="20"/>
                <w:szCs w:val="20"/>
              </w:rPr>
            </w:pPr>
            <w:r w:rsidRPr="00222560">
              <w:rPr>
                <w:rFonts w:eastAsia="Calibri" w:cs="Times New Roman"/>
                <w:color w:val="000000"/>
                <w:sz w:val="20"/>
                <w:szCs w:val="20"/>
              </w:rPr>
              <w:t>-3211.29</w:t>
            </w:r>
          </w:p>
        </w:tc>
        <w:tc>
          <w:tcPr>
            <w:tcW w:w="514" w:type="pct"/>
            <w:gridSpan w:val="2"/>
            <w:tcBorders>
              <w:top w:val="double" w:sz="4" w:space="0" w:color="auto"/>
            </w:tcBorders>
            <w:vAlign w:val="center"/>
          </w:tcPr>
          <w:p w14:paraId="037D68E0" w14:textId="4962B1A7" w:rsidR="000B14E2" w:rsidRPr="00222560" w:rsidRDefault="000B14E2" w:rsidP="00F543B6">
            <w:pPr>
              <w:jc w:val="center"/>
              <w:rPr>
                <w:rFonts w:eastAsia="Calibri" w:cs="Times New Roman"/>
                <w:color w:val="000000"/>
                <w:sz w:val="20"/>
                <w:szCs w:val="20"/>
              </w:rPr>
            </w:pPr>
            <w:r w:rsidRPr="00222560">
              <w:rPr>
                <w:rFonts w:eastAsia="Calibri" w:cs="Times New Roman"/>
                <w:color w:val="000000"/>
                <w:sz w:val="20"/>
                <w:szCs w:val="20"/>
              </w:rPr>
              <w:t>-3207.49</w:t>
            </w:r>
          </w:p>
        </w:tc>
      </w:tr>
      <w:tr w:rsidR="00F34F94" w:rsidRPr="00222560" w14:paraId="08ECC771" w14:textId="77777777" w:rsidTr="00EA3E26">
        <w:trPr>
          <w:trHeight w:val="302"/>
        </w:trPr>
        <w:tc>
          <w:tcPr>
            <w:tcW w:w="497" w:type="pct"/>
            <w:vMerge/>
            <w:tcBorders>
              <w:right w:val="double" w:sz="4" w:space="0" w:color="auto"/>
            </w:tcBorders>
          </w:tcPr>
          <w:p w14:paraId="428CAD4D" w14:textId="77777777" w:rsidR="000B14E2" w:rsidRPr="00222560" w:rsidRDefault="000B14E2" w:rsidP="00456E56">
            <w:pPr>
              <w:rPr>
                <w:rFonts w:eastAsia="Times New Roman" w:cs="Times New Roman"/>
                <w:b/>
                <w:bCs/>
                <w:color w:val="000000"/>
                <w:sz w:val="20"/>
                <w:szCs w:val="20"/>
              </w:rPr>
            </w:pPr>
          </w:p>
        </w:tc>
        <w:tc>
          <w:tcPr>
            <w:tcW w:w="1722" w:type="pct"/>
            <w:gridSpan w:val="2"/>
            <w:tcBorders>
              <w:left w:val="double" w:sz="4" w:space="0" w:color="auto"/>
              <w:right w:val="double" w:sz="4" w:space="0" w:color="auto"/>
            </w:tcBorders>
            <w:shd w:val="clear" w:color="auto" w:fill="auto"/>
            <w:noWrap/>
            <w:vAlign w:val="center"/>
            <w:hideMark/>
          </w:tcPr>
          <w:p w14:paraId="29E13B51" w14:textId="77777777" w:rsidR="000B14E2" w:rsidRPr="00222560" w:rsidRDefault="000B14E2" w:rsidP="00456E56">
            <w:pPr>
              <w:rPr>
                <w:rFonts w:eastAsia="Times New Roman" w:cs="Times New Roman"/>
                <w:color w:val="000000"/>
                <w:sz w:val="20"/>
                <w:szCs w:val="20"/>
              </w:rPr>
            </w:pPr>
            <w:r w:rsidRPr="00222560">
              <w:rPr>
                <w:rFonts w:eastAsia="Times New Roman" w:cs="Times New Roman"/>
                <w:color w:val="000000"/>
                <w:sz w:val="20"/>
                <w:szCs w:val="20"/>
              </w:rPr>
              <w:t>Number of non-constant/non-threshold parameters</w:t>
            </w:r>
          </w:p>
        </w:tc>
        <w:tc>
          <w:tcPr>
            <w:tcW w:w="496" w:type="pct"/>
            <w:tcBorders>
              <w:left w:val="double" w:sz="4" w:space="0" w:color="auto"/>
            </w:tcBorders>
            <w:shd w:val="clear" w:color="auto" w:fill="auto"/>
            <w:noWrap/>
            <w:vAlign w:val="center"/>
            <w:hideMark/>
          </w:tcPr>
          <w:p w14:paraId="40AD4BD2" w14:textId="77777777" w:rsidR="000B14E2" w:rsidRPr="00222560" w:rsidRDefault="000B14E2" w:rsidP="00F543B6">
            <w:pPr>
              <w:jc w:val="center"/>
              <w:rPr>
                <w:rFonts w:eastAsia="Calibri" w:cs="Times New Roman"/>
                <w:color w:val="000000"/>
                <w:sz w:val="20"/>
                <w:szCs w:val="20"/>
              </w:rPr>
            </w:pPr>
            <w:r w:rsidRPr="00222560">
              <w:rPr>
                <w:rFonts w:eastAsia="Calibri" w:cs="Times New Roman"/>
                <w:color w:val="000000"/>
                <w:sz w:val="20"/>
                <w:szCs w:val="20"/>
              </w:rPr>
              <w:t>15</w:t>
            </w:r>
          </w:p>
        </w:tc>
        <w:tc>
          <w:tcPr>
            <w:tcW w:w="466" w:type="pct"/>
            <w:shd w:val="clear" w:color="auto" w:fill="auto"/>
            <w:noWrap/>
            <w:vAlign w:val="center"/>
            <w:hideMark/>
          </w:tcPr>
          <w:p w14:paraId="5342965F" w14:textId="77777777" w:rsidR="000B14E2" w:rsidRPr="00222560" w:rsidRDefault="000B14E2" w:rsidP="00F543B6">
            <w:pPr>
              <w:jc w:val="center"/>
              <w:rPr>
                <w:rFonts w:eastAsia="Calibri" w:cs="Times New Roman"/>
                <w:color w:val="000000"/>
                <w:sz w:val="20"/>
                <w:szCs w:val="20"/>
              </w:rPr>
            </w:pPr>
            <w:r w:rsidRPr="00222560">
              <w:rPr>
                <w:rFonts w:eastAsia="Calibri" w:cs="Times New Roman"/>
                <w:color w:val="000000"/>
                <w:sz w:val="20"/>
                <w:szCs w:val="20"/>
              </w:rPr>
              <w:t>16</w:t>
            </w:r>
          </w:p>
        </w:tc>
        <w:tc>
          <w:tcPr>
            <w:tcW w:w="440" w:type="pct"/>
            <w:vAlign w:val="center"/>
          </w:tcPr>
          <w:p w14:paraId="3C8FA79C" w14:textId="12A3032B" w:rsidR="000B14E2" w:rsidRPr="00222560" w:rsidRDefault="00F543B6" w:rsidP="00F543B6">
            <w:pPr>
              <w:jc w:val="center"/>
              <w:rPr>
                <w:rFonts w:eastAsia="Calibri" w:cs="Times New Roman"/>
                <w:color w:val="000000"/>
                <w:sz w:val="20"/>
                <w:szCs w:val="20"/>
              </w:rPr>
            </w:pPr>
            <w:r>
              <w:rPr>
                <w:rFonts w:eastAsia="Calibri" w:cs="Times New Roman"/>
                <w:color w:val="000000"/>
                <w:sz w:val="20"/>
                <w:szCs w:val="20"/>
              </w:rPr>
              <w:t>16</w:t>
            </w:r>
          </w:p>
        </w:tc>
        <w:tc>
          <w:tcPr>
            <w:tcW w:w="441" w:type="pct"/>
            <w:vAlign w:val="center"/>
          </w:tcPr>
          <w:p w14:paraId="1F761222" w14:textId="1288B815" w:rsidR="000B14E2" w:rsidRPr="00222560" w:rsidRDefault="00F543B6" w:rsidP="00F543B6">
            <w:pPr>
              <w:jc w:val="center"/>
              <w:rPr>
                <w:rFonts w:eastAsia="Calibri" w:cs="Times New Roman"/>
                <w:color w:val="000000"/>
                <w:sz w:val="20"/>
                <w:szCs w:val="20"/>
              </w:rPr>
            </w:pPr>
            <w:r>
              <w:rPr>
                <w:rFonts w:eastAsia="Calibri" w:cs="Times New Roman"/>
                <w:color w:val="000000"/>
                <w:sz w:val="20"/>
                <w:szCs w:val="20"/>
              </w:rPr>
              <w:t>17</w:t>
            </w:r>
          </w:p>
        </w:tc>
        <w:tc>
          <w:tcPr>
            <w:tcW w:w="424" w:type="pct"/>
            <w:vAlign w:val="center"/>
          </w:tcPr>
          <w:p w14:paraId="54FC3F8C" w14:textId="28490FB8" w:rsidR="000B14E2" w:rsidRPr="00222560" w:rsidRDefault="00F543B6" w:rsidP="00F543B6">
            <w:pPr>
              <w:jc w:val="center"/>
              <w:rPr>
                <w:rFonts w:eastAsia="Calibri" w:cs="Times New Roman"/>
                <w:color w:val="000000"/>
                <w:sz w:val="20"/>
                <w:szCs w:val="20"/>
              </w:rPr>
            </w:pPr>
            <w:r w:rsidRPr="00222560">
              <w:rPr>
                <w:rFonts w:eastAsia="Calibri" w:cs="Times New Roman"/>
                <w:color w:val="000000"/>
                <w:sz w:val="20"/>
                <w:szCs w:val="20"/>
              </w:rPr>
              <w:t>16</w:t>
            </w:r>
          </w:p>
        </w:tc>
        <w:tc>
          <w:tcPr>
            <w:tcW w:w="514" w:type="pct"/>
            <w:gridSpan w:val="2"/>
            <w:vAlign w:val="center"/>
          </w:tcPr>
          <w:p w14:paraId="6E1DD121" w14:textId="246BC1F3" w:rsidR="000B14E2" w:rsidRPr="00222560" w:rsidRDefault="000B14E2" w:rsidP="00F543B6">
            <w:pPr>
              <w:jc w:val="center"/>
              <w:rPr>
                <w:rFonts w:eastAsia="Calibri" w:cs="Times New Roman"/>
                <w:color w:val="000000"/>
                <w:sz w:val="20"/>
                <w:szCs w:val="20"/>
              </w:rPr>
            </w:pPr>
            <w:r w:rsidRPr="00222560">
              <w:rPr>
                <w:rFonts w:eastAsia="Calibri" w:cs="Times New Roman"/>
                <w:color w:val="000000"/>
                <w:sz w:val="20"/>
                <w:szCs w:val="20"/>
              </w:rPr>
              <w:t>17</w:t>
            </w:r>
          </w:p>
        </w:tc>
      </w:tr>
      <w:tr w:rsidR="000B14E2" w:rsidRPr="00222560" w14:paraId="1F96ECE1" w14:textId="77777777" w:rsidTr="00EA3E26">
        <w:trPr>
          <w:trHeight w:val="302"/>
        </w:trPr>
        <w:tc>
          <w:tcPr>
            <w:tcW w:w="497" w:type="pct"/>
            <w:vMerge/>
            <w:tcBorders>
              <w:right w:val="double" w:sz="4" w:space="0" w:color="auto"/>
            </w:tcBorders>
          </w:tcPr>
          <w:p w14:paraId="7EABF59E" w14:textId="77777777" w:rsidR="000B14E2" w:rsidRPr="00222560" w:rsidRDefault="000B14E2" w:rsidP="00456E56">
            <w:pPr>
              <w:rPr>
                <w:rFonts w:eastAsia="Times New Roman" w:cs="Times New Roman"/>
                <w:b/>
                <w:bCs/>
                <w:color w:val="000000"/>
                <w:sz w:val="20"/>
                <w:szCs w:val="20"/>
              </w:rPr>
            </w:pPr>
          </w:p>
        </w:tc>
        <w:tc>
          <w:tcPr>
            <w:tcW w:w="1722" w:type="pct"/>
            <w:gridSpan w:val="2"/>
            <w:tcBorders>
              <w:left w:val="double" w:sz="4" w:space="0" w:color="auto"/>
              <w:right w:val="double" w:sz="4" w:space="0" w:color="auto"/>
            </w:tcBorders>
            <w:shd w:val="clear" w:color="auto" w:fill="auto"/>
            <w:noWrap/>
            <w:vAlign w:val="center"/>
            <w:hideMark/>
          </w:tcPr>
          <w:p w14:paraId="25FA97C0" w14:textId="77777777" w:rsidR="000B14E2" w:rsidRPr="00222560" w:rsidRDefault="000B14E2" w:rsidP="00456E56">
            <w:pPr>
              <w:rPr>
                <w:rFonts w:eastAsia="Times New Roman" w:cs="Times New Roman"/>
                <w:color w:val="000000"/>
                <w:sz w:val="20"/>
                <w:szCs w:val="20"/>
              </w:rPr>
            </w:pPr>
            <w:r w:rsidRPr="00222560">
              <w:rPr>
                <w:rFonts w:eastAsia="Times New Roman" w:cs="Times New Roman"/>
                <w:color w:val="000000"/>
                <w:sz w:val="20"/>
                <w:szCs w:val="20"/>
              </w:rPr>
              <w:t xml:space="preserve">Log-likelihood at constants and thresholds only </w:t>
            </w:r>
          </w:p>
        </w:tc>
        <w:tc>
          <w:tcPr>
            <w:tcW w:w="2782" w:type="pct"/>
            <w:gridSpan w:val="7"/>
            <w:tcBorders>
              <w:left w:val="double" w:sz="4" w:space="0" w:color="auto"/>
            </w:tcBorders>
          </w:tcPr>
          <w:p w14:paraId="199C6337" w14:textId="6C1EC782" w:rsidR="000B14E2" w:rsidRPr="00222560" w:rsidRDefault="000B14E2" w:rsidP="00456E56">
            <w:pPr>
              <w:jc w:val="center"/>
              <w:rPr>
                <w:rFonts w:eastAsia="Calibri" w:cs="Times New Roman"/>
                <w:color w:val="000000"/>
                <w:sz w:val="20"/>
                <w:szCs w:val="20"/>
              </w:rPr>
            </w:pPr>
            <w:r w:rsidRPr="00222560">
              <w:rPr>
                <w:rFonts w:eastAsia="Calibri" w:cs="Times New Roman"/>
                <w:color w:val="000000"/>
                <w:sz w:val="20"/>
                <w:szCs w:val="20"/>
              </w:rPr>
              <w:t>-3353.17</w:t>
            </w:r>
          </w:p>
        </w:tc>
      </w:tr>
      <w:tr w:rsidR="000B14E2" w:rsidRPr="00222560" w14:paraId="6A40CBFC" w14:textId="77777777" w:rsidTr="00EA3E26">
        <w:trPr>
          <w:trHeight w:val="302"/>
        </w:trPr>
        <w:tc>
          <w:tcPr>
            <w:tcW w:w="497" w:type="pct"/>
            <w:vMerge/>
            <w:tcBorders>
              <w:right w:val="double" w:sz="4" w:space="0" w:color="auto"/>
            </w:tcBorders>
          </w:tcPr>
          <w:p w14:paraId="7C0A3A8B" w14:textId="77777777" w:rsidR="000B14E2" w:rsidRPr="00222560" w:rsidRDefault="000B14E2" w:rsidP="00456E56">
            <w:pPr>
              <w:rPr>
                <w:rFonts w:eastAsia="Times New Roman" w:cs="Times New Roman"/>
                <w:b/>
                <w:bCs/>
                <w:color w:val="000000"/>
                <w:sz w:val="20"/>
                <w:szCs w:val="20"/>
              </w:rPr>
            </w:pPr>
          </w:p>
        </w:tc>
        <w:tc>
          <w:tcPr>
            <w:tcW w:w="1722" w:type="pct"/>
            <w:gridSpan w:val="2"/>
            <w:tcBorders>
              <w:left w:val="double" w:sz="4" w:space="0" w:color="auto"/>
              <w:right w:val="double" w:sz="4" w:space="0" w:color="auto"/>
            </w:tcBorders>
            <w:shd w:val="clear" w:color="auto" w:fill="auto"/>
            <w:noWrap/>
            <w:vAlign w:val="center"/>
            <w:hideMark/>
          </w:tcPr>
          <w:p w14:paraId="2F74D94A" w14:textId="77777777" w:rsidR="000B14E2" w:rsidRPr="00222560" w:rsidRDefault="000B14E2" w:rsidP="00456E56">
            <w:pPr>
              <w:rPr>
                <w:rFonts w:eastAsia="Times New Roman" w:cs="Times New Roman"/>
                <w:color w:val="000000"/>
                <w:sz w:val="20"/>
                <w:szCs w:val="20"/>
              </w:rPr>
            </w:pPr>
            <w:r w:rsidRPr="00222560">
              <w:rPr>
                <w:rFonts w:eastAsia="Times New Roman" w:cs="Times New Roman"/>
                <w:color w:val="000000"/>
                <w:sz w:val="20"/>
                <w:szCs w:val="20"/>
              </w:rPr>
              <w:t>Log-likelihood at zero (equal shares)</w:t>
            </w:r>
          </w:p>
        </w:tc>
        <w:tc>
          <w:tcPr>
            <w:tcW w:w="2782" w:type="pct"/>
            <w:gridSpan w:val="7"/>
            <w:tcBorders>
              <w:left w:val="double" w:sz="4" w:space="0" w:color="auto"/>
            </w:tcBorders>
          </w:tcPr>
          <w:p w14:paraId="30C0A9DA" w14:textId="5928366C" w:rsidR="000B14E2" w:rsidRPr="00222560" w:rsidRDefault="000B14E2" w:rsidP="00456E56">
            <w:pPr>
              <w:jc w:val="center"/>
              <w:rPr>
                <w:rFonts w:eastAsia="Calibri" w:cs="Times New Roman"/>
                <w:color w:val="000000"/>
                <w:sz w:val="20"/>
                <w:szCs w:val="20"/>
              </w:rPr>
            </w:pPr>
            <w:r w:rsidRPr="00222560">
              <w:rPr>
                <w:rFonts w:eastAsia="Calibri" w:cs="Times New Roman"/>
                <w:color w:val="000000"/>
                <w:sz w:val="20"/>
                <w:szCs w:val="20"/>
              </w:rPr>
              <w:t>-3893.67</w:t>
            </w:r>
          </w:p>
        </w:tc>
      </w:tr>
      <w:tr w:rsidR="00F34F94" w:rsidRPr="00222560" w14:paraId="7E023F14" w14:textId="77777777" w:rsidTr="00EA3E26">
        <w:trPr>
          <w:trHeight w:val="302"/>
        </w:trPr>
        <w:tc>
          <w:tcPr>
            <w:tcW w:w="497" w:type="pct"/>
            <w:vMerge/>
            <w:tcBorders>
              <w:right w:val="double" w:sz="4" w:space="0" w:color="auto"/>
            </w:tcBorders>
          </w:tcPr>
          <w:p w14:paraId="1EFDD84C" w14:textId="77777777" w:rsidR="00EA65A1" w:rsidRPr="00222560" w:rsidRDefault="00EA65A1" w:rsidP="00456E56">
            <w:pPr>
              <w:rPr>
                <w:rFonts w:eastAsia="Times New Roman" w:cs="Times New Roman"/>
                <w:b/>
                <w:bCs/>
                <w:color w:val="000000"/>
                <w:sz w:val="20"/>
                <w:szCs w:val="20"/>
              </w:rPr>
            </w:pPr>
          </w:p>
        </w:tc>
        <w:tc>
          <w:tcPr>
            <w:tcW w:w="1722" w:type="pct"/>
            <w:gridSpan w:val="2"/>
            <w:tcBorders>
              <w:left w:val="double" w:sz="4" w:space="0" w:color="auto"/>
              <w:right w:val="double" w:sz="4" w:space="0" w:color="auto"/>
            </w:tcBorders>
            <w:shd w:val="clear" w:color="auto" w:fill="auto"/>
            <w:noWrap/>
            <w:vAlign w:val="center"/>
          </w:tcPr>
          <w:p w14:paraId="0B5F8C64" w14:textId="14D27407" w:rsidR="00EA65A1" w:rsidRPr="00222560" w:rsidRDefault="00EA65A1" w:rsidP="00456E56">
            <w:pPr>
              <w:rPr>
                <w:rFonts w:eastAsia="Times New Roman" w:cs="Times New Roman"/>
                <w:color w:val="000000"/>
                <w:sz w:val="20"/>
                <w:szCs w:val="20"/>
              </w:rPr>
            </w:pPr>
            <w:r>
              <w:rPr>
                <w:rFonts w:eastAsia="Times New Roman" w:cs="Times New Roman"/>
                <w:color w:val="000000"/>
                <w:sz w:val="20"/>
                <w:szCs w:val="20"/>
              </w:rPr>
              <w:t>Rho-Bar Squared Value (w.r.t. constants/thresholds)</w:t>
            </w:r>
          </w:p>
        </w:tc>
        <w:tc>
          <w:tcPr>
            <w:tcW w:w="496" w:type="pct"/>
            <w:tcBorders>
              <w:top w:val="single" w:sz="4" w:space="0" w:color="auto"/>
              <w:left w:val="double" w:sz="4" w:space="0" w:color="auto"/>
              <w:bottom w:val="single" w:sz="4" w:space="0" w:color="auto"/>
              <w:right w:val="single" w:sz="4" w:space="0" w:color="auto"/>
            </w:tcBorders>
          </w:tcPr>
          <w:p w14:paraId="05382405" w14:textId="3BCB972D" w:rsidR="00EA65A1" w:rsidRPr="00222560" w:rsidRDefault="00EA65A1" w:rsidP="00456E56">
            <w:pPr>
              <w:jc w:val="center"/>
              <w:rPr>
                <w:rFonts w:eastAsia="Calibri" w:cs="Times New Roman"/>
                <w:sz w:val="20"/>
                <w:szCs w:val="20"/>
              </w:rPr>
            </w:pPr>
            <w:r>
              <w:rPr>
                <w:rFonts w:eastAsia="Calibri" w:cs="Times New Roman"/>
                <w:sz w:val="20"/>
                <w:szCs w:val="20"/>
              </w:rPr>
              <w:t>0.03</w:t>
            </w:r>
            <w:r w:rsidR="0098603C">
              <w:rPr>
                <w:rFonts w:eastAsia="Calibri" w:cs="Times New Roman"/>
                <w:sz w:val="20"/>
                <w:szCs w:val="20"/>
              </w:rPr>
              <w:t>66</w:t>
            </w:r>
          </w:p>
        </w:tc>
        <w:tc>
          <w:tcPr>
            <w:tcW w:w="466" w:type="pct"/>
            <w:tcBorders>
              <w:top w:val="single" w:sz="4" w:space="0" w:color="auto"/>
              <w:left w:val="single" w:sz="4" w:space="0" w:color="auto"/>
              <w:bottom w:val="single" w:sz="4" w:space="0" w:color="auto"/>
              <w:right w:val="single" w:sz="4" w:space="0" w:color="auto"/>
            </w:tcBorders>
          </w:tcPr>
          <w:p w14:paraId="55CA8664" w14:textId="7629C07B" w:rsidR="00EA65A1" w:rsidRPr="00222560" w:rsidRDefault="0098603C" w:rsidP="00456E56">
            <w:pPr>
              <w:jc w:val="center"/>
              <w:rPr>
                <w:rFonts w:eastAsia="Calibri" w:cs="Times New Roman"/>
                <w:sz w:val="20"/>
                <w:szCs w:val="20"/>
              </w:rPr>
            </w:pPr>
            <w:r>
              <w:rPr>
                <w:rFonts w:eastAsia="Calibri" w:cs="Times New Roman"/>
                <w:sz w:val="20"/>
                <w:szCs w:val="20"/>
              </w:rPr>
              <w:t>0.0369</w:t>
            </w:r>
          </w:p>
        </w:tc>
        <w:tc>
          <w:tcPr>
            <w:tcW w:w="440" w:type="pct"/>
            <w:tcBorders>
              <w:top w:val="single" w:sz="4" w:space="0" w:color="auto"/>
              <w:left w:val="single" w:sz="4" w:space="0" w:color="auto"/>
              <w:bottom w:val="single" w:sz="4" w:space="0" w:color="auto"/>
              <w:right w:val="single" w:sz="4" w:space="0" w:color="auto"/>
            </w:tcBorders>
          </w:tcPr>
          <w:p w14:paraId="55929B78" w14:textId="2DCBF813" w:rsidR="00EA65A1" w:rsidRPr="00222560" w:rsidRDefault="0098603C" w:rsidP="00456E56">
            <w:pPr>
              <w:jc w:val="center"/>
              <w:rPr>
                <w:rFonts w:eastAsia="Calibri" w:cs="Times New Roman"/>
                <w:sz w:val="20"/>
                <w:szCs w:val="20"/>
              </w:rPr>
            </w:pPr>
            <w:r>
              <w:rPr>
                <w:rFonts w:eastAsia="Calibri" w:cs="Times New Roman"/>
                <w:sz w:val="20"/>
                <w:szCs w:val="20"/>
              </w:rPr>
              <w:t>0.0369</w:t>
            </w:r>
          </w:p>
        </w:tc>
        <w:tc>
          <w:tcPr>
            <w:tcW w:w="441" w:type="pct"/>
            <w:tcBorders>
              <w:top w:val="single" w:sz="4" w:space="0" w:color="auto"/>
              <w:left w:val="single" w:sz="4" w:space="0" w:color="auto"/>
              <w:bottom w:val="single" w:sz="4" w:space="0" w:color="auto"/>
              <w:right w:val="single" w:sz="4" w:space="0" w:color="auto"/>
            </w:tcBorders>
          </w:tcPr>
          <w:p w14:paraId="74632F12" w14:textId="0BD94B1D" w:rsidR="00EA65A1" w:rsidRPr="00222560" w:rsidRDefault="0098603C" w:rsidP="00456E56">
            <w:pPr>
              <w:jc w:val="center"/>
              <w:rPr>
                <w:rFonts w:eastAsia="Calibri" w:cs="Times New Roman"/>
                <w:sz w:val="20"/>
                <w:szCs w:val="20"/>
              </w:rPr>
            </w:pPr>
            <w:r>
              <w:rPr>
                <w:rFonts w:eastAsia="Calibri" w:cs="Times New Roman"/>
                <w:sz w:val="20"/>
                <w:szCs w:val="20"/>
              </w:rPr>
              <w:t>0.0379</w:t>
            </w:r>
          </w:p>
        </w:tc>
        <w:tc>
          <w:tcPr>
            <w:tcW w:w="437" w:type="pct"/>
            <w:gridSpan w:val="2"/>
            <w:tcBorders>
              <w:top w:val="single" w:sz="4" w:space="0" w:color="auto"/>
              <w:left w:val="single" w:sz="4" w:space="0" w:color="auto"/>
              <w:bottom w:val="single" w:sz="4" w:space="0" w:color="auto"/>
            </w:tcBorders>
          </w:tcPr>
          <w:p w14:paraId="566716DE" w14:textId="2A1D834D" w:rsidR="00EA65A1" w:rsidRPr="00222560" w:rsidRDefault="0098603C" w:rsidP="00456E56">
            <w:pPr>
              <w:jc w:val="center"/>
              <w:rPr>
                <w:rFonts w:eastAsia="Calibri" w:cs="Times New Roman"/>
                <w:sz w:val="20"/>
                <w:szCs w:val="20"/>
              </w:rPr>
            </w:pPr>
            <w:r>
              <w:rPr>
                <w:rFonts w:eastAsia="Calibri" w:cs="Times New Roman"/>
                <w:sz w:val="20"/>
                <w:szCs w:val="20"/>
              </w:rPr>
              <w:t>0.0375</w:t>
            </w:r>
          </w:p>
        </w:tc>
        <w:tc>
          <w:tcPr>
            <w:tcW w:w="501" w:type="pct"/>
            <w:tcBorders>
              <w:top w:val="single" w:sz="4" w:space="0" w:color="auto"/>
              <w:left w:val="single" w:sz="4" w:space="0" w:color="auto"/>
              <w:bottom w:val="single" w:sz="4" w:space="0" w:color="auto"/>
            </w:tcBorders>
          </w:tcPr>
          <w:p w14:paraId="6B999551" w14:textId="20271CEC" w:rsidR="00EA65A1" w:rsidRPr="00222560" w:rsidRDefault="0098603C" w:rsidP="00456E56">
            <w:pPr>
              <w:jc w:val="center"/>
              <w:rPr>
                <w:rFonts w:eastAsia="Calibri" w:cs="Times New Roman"/>
                <w:sz w:val="20"/>
                <w:szCs w:val="20"/>
              </w:rPr>
            </w:pPr>
            <w:r>
              <w:rPr>
                <w:rFonts w:eastAsia="Calibri" w:cs="Times New Roman"/>
                <w:sz w:val="20"/>
                <w:szCs w:val="20"/>
              </w:rPr>
              <w:t>0.0384</w:t>
            </w:r>
          </w:p>
        </w:tc>
      </w:tr>
      <w:tr w:rsidR="000B14E2" w:rsidRPr="00222560" w14:paraId="392BA414" w14:textId="77777777" w:rsidTr="00EA3E26">
        <w:trPr>
          <w:trHeight w:val="302"/>
        </w:trPr>
        <w:tc>
          <w:tcPr>
            <w:tcW w:w="497" w:type="pct"/>
            <w:vMerge/>
            <w:tcBorders>
              <w:right w:val="double" w:sz="4" w:space="0" w:color="auto"/>
            </w:tcBorders>
          </w:tcPr>
          <w:p w14:paraId="52DE80CD" w14:textId="77777777" w:rsidR="000B14E2" w:rsidRPr="00222560" w:rsidRDefault="000B14E2" w:rsidP="00456E56">
            <w:pPr>
              <w:rPr>
                <w:rFonts w:eastAsia="Times New Roman" w:cs="Times New Roman"/>
                <w:b/>
                <w:bCs/>
                <w:color w:val="000000"/>
                <w:sz w:val="20"/>
                <w:szCs w:val="20"/>
              </w:rPr>
            </w:pPr>
          </w:p>
        </w:tc>
        <w:tc>
          <w:tcPr>
            <w:tcW w:w="1722" w:type="pct"/>
            <w:gridSpan w:val="2"/>
            <w:tcBorders>
              <w:left w:val="double" w:sz="4" w:space="0" w:color="auto"/>
              <w:right w:val="double" w:sz="4" w:space="0" w:color="auto"/>
            </w:tcBorders>
            <w:shd w:val="clear" w:color="auto" w:fill="auto"/>
            <w:noWrap/>
            <w:vAlign w:val="center"/>
            <w:hideMark/>
          </w:tcPr>
          <w:p w14:paraId="3D0014C9" w14:textId="77777777" w:rsidR="000B14E2" w:rsidRPr="00222560" w:rsidRDefault="000B14E2" w:rsidP="00456E56">
            <w:pPr>
              <w:rPr>
                <w:rFonts w:eastAsia="Times New Roman" w:cs="Times New Roman"/>
                <w:color w:val="000000"/>
                <w:sz w:val="20"/>
                <w:szCs w:val="20"/>
              </w:rPr>
            </w:pPr>
            <w:r w:rsidRPr="00222560">
              <w:rPr>
                <w:rFonts w:eastAsia="Times New Roman" w:cs="Times New Roman"/>
                <w:color w:val="000000"/>
                <w:sz w:val="20"/>
                <w:szCs w:val="20"/>
              </w:rPr>
              <w:t>LR test: Proposed Bivariate YJ vs Independent Normal</w:t>
            </w:r>
          </w:p>
        </w:tc>
        <w:tc>
          <w:tcPr>
            <w:tcW w:w="2782" w:type="pct"/>
            <w:gridSpan w:val="7"/>
            <w:tcBorders>
              <w:left w:val="double" w:sz="4" w:space="0" w:color="auto"/>
            </w:tcBorders>
          </w:tcPr>
          <w:p w14:paraId="472A3477" w14:textId="3E0C1974" w:rsidR="000B14E2" w:rsidRPr="00222560" w:rsidRDefault="000B14E2" w:rsidP="00456E56">
            <w:pPr>
              <w:jc w:val="center"/>
              <w:rPr>
                <w:rFonts w:eastAsia="Times New Roman" w:cs="Times New Roman"/>
                <w:i/>
                <w:color w:val="000000"/>
                <w:sz w:val="20"/>
                <w:szCs w:val="20"/>
              </w:rPr>
            </w:pPr>
            <w:r w:rsidRPr="00222560">
              <w:rPr>
                <w:rFonts w:eastAsia="Calibri" w:cs="Times New Roman"/>
                <w:sz w:val="20"/>
                <w:szCs w:val="20"/>
              </w:rPr>
              <w:t xml:space="preserve">LR = 16.1&gt; </w:t>
            </w:r>
            <m:oMath>
              <m:sSubSup>
                <m:sSubSupPr>
                  <m:ctrlPr>
                    <w:rPr>
                      <w:rFonts w:ascii="Cambria Math" w:eastAsia="Calibri" w:hAnsi="Cambria Math" w:cs="Times New Roman"/>
                      <w:i/>
                      <w:sz w:val="20"/>
                      <w:szCs w:val="20"/>
                    </w:rPr>
                  </m:ctrlPr>
                </m:sSubSupPr>
                <m:e>
                  <m:r>
                    <w:rPr>
                      <w:rFonts w:ascii="Cambria Math" w:eastAsia="Calibri" w:hAnsi="Cambria Math" w:cs="Times New Roman"/>
                      <w:sz w:val="20"/>
                      <w:szCs w:val="20"/>
                    </w:rPr>
                    <m:t>χ</m:t>
                  </m:r>
                </m:e>
                <m:sub>
                  <m:r>
                    <w:rPr>
                      <w:rFonts w:ascii="Cambria Math" w:eastAsia="Calibri" w:hAnsi="Cambria Math" w:cs="Times New Roman"/>
                      <w:sz w:val="20"/>
                      <w:szCs w:val="20"/>
                    </w:rPr>
                    <m:t>(2,  0.05)</m:t>
                  </m:r>
                </m:sub>
                <m:sup>
                  <m:r>
                    <w:rPr>
                      <w:rFonts w:ascii="Cambria Math" w:eastAsia="Calibri" w:hAnsi="Cambria Math" w:cs="Times New Roman"/>
                      <w:sz w:val="20"/>
                      <w:szCs w:val="20"/>
                    </w:rPr>
                    <m:t>2</m:t>
                  </m:r>
                </m:sup>
              </m:sSubSup>
              <m:r>
                <w:rPr>
                  <w:rFonts w:ascii="Cambria Math" w:eastAsia="Calibri" w:hAnsi="Cambria Math" w:cs="Times New Roman"/>
                  <w:sz w:val="20"/>
                  <w:szCs w:val="20"/>
                </w:rPr>
                <m:t>=5.99</m:t>
              </m:r>
            </m:oMath>
          </w:p>
        </w:tc>
      </w:tr>
      <w:tr w:rsidR="000B14E2" w:rsidRPr="00222560" w14:paraId="50F29728" w14:textId="77777777" w:rsidTr="00EA3E26">
        <w:trPr>
          <w:trHeight w:val="302"/>
        </w:trPr>
        <w:tc>
          <w:tcPr>
            <w:tcW w:w="497" w:type="pct"/>
            <w:vMerge/>
            <w:tcBorders>
              <w:right w:val="double" w:sz="4" w:space="0" w:color="auto"/>
            </w:tcBorders>
          </w:tcPr>
          <w:p w14:paraId="5A426DDA" w14:textId="77777777" w:rsidR="000B14E2" w:rsidRPr="00222560" w:rsidRDefault="000B14E2" w:rsidP="00456E56">
            <w:pPr>
              <w:rPr>
                <w:rFonts w:eastAsia="Times New Roman" w:cs="Times New Roman"/>
                <w:b/>
                <w:bCs/>
                <w:color w:val="000000"/>
                <w:sz w:val="20"/>
                <w:szCs w:val="20"/>
              </w:rPr>
            </w:pPr>
          </w:p>
        </w:tc>
        <w:tc>
          <w:tcPr>
            <w:tcW w:w="1722" w:type="pct"/>
            <w:gridSpan w:val="2"/>
            <w:tcBorders>
              <w:left w:val="double" w:sz="4" w:space="0" w:color="auto"/>
              <w:bottom w:val="single" w:sz="4" w:space="0" w:color="auto"/>
              <w:right w:val="double" w:sz="4" w:space="0" w:color="auto"/>
            </w:tcBorders>
            <w:shd w:val="clear" w:color="auto" w:fill="auto"/>
            <w:noWrap/>
            <w:vAlign w:val="center"/>
          </w:tcPr>
          <w:p w14:paraId="417D3530" w14:textId="77777777" w:rsidR="000B14E2" w:rsidRPr="00222560" w:rsidRDefault="000B14E2" w:rsidP="00456E56">
            <w:pPr>
              <w:rPr>
                <w:rFonts w:eastAsia="Times New Roman" w:cs="Times New Roman"/>
                <w:color w:val="000000"/>
                <w:sz w:val="20"/>
                <w:szCs w:val="20"/>
              </w:rPr>
            </w:pPr>
            <w:r w:rsidRPr="00222560">
              <w:rPr>
                <w:rFonts w:eastAsia="Times New Roman" w:cs="Times New Roman"/>
                <w:color w:val="000000"/>
                <w:sz w:val="20"/>
                <w:szCs w:val="20"/>
              </w:rPr>
              <w:t>LR test: Proposed Bivariate YJ vs Bivariate Normal</w:t>
            </w:r>
          </w:p>
        </w:tc>
        <w:tc>
          <w:tcPr>
            <w:tcW w:w="2782" w:type="pct"/>
            <w:gridSpan w:val="7"/>
            <w:tcBorders>
              <w:left w:val="double" w:sz="4" w:space="0" w:color="auto"/>
              <w:bottom w:val="single" w:sz="4" w:space="0" w:color="auto"/>
            </w:tcBorders>
          </w:tcPr>
          <w:p w14:paraId="7B6E48FA" w14:textId="401AF0E3" w:rsidR="000B14E2" w:rsidRPr="00222560" w:rsidRDefault="000B14E2" w:rsidP="00456E56">
            <w:pPr>
              <w:jc w:val="center"/>
              <w:rPr>
                <w:rFonts w:eastAsia="Times New Roman" w:cs="Times New Roman"/>
                <w:i/>
                <w:color w:val="000000"/>
                <w:sz w:val="20"/>
                <w:szCs w:val="20"/>
              </w:rPr>
            </w:pPr>
            <w:r w:rsidRPr="00222560">
              <w:rPr>
                <w:rFonts w:eastAsia="Calibri" w:cs="Times New Roman"/>
                <w:sz w:val="20"/>
                <w:szCs w:val="20"/>
              </w:rPr>
              <w:t xml:space="preserve">LR =11.94 &gt; </w:t>
            </w:r>
            <m:oMath>
              <m:sSubSup>
                <m:sSubSupPr>
                  <m:ctrlPr>
                    <w:rPr>
                      <w:rFonts w:ascii="Cambria Math" w:eastAsia="Calibri" w:hAnsi="Cambria Math" w:cs="Times New Roman"/>
                      <w:i/>
                      <w:sz w:val="20"/>
                      <w:szCs w:val="20"/>
                    </w:rPr>
                  </m:ctrlPr>
                </m:sSubSupPr>
                <m:e>
                  <m:r>
                    <w:rPr>
                      <w:rFonts w:ascii="Cambria Math" w:eastAsia="Calibri" w:hAnsi="Cambria Math" w:cs="Times New Roman"/>
                      <w:sz w:val="20"/>
                      <w:szCs w:val="20"/>
                    </w:rPr>
                    <m:t>χ</m:t>
                  </m:r>
                </m:e>
                <m:sub>
                  <m:r>
                    <w:rPr>
                      <w:rFonts w:ascii="Cambria Math" w:eastAsia="Calibri" w:hAnsi="Cambria Math" w:cs="Times New Roman"/>
                      <w:sz w:val="20"/>
                      <w:szCs w:val="20"/>
                    </w:rPr>
                    <m:t>(1,  0.05)</m:t>
                  </m:r>
                </m:sub>
                <m:sup>
                  <m:r>
                    <w:rPr>
                      <w:rFonts w:ascii="Cambria Math" w:eastAsia="Calibri" w:hAnsi="Cambria Math" w:cs="Times New Roman"/>
                      <w:sz w:val="20"/>
                      <w:szCs w:val="20"/>
                    </w:rPr>
                    <m:t>2</m:t>
                  </m:r>
                </m:sup>
              </m:sSubSup>
              <m:r>
                <w:rPr>
                  <w:rFonts w:ascii="Cambria Math" w:eastAsia="Calibri" w:hAnsi="Cambria Math" w:cs="Times New Roman"/>
                  <w:sz w:val="20"/>
                  <w:szCs w:val="20"/>
                </w:rPr>
                <m:t>=3.84</m:t>
              </m:r>
            </m:oMath>
          </w:p>
        </w:tc>
      </w:tr>
      <w:tr w:rsidR="000B14E2" w:rsidRPr="00222560" w14:paraId="16C3D743" w14:textId="77777777" w:rsidTr="00EA3E26">
        <w:trPr>
          <w:trHeight w:val="302"/>
        </w:trPr>
        <w:tc>
          <w:tcPr>
            <w:tcW w:w="497" w:type="pct"/>
            <w:vMerge/>
            <w:tcBorders>
              <w:right w:val="double" w:sz="4" w:space="0" w:color="auto"/>
            </w:tcBorders>
          </w:tcPr>
          <w:p w14:paraId="059DA896" w14:textId="77777777" w:rsidR="000B14E2" w:rsidRPr="00222560" w:rsidRDefault="000B14E2" w:rsidP="00456E56">
            <w:pPr>
              <w:rPr>
                <w:rFonts w:eastAsia="Times New Roman" w:cs="Times New Roman"/>
                <w:b/>
                <w:bCs/>
                <w:color w:val="000000"/>
                <w:sz w:val="20"/>
                <w:szCs w:val="20"/>
              </w:rPr>
            </w:pPr>
          </w:p>
        </w:tc>
        <w:tc>
          <w:tcPr>
            <w:tcW w:w="1722" w:type="pct"/>
            <w:gridSpan w:val="2"/>
            <w:tcBorders>
              <w:top w:val="single" w:sz="4" w:space="0" w:color="auto"/>
              <w:left w:val="double" w:sz="4" w:space="0" w:color="auto"/>
              <w:bottom w:val="single" w:sz="4" w:space="0" w:color="auto"/>
              <w:right w:val="double" w:sz="4" w:space="0" w:color="auto"/>
            </w:tcBorders>
            <w:shd w:val="clear" w:color="auto" w:fill="auto"/>
            <w:noWrap/>
            <w:vAlign w:val="center"/>
            <w:hideMark/>
          </w:tcPr>
          <w:p w14:paraId="0C5927CF" w14:textId="77777777" w:rsidR="000B14E2" w:rsidRPr="00222560" w:rsidRDefault="000B14E2" w:rsidP="00456E56">
            <w:pPr>
              <w:rPr>
                <w:rFonts w:eastAsia="Times New Roman" w:cs="Times New Roman"/>
                <w:color w:val="000000"/>
                <w:sz w:val="20"/>
                <w:szCs w:val="20"/>
              </w:rPr>
            </w:pPr>
            <w:r w:rsidRPr="00222560">
              <w:rPr>
                <w:rFonts w:eastAsia="Times New Roman" w:cs="Times New Roman"/>
                <w:color w:val="000000"/>
                <w:sz w:val="20"/>
                <w:szCs w:val="20"/>
              </w:rPr>
              <w:t>LR test: Proposed Bivariate YJ vs Independent YJ</w:t>
            </w:r>
          </w:p>
        </w:tc>
        <w:tc>
          <w:tcPr>
            <w:tcW w:w="2782" w:type="pct"/>
            <w:gridSpan w:val="7"/>
            <w:tcBorders>
              <w:top w:val="single" w:sz="4" w:space="0" w:color="auto"/>
              <w:left w:val="double" w:sz="4" w:space="0" w:color="auto"/>
              <w:bottom w:val="single" w:sz="4" w:space="0" w:color="auto"/>
            </w:tcBorders>
          </w:tcPr>
          <w:p w14:paraId="5358F535" w14:textId="3AA87E25" w:rsidR="000B14E2" w:rsidRPr="00222560" w:rsidRDefault="000B14E2" w:rsidP="00456E56">
            <w:pPr>
              <w:jc w:val="center"/>
              <w:rPr>
                <w:rFonts w:eastAsia="Calibri" w:cs="Times New Roman"/>
                <w:sz w:val="20"/>
                <w:szCs w:val="20"/>
              </w:rPr>
            </w:pPr>
            <w:r w:rsidRPr="00222560">
              <w:rPr>
                <w:rFonts w:eastAsia="Calibri" w:cs="Times New Roman"/>
                <w:sz w:val="20"/>
                <w:szCs w:val="20"/>
              </w:rPr>
              <w:t xml:space="preserve">LR = 7.6&gt; </w:t>
            </w:r>
            <m:oMath>
              <m:sSubSup>
                <m:sSubSupPr>
                  <m:ctrlPr>
                    <w:rPr>
                      <w:rFonts w:ascii="Cambria Math" w:eastAsia="Calibri" w:hAnsi="Cambria Math" w:cs="Times New Roman"/>
                      <w:i/>
                      <w:sz w:val="20"/>
                      <w:szCs w:val="20"/>
                    </w:rPr>
                  </m:ctrlPr>
                </m:sSubSupPr>
                <m:e>
                  <m:r>
                    <w:rPr>
                      <w:rFonts w:ascii="Cambria Math" w:eastAsia="Calibri" w:hAnsi="Cambria Math" w:cs="Times New Roman"/>
                      <w:sz w:val="20"/>
                      <w:szCs w:val="20"/>
                    </w:rPr>
                    <m:t>χ</m:t>
                  </m:r>
                </m:e>
                <m:sub>
                  <m:r>
                    <w:rPr>
                      <w:rFonts w:ascii="Cambria Math" w:eastAsia="Calibri" w:hAnsi="Cambria Math" w:cs="Times New Roman"/>
                      <w:sz w:val="20"/>
                      <w:szCs w:val="20"/>
                    </w:rPr>
                    <m:t>(1,  0.05)</m:t>
                  </m:r>
                </m:sub>
                <m:sup>
                  <m:r>
                    <w:rPr>
                      <w:rFonts w:ascii="Cambria Math" w:eastAsia="Calibri" w:hAnsi="Cambria Math" w:cs="Times New Roman"/>
                      <w:sz w:val="20"/>
                      <w:szCs w:val="20"/>
                    </w:rPr>
                    <m:t>2</m:t>
                  </m:r>
                </m:sup>
              </m:sSubSup>
              <m:r>
                <w:rPr>
                  <w:rFonts w:ascii="Cambria Math" w:eastAsia="Calibri" w:hAnsi="Cambria Math" w:cs="Times New Roman"/>
                  <w:sz w:val="20"/>
                  <w:szCs w:val="20"/>
                </w:rPr>
                <m:t>=3.84</m:t>
              </m:r>
            </m:oMath>
          </w:p>
        </w:tc>
      </w:tr>
      <w:tr w:rsidR="000B14E2" w:rsidRPr="00222560" w14:paraId="3A1131EE" w14:textId="77777777" w:rsidTr="00EA3E26">
        <w:trPr>
          <w:trHeight w:val="302"/>
        </w:trPr>
        <w:tc>
          <w:tcPr>
            <w:tcW w:w="497" w:type="pct"/>
            <w:vMerge/>
            <w:tcBorders>
              <w:right w:val="double" w:sz="4" w:space="0" w:color="auto"/>
            </w:tcBorders>
          </w:tcPr>
          <w:p w14:paraId="1F829952" w14:textId="77777777" w:rsidR="000B14E2" w:rsidRPr="00222560" w:rsidRDefault="000B14E2" w:rsidP="00456E56">
            <w:pPr>
              <w:rPr>
                <w:rFonts w:eastAsia="Times New Roman" w:cs="Times New Roman"/>
                <w:b/>
                <w:bCs/>
                <w:color w:val="000000"/>
                <w:sz w:val="20"/>
                <w:szCs w:val="20"/>
              </w:rPr>
            </w:pPr>
          </w:p>
        </w:tc>
        <w:tc>
          <w:tcPr>
            <w:tcW w:w="1722" w:type="pct"/>
            <w:gridSpan w:val="2"/>
            <w:tcBorders>
              <w:top w:val="single" w:sz="4" w:space="0" w:color="auto"/>
              <w:left w:val="double" w:sz="4" w:space="0" w:color="auto"/>
              <w:bottom w:val="single" w:sz="4" w:space="0" w:color="auto"/>
              <w:right w:val="double" w:sz="4" w:space="0" w:color="auto"/>
            </w:tcBorders>
            <w:shd w:val="clear" w:color="auto" w:fill="auto"/>
            <w:noWrap/>
            <w:vAlign w:val="center"/>
          </w:tcPr>
          <w:p w14:paraId="7040ACA3" w14:textId="59C7323D" w:rsidR="000B14E2" w:rsidRPr="00222560" w:rsidRDefault="000B14E2" w:rsidP="00456E56">
            <w:pPr>
              <w:rPr>
                <w:rFonts w:eastAsia="Times New Roman" w:cs="Times New Roman"/>
                <w:color w:val="000000"/>
                <w:sz w:val="20"/>
                <w:szCs w:val="20"/>
              </w:rPr>
            </w:pPr>
            <w:r>
              <w:rPr>
                <w:rFonts w:eastAsia="Times New Roman" w:cs="Times New Roman"/>
                <w:color w:val="000000"/>
                <w:sz w:val="20"/>
                <w:szCs w:val="20"/>
              </w:rPr>
              <w:t>Non-Nested LR test: Proposed vs Independent Skew</w:t>
            </w:r>
          </w:p>
        </w:tc>
        <w:tc>
          <w:tcPr>
            <w:tcW w:w="2782" w:type="pct"/>
            <w:gridSpan w:val="7"/>
            <w:tcBorders>
              <w:top w:val="single" w:sz="4" w:space="0" w:color="auto"/>
              <w:left w:val="double" w:sz="4" w:space="0" w:color="auto"/>
              <w:bottom w:val="single" w:sz="4" w:space="0" w:color="auto"/>
            </w:tcBorders>
          </w:tcPr>
          <w:p w14:paraId="7C2BDED9" w14:textId="51DC249A" w:rsidR="000B14E2" w:rsidRPr="00222560" w:rsidRDefault="008864A2" w:rsidP="008864A2">
            <w:pPr>
              <w:rPr>
                <w:rFonts w:eastAsia="Calibri" w:cs="Times New Roman"/>
                <w:sz w:val="20"/>
                <w:szCs w:val="20"/>
              </w:rPr>
            </w:pPr>
            <w:r>
              <w:rPr>
                <w:rFonts w:eastAsia="Calibri" w:cs="Times New Roman"/>
                <w:sz w:val="20"/>
                <w:szCs w:val="20"/>
              </w:rPr>
              <w:t>Prob. that better fit of proposed model could have been random chance =</w:t>
            </w:r>
            <w:r w:rsidR="00943799">
              <w:rPr>
                <w:rFonts w:eastAsia="Calibri" w:cs="Times New Roman"/>
                <w:sz w:val="20"/>
                <w:szCs w:val="20"/>
              </w:rPr>
              <w:t>Φ(-3.326) ≈ 0</w:t>
            </w:r>
          </w:p>
        </w:tc>
      </w:tr>
      <w:tr w:rsidR="000B14E2" w:rsidRPr="00222560" w14:paraId="53D76139" w14:textId="77777777" w:rsidTr="00EA3E26">
        <w:trPr>
          <w:trHeight w:val="302"/>
        </w:trPr>
        <w:tc>
          <w:tcPr>
            <w:tcW w:w="497" w:type="pct"/>
            <w:vMerge/>
            <w:tcBorders>
              <w:bottom w:val="double" w:sz="4" w:space="0" w:color="auto"/>
              <w:right w:val="double" w:sz="4" w:space="0" w:color="auto"/>
            </w:tcBorders>
          </w:tcPr>
          <w:p w14:paraId="1362C633" w14:textId="77777777" w:rsidR="000B14E2" w:rsidRPr="00222560" w:rsidRDefault="000B14E2" w:rsidP="00456E56">
            <w:pPr>
              <w:rPr>
                <w:rFonts w:eastAsia="Times New Roman" w:cs="Times New Roman"/>
                <w:b/>
                <w:bCs/>
                <w:color w:val="000000"/>
                <w:sz w:val="20"/>
                <w:szCs w:val="20"/>
              </w:rPr>
            </w:pPr>
          </w:p>
        </w:tc>
        <w:tc>
          <w:tcPr>
            <w:tcW w:w="1722" w:type="pct"/>
            <w:gridSpan w:val="2"/>
            <w:tcBorders>
              <w:top w:val="single" w:sz="4" w:space="0" w:color="auto"/>
              <w:left w:val="double" w:sz="4" w:space="0" w:color="auto"/>
              <w:bottom w:val="double" w:sz="4" w:space="0" w:color="auto"/>
              <w:right w:val="double" w:sz="4" w:space="0" w:color="auto"/>
            </w:tcBorders>
            <w:shd w:val="clear" w:color="auto" w:fill="auto"/>
            <w:noWrap/>
            <w:vAlign w:val="center"/>
          </w:tcPr>
          <w:p w14:paraId="4F5A4B19" w14:textId="5033D9B7" w:rsidR="000B14E2" w:rsidRPr="00222560" w:rsidRDefault="000B14E2" w:rsidP="00456E56">
            <w:pPr>
              <w:rPr>
                <w:rFonts w:eastAsia="Times New Roman" w:cs="Times New Roman"/>
                <w:color w:val="000000"/>
                <w:sz w:val="20"/>
                <w:szCs w:val="20"/>
              </w:rPr>
            </w:pPr>
            <w:r>
              <w:rPr>
                <w:rFonts w:eastAsia="Times New Roman" w:cs="Times New Roman"/>
                <w:color w:val="000000"/>
                <w:sz w:val="20"/>
                <w:szCs w:val="20"/>
              </w:rPr>
              <w:t>Non-Nested LR test: Proposed vs Bivariate Skew</w:t>
            </w:r>
          </w:p>
        </w:tc>
        <w:tc>
          <w:tcPr>
            <w:tcW w:w="2782" w:type="pct"/>
            <w:gridSpan w:val="7"/>
            <w:tcBorders>
              <w:top w:val="single" w:sz="4" w:space="0" w:color="auto"/>
              <w:left w:val="double" w:sz="4" w:space="0" w:color="auto"/>
              <w:bottom w:val="double" w:sz="4" w:space="0" w:color="auto"/>
            </w:tcBorders>
          </w:tcPr>
          <w:p w14:paraId="55FFDD3D" w14:textId="26E58284" w:rsidR="000B14E2" w:rsidRPr="00222560" w:rsidRDefault="008864A2" w:rsidP="008864A2">
            <w:pPr>
              <w:rPr>
                <w:rFonts w:eastAsia="Calibri" w:cs="Times New Roman"/>
                <w:sz w:val="20"/>
                <w:szCs w:val="20"/>
              </w:rPr>
            </w:pPr>
            <w:r>
              <w:rPr>
                <w:rFonts w:eastAsia="Calibri" w:cs="Times New Roman"/>
                <w:sz w:val="20"/>
                <w:szCs w:val="20"/>
              </w:rPr>
              <w:t>Prob. that better fit of proposed model could have been random chance =</w:t>
            </w:r>
            <w:r w:rsidR="00943799">
              <w:rPr>
                <w:rFonts w:eastAsia="Calibri" w:cs="Times New Roman"/>
                <w:sz w:val="20"/>
                <w:szCs w:val="20"/>
              </w:rPr>
              <w:t>Φ(-1</w:t>
            </w:r>
            <w:r>
              <w:rPr>
                <w:rFonts w:eastAsia="Calibri" w:cs="Times New Roman"/>
                <w:sz w:val="20"/>
                <w:szCs w:val="20"/>
              </w:rPr>
              <w:t>.831</w:t>
            </w:r>
            <w:r w:rsidR="00943799">
              <w:rPr>
                <w:rFonts w:eastAsia="Calibri" w:cs="Times New Roman"/>
                <w:sz w:val="20"/>
                <w:szCs w:val="20"/>
              </w:rPr>
              <w:t>) ≈ 0</w:t>
            </w:r>
            <w:r>
              <w:rPr>
                <w:rFonts w:eastAsia="Calibri" w:cs="Times New Roman"/>
                <w:sz w:val="20"/>
                <w:szCs w:val="20"/>
              </w:rPr>
              <w:t>.035</w:t>
            </w:r>
          </w:p>
        </w:tc>
      </w:tr>
      <w:tr w:rsidR="008864A2" w:rsidRPr="00222560" w14:paraId="4517A3A5" w14:textId="77777777" w:rsidTr="00EA3E26">
        <w:trPr>
          <w:trHeight w:val="302"/>
        </w:trPr>
        <w:tc>
          <w:tcPr>
            <w:tcW w:w="497" w:type="pct"/>
            <w:vMerge w:val="restart"/>
            <w:tcBorders>
              <w:top w:val="double" w:sz="4" w:space="0" w:color="auto"/>
              <w:bottom w:val="double" w:sz="4" w:space="0" w:color="auto"/>
              <w:right w:val="double" w:sz="4" w:space="0" w:color="auto"/>
            </w:tcBorders>
          </w:tcPr>
          <w:p w14:paraId="7225D31E" w14:textId="77777777" w:rsidR="003E2204" w:rsidRPr="00222560" w:rsidRDefault="003E2204" w:rsidP="00456E56">
            <w:pPr>
              <w:rPr>
                <w:rFonts w:eastAsia="Times New Roman" w:cs="Times New Roman"/>
                <w:b/>
                <w:bCs/>
                <w:color w:val="000000"/>
                <w:sz w:val="20"/>
                <w:szCs w:val="20"/>
              </w:rPr>
            </w:pPr>
          </w:p>
          <w:p w14:paraId="3021256D" w14:textId="77777777" w:rsidR="003E2204" w:rsidRPr="00222560" w:rsidRDefault="003E2204" w:rsidP="00456E56">
            <w:pPr>
              <w:rPr>
                <w:rFonts w:eastAsia="Times New Roman" w:cs="Times New Roman"/>
                <w:b/>
                <w:bCs/>
                <w:color w:val="000000"/>
                <w:sz w:val="20"/>
                <w:szCs w:val="20"/>
              </w:rPr>
            </w:pPr>
          </w:p>
          <w:p w14:paraId="02A5A66F" w14:textId="77777777" w:rsidR="003E2204" w:rsidRPr="00222560" w:rsidRDefault="003E2204" w:rsidP="00456E56">
            <w:pPr>
              <w:rPr>
                <w:rFonts w:eastAsia="Times New Roman" w:cs="Times New Roman"/>
                <w:b/>
                <w:bCs/>
                <w:color w:val="000000"/>
                <w:sz w:val="20"/>
                <w:szCs w:val="20"/>
              </w:rPr>
            </w:pPr>
          </w:p>
          <w:p w14:paraId="27EEB004" w14:textId="77777777" w:rsidR="003E2204" w:rsidRPr="00222560" w:rsidRDefault="003E2204" w:rsidP="00456E56">
            <w:pPr>
              <w:rPr>
                <w:rFonts w:eastAsia="Times New Roman" w:cs="Times New Roman"/>
                <w:b/>
                <w:bCs/>
                <w:color w:val="000000"/>
                <w:sz w:val="20"/>
                <w:szCs w:val="20"/>
              </w:rPr>
            </w:pPr>
          </w:p>
          <w:p w14:paraId="0AE34C12" w14:textId="77777777" w:rsidR="003E2204" w:rsidRPr="00222560" w:rsidRDefault="003E2204" w:rsidP="00456E56">
            <w:pPr>
              <w:rPr>
                <w:rFonts w:eastAsia="Times New Roman" w:cs="Times New Roman"/>
                <w:b/>
                <w:bCs/>
                <w:color w:val="000000"/>
                <w:sz w:val="20"/>
                <w:szCs w:val="20"/>
              </w:rPr>
            </w:pPr>
          </w:p>
          <w:p w14:paraId="4CEA0503" w14:textId="77777777" w:rsidR="003E2204" w:rsidRPr="00222560" w:rsidRDefault="003E2204" w:rsidP="00456E56">
            <w:pPr>
              <w:rPr>
                <w:rFonts w:eastAsia="Times New Roman" w:cs="Times New Roman"/>
                <w:b/>
                <w:bCs/>
                <w:color w:val="000000"/>
                <w:sz w:val="20"/>
                <w:szCs w:val="20"/>
              </w:rPr>
            </w:pPr>
          </w:p>
          <w:p w14:paraId="48CF1FF4" w14:textId="77777777" w:rsidR="003E2204" w:rsidRPr="00222560" w:rsidRDefault="003E2204" w:rsidP="00456E56">
            <w:pPr>
              <w:rPr>
                <w:rFonts w:eastAsia="Times New Roman" w:cs="Times New Roman"/>
                <w:b/>
                <w:bCs/>
                <w:color w:val="000000"/>
                <w:sz w:val="20"/>
                <w:szCs w:val="20"/>
              </w:rPr>
            </w:pPr>
          </w:p>
          <w:p w14:paraId="4D09A1A4" w14:textId="77777777" w:rsidR="003E2204" w:rsidRPr="00222560" w:rsidRDefault="003E2204" w:rsidP="00456E56">
            <w:pPr>
              <w:rPr>
                <w:rFonts w:eastAsia="Times New Roman" w:cs="Times New Roman"/>
                <w:b/>
                <w:bCs/>
                <w:color w:val="000000"/>
                <w:sz w:val="20"/>
                <w:szCs w:val="20"/>
              </w:rPr>
            </w:pPr>
          </w:p>
          <w:p w14:paraId="058AEDCB" w14:textId="77777777" w:rsidR="003E2204" w:rsidRPr="00222560" w:rsidRDefault="003E2204" w:rsidP="00456E56">
            <w:pPr>
              <w:rPr>
                <w:rFonts w:eastAsia="Times New Roman" w:cs="Times New Roman"/>
                <w:b/>
                <w:bCs/>
                <w:color w:val="000000"/>
                <w:sz w:val="20"/>
                <w:szCs w:val="20"/>
              </w:rPr>
            </w:pPr>
            <w:r w:rsidRPr="00222560">
              <w:rPr>
                <w:rFonts w:eastAsia="Times New Roman" w:cs="Times New Roman"/>
                <w:b/>
                <w:bCs/>
                <w:color w:val="000000"/>
                <w:sz w:val="20"/>
                <w:szCs w:val="20"/>
              </w:rPr>
              <w:t xml:space="preserve">Non-likelihood Based Measures </w:t>
            </w:r>
          </w:p>
        </w:tc>
        <w:tc>
          <w:tcPr>
            <w:tcW w:w="1722" w:type="pct"/>
            <w:gridSpan w:val="2"/>
            <w:tcBorders>
              <w:top w:val="double" w:sz="4" w:space="0" w:color="auto"/>
              <w:left w:val="double" w:sz="4" w:space="0" w:color="auto"/>
              <w:right w:val="double" w:sz="4" w:space="0" w:color="auto"/>
            </w:tcBorders>
            <w:shd w:val="clear" w:color="auto" w:fill="auto"/>
            <w:noWrap/>
            <w:vAlign w:val="center"/>
          </w:tcPr>
          <w:p w14:paraId="3DD136B9" w14:textId="77777777" w:rsidR="003E2204" w:rsidRPr="00222560" w:rsidRDefault="003E2204" w:rsidP="00456E56">
            <w:pPr>
              <w:rPr>
                <w:rFonts w:eastAsia="Times New Roman" w:cs="Times New Roman"/>
                <w:color w:val="000000"/>
                <w:sz w:val="20"/>
                <w:szCs w:val="20"/>
              </w:rPr>
            </w:pPr>
            <w:r w:rsidRPr="00222560">
              <w:rPr>
                <w:rFonts w:eastAsia="Times New Roman" w:cs="Times New Roman"/>
                <w:color w:val="000000"/>
                <w:sz w:val="20"/>
                <w:szCs w:val="20"/>
              </w:rPr>
              <w:t xml:space="preserve">Average Probability of Correct Prediction (APCP) </w:t>
            </w:r>
          </w:p>
        </w:tc>
        <w:tc>
          <w:tcPr>
            <w:tcW w:w="496" w:type="pct"/>
            <w:tcBorders>
              <w:top w:val="double" w:sz="4" w:space="0" w:color="auto"/>
              <w:left w:val="double" w:sz="4" w:space="0" w:color="auto"/>
            </w:tcBorders>
            <w:vAlign w:val="center"/>
          </w:tcPr>
          <w:p w14:paraId="1E2D36F8" w14:textId="77777777" w:rsidR="003E2204" w:rsidRPr="00222560" w:rsidRDefault="003E2204" w:rsidP="009B729A">
            <w:pPr>
              <w:jc w:val="center"/>
              <w:rPr>
                <w:rFonts w:eastAsia="Calibri" w:cs="Times New Roman"/>
                <w:sz w:val="20"/>
                <w:szCs w:val="20"/>
              </w:rPr>
            </w:pPr>
            <w:r w:rsidRPr="00222560">
              <w:rPr>
                <w:rFonts w:eastAsia="Calibri" w:cs="Times New Roman"/>
                <w:sz w:val="20"/>
                <w:szCs w:val="20"/>
              </w:rPr>
              <w:t>0.1729</w:t>
            </w:r>
          </w:p>
        </w:tc>
        <w:tc>
          <w:tcPr>
            <w:tcW w:w="466" w:type="pct"/>
            <w:tcBorders>
              <w:top w:val="double" w:sz="4" w:space="0" w:color="auto"/>
            </w:tcBorders>
            <w:vAlign w:val="center"/>
          </w:tcPr>
          <w:p w14:paraId="47A280D0" w14:textId="77777777" w:rsidR="003E2204" w:rsidRPr="00222560" w:rsidRDefault="003E2204" w:rsidP="009B729A">
            <w:pPr>
              <w:jc w:val="center"/>
              <w:rPr>
                <w:rFonts w:eastAsia="Calibri" w:cs="Times New Roman"/>
                <w:sz w:val="20"/>
                <w:szCs w:val="20"/>
              </w:rPr>
            </w:pPr>
            <w:r w:rsidRPr="00222560">
              <w:rPr>
                <w:rFonts w:eastAsia="Calibri" w:cs="Times New Roman"/>
                <w:sz w:val="20"/>
                <w:szCs w:val="20"/>
              </w:rPr>
              <w:t>0.1731</w:t>
            </w:r>
          </w:p>
        </w:tc>
        <w:tc>
          <w:tcPr>
            <w:tcW w:w="440" w:type="pct"/>
            <w:tcBorders>
              <w:top w:val="double" w:sz="4" w:space="0" w:color="auto"/>
            </w:tcBorders>
            <w:vAlign w:val="center"/>
          </w:tcPr>
          <w:p w14:paraId="403498A9" w14:textId="310C80B8" w:rsidR="003E2204" w:rsidRPr="00222560" w:rsidRDefault="009B729A" w:rsidP="009B729A">
            <w:pPr>
              <w:jc w:val="center"/>
              <w:rPr>
                <w:rFonts w:eastAsia="Calibri" w:cs="Times New Roman"/>
                <w:sz w:val="20"/>
                <w:szCs w:val="20"/>
              </w:rPr>
            </w:pPr>
            <w:r>
              <w:rPr>
                <w:rFonts w:eastAsia="Calibri" w:cs="Times New Roman"/>
                <w:sz w:val="20"/>
                <w:szCs w:val="20"/>
              </w:rPr>
              <w:t>0.1736</w:t>
            </w:r>
          </w:p>
        </w:tc>
        <w:tc>
          <w:tcPr>
            <w:tcW w:w="441" w:type="pct"/>
            <w:tcBorders>
              <w:top w:val="double" w:sz="4" w:space="0" w:color="auto"/>
            </w:tcBorders>
            <w:vAlign w:val="center"/>
          </w:tcPr>
          <w:p w14:paraId="00C0B11B" w14:textId="3791A821" w:rsidR="003E2204" w:rsidRPr="00222560" w:rsidRDefault="00C3082A" w:rsidP="009B729A">
            <w:pPr>
              <w:jc w:val="center"/>
              <w:rPr>
                <w:rFonts w:eastAsia="Calibri" w:cs="Times New Roman"/>
                <w:sz w:val="20"/>
                <w:szCs w:val="20"/>
              </w:rPr>
            </w:pPr>
            <w:r>
              <w:rPr>
                <w:rFonts w:eastAsia="Calibri" w:cs="Times New Roman"/>
                <w:sz w:val="20"/>
                <w:szCs w:val="20"/>
              </w:rPr>
              <w:t>0.1740</w:t>
            </w:r>
          </w:p>
        </w:tc>
        <w:tc>
          <w:tcPr>
            <w:tcW w:w="424" w:type="pct"/>
            <w:tcBorders>
              <w:top w:val="double" w:sz="4" w:space="0" w:color="auto"/>
            </w:tcBorders>
            <w:vAlign w:val="center"/>
          </w:tcPr>
          <w:p w14:paraId="5CA1A02D" w14:textId="25C19613" w:rsidR="003E2204" w:rsidRPr="00222560" w:rsidRDefault="00F543B6" w:rsidP="009B729A">
            <w:pPr>
              <w:jc w:val="center"/>
              <w:rPr>
                <w:rFonts w:eastAsia="Calibri" w:cs="Times New Roman"/>
                <w:sz w:val="20"/>
                <w:szCs w:val="20"/>
              </w:rPr>
            </w:pPr>
            <w:r w:rsidRPr="00222560">
              <w:rPr>
                <w:rFonts w:eastAsia="Calibri" w:cs="Times New Roman"/>
                <w:sz w:val="20"/>
                <w:szCs w:val="20"/>
              </w:rPr>
              <w:t>0.1741</w:t>
            </w:r>
          </w:p>
        </w:tc>
        <w:tc>
          <w:tcPr>
            <w:tcW w:w="514" w:type="pct"/>
            <w:gridSpan w:val="2"/>
            <w:tcBorders>
              <w:top w:val="double" w:sz="4" w:space="0" w:color="auto"/>
            </w:tcBorders>
            <w:vAlign w:val="center"/>
          </w:tcPr>
          <w:p w14:paraId="3CD150DB" w14:textId="1E3B1BAE" w:rsidR="003E2204" w:rsidRPr="00222560" w:rsidRDefault="003E2204" w:rsidP="009B729A">
            <w:pPr>
              <w:jc w:val="center"/>
              <w:rPr>
                <w:rFonts w:eastAsia="Calibri" w:cs="Times New Roman"/>
                <w:sz w:val="20"/>
                <w:szCs w:val="20"/>
              </w:rPr>
            </w:pPr>
            <w:r w:rsidRPr="00222560">
              <w:rPr>
                <w:rFonts w:eastAsia="Calibri" w:cs="Times New Roman"/>
                <w:sz w:val="20"/>
                <w:szCs w:val="20"/>
              </w:rPr>
              <w:t>0.1748</w:t>
            </w:r>
          </w:p>
        </w:tc>
      </w:tr>
      <w:tr w:rsidR="003E2204" w:rsidRPr="00222560" w14:paraId="0FAFA701" w14:textId="77777777" w:rsidTr="00EA3E26">
        <w:trPr>
          <w:trHeight w:val="302"/>
        </w:trPr>
        <w:tc>
          <w:tcPr>
            <w:tcW w:w="497" w:type="pct"/>
            <w:vMerge/>
            <w:tcBorders>
              <w:top w:val="single" w:sz="4" w:space="0" w:color="auto"/>
              <w:bottom w:val="double" w:sz="4" w:space="0" w:color="auto"/>
              <w:right w:val="double" w:sz="4" w:space="0" w:color="auto"/>
            </w:tcBorders>
          </w:tcPr>
          <w:p w14:paraId="36EDD2B9" w14:textId="77777777" w:rsidR="003E2204" w:rsidRPr="00222560" w:rsidRDefault="003E2204" w:rsidP="00456E56">
            <w:pPr>
              <w:rPr>
                <w:rFonts w:eastAsia="Times New Roman" w:cs="Times New Roman"/>
                <w:b/>
                <w:bCs/>
                <w:color w:val="000000"/>
                <w:sz w:val="20"/>
                <w:szCs w:val="20"/>
              </w:rPr>
            </w:pPr>
          </w:p>
        </w:tc>
        <w:tc>
          <w:tcPr>
            <w:tcW w:w="1722" w:type="pct"/>
            <w:gridSpan w:val="2"/>
            <w:tcBorders>
              <w:left w:val="double" w:sz="4" w:space="0" w:color="auto"/>
              <w:right w:val="double" w:sz="4" w:space="0" w:color="auto"/>
            </w:tcBorders>
            <w:shd w:val="clear" w:color="auto" w:fill="auto"/>
            <w:noWrap/>
            <w:vAlign w:val="center"/>
          </w:tcPr>
          <w:p w14:paraId="5CB9DE9E" w14:textId="77777777" w:rsidR="003E2204" w:rsidRPr="00222560" w:rsidRDefault="003E2204" w:rsidP="00456E56">
            <w:pPr>
              <w:rPr>
                <w:rFonts w:eastAsia="Times New Roman" w:cs="Times New Roman"/>
                <w:color w:val="000000"/>
                <w:sz w:val="20"/>
                <w:szCs w:val="20"/>
              </w:rPr>
            </w:pPr>
            <w:r w:rsidRPr="00222560">
              <w:rPr>
                <w:rFonts w:eastAsia="Times New Roman" w:cs="Times New Roman"/>
                <w:color w:val="000000"/>
                <w:sz w:val="20"/>
                <w:szCs w:val="20"/>
              </w:rPr>
              <w:t>Actual versus Predicted Number of Individuals</w:t>
            </w:r>
          </w:p>
        </w:tc>
        <w:tc>
          <w:tcPr>
            <w:tcW w:w="2782" w:type="pct"/>
            <w:gridSpan w:val="7"/>
            <w:vMerge w:val="restart"/>
            <w:tcBorders>
              <w:left w:val="double" w:sz="4" w:space="0" w:color="auto"/>
            </w:tcBorders>
          </w:tcPr>
          <w:p w14:paraId="3ABB8EB7" w14:textId="77777777" w:rsidR="003E2204" w:rsidRDefault="003E2204" w:rsidP="00456E56">
            <w:pPr>
              <w:jc w:val="center"/>
              <w:rPr>
                <w:rFonts w:eastAsia="Calibri" w:cs="Times New Roman"/>
                <w:sz w:val="20"/>
                <w:szCs w:val="20"/>
              </w:rPr>
            </w:pPr>
          </w:p>
          <w:p w14:paraId="619E4450" w14:textId="01419828" w:rsidR="003E2204" w:rsidRPr="00222560" w:rsidRDefault="003E2204" w:rsidP="00456E56">
            <w:pPr>
              <w:jc w:val="center"/>
              <w:rPr>
                <w:rFonts w:eastAsia="Calibri" w:cs="Times New Roman"/>
                <w:sz w:val="20"/>
                <w:szCs w:val="20"/>
              </w:rPr>
            </w:pPr>
            <w:r w:rsidRPr="00222560">
              <w:rPr>
                <w:rFonts w:eastAsia="Calibri" w:cs="Times New Roman"/>
                <w:sz w:val="20"/>
                <w:szCs w:val="20"/>
              </w:rPr>
              <w:t>Predicte</w:t>
            </w:r>
            <w:r w:rsidR="00F34F94">
              <w:rPr>
                <w:rFonts w:eastAsia="Calibri" w:cs="Times New Roman"/>
                <w:sz w:val="20"/>
                <w:szCs w:val="20"/>
              </w:rPr>
              <w:t>d</w:t>
            </w:r>
          </w:p>
        </w:tc>
      </w:tr>
      <w:tr w:rsidR="00F34F94" w:rsidRPr="00222560" w14:paraId="6AB212B8" w14:textId="77777777" w:rsidTr="00EA3E26">
        <w:trPr>
          <w:trHeight w:val="302"/>
        </w:trPr>
        <w:tc>
          <w:tcPr>
            <w:tcW w:w="497" w:type="pct"/>
            <w:vMerge/>
            <w:tcBorders>
              <w:top w:val="single" w:sz="4" w:space="0" w:color="auto"/>
              <w:bottom w:val="double" w:sz="4" w:space="0" w:color="auto"/>
              <w:right w:val="double" w:sz="4" w:space="0" w:color="auto"/>
            </w:tcBorders>
          </w:tcPr>
          <w:p w14:paraId="60A68117" w14:textId="77777777" w:rsidR="003E2204" w:rsidRPr="00222560" w:rsidRDefault="003E2204" w:rsidP="00456E56">
            <w:pPr>
              <w:rPr>
                <w:rFonts w:eastAsia="Times New Roman" w:cs="Times New Roman"/>
                <w:b/>
                <w:bCs/>
                <w:color w:val="000000"/>
                <w:sz w:val="20"/>
                <w:szCs w:val="20"/>
              </w:rPr>
            </w:pPr>
          </w:p>
        </w:tc>
        <w:tc>
          <w:tcPr>
            <w:tcW w:w="1391" w:type="pct"/>
            <w:tcBorders>
              <w:left w:val="double" w:sz="4" w:space="0" w:color="auto"/>
            </w:tcBorders>
            <w:shd w:val="clear" w:color="auto" w:fill="auto"/>
            <w:noWrap/>
            <w:vAlign w:val="center"/>
          </w:tcPr>
          <w:p w14:paraId="6EB3443E" w14:textId="77777777" w:rsidR="003E2204" w:rsidRPr="00222560" w:rsidRDefault="003E2204" w:rsidP="00456E56">
            <w:pPr>
              <w:rPr>
                <w:rFonts w:eastAsia="Times New Roman" w:cs="Times New Roman"/>
                <w:color w:val="000000"/>
                <w:sz w:val="20"/>
                <w:szCs w:val="20"/>
              </w:rPr>
            </w:pPr>
            <w:r w:rsidRPr="00222560">
              <w:rPr>
                <w:rFonts w:eastAsia="Times New Roman" w:cs="Times New Roman"/>
                <w:color w:val="000000"/>
                <w:sz w:val="20"/>
                <w:szCs w:val="20"/>
              </w:rPr>
              <w:t>Combination Category</w:t>
            </w:r>
          </w:p>
        </w:tc>
        <w:tc>
          <w:tcPr>
            <w:tcW w:w="331" w:type="pct"/>
            <w:tcBorders>
              <w:right w:val="double" w:sz="4" w:space="0" w:color="auto"/>
            </w:tcBorders>
            <w:shd w:val="clear" w:color="auto" w:fill="auto"/>
            <w:vAlign w:val="center"/>
          </w:tcPr>
          <w:p w14:paraId="6E4DE626" w14:textId="7DEF0400" w:rsidR="003E2204" w:rsidRPr="00222560" w:rsidRDefault="003E2204" w:rsidP="00456E56">
            <w:pPr>
              <w:jc w:val="center"/>
              <w:rPr>
                <w:rFonts w:eastAsia="Times New Roman" w:cs="Times New Roman"/>
                <w:color w:val="000000"/>
                <w:sz w:val="20"/>
                <w:szCs w:val="20"/>
              </w:rPr>
            </w:pPr>
            <w:r w:rsidRPr="00222560">
              <w:rPr>
                <w:rFonts w:eastAsia="Times New Roman" w:cs="Times New Roman"/>
                <w:color w:val="000000"/>
                <w:sz w:val="20"/>
                <w:szCs w:val="20"/>
              </w:rPr>
              <w:t>Actual</w:t>
            </w:r>
          </w:p>
        </w:tc>
        <w:tc>
          <w:tcPr>
            <w:tcW w:w="2782" w:type="pct"/>
            <w:gridSpan w:val="7"/>
            <w:vMerge/>
            <w:tcBorders>
              <w:left w:val="double" w:sz="4" w:space="0" w:color="auto"/>
            </w:tcBorders>
          </w:tcPr>
          <w:p w14:paraId="3D8321BD" w14:textId="5012846D" w:rsidR="003E2204" w:rsidRPr="00222560" w:rsidRDefault="003E2204" w:rsidP="00456E56">
            <w:pPr>
              <w:jc w:val="center"/>
              <w:rPr>
                <w:rFonts w:eastAsia="Calibri" w:cs="Times New Roman"/>
                <w:sz w:val="20"/>
                <w:szCs w:val="20"/>
              </w:rPr>
            </w:pPr>
          </w:p>
        </w:tc>
      </w:tr>
      <w:tr w:rsidR="00F34F94" w:rsidRPr="00222560" w14:paraId="36D6CF2B" w14:textId="77777777" w:rsidTr="00EA3E26">
        <w:trPr>
          <w:trHeight w:val="302"/>
        </w:trPr>
        <w:tc>
          <w:tcPr>
            <w:tcW w:w="497" w:type="pct"/>
            <w:vMerge/>
            <w:tcBorders>
              <w:top w:val="single" w:sz="4" w:space="0" w:color="auto"/>
              <w:bottom w:val="double" w:sz="4" w:space="0" w:color="auto"/>
              <w:right w:val="double" w:sz="4" w:space="0" w:color="auto"/>
            </w:tcBorders>
          </w:tcPr>
          <w:p w14:paraId="4C850C7D" w14:textId="77777777" w:rsidR="00F543B6" w:rsidRPr="00222560" w:rsidRDefault="00F543B6" w:rsidP="00F543B6">
            <w:pPr>
              <w:rPr>
                <w:rFonts w:eastAsia="Times New Roman" w:cs="Times New Roman"/>
                <w:b/>
                <w:bCs/>
                <w:color w:val="000000"/>
                <w:sz w:val="20"/>
                <w:szCs w:val="20"/>
              </w:rPr>
            </w:pPr>
          </w:p>
        </w:tc>
        <w:tc>
          <w:tcPr>
            <w:tcW w:w="1391" w:type="pct"/>
            <w:tcBorders>
              <w:left w:val="double" w:sz="4" w:space="0" w:color="auto"/>
            </w:tcBorders>
            <w:shd w:val="clear" w:color="auto" w:fill="auto"/>
            <w:noWrap/>
            <w:vAlign w:val="center"/>
          </w:tcPr>
          <w:p w14:paraId="273CE39D" w14:textId="77777777" w:rsidR="00F543B6" w:rsidRPr="00222560" w:rsidRDefault="00F543B6" w:rsidP="00F543B6">
            <w:pPr>
              <w:rPr>
                <w:rFonts w:eastAsia="Times New Roman" w:cs="Times New Roman"/>
                <w:color w:val="000000"/>
                <w:sz w:val="20"/>
                <w:szCs w:val="20"/>
              </w:rPr>
            </w:pPr>
            <w:r w:rsidRPr="00222560">
              <w:rPr>
                <w:rFonts w:eastAsia="Times New Roman" w:cs="Times New Roman"/>
                <w:color w:val="000000"/>
                <w:sz w:val="20"/>
                <w:szCs w:val="20"/>
              </w:rPr>
              <w:t>Non-urban residence and do not walk at all</w:t>
            </w:r>
          </w:p>
        </w:tc>
        <w:tc>
          <w:tcPr>
            <w:tcW w:w="331" w:type="pct"/>
            <w:tcBorders>
              <w:right w:val="double" w:sz="4" w:space="0" w:color="auto"/>
            </w:tcBorders>
            <w:shd w:val="clear" w:color="auto" w:fill="auto"/>
            <w:vAlign w:val="center"/>
          </w:tcPr>
          <w:p w14:paraId="65F4CD75" w14:textId="749BD8F6" w:rsidR="00F543B6" w:rsidRPr="00222560" w:rsidRDefault="009B729A" w:rsidP="00F543B6">
            <w:pPr>
              <w:jc w:val="center"/>
              <w:rPr>
                <w:rFonts w:eastAsia="Times New Roman" w:cs="Times New Roman"/>
                <w:color w:val="000000"/>
                <w:sz w:val="20"/>
                <w:szCs w:val="20"/>
              </w:rPr>
            </w:pPr>
            <w:r>
              <w:rPr>
                <w:rFonts w:eastAsia="Times New Roman" w:cs="Times New Roman"/>
                <w:color w:val="000000"/>
                <w:sz w:val="20"/>
                <w:szCs w:val="20"/>
              </w:rPr>
              <w:t xml:space="preserve">  </w:t>
            </w:r>
            <w:r w:rsidR="00F543B6" w:rsidRPr="00222560">
              <w:rPr>
                <w:rFonts w:eastAsia="Times New Roman" w:cs="Times New Roman"/>
                <w:color w:val="000000"/>
                <w:sz w:val="20"/>
                <w:szCs w:val="20"/>
              </w:rPr>
              <w:t>57</w:t>
            </w:r>
          </w:p>
        </w:tc>
        <w:tc>
          <w:tcPr>
            <w:tcW w:w="496" w:type="pct"/>
            <w:tcBorders>
              <w:left w:val="double" w:sz="4" w:space="0" w:color="auto"/>
            </w:tcBorders>
            <w:vAlign w:val="center"/>
          </w:tcPr>
          <w:p w14:paraId="7B7AF005" w14:textId="19DF4EAE" w:rsidR="00F543B6" w:rsidRPr="00222560" w:rsidRDefault="00F543B6" w:rsidP="009B729A">
            <w:pPr>
              <w:jc w:val="center"/>
              <w:rPr>
                <w:rFonts w:eastAsia="Calibri" w:cs="Times New Roman"/>
                <w:sz w:val="20"/>
                <w:szCs w:val="20"/>
              </w:rPr>
            </w:pPr>
            <w:r w:rsidRPr="00222560">
              <w:rPr>
                <w:rFonts w:eastAsia="Calibri" w:cs="Times New Roman"/>
                <w:sz w:val="20"/>
                <w:szCs w:val="20"/>
              </w:rPr>
              <w:t>48.48</w:t>
            </w:r>
          </w:p>
        </w:tc>
        <w:tc>
          <w:tcPr>
            <w:tcW w:w="466" w:type="pct"/>
            <w:vAlign w:val="center"/>
          </w:tcPr>
          <w:p w14:paraId="3656ECF3" w14:textId="26DA1FB0" w:rsidR="00F543B6" w:rsidRPr="00222560" w:rsidRDefault="00F543B6" w:rsidP="009B729A">
            <w:pPr>
              <w:jc w:val="center"/>
              <w:rPr>
                <w:rFonts w:eastAsia="Calibri" w:cs="Times New Roman"/>
                <w:sz w:val="20"/>
                <w:szCs w:val="20"/>
              </w:rPr>
            </w:pPr>
            <w:r w:rsidRPr="00222560">
              <w:rPr>
                <w:rFonts w:eastAsia="Calibri" w:cs="Times New Roman"/>
                <w:sz w:val="20"/>
                <w:szCs w:val="20"/>
              </w:rPr>
              <w:t>48.34</w:t>
            </w:r>
          </w:p>
        </w:tc>
        <w:tc>
          <w:tcPr>
            <w:tcW w:w="440" w:type="pct"/>
            <w:vAlign w:val="center"/>
          </w:tcPr>
          <w:p w14:paraId="3FCCE6F1" w14:textId="18FE5870" w:rsidR="00F543B6" w:rsidRPr="00222560" w:rsidRDefault="009B729A" w:rsidP="009B729A">
            <w:pPr>
              <w:jc w:val="center"/>
              <w:rPr>
                <w:rFonts w:eastAsia="Calibri" w:cs="Times New Roman"/>
                <w:sz w:val="20"/>
                <w:szCs w:val="20"/>
              </w:rPr>
            </w:pPr>
            <w:r>
              <w:rPr>
                <w:rFonts w:eastAsia="Calibri" w:cs="Times New Roman"/>
                <w:sz w:val="20"/>
                <w:szCs w:val="20"/>
              </w:rPr>
              <w:t>50.79</w:t>
            </w:r>
          </w:p>
        </w:tc>
        <w:tc>
          <w:tcPr>
            <w:tcW w:w="441" w:type="pct"/>
            <w:vAlign w:val="center"/>
          </w:tcPr>
          <w:p w14:paraId="464EDB89" w14:textId="70938EAF" w:rsidR="00F543B6" w:rsidRPr="00222560" w:rsidRDefault="00C3082A" w:rsidP="009B729A">
            <w:pPr>
              <w:jc w:val="center"/>
              <w:rPr>
                <w:rFonts w:eastAsia="Times New Roman" w:cs="Times New Roman"/>
                <w:color w:val="000000"/>
                <w:sz w:val="20"/>
                <w:szCs w:val="20"/>
              </w:rPr>
            </w:pPr>
            <w:r>
              <w:rPr>
                <w:rFonts w:eastAsia="Times New Roman" w:cs="Times New Roman"/>
                <w:color w:val="000000"/>
                <w:sz w:val="20"/>
                <w:szCs w:val="20"/>
              </w:rPr>
              <w:t>50.89</w:t>
            </w:r>
          </w:p>
        </w:tc>
        <w:tc>
          <w:tcPr>
            <w:tcW w:w="424" w:type="pct"/>
            <w:vAlign w:val="center"/>
          </w:tcPr>
          <w:p w14:paraId="5502BC35" w14:textId="350141ED" w:rsidR="00F543B6" w:rsidRPr="00222560" w:rsidRDefault="009B729A" w:rsidP="009B729A">
            <w:pPr>
              <w:jc w:val="center"/>
              <w:rPr>
                <w:rFonts w:eastAsia="Times New Roman" w:cs="Times New Roman"/>
                <w:color w:val="000000"/>
                <w:sz w:val="20"/>
                <w:szCs w:val="20"/>
              </w:rPr>
            </w:pPr>
            <w:r>
              <w:rPr>
                <w:rFonts w:eastAsia="Calibri" w:cs="Times New Roman"/>
                <w:sz w:val="20"/>
                <w:szCs w:val="20"/>
              </w:rPr>
              <w:t xml:space="preserve"> </w:t>
            </w:r>
            <w:r w:rsidR="00F543B6" w:rsidRPr="00222560">
              <w:rPr>
                <w:rFonts w:eastAsia="Calibri" w:cs="Times New Roman"/>
                <w:sz w:val="20"/>
                <w:szCs w:val="20"/>
              </w:rPr>
              <w:t>53.04</w:t>
            </w:r>
          </w:p>
        </w:tc>
        <w:tc>
          <w:tcPr>
            <w:tcW w:w="514" w:type="pct"/>
            <w:gridSpan w:val="2"/>
            <w:vAlign w:val="center"/>
          </w:tcPr>
          <w:p w14:paraId="32C47C06" w14:textId="11123126" w:rsidR="00F543B6" w:rsidRPr="00222560" w:rsidRDefault="00F543B6" w:rsidP="009B729A">
            <w:pPr>
              <w:jc w:val="center"/>
              <w:rPr>
                <w:rFonts w:eastAsia="Calibri" w:cs="Times New Roman"/>
                <w:sz w:val="20"/>
                <w:szCs w:val="20"/>
              </w:rPr>
            </w:pPr>
            <w:r w:rsidRPr="00222560">
              <w:rPr>
                <w:rFonts w:eastAsia="Times New Roman" w:cs="Times New Roman"/>
                <w:color w:val="000000"/>
                <w:sz w:val="20"/>
                <w:szCs w:val="20"/>
              </w:rPr>
              <w:t>56.16</w:t>
            </w:r>
          </w:p>
        </w:tc>
      </w:tr>
      <w:tr w:rsidR="00F34F94" w:rsidRPr="00222560" w14:paraId="2F3FFF14" w14:textId="77777777" w:rsidTr="00EA3E26">
        <w:trPr>
          <w:trHeight w:val="302"/>
        </w:trPr>
        <w:tc>
          <w:tcPr>
            <w:tcW w:w="497" w:type="pct"/>
            <w:vMerge/>
            <w:tcBorders>
              <w:top w:val="single" w:sz="4" w:space="0" w:color="auto"/>
              <w:bottom w:val="double" w:sz="4" w:space="0" w:color="auto"/>
              <w:right w:val="double" w:sz="4" w:space="0" w:color="auto"/>
            </w:tcBorders>
          </w:tcPr>
          <w:p w14:paraId="69D6680E" w14:textId="77777777" w:rsidR="00F543B6" w:rsidRPr="00222560" w:rsidRDefault="00F543B6" w:rsidP="00F543B6">
            <w:pPr>
              <w:rPr>
                <w:rFonts w:eastAsia="Times New Roman" w:cs="Times New Roman"/>
                <w:b/>
                <w:bCs/>
                <w:color w:val="000000"/>
                <w:sz w:val="20"/>
                <w:szCs w:val="20"/>
              </w:rPr>
            </w:pPr>
          </w:p>
        </w:tc>
        <w:tc>
          <w:tcPr>
            <w:tcW w:w="1391" w:type="pct"/>
            <w:tcBorders>
              <w:left w:val="double" w:sz="4" w:space="0" w:color="auto"/>
            </w:tcBorders>
            <w:shd w:val="clear" w:color="auto" w:fill="auto"/>
            <w:noWrap/>
            <w:vAlign w:val="center"/>
          </w:tcPr>
          <w:p w14:paraId="6162CD35" w14:textId="77777777" w:rsidR="00F543B6" w:rsidRPr="00222560" w:rsidRDefault="00F543B6" w:rsidP="00F543B6">
            <w:pPr>
              <w:rPr>
                <w:rFonts w:eastAsia="Times New Roman" w:cs="Times New Roman"/>
                <w:color w:val="000000"/>
                <w:sz w:val="20"/>
                <w:szCs w:val="20"/>
              </w:rPr>
            </w:pPr>
            <w:r w:rsidRPr="00222560">
              <w:rPr>
                <w:rFonts w:eastAsia="Times New Roman" w:cs="Times New Roman"/>
                <w:color w:val="000000"/>
                <w:sz w:val="20"/>
                <w:szCs w:val="20"/>
              </w:rPr>
              <w:t>Non-urban residence/walk 1-2 days a week</w:t>
            </w:r>
          </w:p>
        </w:tc>
        <w:tc>
          <w:tcPr>
            <w:tcW w:w="331" w:type="pct"/>
            <w:tcBorders>
              <w:right w:val="double" w:sz="4" w:space="0" w:color="auto"/>
            </w:tcBorders>
            <w:shd w:val="clear" w:color="auto" w:fill="auto"/>
            <w:vAlign w:val="center"/>
          </w:tcPr>
          <w:p w14:paraId="26674837" w14:textId="49CA6D81" w:rsidR="00F543B6" w:rsidRPr="00222560" w:rsidRDefault="009B729A" w:rsidP="00F543B6">
            <w:pPr>
              <w:jc w:val="center"/>
              <w:rPr>
                <w:rFonts w:eastAsia="Times New Roman" w:cs="Times New Roman"/>
                <w:color w:val="000000"/>
                <w:sz w:val="20"/>
                <w:szCs w:val="20"/>
              </w:rPr>
            </w:pPr>
            <w:r>
              <w:rPr>
                <w:rFonts w:eastAsia="Times New Roman" w:cs="Times New Roman"/>
                <w:color w:val="000000"/>
                <w:sz w:val="20"/>
                <w:szCs w:val="20"/>
              </w:rPr>
              <w:t xml:space="preserve">  </w:t>
            </w:r>
            <w:r w:rsidR="00F543B6" w:rsidRPr="00222560">
              <w:rPr>
                <w:rFonts w:eastAsia="Times New Roman" w:cs="Times New Roman"/>
                <w:color w:val="000000"/>
                <w:sz w:val="20"/>
                <w:szCs w:val="20"/>
              </w:rPr>
              <w:t>36</w:t>
            </w:r>
          </w:p>
        </w:tc>
        <w:tc>
          <w:tcPr>
            <w:tcW w:w="496" w:type="pct"/>
            <w:tcBorders>
              <w:left w:val="double" w:sz="4" w:space="0" w:color="auto"/>
            </w:tcBorders>
            <w:vAlign w:val="center"/>
          </w:tcPr>
          <w:p w14:paraId="634A3747" w14:textId="3B4338AB" w:rsidR="00F543B6" w:rsidRPr="00222560" w:rsidRDefault="009B729A" w:rsidP="00F543B6">
            <w:pPr>
              <w:jc w:val="center"/>
              <w:rPr>
                <w:rFonts w:eastAsia="Calibri" w:cs="Times New Roman"/>
                <w:sz w:val="20"/>
                <w:szCs w:val="20"/>
              </w:rPr>
            </w:pPr>
            <w:r>
              <w:rPr>
                <w:rFonts w:eastAsia="Calibri" w:cs="Times New Roman"/>
                <w:sz w:val="20"/>
                <w:szCs w:val="20"/>
              </w:rPr>
              <w:t xml:space="preserve">  </w:t>
            </w:r>
            <w:r w:rsidR="00F543B6" w:rsidRPr="00222560">
              <w:rPr>
                <w:rFonts w:eastAsia="Calibri" w:cs="Times New Roman"/>
                <w:sz w:val="20"/>
                <w:szCs w:val="20"/>
              </w:rPr>
              <w:t>41.11</w:t>
            </w:r>
          </w:p>
        </w:tc>
        <w:tc>
          <w:tcPr>
            <w:tcW w:w="466" w:type="pct"/>
            <w:vAlign w:val="center"/>
          </w:tcPr>
          <w:p w14:paraId="31377BB5" w14:textId="3A678C8B" w:rsidR="00F543B6" w:rsidRPr="00222560" w:rsidRDefault="009B729A" w:rsidP="00F543B6">
            <w:pPr>
              <w:jc w:val="center"/>
              <w:rPr>
                <w:rFonts w:eastAsia="Calibri" w:cs="Times New Roman"/>
                <w:sz w:val="20"/>
                <w:szCs w:val="20"/>
              </w:rPr>
            </w:pPr>
            <w:r>
              <w:rPr>
                <w:rFonts w:eastAsia="Calibri" w:cs="Times New Roman"/>
                <w:sz w:val="20"/>
                <w:szCs w:val="20"/>
              </w:rPr>
              <w:t xml:space="preserve">  </w:t>
            </w:r>
            <w:r w:rsidR="00F543B6" w:rsidRPr="00222560">
              <w:rPr>
                <w:rFonts w:eastAsia="Calibri" w:cs="Times New Roman"/>
                <w:sz w:val="20"/>
                <w:szCs w:val="20"/>
              </w:rPr>
              <w:t>41.51</w:t>
            </w:r>
          </w:p>
        </w:tc>
        <w:tc>
          <w:tcPr>
            <w:tcW w:w="440" w:type="pct"/>
            <w:vAlign w:val="center"/>
          </w:tcPr>
          <w:p w14:paraId="38918B39" w14:textId="512A92F5" w:rsidR="00F543B6" w:rsidRPr="00222560" w:rsidRDefault="009B729A" w:rsidP="00F543B6">
            <w:pPr>
              <w:jc w:val="center"/>
              <w:rPr>
                <w:rFonts w:eastAsia="Calibri" w:cs="Times New Roman"/>
                <w:sz w:val="20"/>
                <w:szCs w:val="20"/>
              </w:rPr>
            </w:pPr>
            <w:r>
              <w:rPr>
                <w:rFonts w:eastAsia="Calibri" w:cs="Times New Roman"/>
                <w:sz w:val="20"/>
                <w:szCs w:val="20"/>
              </w:rPr>
              <w:t xml:space="preserve">  41.13  </w:t>
            </w:r>
          </w:p>
        </w:tc>
        <w:tc>
          <w:tcPr>
            <w:tcW w:w="441" w:type="pct"/>
            <w:vAlign w:val="center"/>
          </w:tcPr>
          <w:p w14:paraId="3D90A7D5" w14:textId="01F43834" w:rsidR="00F543B6" w:rsidRPr="00222560" w:rsidRDefault="00C3082A" w:rsidP="009B729A">
            <w:pPr>
              <w:jc w:val="center"/>
              <w:rPr>
                <w:rFonts w:eastAsia="Times New Roman" w:cs="Times New Roman"/>
                <w:color w:val="000000"/>
                <w:sz w:val="20"/>
                <w:szCs w:val="20"/>
              </w:rPr>
            </w:pPr>
            <w:r>
              <w:rPr>
                <w:rFonts w:eastAsia="Times New Roman" w:cs="Times New Roman"/>
                <w:color w:val="000000"/>
                <w:sz w:val="20"/>
                <w:szCs w:val="20"/>
              </w:rPr>
              <w:t>42.00</w:t>
            </w:r>
          </w:p>
        </w:tc>
        <w:tc>
          <w:tcPr>
            <w:tcW w:w="424" w:type="pct"/>
            <w:vAlign w:val="center"/>
          </w:tcPr>
          <w:p w14:paraId="0F80E798" w14:textId="0B38DF6B" w:rsidR="00F543B6" w:rsidRPr="00222560" w:rsidRDefault="009B729A" w:rsidP="00F543B6">
            <w:pPr>
              <w:jc w:val="center"/>
              <w:rPr>
                <w:rFonts w:eastAsia="Times New Roman" w:cs="Times New Roman"/>
                <w:color w:val="000000"/>
                <w:sz w:val="20"/>
                <w:szCs w:val="20"/>
              </w:rPr>
            </w:pPr>
            <w:r>
              <w:rPr>
                <w:rFonts w:eastAsia="Calibri" w:cs="Times New Roman"/>
                <w:sz w:val="20"/>
                <w:szCs w:val="20"/>
              </w:rPr>
              <w:t xml:space="preserve">  </w:t>
            </w:r>
            <w:r w:rsidR="00F543B6" w:rsidRPr="00222560">
              <w:rPr>
                <w:rFonts w:eastAsia="Calibri" w:cs="Times New Roman"/>
                <w:sz w:val="20"/>
                <w:szCs w:val="20"/>
              </w:rPr>
              <w:t>40.89</w:t>
            </w:r>
          </w:p>
        </w:tc>
        <w:tc>
          <w:tcPr>
            <w:tcW w:w="514" w:type="pct"/>
            <w:gridSpan w:val="2"/>
            <w:vAlign w:val="center"/>
          </w:tcPr>
          <w:p w14:paraId="4296D396" w14:textId="154A7266" w:rsidR="00F543B6" w:rsidRPr="00222560" w:rsidRDefault="009B729A" w:rsidP="00F543B6">
            <w:pPr>
              <w:jc w:val="center"/>
              <w:rPr>
                <w:rFonts w:eastAsia="Times New Roman" w:cs="Times New Roman"/>
                <w:color w:val="000000"/>
                <w:sz w:val="20"/>
                <w:szCs w:val="20"/>
              </w:rPr>
            </w:pPr>
            <w:r>
              <w:rPr>
                <w:rFonts w:eastAsia="Times New Roman" w:cs="Times New Roman"/>
                <w:color w:val="000000"/>
                <w:sz w:val="20"/>
                <w:szCs w:val="20"/>
              </w:rPr>
              <w:t xml:space="preserve">  </w:t>
            </w:r>
            <w:r w:rsidR="00F543B6" w:rsidRPr="00222560">
              <w:rPr>
                <w:rFonts w:eastAsia="Times New Roman" w:cs="Times New Roman"/>
                <w:color w:val="000000"/>
                <w:sz w:val="20"/>
                <w:szCs w:val="20"/>
              </w:rPr>
              <w:t>37.41</w:t>
            </w:r>
          </w:p>
        </w:tc>
      </w:tr>
      <w:tr w:rsidR="00F34F94" w:rsidRPr="00222560" w14:paraId="0F096EC7" w14:textId="77777777" w:rsidTr="00EA3E26">
        <w:trPr>
          <w:trHeight w:val="302"/>
        </w:trPr>
        <w:tc>
          <w:tcPr>
            <w:tcW w:w="497" w:type="pct"/>
            <w:vMerge/>
            <w:tcBorders>
              <w:top w:val="single" w:sz="4" w:space="0" w:color="auto"/>
              <w:bottom w:val="double" w:sz="4" w:space="0" w:color="auto"/>
              <w:right w:val="double" w:sz="4" w:space="0" w:color="auto"/>
            </w:tcBorders>
          </w:tcPr>
          <w:p w14:paraId="45297716" w14:textId="77777777" w:rsidR="00F543B6" w:rsidRPr="00222560" w:rsidRDefault="00F543B6" w:rsidP="00F543B6">
            <w:pPr>
              <w:rPr>
                <w:rFonts w:eastAsia="Times New Roman" w:cs="Times New Roman"/>
                <w:b/>
                <w:bCs/>
                <w:color w:val="000000"/>
                <w:sz w:val="20"/>
                <w:szCs w:val="20"/>
              </w:rPr>
            </w:pPr>
          </w:p>
        </w:tc>
        <w:tc>
          <w:tcPr>
            <w:tcW w:w="1391" w:type="pct"/>
            <w:tcBorders>
              <w:left w:val="double" w:sz="4" w:space="0" w:color="auto"/>
            </w:tcBorders>
            <w:shd w:val="clear" w:color="auto" w:fill="auto"/>
            <w:noWrap/>
            <w:vAlign w:val="center"/>
          </w:tcPr>
          <w:p w14:paraId="62CA5225" w14:textId="77777777" w:rsidR="00F543B6" w:rsidRPr="00222560" w:rsidRDefault="00F543B6" w:rsidP="00F543B6">
            <w:pPr>
              <w:rPr>
                <w:rFonts w:eastAsia="Times New Roman" w:cs="Times New Roman"/>
                <w:color w:val="000000"/>
                <w:sz w:val="20"/>
                <w:szCs w:val="20"/>
              </w:rPr>
            </w:pPr>
            <w:r w:rsidRPr="00222560">
              <w:rPr>
                <w:rFonts w:eastAsia="Times New Roman" w:cs="Times New Roman"/>
                <w:color w:val="000000"/>
                <w:sz w:val="20"/>
                <w:szCs w:val="20"/>
              </w:rPr>
              <w:t>Non-urban residence/walk 3-4 days a week</w:t>
            </w:r>
          </w:p>
        </w:tc>
        <w:tc>
          <w:tcPr>
            <w:tcW w:w="331" w:type="pct"/>
            <w:tcBorders>
              <w:right w:val="double" w:sz="4" w:space="0" w:color="auto"/>
            </w:tcBorders>
            <w:shd w:val="clear" w:color="auto" w:fill="auto"/>
            <w:vAlign w:val="center"/>
          </w:tcPr>
          <w:p w14:paraId="06BE3667" w14:textId="256B939B" w:rsidR="00F543B6" w:rsidRPr="00222560" w:rsidRDefault="009B729A" w:rsidP="00F543B6">
            <w:pPr>
              <w:jc w:val="center"/>
              <w:rPr>
                <w:rFonts w:eastAsia="Times New Roman" w:cs="Times New Roman"/>
                <w:color w:val="000000"/>
                <w:sz w:val="20"/>
                <w:szCs w:val="20"/>
              </w:rPr>
            </w:pPr>
            <w:r>
              <w:rPr>
                <w:rFonts w:eastAsia="Times New Roman" w:cs="Times New Roman"/>
                <w:color w:val="000000"/>
                <w:sz w:val="20"/>
                <w:szCs w:val="20"/>
              </w:rPr>
              <w:t xml:space="preserve">  </w:t>
            </w:r>
            <w:r w:rsidR="00F543B6" w:rsidRPr="00222560">
              <w:rPr>
                <w:rFonts w:eastAsia="Times New Roman" w:cs="Times New Roman"/>
                <w:color w:val="000000"/>
                <w:sz w:val="20"/>
                <w:szCs w:val="20"/>
              </w:rPr>
              <w:t>56</w:t>
            </w:r>
          </w:p>
        </w:tc>
        <w:tc>
          <w:tcPr>
            <w:tcW w:w="496" w:type="pct"/>
            <w:tcBorders>
              <w:left w:val="double" w:sz="4" w:space="0" w:color="auto"/>
            </w:tcBorders>
            <w:vAlign w:val="center"/>
          </w:tcPr>
          <w:p w14:paraId="4A39C28B" w14:textId="62850547" w:rsidR="00F543B6" w:rsidRPr="00222560" w:rsidRDefault="009B729A" w:rsidP="00F543B6">
            <w:pPr>
              <w:jc w:val="center"/>
              <w:rPr>
                <w:rFonts w:eastAsia="Calibri" w:cs="Times New Roman"/>
                <w:sz w:val="20"/>
                <w:szCs w:val="20"/>
              </w:rPr>
            </w:pPr>
            <w:r>
              <w:rPr>
                <w:rFonts w:eastAsia="Calibri" w:cs="Times New Roman"/>
                <w:sz w:val="20"/>
                <w:szCs w:val="20"/>
              </w:rPr>
              <w:t xml:space="preserve">  </w:t>
            </w:r>
            <w:r w:rsidR="00F543B6" w:rsidRPr="00222560">
              <w:rPr>
                <w:rFonts w:eastAsia="Calibri" w:cs="Times New Roman"/>
                <w:sz w:val="20"/>
                <w:szCs w:val="20"/>
              </w:rPr>
              <w:t>64.35</w:t>
            </w:r>
          </w:p>
        </w:tc>
        <w:tc>
          <w:tcPr>
            <w:tcW w:w="466" w:type="pct"/>
            <w:vAlign w:val="center"/>
          </w:tcPr>
          <w:p w14:paraId="24E92005" w14:textId="2F4315A0" w:rsidR="00F543B6" w:rsidRPr="00222560" w:rsidRDefault="009B729A" w:rsidP="00F543B6">
            <w:pPr>
              <w:jc w:val="center"/>
              <w:rPr>
                <w:rFonts w:eastAsia="Calibri" w:cs="Times New Roman"/>
                <w:sz w:val="20"/>
                <w:szCs w:val="20"/>
              </w:rPr>
            </w:pPr>
            <w:r>
              <w:rPr>
                <w:rFonts w:eastAsia="Calibri" w:cs="Times New Roman"/>
                <w:sz w:val="20"/>
                <w:szCs w:val="20"/>
              </w:rPr>
              <w:t xml:space="preserve">  </w:t>
            </w:r>
            <w:r w:rsidR="00F543B6" w:rsidRPr="00222560">
              <w:rPr>
                <w:rFonts w:eastAsia="Calibri" w:cs="Times New Roman"/>
                <w:sz w:val="20"/>
                <w:szCs w:val="20"/>
              </w:rPr>
              <w:t>64.93</w:t>
            </w:r>
          </w:p>
        </w:tc>
        <w:tc>
          <w:tcPr>
            <w:tcW w:w="440" w:type="pct"/>
            <w:vAlign w:val="center"/>
          </w:tcPr>
          <w:p w14:paraId="1E7E2B46" w14:textId="20BEDE3B" w:rsidR="00F543B6" w:rsidRPr="00222560" w:rsidRDefault="009B729A" w:rsidP="00F543B6">
            <w:pPr>
              <w:jc w:val="center"/>
              <w:rPr>
                <w:rFonts w:eastAsia="Calibri" w:cs="Times New Roman"/>
                <w:sz w:val="20"/>
                <w:szCs w:val="20"/>
              </w:rPr>
            </w:pPr>
            <w:r>
              <w:rPr>
                <w:rFonts w:eastAsia="Calibri" w:cs="Times New Roman"/>
                <w:sz w:val="20"/>
                <w:szCs w:val="20"/>
              </w:rPr>
              <w:t xml:space="preserve">  63.18 </w:t>
            </w:r>
          </w:p>
        </w:tc>
        <w:tc>
          <w:tcPr>
            <w:tcW w:w="441" w:type="pct"/>
            <w:vAlign w:val="center"/>
          </w:tcPr>
          <w:p w14:paraId="5A440836" w14:textId="111CDB9D" w:rsidR="00F543B6" w:rsidRPr="00222560" w:rsidRDefault="00C3082A" w:rsidP="009B729A">
            <w:pPr>
              <w:jc w:val="center"/>
              <w:rPr>
                <w:rFonts w:eastAsia="Times New Roman" w:cs="Times New Roman"/>
                <w:color w:val="000000"/>
                <w:sz w:val="20"/>
                <w:szCs w:val="20"/>
              </w:rPr>
            </w:pPr>
            <w:r>
              <w:rPr>
                <w:rFonts w:eastAsia="Times New Roman" w:cs="Times New Roman"/>
                <w:color w:val="000000"/>
                <w:sz w:val="20"/>
                <w:szCs w:val="20"/>
              </w:rPr>
              <w:t>63.81</w:t>
            </w:r>
          </w:p>
        </w:tc>
        <w:tc>
          <w:tcPr>
            <w:tcW w:w="424" w:type="pct"/>
            <w:vAlign w:val="center"/>
          </w:tcPr>
          <w:p w14:paraId="69D61B9F" w14:textId="69152476" w:rsidR="00F543B6" w:rsidRPr="00222560" w:rsidRDefault="009B729A" w:rsidP="00F543B6">
            <w:pPr>
              <w:jc w:val="center"/>
              <w:rPr>
                <w:rFonts w:eastAsia="Times New Roman" w:cs="Times New Roman"/>
                <w:color w:val="000000"/>
                <w:sz w:val="20"/>
                <w:szCs w:val="20"/>
              </w:rPr>
            </w:pPr>
            <w:r>
              <w:rPr>
                <w:rFonts w:eastAsia="Calibri" w:cs="Times New Roman"/>
                <w:sz w:val="20"/>
                <w:szCs w:val="20"/>
              </w:rPr>
              <w:t xml:space="preserve">  </w:t>
            </w:r>
            <w:r w:rsidR="00F543B6" w:rsidRPr="00222560">
              <w:rPr>
                <w:rFonts w:eastAsia="Calibri" w:cs="Times New Roman"/>
                <w:sz w:val="20"/>
                <w:szCs w:val="20"/>
              </w:rPr>
              <w:t>61.44</w:t>
            </w:r>
          </w:p>
        </w:tc>
        <w:tc>
          <w:tcPr>
            <w:tcW w:w="514" w:type="pct"/>
            <w:gridSpan w:val="2"/>
            <w:vAlign w:val="center"/>
          </w:tcPr>
          <w:p w14:paraId="694ECC88" w14:textId="5A1A2101" w:rsidR="00F543B6" w:rsidRPr="00222560" w:rsidRDefault="009B729A" w:rsidP="00F543B6">
            <w:pPr>
              <w:jc w:val="center"/>
              <w:rPr>
                <w:rFonts w:eastAsia="Times New Roman" w:cs="Times New Roman"/>
                <w:color w:val="000000"/>
                <w:sz w:val="20"/>
                <w:szCs w:val="20"/>
              </w:rPr>
            </w:pPr>
            <w:r>
              <w:rPr>
                <w:rFonts w:eastAsia="Times New Roman" w:cs="Times New Roman"/>
                <w:color w:val="000000"/>
                <w:sz w:val="20"/>
                <w:szCs w:val="20"/>
              </w:rPr>
              <w:t xml:space="preserve">  </w:t>
            </w:r>
            <w:r w:rsidR="00F543B6" w:rsidRPr="00222560">
              <w:rPr>
                <w:rFonts w:eastAsia="Times New Roman" w:cs="Times New Roman"/>
                <w:color w:val="000000"/>
                <w:sz w:val="20"/>
                <w:szCs w:val="20"/>
              </w:rPr>
              <w:t>55.63</w:t>
            </w:r>
          </w:p>
        </w:tc>
      </w:tr>
      <w:tr w:rsidR="00F34F94" w:rsidRPr="00222560" w14:paraId="64C6EA78" w14:textId="77777777" w:rsidTr="00EA3E26">
        <w:trPr>
          <w:trHeight w:val="302"/>
        </w:trPr>
        <w:tc>
          <w:tcPr>
            <w:tcW w:w="497" w:type="pct"/>
            <w:vMerge/>
            <w:tcBorders>
              <w:top w:val="single" w:sz="4" w:space="0" w:color="auto"/>
              <w:bottom w:val="double" w:sz="4" w:space="0" w:color="auto"/>
              <w:right w:val="double" w:sz="4" w:space="0" w:color="auto"/>
            </w:tcBorders>
          </w:tcPr>
          <w:p w14:paraId="77EB74F2" w14:textId="77777777" w:rsidR="00F543B6" w:rsidRPr="00222560" w:rsidRDefault="00F543B6" w:rsidP="00F543B6">
            <w:pPr>
              <w:rPr>
                <w:rFonts w:eastAsia="Times New Roman" w:cs="Times New Roman"/>
                <w:b/>
                <w:bCs/>
                <w:color w:val="000000"/>
                <w:sz w:val="20"/>
                <w:szCs w:val="20"/>
              </w:rPr>
            </w:pPr>
          </w:p>
        </w:tc>
        <w:tc>
          <w:tcPr>
            <w:tcW w:w="1391" w:type="pct"/>
            <w:tcBorders>
              <w:left w:val="double" w:sz="4" w:space="0" w:color="auto"/>
            </w:tcBorders>
            <w:shd w:val="clear" w:color="auto" w:fill="auto"/>
            <w:noWrap/>
            <w:vAlign w:val="center"/>
          </w:tcPr>
          <w:p w14:paraId="1EF27202" w14:textId="77777777" w:rsidR="00F543B6" w:rsidRPr="00222560" w:rsidRDefault="00F543B6" w:rsidP="00F543B6">
            <w:pPr>
              <w:rPr>
                <w:rFonts w:eastAsia="Times New Roman" w:cs="Times New Roman"/>
                <w:color w:val="000000"/>
                <w:sz w:val="20"/>
                <w:szCs w:val="20"/>
              </w:rPr>
            </w:pPr>
            <w:r w:rsidRPr="00222560">
              <w:rPr>
                <w:rFonts w:eastAsia="Times New Roman" w:cs="Times New Roman"/>
                <w:color w:val="000000"/>
                <w:sz w:val="20"/>
                <w:szCs w:val="20"/>
              </w:rPr>
              <w:t>Non-urban residence/walk 5-6 days a week</w:t>
            </w:r>
          </w:p>
        </w:tc>
        <w:tc>
          <w:tcPr>
            <w:tcW w:w="331" w:type="pct"/>
            <w:tcBorders>
              <w:right w:val="double" w:sz="4" w:space="0" w:color="auto"/>
            </w:tcBorders>
            <w:shd w:val="clear" w:color="auto" w:fill="auto"/>
            <w:vAlign w:val="center"/>
          </w:tcPr>
          <w:p w14:paraId="560C8793" w14:textId="7940D993" w:rsidR="00F543B6" w:rsidRPr="00222560" w:rsidRDefault="009B729A" w:rsidP="00F543B6">
            <w:pPr>
              <w:jc w:val="center"/>
              <w:rPr>
                <w:rFonts w:eastAsia="Times New Roman" w:cs="Times New Roman"/>
                <w:color w:val="000000"/>
                <w:sz w:val="20"/>
                <w:szCs w:val="20"/>
              </w:rPr>
            </w:pPr>
            <w:r>
              <w:rPr>
                <w:rFonts w:eastAsia="Times New Roman" w:cs="Times New Roman"/>
                <w:color w:val="000000"/>
                <w:sz w:val="20"/>
                <w:szCs w:val="20"/>
              </w:rPr>
              <w:t xml:space="preserve">  </w:t>
            </w:r>
            <w:r w:rsidR="00F543B6" w:rsidRPr="00222560">
              <w:rPr>
                <w:rFonts w:eastAsia="Times New Roman" w:cs="Times New Roman"/>
                <w:color w:val="000000"/>
                <w:sz w:val="20"/>
                <w:szCs w:val="20"/>
              </w:rPr>
              <w:t>45</w:t>
            </w:r>
          </w:p>
        </w:tc>
        <w:tc>
          <w:tcPr>
            <w:tcW w:w="496" w:type="pct"/>
            <w:tcBorders>
              <w:left w:val="double" w:sz="4" w:space="0" w:color="auto"/>
            </w:tcBorders>
            <w:vAlign w:val="center"/>
          </w:tcPr>
          <w:p w14:paraId="39B9EBDE" w14:textId="57DCE653" w:rsidR="00F543B6" w:rsidRPr="00222560" w:rsidRDefault="009B729A" w:rsidP="00F543B6">
            <w:pPr>
              <w:jc w:val="center"/>
              <w:rPr>
                <w:rFonts w:eastAsia="Calibri" w:cs="Times New Roman"/>
                <w:sz w:val="20"/>
                <w:szCs w:val="20"/>
              </w:rPr>
            </w:pPr>
            <w:r>
              <w:rPr>
                <w:rFonts w:eastAsia="Calibri" w:cs="Times New Roman"/>
                <w:sz w:val="20"/>
                <w:szCs w:val="20"/>
              </w:rPr>
              <w:t xml:space="preserve">  </w:t>
            </w:r>
            <w:r w:rsidR="00F543B6" w:rsidRPr="00222560">
              <w:rPr>
                <w:rFonts w:eastAsia="Calibri" w:cs="Times New Roman"/>
                <w:sz w:val="20"/>
                <w:szCs w:val="20"/>
              </w:rPr>
              <w:t>45.90</w:t>
            </w:r>
          </w:p>
        </w:tc>
        <w:tc>
          <w:tcPr>
            <w:tcW w:w="466" w:type="pct"/>
            <w:vAlign w:val="center"/>
          </w:tcPr>
          <w:p w14:paraId="2C9A78D8" w14:textId="4E3C9265" w:rsidR="00F543B6" w:rsidRPr="00222560" w:rsidRDefault="009B729A" w:rsidP="00F543B6">
            <w:pPr>
              <w:jc w:val="center"/>
              <w:rPr>
                <w:rFonts w:eastAsia="Calibri" w:cs="Times New Roman"/>
                <w:sz w:val="20"/>
                <w:szCs w:val="20"/>
              </w:rPr>
            </w:pPr>
            <w:r>
              <w:rPr>
                <w:rFonts w:eastAsia="Calibri" w:cs="Times New Roman"/>
                <w:sz w:val="20"/>
                <w:szCs w:val="20"/>
              </w:rPr>
              <w:t xml:space="preserve">  </w:t>
            </w:r>
            <w:r w:rsidR="00F543B6" w:rsidRPr="00222560">
              <w:rPr>
                <w:rFonts w:eastAsia="Calibri" w:cs="Times New Roman"/>
                <w:sz w:val="20"/>
                <w:szCs w:val="20"/>
              </w:rPr>
              <w:t>46.04</w:t>
            </w:r>
          </w:p>
        </w:tc>
        <w:tc>
          <w:tcPr>
            <w:tcW w:w="440" w:type="pct"/>
            <w:vAlign w:val="center"/>
          </w:tcPr>
          <w:p w14:paraId="3D1ABE1A" w14:textId="07A47AB8" w:rsidR="00F543B6" w:rsidRPr="00222560" w:rsidRDefault="009B729A" w:rsidP="00F543B6">
            <w:pPr>
              <w:jc w:val="center"/>
              <w:rPr>
                <w:rFonts w:eastAsia="Calibri" w:cs="Times New Roman"/>
                <w:sz w:val="20"/>
                <w:szCs w:val="20"/>
              </w:rPr>
            </w:pPr>
            <w:r>
              <w:rPr>
                <w:rFonts w:eastAsia="Calibri" w:cs="Times New Roman"/>
                <w:sz w:val="20"/>
                <w:szCs w:val="20"/>
              </w:rPr>
              <w:t xml:space="preserve">  45.04</w:t>
            </w:r>
          </w:p>
        </w:tc>
        <w:tc>
          <w:tcPr>
            <w:tcW w:w="441" w:type="pct"/>
            <w:vAlign w:val="center"/>
          </w:tcPr>
          <w:p w14:paraId="2383B91F" w14:textId="1B21DCC6" w:rsidR="00F543B6" w:rsidRPr="00222560" w:rsidRDefault="00C3082A" w:rsidP="009B729A">
            <w:pPr>
              <w:jc w:val="center"/>
              <w:rPr>
                <w:rFonts w:eastAsia="Times New Roman" w:cs="Times New Roman"/>
                <w:color w:val="000000"/>
                <w:sz w:val="20"/>
                <w:szCs w:val="20"/>
              </w:rPr>
            </w:pPr>
            <w:r>
              <w:rPr>
                <w:rFonts w:eastAsia="Times New Roman" w:cs="Times New Roman"/>
                <w:color w:val="000000"/>
                <w:sz w:val="20"/>
                <w:szCs w:val="20"/>
              </w:rPr>
              <w:t>44.91</w:t>
            </w:r>
          </w:p>
        </w:tc>
        <w:tc>
          <w:tcPr>
            <w:tcW w:w="424" w:type="pct"/>
            <w:vAlign w:val="center"/>
          </w:tcPr>
          <w:p w14:paraId="3A4B84D1" w14:textId="7C39DCC2" w:rsidR="00F543B6" w:rsidRPr="00222560" w:rsidRDefault="009B729A" w:rsidP="00F543B6">
            <w:pPr>
              <w:jc w:val="center"/>
              <w:rPr>
                <w:rFonts w:eastAsia="Times New Roman" w:cs="Times New Roman"/>
                <w:color w:val="000000"/>
                <w:sz w:val="20"/>
                <w:szCs w:val="20"/>
              </w:rPr>
            </w:pPr>
            <w:r>
              <w:rPr>
                <w:rFonts w:eastAsia="Calibri" w:cs="Times New Roman"/>
                <w:sz w:val="20"/>
                <w:szCs w:val="20"/>
              </w:rPr>
              <w:t xml:space="preserve">  </w:t>
            </w:r>
            <w:r w:rsidR="00F543B6" w:rsidRPr="00222560">
              <w:rPr>
                <w:rFonts w:eastAsia="Calibri" w:cs="Times New Roman"/>
                <w:sz w:val="20"/>
                <w:szCs w:val="20"/>
              </w:rPr>
              <w:t>44.39</w:t>
            </w:r>
          </w:p>
        </w:tc>
        <w:tc>
          <w:tcPr>
            <w:tcW w:w="514" w:type="pct"/>
            <w:gridSpan w:val="2"/>
            <w:vAlign w:val="center"/>
          </w:tcPr>
          <w:p w14:paraId="45FBB7CC" w14:textId="06AE2E8C" w:rsidR="00F543B6" w:rsidRPr="00222560" w:rsidRDefault="009B729A" w:rsidP="00F543B6">
            <w:pPr>
              <w:jc w:val="center"/>
              <w:rPr>
                <w:rFonts w:eastAsia="Times New Roman" w:cs="Times New Roman"/>
                <w:color w:val="000000"/>
                <w:sz w:val="20"/>
                <w:szCs w:val="20"/>
              </w:rPr>
            </w:pPr>
            <w:r>
              <w:rPr>
                <w:rFonts w:eastAsia="Times New Roman" w:cs="Times New Roman"/>
                <w:color w:val="000000"/>
                <w:sz w:val="20"/>
                <w:szCs w:val="20"/>
              </w:rPr>
              <w:t xml:space="preserve">  </w:t>
            </w:r>
            <w:r w:rsidR="00F543B6" w:rsidRPr="00222560">
              <w:rPr>
                <w:rFonts w:eastAsia="Times New Roman" w:cs="Times New Roman"/>
                <w:color w:val="000000"/>
                <w:sz w:val="20"/>
                <w:szCs w:val="20"/>
              </w:rPr>
              <w:t>44.61</w:t>
            </w:r>
          </w:p>
        </w:tc>
      </w:tr>
      <w:tr w:rsidR="00F34F94" w:rsidRPr="00222560" w14:paraId="52883BBF" w14:textId="77777777" w:rsidTr="00EA3E26">
        <w:trPr>
          <w:trHeight w:val="302"/>
        </w:trPr>
        <w:tc>
          <w:tcPr>
            <w:tcW w:w="497" w:type="pct"/>
            <w:vMerge/>
            <w:tcBorders>
              <w:top w:val="single" w:sz="4" w:space="0" w:color="auto"/>
              <w:bottom w:val="double" w:sz="4" w:space="0" w:color="auto"/>
              <w:right w:val="double" w:sz="4" w:space="0" w:color="auto"/>
            </w:tcBorders>
          </w:tcPr>
          <w:p w14:paraId="3E1DE3DF" w14:textId="77777777" w:rsidR="00F543B6" w:rsidRPr="00222560" w:rsidRDefault="00F543B6" w:rsidP="00F543B6">
            <w:pPr>
              <w:rPr>
                <w:rFonts w:eastAsia="Times New Roman" w:cs="Times New Roman"/>
                <w:b/>
                <w:bCs/>
                <w:color w:val="000000"/>
                <w:sz w:val="20"/>
                <w:szCs w:val="20"/>
              </w:rPr>
            </w:pPr>
          </w:p>
        </w:tc>
        <w:tc>
          <w:tcPr>
            <w:tcW w:w="1391" w:type="pct"/>
            <w:tcBorders>
              <w:left w:val="double" w:sz="4" w:space="0" w:color="auto"/>
            </w:tcBorders>
            <w:shd w:val="clear" w:color="auto" w:fill="auto"/>
            <w:noWrap/>
            <w:vAlign w:val="center"/>
          </w:tcPr>
          <w:p w14:paraId="1BBBB988" w14:textId="77777777" w:rsidR="00F543B6" w:rsidRPr="00222560" w:rsidRDefault="00F543B6" w:rsidP="00F543B6">
            <w:pPr>
              <w:rPr>
                <w:rFonts w:eastAsia="Times New Roman" w:cs="Times New Roman"/>
                <w:color w:val="000000"/>
                <w:sz w:val="20"/>
                <w:szCs w:val="20"/>
              </w:rPr>
            </w:pPr>
            <w:r w:rsidRPr="00222560">
              <w:rPr>
                <w:rFonts w:eastAsia="Times New Roman" w:cs="Times New Roman"/>
                <w:color w:val="000000"/>
                <w:sz w:val="20"/>
                <w:szCs w:val="20"/>
              </w:rPr>
              <w:t>Non-urban residence/walk 7 days a week</w:t>
            </w:r>
          </w:p>
        </w:tc>
        <w:tc>
          <w:tcPr>
            <w:tcW w:w="331" w:type="pct"/>
            <w:tcBorders>
              <w:right w:val="double" w:sz="4" w:space="0" w:color="auto"/>
            </w:tcBorders>
            <w:shd w:val="clear" w:color="auto" w:fill="auto"/>
            <w:vAlign w:val="center"/>
          </w:tcPr>
          <w:p w14:paraId="0BC94FE1" w14:textId="65112ED4" w:rsidR="00F543B6" w:rsidRPr="00222560" w:rsidRDefault="009B729A" w:rsidP="00F543B6">
            <w:pPr>
              <w:jc w:val="center"/>
              <w:rPr>
                <w:rFonts w:eastAsia="Times New Roman" w:cs="Times New Roman"/>
                <w:color w:val="000000"/>
                <w:sz w:val="20"/>
                <w:szCs w:val="20"/>
              </w:rPr>
            </w:pPr>
            <w:r>
              <w:rPr>
                <w:rFonts w:eastAsia="Times New Roman" w:cs="Times New Roman"/>
                <w:color w:val="000000"/>
                <w:sz w:val="20"/>
                <w:szCs w:val="20"/>
              </w:rPr>
              <w:t xml:space="preserve">  </w:t>
            </w:r>
            <w:r w:rsidR="00F543B6" w:rsidRPr="00222560">
              <w:rPr>
                <w:rFonts w:eastAsia="Times New Roman" w:cs="Times New Roman"/>
                <w:color w:val="000000"/>
                <w:sz w:val="20"/>
                <w:szCs w:val="20"/>
              </w:rPr>
              <w:t>36</w:t>
            </w:r>
          </w:p>
        </w:tc>
        <w:tc>
          <w:tcPr>
            <w:tcW w:w="496" w:type="pct"/>
            <w:tcBorders>
              <w:left w:val="double" w:sz="4" w:space="0" w:color="auto"/>
            </w:tcBorders>
            <w:vAlign w:val="center"/>
          </w:tcPr>
          <w:p w14:paraId="450A2A6D" w14:textId="56871176" w:rsidR="00F543B6" w:rsidRPr="00222560" w:rsidRDefault="009B729A" w:rsidP="00F543B6">
            <w:pPr>
              <w:jc w:val="center"/>
              <w:rPr>
                <w:rFonts w:eastAsia="Calibri" w:cs="Times New Roman"/>
                <w:sz w:val="20"/>
                <w:szCs w:val="20"/>
              </w:rPr>
            </w:pPr>
            <w:r>
              <w:rPr>
                <w:rFonts w:eastAsia="Calibri" w:cs="Times New Roman"/>
                <w:sz w:val="20"/>
                <w:szCs w:val="20"/>
              </w:rPr>
              <w:t xml:space="preserve">  </w:t>
            </w:r>
            <w:r w:rsidR="00F543B6" w:rsidRPr="00222560">
              <w:rPr>
                <w:rFonts w:eastAsia="Calibri" w:cs="Times New Roman"/>
                <w:sz w:val="20"/>
                <w:szCs w:val="20"/>
              </w:rPr>
              <w:t>30.26</w:t>
            </w:r>
          </w:p>
        </w:tc>
        <w:tc>
          <w:tcPr>
            <w:tcW w:w="466" w:type="pct"/>
            <w:vAlign w:val="center"/>
          </w:tcPr>
          <w:p w14:paraId="320A8093" w14:textId="546D5E3A" w:rsidR="00F543B6" w:rsidRPr="00222560" w:rsidRDefault="009B729A" w:rsidP="00F543B6">
            <w:pPr>
              <w:jc w:val="center"/>
              <w:rPr>
                <w:rFonts w:eastAsia="Calibri" w:cs="Times New Roman"/>
                <w:sz w:val="20"/>
                <w:szCs w:val="20"/>
              </w:rPr>
            </w:pPr>
            <w:r>
              <w:rPr>
                <w:rFonts w:eastAsia="Calibri" w:cs="Times New Roman"/>
                <w:sz w:val="20"/>
                <w:szCs w:val="20"/>
              </w:rPr>
              <w:t xml:space="preserve">  </w:t>
            </w:r>
            <w:r w:rsidR="00F543B6" w:rsidRPr="00222560">
              <w:rPr>
                <w:rFonts w:eastAsia="Calibri" w:cs="Times New Roman"/>
                <w:sz w:val="20"/>
                <w:szCs w:val="20"/>
              </w:rPr>
              <w:t>30.04</w:t>
            </w:r>
          </w:p>
        </w:tc>
        <w:tc>
          <w:tcPr>
            <w:tcW w:w="440" w:type="pct"/>
            <w:vAlign w:val="center"/>
          </w:tcPr>
          <w:p w14:paraId="57F34D3C" w14:textId="64E4A684" w:rsidR="00F543B6" w:rsidRPr="00222560" w:rsidRDefault="009B729A" w:rsidP="00F543B6">
            <w:pPr>
              <w:jc w:val="center"/>
              <w:rPr>
                <w:rFonts w:eastAsia="Calibri" w:cs="Times New Roman"/>
                <w:sz w:val="20"/>
                <w:szCs w:val="20"/>
              </w:rPr>
            </w:pPr>
            <w:r>
              <w:rPr>
                <w:rFonts w:eastAsia="Calibri" w:cs="Times New Roman"/>
                <w:sz w:val="20"/>
                <w:szCs w:val="20"/>
              </w:rPr>
              <w:t xml:space="preserve">  29.96</w:t>
            </w:r>
          </w:p>
        </w:tc>
        <w:tc>
          <w:tcPr>
            <w:tcW w:w="441" w:type="pct"/>
            <w:vAlign w:val="center"/>
          </w:tcPr>
          <w:p w14:paraId="2D05D7A5" w14:textId="7D1F4E06" w:rsidR="00F543B6" w:rsidRPr="00222560" w:rsidRDefault="00C3082A" w:rsidP="009B729A">
            <w:pPr>
              <w:jc w:val="center"/>
              <w:rPr>
                <w:rFonts w:eastAsia="Times New Roman" w:cs="Times New Roman"/>
                <w:color w:val="000000"/>
                <w:sz w:val="20"/>
                <w:szCs w:val="20"/>
              </w:rPr>
            </w:pPr>
            <w:r>
              <w:rPr>
                <w:rFonts w:eastAsia="Times New Roman" w:cs="Times New Roman"/>
                <w:color w:val="000000"/>
                <w:sz w:val="20"/>
                <w:szCs w:val="20"/>
              </w:rPr>
              <w:t>29.53</w:t>
            </w:r>
          </w:p>
        </w:tc>
        <w:tc>
          <w:tcPr>
            <w:tcW w:w="424" w:type="pct"/>
            <w:vAlign w:val="center"/>
          </w:tcPr>
          <w:p w14:paraId="069EFEB0" w14:textId="1E931856" w:rsidR="00F543B6" w:rsidRPr="00222560" w:rsidRDefault="009B729A" w:rsidP="00F543B6">
            <w:pPr>
              <w:jc w:val="center"/>
              <w:rPr>
                <w:rFonts w:eastAsia="Times New Roman" w:cs="Times New Roman"/>
                <w:color w:val="000000"/>
                <w:sz w:val="20"/>
                <w:szCs w:val="20"/>
              </w:rPr>
            </w:pPr>
            <w:r>
              <w:rPr>
                <w:rFonts w:eastAsia="Calibri" w:cs="Times New Roman"/>
                <w:sz w:val="20"/>
                <w:szCs w:val="20"/>
              </w:rPr>
              <w:t xml:space="preserve">  </w:t>
            </w:r>
            <w:r w:rsidR="00F543B6" w:rsidRPr="00222560">
              <w:rPr>
                <w:rFonts w:eastAsia="Calibri" w:cs="Times New Roman"/>
                <w:sz w:val="20"/>
                <w:szCs w:val="20"/>
              </w:rPr>
              <w:t>30.33</w:t>
            </w:r>
          </w:p>
        </w:tc>
        <w:tc>
          <w:tcPr>
            <w:tcW w:w="514" w:type="pct"/>
            <w:gridSpan w:val="2"/>
            <w:vAlign w:val="center"/>
          </w:tcPr>
          <w:p w14:paraId="2BE6DBBA" w14:textId="1E1E91B6" w:rsidR="00F543B6" w:rsidRPr="00222560" w:rsidRDefault="009B729A" w:rsidP="00F543B6">
            <w:pPr>
              <w:jc w:val="center"/>
              <w:rPr>
                <w:rFonts w:eastAsia="Times New Roman" w:cs="Times New Roman"/>
                <w:color w:val="000000"/>
                <w:sz w:val="20"/>
                <w:szCs w:val="20"/>
              </w:rPr>
            </w:pPr>
            <w:r>
              <w:rPr>
                <w:rFonts w:eastAsia="Times New Roman" w:cs="Times New Roman"/>
                <w:color w:val="000000"/>
                <w:sz w:val="20"/>
                <w:szCs w:val="20"/>
              </w:rPr>
              <w:t xml:space="preserve">  </w:t>
            </w:r>
            <w:r w:rsidR="00F543B6" w:rsidRPr="00222560">
              <w:rPr>
                <w:rFonts w:eastAsia="Times New Roman" w:cs="Times New Roman"/>
                <w:color w:val="000000"/>
                <w:sz w:val="20"/>
                <w:szCs w:val="20"/>
              </w:rPr>
              <w:t>36.82</w:t>
            </w:r>
          </w:p>
        </w:tc>
      </w:tr>
      <w:tr w:rsidR="00F34F94" w:rsidRPr="00222560" w14:paraId="210632B4" w14:textId="77777777" w:rsidTr="00EA3E26">
        <w:trPr>
          <w:trHeight w:val="302"/>
        </w:trPr>
        <w:tc>
          <w:tcPr>
            <w:tcW w:w="497" w:type="pct"/>
            <w:vMerge/>
            <w:tcBorders>
              <w:top w:val="single" w:sz="4" w:space="0" w:color="auto"/>
              <w:bottom w:val="double" w:sz="4" w:space="0" w:color="auto"/>
              <w:right w:val="double" w:sz="4" w:space="0" w:color="auto"/>
            </w:tcBorders>
          </w:tcPr>
          <w:p w14:paraId="4F68EBAC" w14:textId="77777777" w:rsidR="00F543B6" w:rsidRPr="00222560" w:rsidRDefault="00F543B6" w:rsidP="00F543B6">
            <w:pPr>
              <w:rPr>
                <w:rFonts w:eastAsia="Times New Roman" w:cs="Times New Roman"/>
                <w:b/>
                <w:bCs/>
                <w:color w:val="000000"/>
                <w:sz w:val="20"/>
                <w:szCs w:val="20"/>
              </w:rPr>
            </w:pPr>
          </w:p>
        </w:tc>
        <w:tc>
          <w:tcPr>
            <w:tcW w:w="1391" w:type="pct"/>
            <w:tcBorders>
              <w:left w:val="double" w:sz="4" w:space="0" w:color="auto"/>
            </w:tcBorders>
            <w:shd w:val="clear" w:color="auto" w:fill="auto"/>
            <w:noWrap/>
            <w:vAlign w:val="center"/>
          </w:tcPr>
          <w:p w14:paraId="072604CC" w14:textId="77777777" w:rsidR="00F543B6" w:rsidRPr="00222560" w:rsidRDefault="00F543B6" w:rsidP="00F543B6">
            <w:pPr>
              <w:rPr>
                <w:rFonts w:eastAsia="Times New Roman" w:cs="Times New Roman"/>
                <w:color w:val="000000"/>
                <w:sz w:val="20"/>
                <w:szCs w:val="20"/>
              </w:rPr>
            </w:pPr>
            <w:r w:rsidRPr="00222560">
              <w:rPr>
                <w:rFonts w:eastAsia="Times New Roman" w:cs="Times New Roman"/>
                <w:color w:val="000000"/>
                <w:sz w:val="20"/>
                <w:szCs w:val="20"/>
              </w:rPr>
              <w:t>Urban residence and do not walk at all</w:t>
            </w:r>
          </w:p>
        </w:tc>
        <w:tc>
          <w:tcPr>
            <w:tcW w:w="331" w:type="pct"/>
            <w:tcBorders>
              <w:right w:val="double" w:sz="4" w:space="0" w:color="auto"/>
            </w:tcBorders>
            <w:shd w:val="clear" w:color="auto" w:fill="auto"/>
            <w:vAlign w:val="center"/>
          </w:tcPr>
          <w:p w14:paraId="5892BB62" w14:textId="77777777" w:rsidR="00F543B6" w:rsidRPr="00222560" w:rsidRDefault="00F543B6" w:rsidP="00F543B6">
            <w:pPr>
              <w:jc w:val="center"/>
              <w:rPr>
                <w:rFonts w:eastAsia="Times New Roman" w:cs="Times New Roman"/>
                <w:color w:val="000000"/>
                <w:sz w:val="20"/>
                <w:szCs w:val="20"/>
              </w:rPr>
            </w:pPr>
            <w:r w:rsidRPr="00222560">
              <w:rPr>
                <w:rFonts w:eastAsia="Times New Roman" w:cs="Times New Roman"/>
                <w:color w:val="000000"/>
                <w:sz w:val="20"/>
                <w:szCs w:val="20"/>
              </w:rPr>
              <w:t>268</w:t>
            </w:r>
          </w:p>
        </w:tc>
        <w:tc>
          <w:tcPr>
            <w:tcW w:w="496" w:type="pct"/>
            <w:tcBorders>
              <w:left w:val="double" w:sz="4" w:space="0" w:color="auto"/>
            </w:tcBorders>
            <w:vAlign w:val="center"/>
          </w:tcPr>
          <w:p w14:paraId="102B7E10" w14:textId="77777777" w:rsidR="00F543B6" w:rsidRPr="00222560" w:rsidRDefault="00F543B6" w:rsidP="00F543B6">
            <w:pPr>
              <w:jc w:val="center"/>
              <w:rPr>
                <w:rFonts w:eastAsia="Calibri" w:cs="Times New Roman"/>
                <w:sz w:val="20"/>
                <w:szCs w:val="20"/>
              </w:rPr>
            </w:pPr>
            <w:r w:rsidRPr="00222560">
              <w:rPr>
                <w:rFonts w:eastAsia="Calibri" w:cs="Times New Roman"/>
                <w:sz w:val="20"/>
                <w:szCs w:val="20"/>
              </w:rPr>
              <w:t>276.62</w:t>
            </w:r>
          </w:p>
        </w:tc>
        <w:tc>
          <w:tcPr>
            <w:tcW w:w="466" w:type="pct"/>
            <w:vAlign w:val="center"/>
          </w:tcPr>
          <w:p w14:paraId="6F8FEF05" w14:textId="77777777" w:rsidR="00F543B6" w:rsidRPr="00222560" w:rsidRDefault="00F543B6" w:rsidP="00F543B6">
            <w:pPr>
              <w:jc w:val="center"/>
              <w:rPr>
                <w:rFonts w:eastAsia="Calibri" w:cs="Times New Roman"/>
                <w:sz w:val="20"/>
                <w:szCs w:val="20"/>
              </w:rPr>
            </w:pPr>
            <w:r w:rsidRPr="00222560">
              <w:rPr>
                <w:rFonts w:eastAsia="Calibri" w:cs="Times New Roman"/>
                <w:sz w:val="20"/>
                <w:szCs w:val="20"/>
              </w:rPr>
              <w:t>276.76</w:t>
            </w:r>
          </w:p>
        </w:tc>
        <w:tc>
          <w:tcPr>
            <w:tcW w:w="440" w:type="pct"/>
            <w:vAlign w:val="center"/>
          </w:tcPr>
          <w:p w14:paraId="7FD19065" w14:textId="34B13DE1" w:rsidR="00F543B6" w:rsidRPr="00222560" w:rsidRDefault="009B729A" w:rsidP="00F543B6">
            <w:pPr>
              <w:jc w:val="center"/>
              <w:rPr>
                <w:rFonts w:eastAsia="Calibri" w:cs="Times New Roman"/>
                <w:sz w:val="20"/>
                <w:szCs w:val="20"/>
              </w:rPr>
            </w:pPr>
            <w:r>
              <w:rPr>
                <w:rFonts w:eastAsia="Calibri" w:cs="Times New Roman"/>
                <w:sz w:val="20"/>
                <w:szCs w:val="20"/>
              </w:rPr>
              <w:t>274.60</w:t>
            </w:r>
          </w:p>
        </w:tc>
        <w:tc>
          <w:tcPr>
            <w:tcW w:w="441" w:type="pct"/>
            <w:vAlign w:val="center"/>
          </w:tcPr>
          <w:p w14:paraId="19B57137" w14:textId="254648D6" w:rsidR="00F543B6" w:rsidRPr="00222560" w:rsidRDefault="00C3082A" w:rsidP="009B729A">
            <w:pPr>
              <w:jc w:val="center"/>
              <w:rPr>
                <w:rFonts w:eastAsia="Times New Roman" w:cs="Times New Roman"/>
                <w:color w:val="000000"/>
                <w:sz w:val="20"/>
                <w:szCs w:val="20"/>
              </w:rPr>
            </w:pPr>
            <w:r>
              <w:rPr>
                <w:rFonts w:eastAsia="Times New Roman" w:cs="Times New Roman"/>
                <w:color w:val="000000"/>
                <w:sz w:val="20"/>
                <w:szCs w:val="20"/>
              </w:rPr>
              <w:t>274.63</w:t>
            </w:r>
          </w:p>
        </w:tc>
        <w:tc>
          <w:tcPr>
            <w:tcW w:w="424" w:type="pct"/>
            <w:vAlign w:val="center"/>
          </w:tcPr>
          <w:p w14:paraId="58E1272F" w14:textId="67B38F8D" w:rsidR="00F543B6" w:rsidRPr="00222560" w:rsidRDefault="00F543B6" w:rsidP="00F543B6">
            <w:pPr>
              <w:jc w:val="center"/>
              <w:rPr>
                <w:rFonts w:eastAsia="Times New Roman" w:cs="Times New Roman"/>
                <w:color w:val="000000"/>
                <w:sz w:val="20"/>
                <w:szCs w:val="20"/>
              </w:rPr>
            </w:pPr>
            <w:r w:rsidRPr="00222560">
              <w:rPr>
                <w:rFonts w:eastAsia="Calibri" w:cs="Times New Roman"/>
                <w:sz w:val="20"/>
                <w:szCs w:val="20"/>
              </w:rPr>
              <w:t>272.84</w:t>
            </w:r>
          </w:p>
        </w:tc>
        <w:tc>
          <w:tcPr>
            <w:tcW w:w="514" w:type="pct"/>
            <w:gridSpan w:val="2"/>
            <w:vAlign w:val="center"/>
          </w:tcPr>
          <w:p w14:paraId="259D5D04" w14:textId="1C9D4808" w:rsidR="00F543B6" w:rsidRPr="00222560" w:rsidRDefault="00F543B6" w:rsidP="00F543B6">
            <w:pPr>
              <w:jc w:val="center"/>
              <w:rPr>
                <w:rFonts w:eastAsia="Times New Roman" w:cs="Times New Roman"/>
                <w:color w:val="000000"/>
                <w:sz w:val="20"/>
                <w:szCs w:val="20"/>
              </w:rPr>
            </w:pPr>
            <w:r w:rsidRPr="00222560">
              <w:rPr>
                <w:rFonts w:eastAsia="Times New Roman" w:cs="Times New Roman"/>
                <w:color w:val="000000"/>
                <w:sz w:val="20"/>
                <w:szCs w:val="20"/>
              </w:rPr>
              <w:t>269.62</w:t>
            </w:r>
          </w:p>
        </w:tc>
      </w:tr>
      <w:tr w:rsidR="00F34F94" w:rsidRPr="00222560" w14:paraId="2F02E541" w14:textId="77777777" w:rsidTr="00EA3E26">
        <w:trPr>
          <w:trHeight w:val="302"/>
        </w:trPr>
        <w:tc>
          <w:tcPr>
            <w:tcW w:w="497" w:type="pct"/>
            <w:vMerge/>
            <w:tcBorders>
              <w:top w:val="single" w:sz="4" w:space="0" w:color="auto"/>
              <w:bottom w:val="double" w:sz="4" w:space="0" w:color="auto"/>
              <w:right w:val="double" w:sz="4" w:space="0" w:color="auto"/>
            </w:tcBorders>
          </w:tcPr>
          <w:p w14:paraId="05D3EB7A" w14:textId="77777777" w:rsidR="00F543B6" w:rsidRPr="00222560" w:rsidRDefault="00F543B6" w:rsidP="00F543B6">
            <w:pPr>
              <w:rPr>
                <w:rFonts w:eastAsia="Times New Roman" w:cs="Times New Roman"/>
                <w:b/>
                <w:bCs/>
                <w:color w:val="000000"/>
                <w:sz w:val="20"/>
                <w:szCs w:val="20"/>
              </w:rPr>
            </w:pPr>
          </w:p>
        </w:tc>
        <w:tc>
          <w:tcPr>
            <w:tcW w:w="1391" w:type="pct"/>
            <w:tcBorders>
              <w:left w:val="double" w:sz="4" w:space="0" w:color="auto"/>
            </w:tcBorders>
            <w:shd w:val="clear" w:color="auto" w:fill="auto"/>
            <w:noWrap/>
            <w:vAlign w:val="center"/>
          </w:tcPr>
          <w:p w14:paraId="2DFD50C2" w14:textId="77777777" w:rsidR="00F543B6" w:rsidRPr="00222560" w:rsidRDefault="00F543B6" w:rsidP="00F543B6">
            <w:pPr>
              <w:rPr>
                <w:rFonts w:eastAsia="Times New Roman" w:cs="Times New Roman"/>
                <w:color w:val="000000"/>
                <w:sz w:val="20"/>
                <w:szCs w:val="20"/>
              </w:rPr>
            </w:pPr>
            <w:r w:rsidRPr="00222560">
              <w:rPr>
                <w:rFonts w:eastAsia="Times New Roman" w:cs="Times New Roman"/>
                <w:color w:val="000000"/>
                <w:sz w:val="20"/>
                <w:szCs w:val="20"/>
              </w:rPr>
              <w:t>Urban residence/walk 1-2 days a week</w:t>
            </w:r>
          </w:p>
        </w:tc>
        <w:tc>
          <w:tcPr>
            <w:tcW w:w="331" w:type="pct"/>
            <w:tcBorders>
              <w:right w:val="double" w:sz="4" w:space="0" w:color="auto"/>
            </w:tcBorders>
            <w:shd w:val="clear" w:color="auto" w:fill="auto"/>
            <w:vAlign w:val="center"/>
          </w:tcPr>
          <w:p w14:paraId="6A0FE71C" w14:textId="77777777" w:rsidR="00F543B6" w:rsidRPr="00222560" w:rsidRDefault="00F543B6" w:rsidP="00F543B6">
            <w:pPr>
              <w:jc w:val="center"/>
              <w:rPr>
                <w:rFonts w:eastAsia="Times New Roman" w:cs="Times New Roman"/>
                <w:color w:val="000000"/>
                <w:sz w:val="20"/>
                <w:szCs w:val="20"/>
              </w:rPr>
            </w:pPr>
            <w:r w:rsidRPr="00222560">
              <w:rPr>
                <w:rFonts w:eastAsia="Times New Roman" w:cs="Times New Roman"/>
                <w:color w:val="000000"/>
                <w:sz w:val="20"/>
                <w:szCs w:val="20"/>
              </w:rPr>
              <w:t>252</w:t>
            </w:r>
          </w:p>
        </w:tc>
        <w:tc>
          <w:tcPr>
            <w:tcW w:w="496" w:type="pct"/>
            <w:tcBorders>
              <w:left w:val="double" w:sz="4" w:space="0" w:color="auto"/>
            </w:tcBorders>
            <w:vAlign w:val="center"/>
          </w:tcPr>
          <w:p w14:paraId="7F2205B1" w14:textId="77777777" w:rsidR="00F543B6" w:rsidRPr="00222560" w:rsidRDefault="00F543B6" w:rsidP="00F543B6">
            <w:pPr>
              <w:jc w:val="center"/>
              <w:rPr>
                <w:rFonts w:eastAsia="Calibri" w:cs="Times New Roman"/>
                <w:sz w:val="20"/>
                <w:szCs w:val="20"/>
              </w:rPr>
            </w:pPr>
            <w:r w:rsidRPr="00222560">
              <w:rPr>
                <w:rFonts w:eastAsia="Calibri" w:cs="Times New Roman"/>
                <w:sz w:val="20"/>
                <w:szCs w:val="20"/>
              </w:rPr>
              <w:t>248.64</w:t>
            </w:r>
          </w:p>
        </w:tc>
        <w:tc>
          <w:tcPr>
            <w:tcW w:w="466" w:type="pct"/>
            <w:vAlign w:val="center"/>
          </w:tcPr>
          <w:p w14:paraId="5741666A" w14:textId="77777777" w:rsidR="00F543B6" w:rsidRPr="00222560" w:rsidRDefault="00F543B6" w:rsidP="00F543B6">
            <w:pPr>
              <w:jc w:val="center"/>
              <w:rPr>
                <w:rFonts w:eastAsia="Calibri" w:cs="Times New Roman"/>
                <w:sz w:val="20"/>
                <w:szCs w:val="20"/>
              </w:rPr>
            </w:pPr>
            <w:r w:rsidRPr="00222560">
              <w:rPr>
                <w:rFonts w:eastAsia="Calibri" w:cs="Times New Roman"/>
                <w:sz w:val="20"/>
                <w:szCs w:val="20"/>
              </w:rPr>
              <w:t>248.74</w:t>
            </w:r>
          </w:p>
        </w:tc>
        <w:tc>
          <w:tcPr>
            <w:tcW w:w="440" w:type="pct"/>
            <w:vAlign w:val="center"/>
          </w:tcPr>
          <w:p w14:paraId="0302C7F4" w14:textId="13D0A94F" w:rsidR="00F543B6" w:rsidRPr="00222560" w:rsidRDefault="009B729A" w:rsidP="00F543B6">
            <w:pPr>
              <w:jc w:val="center"/>
              <w:rPr>
                <w:rFonts w:eastAsia="Calibri" w:cs="Times New Roman"/>
                <w:sz w:val="20"/>
                <w:szCs w:val="20"/>
              </w:rPr>
            </w:pPr>
            <w:r>
              <w:rPr>
                <w:rFonts w:eastAsia="Calibri" w:cs="Times New Roman"/>
                <w:sz w:val="20"/>
                <w:szCs w:val="20"/>
              </w:rPr>
              <w:t>247.71</w:t>
            </w:r>
          </w:p>
        </w:tc>
        <w:tc>
          <w:tcPr>
            <w:tcW w:w="441" w:type="pct"/>
            <w:vAlign w:val="center"/>
          </w:tcPr>
          <w:p w14:paraId="03CC78DD" w14:textId="36AB6091" w:rsidR="00F543B6" w:rsidRPr="00222560" w:rsidRDefault="00C3082A" w:rsidP="009B729A">
            <w:pPr>
              <w:jc w:val="center"/>
              <w:rPr>
                <w:rFonts w:eastAsia="Times New Roman" w:cs="Times New Roman"/>
                <w:color w:val="000000"/>
                <w:sz w:val="20"/>
                <w:szCs w:val="20"/>
              </w:rPr>
            </w:pPr>
            <w:r>
              <w:rPr>
                <w:rFonts w:eastAsia="Times New Roman" w:cs="Times New Roman"/>
                <w:color w:val="000000"/>
                <w:sz w:val="20"/>
                <w:szCs w:val="20"/>
              </w:rPr>
              <w:t>247.48</w:t>
            </w:r>
          </w:p>
        </w:tc>
        <w:tc>
          <w:tcPr>
            <w:tcW w:w="424" w:type="pct"/>
            <w:vAlign w:val="center"/>
          </w:tcPr>
          <w:p w14:paraId="00501BA2" w14:textId="6E970A3B" w:rsidR="00F543B6" w:rsidRPr="00222560" w:rsidRDefault="00F543B6" w:rsidP="00F543B6">
            <w:pPr>
              <w:jc w:val="center"/>
              <w:rPr>
                <w:rFonts w:eastAsia="Times New Roman" w:cs="Times New Roman"/>
                <w:color w:val="000000"/>
                <w:sz w:val="20"/>
                <w:szCs w:val="20"/>
              </w:rPr>
            </w:pPr>
            <w:r w:rsidRPr="00222560">
              <w:rPr>
                <w:rFonts w:eastAsia="Calibri" w:cs="Times New Roman"/>
                <w:sz w:val="20"/>
                <w:szCs w:val="20"/>
              </w:rPr>
              <w:t>246.90</w:t>
            </w:r>
          </w:p>
        </w:tc>
        <w:tc>
          <w:tcPr>
            <w:tcW w:w="514" w:type="pct"/>
            <w:gridSpan w:val="2"/>
            <w:vAlign w:val="center"/>
          </w:tcPr>
          <w:p w14:paraId="1CBD8E25" w14:textId="50A90C77" w:rsidR="00F543B6" w:rsidRPr="00222560" w:rsidRDefault="00F543B6" w:rsidP="00F543B6">
            <w:pPr>
              <w:jc w:val="center"/>
              <w:rPr>
                <w:rFonts w:eastAsia="Times New Roman" w:cs="Times New Roman"/>
                <w:color w:val="000000"/>
                <w:sz w:val="20"/>
                <w:szCs w:val="20"/>
              </w:rPr>
            </w:pPr>
            <w:r w:rsidRPr="00222560">
              <w:rPr>
                <w:rFonts w:eastAsia="Times New Roman" w:cs="Times New Roman"/>
                <w:color w:val="000000"/>
                <w:sz w:val="20"/>
                <w:szCs w:val="20"/>
              </w:rPr>
              <w:t>251.05</w:t>
            </w:r>
          </w:p>
        </w:tc>
      </w:tr>
      <w:tr w:rsidR="00F34F94" w:rsidRPr="00222560" w14:paraId="2019C348" w14:textId="77777777" w:rsidTr="00EA3E26">
        <w:trPr>
          <w:trHeight w:val="302"/>
        </w:trPr>
        <w:tc>
          <w:tcPr>
            <w:tcW w:w="497" w:type="pct"/>
            <w:vMerge/>
            <w:tcBorders>
              <w:top w:val="single" w:sz="4" w:space="0" w:color="auto"/>
              <w:bottom w:val="double" w:sz="4" w:space="0" w:color="auto"/>
              <w:right w:val="double" w:sz="4" w:space="0" w:color="auto"/>
            </w:tcBorders>
          </w:tcPr>
          <w:p w14:paraId="1D21C7DB" w14:textId="77777777" w:rsidR="00F543B6" w:rsidRPr="00222560" w:rsidRDefault="00F543B6" w:rsidP="00F543B6">
            <w:pPr>
              <w:rPr>
                <w:rFonts w:eastAsia="Times New Roman" w:cs="Times New Roman"/>
                <w:b/>
                <w:bCs/>
                <w:color w:val="000000"/>
                <w:sz w:val="20"/>
                <w:szCs w:val="20"/>
              </w:rPr>
            </w:pPr>
          </w:p>
        </w:tc>
        <w:tc>
          <w:tcPr>
            <w:tcW w:w="1391" w:type="pct"/>
            <w:tcBorders>
              <w:left w:val="double" w:sz="4" w:space="0" w:color="auto"/>
            </w:tcBorders>
            <w:shd w:val="clear" w:color="auto" w:fill="auto"/>
            <w:noWrap/>
            <w:vAlign w:val="center"/>
          </w:tcPr>
          <w:p w14:paraId="33FCDCD9" w14:textId="77777777" w:rsidR="00F543B6" w:rsidRPr="00222560" w:rsidRDefault="00F543B6" w:rsidP="00F543B6">
            <w:pPr>
              <w:rPr>
                <w:rFonts w:eastAsia="Times New Roman" w:cs="Times New Roman"/>
                <w:color w:val="000000"/>
                <w:sz w:val="20"/>
                <w:szCs w:val="20"/>
              </w:rPr>
            </w:pPr>
            <w:r w:rsidRPr="00222560">
              <w:rPr>
                <w:rFonts w:eastAsia="Times New Roman" w:cs="Times New Roman"/>
                <w:color w:val="000000"/>
                <w:sz w:val="20"/>
                <w:szCs w:val="20"/>
              </w:rPr>
              <w:t>Urban residence/walk 3-4 days a week</w:t>
            </w:r>
          </w:p>
        </w:tc>
        <w:tc>
          <w:tcPr>
            <w:tcW w:w="331" w:type="pct"/>
            <w:tcBorders>
              <w:right w:val="double" w:sz="4" w:space="0" w:color="auto"/>
            </w:tcBorders>
            <w:shd w:val="clear" w:color="auto" w:fill="auto"/>
            <w:vAlign w:val="center"/>
          </w:tcPr>
          <w:p w14:paraId="06B144D5" w14:textId="77777777" w:rsidR="00F543B6" w:rsidRPr="00222560" w:rsidRDefault="00F543B6" w:rsidP="00F543B6">
            <w:pPr>
              <w:jc w:val="center"/>
              <w:rPr>
                <w:rFonts w:eastAsia="Times New Roman" w:cs="Times New Roman"/>
                <w:color w:val="000000"/>
                <w:sz w:val="20"/>
                <w:szCs w:val="20"/>
              </w:rPr>
            </w:pPr>
            <w:r w:rsidRPr="00222560">
              <w:rPr>
                <w:rFonts w:eastAsia="Times New Roman" w:cs="Times New Roman"/>
                <w:color w:val="000000"/>
                <w:sz w:val="20"/>
                <w:szCs w:val="20"/>
              </w:rPr>
              <w:t>416</w:t>
            </w:r>
          </w:p>
        </w:tc>
        <w:tc>
          <w:tcPr>
            <w:tcW w:w="496" w:type="pct"/>
            <w:tcBorders>
              <w:left w:val="double" w:sz="4" w:space="0" w:color="auto"/>
            </w:tcBorders>
            <w:vAlign w:val="center"/>
          </w:tcPr>
          <w:p w14:paraId="59AA443E" w14:textId="77777777" w:rsidR="00F543B6" w:rsidRPr="00222560" w:rsidRDefault="00F543B6" w:rsidP="00F543B6">
            <w:pPr>
              <w:jc w:val="center"/>
              <w:rPr>
                <w:rFonts w:eastAsia="Calibri" w:cs="Times New Roman"/>
                <w:sz w:val="20"/>
                <w:szCs w:val="20"/>
              </w:rPr>
            </w:pPr>
            <w:r w:rsidRPr="00222560">
              <w:rPr>
                <w:rFonts w:eastAsia="Calibri" w:cs="Times New Roman"/>
                <w:sz w:val="20"/>
                <w:szCs w:val="20"/>
              </w:rPr>
              <w:t>407.94</w:t>
            </w:r>
          </w:p>
        </w:tc>
        <w:tc>
          <w:tcPr>
            <w:tcW w:w="466" w:type="pct"/>
            <w:vAlign w:val="center"/>
          </w:tcPr>
          <w:p w14:paraId="7408E672" w14:textId="77777777" w:rsidR="00F543B6" w:rsidRPr="00222560" w:rsidRDefault="00F543B6" w:rsidP="00F543B6">
            <w:pPr>
              <w:jc w:val="center"/>
              <w:rPr>
                <w:rFonts w:eastAsia="Calibri" w:cs="Times New Roman"/>
                <w:sz w:val="20"/>
                <w:szCs w:val="20"/>
              </w:rPr>
            </w:pPr>
            <w:r w:rsidRPr="00222560">
              <w:rPr>
                <w:rFonts w:eastAsia="Calibri" w:cs="Times New Roman"/>
                <w:sz w:val="20"/>
                <w:szCs w:val="20"/>
              </w:rPr>
              <w:t>407.43</w:t>
            </w:r>
          </w:p>
        </w:tc>
        <w:tc>
          <w:tcPr>
            <w:tcW w:w="440" w:type="pct"/>
            <w:vAlign w:val="center"/>
          </w:tcPr>
          <w:p w14:paraId="147DA126" w14:textId="3DA449DB" w:rsidR="00F543B6" w:rsidRPr="00222560" w:rsidRDefault="009B729A" w:rsidP="00F543B6">
            <w:pPr>
              <w:jc w:val="center"/>
              <w:rPr>
                <w:rFonts w:eastAsia="Calibri" w:cs="Times New Roman"/>
                <w:sz w:val="20"/>
                <w:szCs w:val="20"/>
              </w:rPr>
            </w:pPr>
            <w:r>
              <w:rPr>
                <w:rFonts w:eastAsia="Calibri" w:cs="Times New Roman"/>
                <w:sz w:val="20"/>
                <w:szCs w:val="20"/>
              </w:rPr>
              <w:t>408.57</w:t>
            </w:r>
          </w:p>
        </w:tc>
        <w:tc>
          <w:tcPr>
            <w:tcW w:w="441" w:type="pct"/>
            <w:vAlign w:val="center"/>
          </w:tcPr>
          <w:p w14:paraId="41DFD987" w14:textId="6211D29D" w:rsidR="00F543B6" w:rsidRPr="00222560" w:rsidRDefault="00C3082A" w:rsidP="009B729A">
            <w:pPr>
              <w:jc w:val="center"/>
              <w:rPr>
                <w:rFonts w:eastAsia="Times New Roman" w:cs="Times New Roman"/>
                <w:color w:val="000000"/>
                <w:sz w:val="20"/>
                <w:szCs w:val="20"/>
              </w:rPr>
            </w:pPr>
            <w:r>
              <w:rPr>
                <w:rFonts w:eastAsia="Times New Roman" w:cs="Times New Roman"/>
                <w:color w:val="000000"/>
                <w:sz w:val="20"/>
                <w:szCs w:val="20"/>
              </w:rPr>
              <w:t>407.88</w:t>
            </w:r>
          </w:p>
        </w:tc>
        <w:tc>
          <w:tcPr>
            <w:tcW w:w="424" w:type="pct"/>
            <w:vAlign w:val="center"/>
          </w:tcPr>
          <w:p w14:paraId="7C10F1D7" w14:textId="33707CDC" w:rsidR="00F543B6" w:rsidRPr="00222560" w:rsidRDefault="00F543B6" w:rsidP="00F543B6">
            <w:pPr>
              <w:jc w:val="center"/>
              <w:rPr>
                <w:rFonts w:eastAsia="Times New Roman" w:cs="Times New Roman"/>
                <w:color w:val="000000"/>
                <w:sz w:val="20"/>
                <w:szCs w:val="20"/>
              </w:rPr>
            </w:pPr>
            <w:r w:rsidRPr="00222560">
              <w:rPr>
                <w:rFonts w:eastAsia="Calibri" w:cs="Times New Roman"/>
                <w:sz w:val="20"/>
                <w:szCs w:val="20"/>
              </w:rPr>
              <w:t>410.00</w:t>
            </w:r>
          </w:p>
        </w:tc>
        <w:tc>
          <w:tcPr>
            <w:tcW w:w="514" w:type="pct"/>
            <w:gridSpan w:val="2"/>
            <w:vAlign w:val="center"/>
          </w:tcPr>
          <w:p w14:paraId="329BDA7D" w14:textId="1C40C6A2" w:rsidR="00F543B6" w:rsidRPr="00222560" w:rsidRDefault="00F543B6" w:rsidP="00F543B6">
            <w:pPr>
              <w:jc w:val="center"/>
              <w:rPr>
                <w:rFonts w:eastAsia="Times New Roman" w:cs="Times New Roman"/>
                <w:color w:val="000000"/>
                <w:sz w:val="20"/>
                <w:szCs w:val="20"/>
              </w:rPr>
            </w:pPr>
            <w:r w:rsidRPr="00222560">
              <w:rPr>
                <w:rFonts w:eastAsia="Times New Roman" w:cs="Times New Roman"/>
                <w:color w:val="000000"/>
                <w:sz w:val="20"/>
                <w:szCs w:val="20"/>
              </w:rPr>
              <w:t>415.94</w:t>
            </w:r>
          </w:p>
        </w:tc>
      </w:tr>
      <w:tr w:rsidR="00F34F94" w:rsidRPr="00222560" w14:paraId="58638063" w14:textId="77777777" w:rsidTr="00EA3E26">
        <w:trPr>
          <w:trHeight w:val="302"/>
        </w:trPr>
        <w:tc>
          <w:tcPr>
            <w:tcW w:w="497" w:type="pct"/>
            <w:vMerge/>
            <w:tcBorders>
              <w:top w:val="single" w:sz="4" w:space="0" w:color="auto"/>
              <w:bottom w:val="double" w:sz="4" w:space="0" w:color="auto"/>
              <w:right w:val="double" w:sz="4" w:space="0" w:color="auto"/>
            </w:tcBorders>
          </w:tcPr>
          <w:p w14:paraId="17655AC7" w14:textId="77777777" w:rsidR="00F543B6" w:rsidRPr="00222560" w:rsidRDefault="00F543B6" w:rsidP="00F543B6">
            <w:pPr>
              <w:rPr>
                <w:rFonts w:eastAsia="Times New Roman" w:cs="Times New Roman"/>
                <w:b/>
                <w:bCs/>
                <w:color w:val="000000"/>
                <w:sz w:val="20"/>
                <w:szCs w:val="20"/>
              </w:rPr>
            </w:pPr>
          </w:p>
        </w:tc>
        <w:tc>
          <w:tcPr>
            <w:tcW w:w="1391" w:type="pct"/>
            <w:tcBorders>
              <w:left w:val="double" w:sz="4" w:space="0" w:color="auto"/>
            </w:tcBorders>
            <w:shd w:val="clear" w:color="auto" w:fill="auto"/>
            <w:noWrap/>
            <w:vAlign w:val="center"/>
          </w:tcPr>
          <w:p w14:paraId="265851EC" w14:textId="77777777" w:rsidR="00F543B6" w:rsidRPr="00222560" w:rsidRDefault="00F543B6" w:rsidP="00F543B6">
            <w:pPr>
              <w:rPr>
                <w:rFonts w:eastAsia="Times New Roman" w:cs="Times New Roman"/>
                <w:color w:val="000000"/>
                <w:sz w:val="20"/>
                <w:szCs w:val="20"/>
              </w:rPr>
            </w:pPr>
            <w:r w:rsidRPr="00222560">
              <w:rPr>
                <w:rFonts w:eastAsia="Times New Roman" w:cs="Times New Roman"/>
                <w:color w:val="000000"/>
                <w:sz w:val="20"/>
                <w:szCs w:val="20"/>
              </w:rPr>
              <w:t>Urban residence/walk 5-6 days a week</w:t>
            </w:r>
          </w:p>
        </w:tc>
        <w:tc>
          <w:tcPr>
            <w:tcW w:w="331" w:type="pct"/>
            <w:tcBorders>
              <w:right w:val="double" w:sz="4" w:space="0" w:color="auto"/>
            </w:tcBorders>
            <w:shd w:val="clear" w:color="auto" w:fill="auto"/>
            <w:vAlign w:val="center"/>
          </w:tcPr>
          <w:p w14:paraId="254B851B" w14:textId="77777777" w:rsidR="00F543B6" w:rsidRPr="00222560" w:rsidRDefault="00F543B6" w:rsidP="00F543B6">
            <w:pPr>
              <w:jc w:val="center"/>
              <w:rPr>
                <w:rFonts w:eastAsia="Times New Roman" w:cs="Times New Roman"/>
                <w:color w:val="000000"/>
                <w:sz w:val="20"/>
                <w:szCs w:val="20"/>
              </w:rPr>
            </w:pPr>
            <w:r w:rsidRPr="00222560">
              <w:rPr>
                <w:rFonts w:eastAsia="Times New Roman" w:cs="Times New Roman"/>
                <w:color w:val="000000"/>
                <w:sz w:val="20"/>
                <w:szCs w:val="20"/>
              </w:rPr>
              <w:t>311</w:t>
            </w:r>
          </w:p>
        </w:tc>
        <w:tc>
          <w:tcPr>
            <w:tcW w:w="496" w:type="pct"/>
            <w:tcBorders>
              <w:left w:val="double" w:sz="4" w:space="0" w:color="auto"/>
            </w:tcBorders>
            <w:vAlign w:val="center"/>
          </w:tcPr>
          <w:p w14:paraId="5D3E2364" w14:textId="77777777" w:rsidR="00F543B6" w:rsidRPr="00222560" w:rsidRDefault="00F543B6" w:rsidP="00F543B6">
            <w:pPr>
              <w:jc w:val="center"/>
              <w:rPr>
                <w:rFonts w:eastAsia="Calibri" w:cs="Times New Roman"/>
                <w:sz w:val="20"/>
                <w:szCs w:val="20"/>
              </w:rPr>
            </w:pPr>
            <w:r w:rsidRPr="00222560">
              <w:rPr>
                <w:rFonts w:eastAsia="Calibri" w:cs="Times New Roman"/>
                <w:sz w:val="20"/>
                <w:szCs w:val="20"/>
              </w:rPr>
              <w:t>307.77</w:t>
            </w:r>
          </w:p>
        </w:tc>
        <w:tc>
          <w:tcPr>
            <w:tcW w:w="466" w:type="pct"/>
            <w:vAlign w:val="center"/>
          </w:tcPr>
          <w:p w14:paraId="33E09137" w14:textId="77777777" w:rsidR="00F543B6" w:rsidRPr="00222560" w:rsidRDefault="00F543B6" w:rsidP="00F543B6">
            <w:pPr>
              <w:jc w:val="center"/>
              <w:rPr>
                <w:rFonts w:eastAsia="Calibri" w:cs="Times New Roman"/>
                <w:sz w:val="20"/>
                <w:szCs w:val="20"/>
              </w:rPr>
            </w:pPr>
            <w:r w:rsidRPr="00222560">
              <w:rPr>
                <w:rFonts w:eastAsia="Calibri" w:cs="Times New Roman"/>
                <w:sz w:val="20"/>
                <w:szCs w:val="20"/>
              </w:rPr>
              <w:t>306.99</w:t>
            </w:r>
          </w:p>
        </w:tc>
        <w:tc>
          <w:tcPr>
            <w:tcW w:w="440" w:type="pct"/>
            <w:vAlign w:val="center"/>
          </w:tcPr>
          <w:p w14:paraId="492FB54F" w14:textId="580D718A" w:rsidR="00F543B6" w:rsidRPr="00222560" w:rsidRDefault="009B729A" w:rsidP="00F543B6">
            <w:pPr>
              <w:jc w:val="center"/>
              <w:rPr>
                <w:rFonts w:eastAsia="Calibri" w:cs="Times New Roman"/>
                <w:sz w:val="20"/>
                <w:szCs w:val="20"/>
              </w:rPr>
            </w:pPr>
            <w:r>
              <w:rPr>
                <w:rFonts w:eastAsia="Calibri" w:cs="Times New Roman"/>
                <w:sz w:val="20"/>
                <w:szCs w:val="20"/>
              </w:rPr>
              <w:t>310.01</w:t>
            </w:r>
          </w:p>
        </w:tc>
        <w:tc>
          <w:tcPr>
            <w:tcW w:w="441" w:type="pct"/>
            <w:vAlign w:val="center"/>
          </w:tcPr>
          <w:p w14:paraId="408EE6E1" w14:textId="1E1E9A31" w:rsidR="00F543B6" w:rsidRPr="00222560" w:rsidRDefault="00C3082A" w:rsidP="009B729A">
            <w:pPr>
              <w:jc w:val="center"/>
              <w:rPr>
                <w:rFonts w:eastAsia="Times New Roman" w:cs="Times New Roman"/>
                <w:color w:val="000000"/>
                <w:sz w:val="20"/>
                <w:szCs w:val="20"/>
              </w:rPr>
            </w:pPr>
            <w:r>
              <w:rPr>
                <w:rFonts w:eastAsia="Times New Roman" w:cs="Times New Roman"/>
                <w:color w:val="000000"/>
                <w:sz w:val="20"/>
                <w:szCs w:val="20"/>
              </w:rPr>
              <w:t>309.43</w:t>
            </w:r>
          </w:p>
        </w:tc>
        <w:tc>
          <w:tcPr>
            <w:tcW w:w="424" w:type="pct"/>
            <w:vAlign w:val="center"/>
          </w:tcPr>
          <w:p w14:paraId="6C636A2F" w14:textId="7D72CE79" w:rsidR="00F543B6" w:rsidRPr="00222560" w:rsidRDefault="00F543B6" w:rsidP="00F543B6">
            <w:pPr>
              <w:jc w:val="center"/>
              <w:rPr>
                <w:rFonts w:eastAsia="Times New Roman" w:cs="Times New Roman"/>
                <w:color w:val="000000"/>
                <w:sz w:val="20"/>
                <w:szCs w:val="20"/>
              </w:rPr>
            </w:pPr>
            <w:r w:rsidRPr="00222560">
              <w:rPr>
                <w:rFonts w:eastAsia="Calibri" w:cs="Times New Roman"/>
                <w:sz w:val="20"/>
                <w:szCs w:val="20"/>
              </w:rPr>
              <w:t>311.63</w:t>
            </w:r>
          </w:p>
        </w:tc>
        <w:tc>
          <w:tcPr>
            <w:tcW w:w="514" w:type="pct"/>
            <w:gridSpan w:val="2"/>
            <w:vAlign w:val="center"/>
          </w:tcPr>
          <w:p w14:paraId="464B78BB" w14:textId="311ACE27" w:rsidR="00F543B6" w:rsidRPr="00222560" w:rsidRDefault="00F543B6" w:rsidP="00F543B6">
            <w:pPr>
              <w:jc w:val="center"/>
              <w:rPr>
                <w:rFonts w:eastAsia="Times New Roman" w:cs="Times New Roman"/>
                <w:color w:val="000000"/>
                <w:sz w:val="20"/>
                <w:szCs w:val="20"/>
              </w:rPr>
            </w:pPr>
            <w:r w:rsidRPr="00222560">
              <w:rPr>
                <w:rFonts w:eastAsia="Times New Roman" w:cs="Times New Roman"/>
                <w:color w:val="000000"/>
                <w:sz w:val="20"/>
                <w:szCs w:val="20"/>
              </w:rPr>
              <w:t>310.63</w:t>
            </w:r>
          </w:p>
        </w:tc>
      </w:tr>
      <w:tr w:rsidR="00F34F94" w:rsidRPr="00222560" w14:paraId="07DD19F1" w14:textId="77777777" w:rsidTr="00EA3E26">
        <w:trPr>
          <w:trHeight w:val="302"/>
        </w:trPr>
        <w:tc>
          <w:tcPr>
            <w:tcW w:w="497" w:type="pct"/>
            <w:vMerge/>
            <w:tcBorders>
              <w:top w:val="single" w:sz="4" w:space="0" w:color="auto"/>
              <w:bottom w:val="double" w:sz="4" w:space="0" w:color="auto"/>
              <w:right w:val="double" w:sz="4" w:space="0" w:color="auto"/>
            </w:tcBorders>
          </w:tcPr>
          <w:p w14:paraId="7C4149BA" w14:textId="77777777" w:rsidR="00F543B6" w:rsidRPr="00222560" w:rsidRDefault="00F543B6" w:rsidP="00F543B6">
            <w:pPr>
              <w:rPr>
                <w:rFonts w:eastAsia="Times New Roman" w:cs="Times New Roman"/>
                <w:b/>
                <w:bCs/>
                <w:color w:val="000000"/>
                <w:sz w:val="20"/>
                <w:szCs w:val="20"/>
              </w:rPr>
            </w:pPr>
          </w:p>
        </w:tc>
        <w:tc>
          <w:tcPr>
            <w:tcW w:w="1391" w:type="pct"/>
            <w:tcBorders>
              <w:left w:val="double" w:sz="4" w:space="0" w:color="auto"/>
              <w:bottom w:val="single" w:sz="4" w:space="0" w:color="auto"/>
            </w:tcBorders>
            <w:shd w:val="clear" w:color="auto" w:fill="auto"/>
            <w:noWrap/>
            <w:vAlign w:val="center"/>
          </w:tcPr>
          <w:p w14:paraId="6FB656C2" w14:textId="77777777" w:rsidR="00F543B6" w:rsidRPr="00222560" w:rsidRDefault="00F543B6" w:rsidP="00F543B6">
            <w:pPr>
              <w:rPr>
                <w:rFonts w:eastAsia="Times New Roman" w:cs="Times New Roman"/>
                <w:color w:val="000000"/>
                <w:sz w:val="20"/>
                <w:szCs w:val="20"/>
              </w:rPr>
            </w:pPr>
            <w:r w:rsidRPr="00222560">
              <w:rPr>
                <w:rFonts w:eastAsia="Times New Roman" w:cs="Times New Roman"/>
                <w:color w:val="000000"/>
                <w:sz w:val="20"/>
                <w:szCs w:val="20"/>
              </w:rPr>
              <w:t>Urban residence/walk 7 days a week</w:t>
            </w:r>
          </w:p>
        </w:tc>
        <w:tc>
          <w:tcPr>
            <w:tcW w:w="331" w:type="pct"/>
            <w:tcBorders>
              <w:bottom w:val="single" w:sz="4" w:space="0" w:color="auto"/>
              <w:right w:val="double" w:sz="4" w:space="0" w:color="auto"/>
            </w:tcBorders>
            <w:shd w:val="clear" w:color="auto" w:fill="auto"/>
            <w:vAlign w:val="center"/>
          </w:tcPr>
          <w:p w14:paraId="412B49C9" w14:textId="77777777" w:rsidR="00F543B6" w:rsidRPr="00222560" w:rsidRDefault="00F543B6" w:rsidP="00F543B6">
            <w:pPr>
              <w:jc w:val="center"/>
              <w:rPr>
                <w:rFonts w:eastAsia="Times New Roman" w:cs="Times New Roman"/>
                <w:color w:val="000000"/>
                <w:sz w:val="20"/>
                <w:szCs w:val="20"/>
              </w:rPr>
            </w:pPr>
            <w:r w:rsidRPr="00222560">
              <w:rPr>
                <w:rFonts w:eastAsia="Times New Roman" w:cs="Times New Roman"/>
                <w:color w:val="000000"/>
                <w:sz w:val="20"/>
                <w:szCs w:val="20"/>
              </w:rPr>
              <w:t>214</w:t>
            </w:r>
          </w:p>
        </w:tc>
        <w:tc>
          <w:tcPr>
            <w:tcW w:w="496" w:type="pct"/>
            <w:tcBorders>
              <w:left w:val="double" w:sz="4" w:space="0" w:color="auto"/>
              <w:bottom w:val="single" w:sz="4" w:space="0" w:color="auto"/>
            </w:tcBorders>
            <w:vAlign w:val="center"/>
          </w:tcPr>
          <w:p w14:paraId="34BA80DB" w14:textId="77777777" w:rsidR="00F543B6" w:rsidRPr="00222560" w:rsidRDefault="00F543B6" w:rsidP="00F543B6">
            <w:pPr>
              <w:jc w:val="center"/>
              <w:rPr>
                <w:rFonts w:eastAsia="Calibri" w:cs="Times New Roman"/>
                <w:sz w:val="20"/>
                <w:szCs w:val="20"/>
              </w:rPr>
            </w:pPr>
            <w:r w:rsidRPr="00222560">
              <w:rPr>
                <w:rFonts w:eastAsia="Calibri" w:cs="Times New Roman"/>
                <w:sz w:val="20"/>
                <w:szCs w:val="20"/>
              </w:rPr>
              <w:t>219.93</w:t>
            </w:r>
          </w:p>
        </w:tc>
        <w:tc>
          <w:tcPr>
            <w:tcW w:w="466" w:type="pct"/>
            <w:tcBorders>
              <w:bottom w:val="single" w:sz="4" w:space="0" w:color="auto"/>
            </w:tcBorders>
            <w:vAlign w:val="center"/>
          </w:tcPr>
          <w:p w14:paraId="71EE2D6B" w14:textId="77777777" w:rsidR="00F543B6" w:rsidRPr="00222560" w:rsidRDefault="00F543B6" w:rsidP="00F543B6">
            <w:pPr>
              <w:jc w:val="center"/>
              <w:rPr>
                <w:rFonts w:eastAsia="Calibri" w:cs="Times New Roman"/>
                <w:sz w:val="20"/>
                <w:szCs w:val="20"/>
              </w:rPr>
            </w:pPr>
            <w:r w:rsidRPr="00222560">
              <w:rPr>
                <w:rFonts w:eastAsia="Calibri" w:cs="Times New Roman"/>
                <w:sz w:val="20"/>
                <w:szCs w:val="20"/>
              </w:rPr>
              <w:t>220.22</w:t>
            </w:r>
          </w:p>
        </w:tc>
        <w:tc>
          <w:tcPr>
            <w:tcW w:w="440" w:type="pct"/>
            <w:tcBorders>
              <w:bottom w:val="single" w:sz="4" w:space="0" w:color="auto"/>
            </w:tcBorders>
            <w:vAlign w:val="center"/>
          </w:tcPr>
          <w:p w14:paraId="5951563C" w14:textId="773FB5D3" w:rsidR="00F543B6" w:rsidRPr="00222560" w:rsidRDefault="009B729A" w:rsidP="00F543B6">
            <w:pPr>
              <w:jc w:val="center"/>
              <w:rPr>
                <w:rFonts w:eastAsia="Calibri" w:cs="Times New Roman"/>
                <w:sz w:val="20"/>
                <w:szCs w:val="20"/>
              </w:rPr>
            </w:pPr>
            <w:r>
              <w:rPr>
                <w:rFonts w:eastAsia="Calibri" w:cs="Times New Roman"/>
                <w:sz w:val="20"/>
                <w:szCs w:val="20"/>
              </w:rPr>
              <w:t>220.00</w:t>
            </w:r>
          </w:p>
        </w:tc>
        <w:tc>
          <w:tcPr>
            <w:tcW w:w="441" w:type="pct"/>
            <w:tcBorders>
              <w:bottom w:val="single" w:sz="4" w:space="0" w:color="auto"/>
            </w:tcBorders>
            <w:vAlign w:val="center"/>
          </w:tcPr>
          <w:p w14:paraId="2EBC80A1" w14:textId="1BC936BB" w:rsidR="00F543B6" w:rsidRPr="00222560" w:rsidRDefault="00C3082A" w:rsidP="009B729A">
            <w:pPr>
              <w:jc w:val="center"/>
              <w:rPr>
                <w:rFonts w:eastAsia="Calibri" w:cs="Times New Roman"/>
                <w:sz w:val="20"/>
                <w:szCs w:val="20"/>
              </w:rPr>
            </w:pPr>
            <w:r>
              <w:rPr>
                <w:rFonts w:eastAsia="Calibri" w:cs="Times New Roman"/>
                <w:sz w:val="20"/>
                <w:szCs w:val="20"/>
              </w:rPr>
              <w:t>220.43</w:t>
            </w:r>
          </w:p>
        </w:tc>
        <w:tc>
          <w:tcPr>
            <w:tcW w:w="424" w:type="pct"/>
            <w:tcBorders>
              <w:bottom w:val="single" w:sz="4" w:space="0" w:color="auto"/>
            </w:tcBorders>
            <w:vAlign w:val="center"/>
          </w:tcPr>
          <w:p w14:paraId="7D692FF5" w14:textId="3867EDE5" w:rsidR="00F543B6" w:rsidRPr="00222560" w:rsidRDefault="00F543B6" w:rsidP="00F543B6">
            <w:pPr>
              <w:jc w:val="center"/>
              <w:rPr>
                <w:rFonts w:eastAsia="Calibri" w:cs="Times New Roman"/>
                <w:sz w:val="20"/>
                <w:szCs w:val="20"/>
              </w:rPr>
            </w:pPr>
            <w:r w:rsidRPr="00222560">
              <w:rPr>
                <w:rFonts w:eastAsia="Calibri" w:cs="Times New Roman"/>
                <w:sz w:val="20"/>
                <w:szCs w:val="20"/>
              </w:rPr>
              <w:t>219.54</w:t>
            </w:r>
          </w:p>
        </w:tc>
        <w:tc>
          <w:tcPr>
            <w:tcW w:w="514" w:type="pct"/>
            <w:gridSpan w:val="2"/>
            <w:tcBorders>
              <w:bottom w:val="single" w:sz="4" w:space="0" w:color="auto"/>
            </w:tcBorders>
            <w:vAlign w:val="center"/>
          </w:tcPr>
          <w:p w14:paraId="20661916" w14:textId="3CED79DF" w:rsidR="00F543B6" w:rsidRPr="00222560" w:rsidRDefault="00F543B6" w:rsidP="00F543B6">
            <w:pPr>
              <w:jc w:val="center"/>
              <w:rPr>
                <w:rFonts w:eastAsia="Calibri" w:cs="Times New Roman"/>
                <w:sz w:val="20"/>
                <w:szCs w:val="20"/>
              </w:rPr>
            </w:pPr>
            <w:r w:rsidRPr="00222560">
              <w:rPr>
                <w:rFonts w:eastAsia="Calibri" w:cs="Times New Roman"/>
                <w:sz w:val="20"/>
                <w:szCs w:val="20"/>
              </w:rPr>
              <w:t>213.13</w:t>
            </w:r>
          </w:p>
        </w:tc>
      </w:tr>
      <w:tr w:rsidR="008864A2" w:rsidRPr="00222560" w14:paraId="13DF1283" w14:textId="77777777" w:rsidTr="00EA3E26">
        <w:trPr>
          <w:trHeight w:val="302"/>
        </w:trPr>
        <w:tc>
          <w:tcPr>
            <w:tcW w:w="497" w:type="pct"/>
            <w:vMerge/>
            <w:tcBorders>
              <w:top w:val="single" w:sz="4" w:space="0" w:color="auto"/>
              <w:bottom w:val="double" w:sz="4" w:space="0" w:color="auto"/>
              <w:right w:val="double" w:sz="4" w:space="0" w:color="auto"/>
            </w:tcBorders>
          </w:tcPr>
          <w:p w14:paraId="4838E7D3" w14:textId="77777777" w:rsidR="00F543B6" w:rsidRPr="00222560" w:rsidRDefault="00F543B6" w:rsidP="00F543B6">
            <w:pPr>
              <w:rPr>
                <w:rFonts w:eastAsia="Times New Roman" w:cs="Times New Roman"/>
                <w:b/>
                <w:bCs/>
                <w:color w:val="000000"/>
                <w:sz w:val="20"/>
                <w:szCs w:val="20"/>
              </w:rPr>
            </w:pPr>
          </w:p>
        </w:tc>
        <w:tc>
          <w:tcPr>
            <w:tcW w:w="1722" w:type="pct"/>
            <w:gridSpan w:val="2"/>
            <w:tcBorders>
              <w:top w:val="single" w:sz="4" w:space="0" w:color="auto"/>
              <w:left w:val="double" w:sz="4" w:space="0" w:color="auto"/>
              <w:bottom w:val="double" w:sz="4" w:space="0" w:color="auto"/>
              <w:right w:val="double" w:sz="4" w:space="0" w:color="auto"/>
            </w:tcBorders>
            <w:shd w:val="clear" w:color="auto" w:fill="auto"/>
            <w:noWrap/>
            <w:vAlign w:val="center"/>
          </w:tcPr>
          <w:p w14:paraId="4A22691C" w14:textId="77777777" w:rsidR="00F543B6" w:rsidRPr="00222560" w:rsidRDefault="00F543B6" w:rsidP="00F543B6">
            <w:pPr>
              <w:rPr>
                <w:rFonts w:eastAsia="Times New Roman" w:cs="Times New Roman"/>
                <w:color w:val="000000"/>
                <w:sz w:val="20"/>
                <w:szCs w:val="20"/>
              </w:rPr>
            </w:pPr>
            <w:r w:rsidRPr="00222560">
              <w:rPr>
                <w:rFonts w:eastAsia="Times New Roman" w:cs="Times New Roman"/>
                <w:color w:val="000000"/>
                <w:sz w:val="20"/>
                <w:szCs w:val="20"/>
              </w:rPr>
              <w:t>Weighted Average Percentage Error (WAPE)</w:t>
            </w:r>
          </w:p>
        </w:tc>
        <w:tc>
          <w:tcPr>
            <w:tcW w:w="496" w:type="pct"/>
            <w:tcBorders>
              <w:top w:val="single" w:sz="4" w:space="0" w:color="auto"/>
              <w:left w:val="double" w:sz="4" w:space="0" w:color="auto"/>
              <w:bottom w:val="double" w:sz="4" w:space="0" w:color="auto"/>
            </w:tcBorders>
            <w:vAlign w:val="center"/>
          </w:tcPr>
          <w:p w14:paraId="252740BF" w14:textId="4BDBDF76" w:rsidR="00F543B6" w:rsidRPr="00222560" w:rsidRDefault="009B729A" w:rsidP="00153FCA">
            <w:pPr>
              <w:jc w:val="center"/>
              <w:rPr>
                <w:rFonts w:eastAsia="Calibri" w:cs="Times New Roman"/>
                <w:sz w:val="20"/>
                <w:szCs w:val="20"/>
              </w:rPr>
            </w:pPr>
            <w:r>
              <w:rPr>
                <w:rFonts w:eastAsia="Calibri" w:cs="Times New Roman"/>
                <w:sz w:val="20"/>
                <w:szCs w:val="20"/>
              </w:rPr>
              <w:t xml:space="preserve">      </w:t>
            </w:r>
            <w:r w:rsidR="00F543B6" w:rsidRPr="00222560">
              <w:rPr>
                <w:rFonts w:eastAsia="Calibri" w:cs="Times New Roman"/>
                <w:sz w:val="20"/>
                <w:szCs w:val="20"/>
              </w:rPr>
              <w:t>3.42%</w:t>
            </w:r>
          </w:p>
        </w:tc>
        <w:tc>
          <w:tcPr>
            <w:tcW w:w="466" w:type="pct"/>
            <w:tcBorders>
              <w:top w:val="single" w:sz="4" w:space="0" w:color="auto"/>
              <w:bottom w:val="double" w:sz="4" w:space="0" w:color="auto"/>
            </w:tcBorders>
            <w:vAlign w:val="center"/>
          </w:tcPr>
          <w:p w14:paraId="6DEBB69A" w14:textId="36B70620" w:rsidR="00F543B6" w:rsidRPr="00222560" w:rsidRDefault="009B729A" w:rsidP="00153FCA">
            <w:pPr>
              <w:jc w:val="center"/>
              <w:rPr>
                <w:rFonts w:eastAsia="Calibri" w:cs="Times New Roman"/>
                <w:sz w:val="20"/>
                <w:szCs w:val="20"/>
              </w:rPr>
            </w:pPr>
            <w:r>
              <w:rPr>
                <w:rFonts w:eastAsia="Calibri" w:cs="Times New Roman"/>
                <w:sz w:val="20"/>
                <w:szCs w:val="20"/>
              </w:rPr>
              <w:t xml:space="preserve">    </w:t>
            </w:r>
            <w:r w:rsidR="00F543B6" w:rsidRPr="00222560">
              <w:rPr>
                <w:rFonts w:eastAsia="Calibri" w:cs="Times New Roman"/>
                <w:sz w:val="20"/>
                <w:szCs w:val="20"/>
              </w:rPr>
              <w:t>3.60%</w:t>
            </w:r>
          </w:p>
        </w:tc>
        <w:tc>
          <w:tcPr>
            <w:tcW w:w="440" w:type="pct"/>
            <w:tcBorders>
              <w:top w:val="single" w:sz="4" w:space="0" w:color="auto"/>
              <w:bottom w:val="double" w:sz="4" w:space="0" w:color="auto"/>
            </w:tcBorders>
            <w:vAlign w:val="center"/>
          </w:tcPr>
          <w:p w14:paraId="06C91C46" w14:textId="39580782" w:rsidR="00F543B6" w:rsidRPr="00222560" w:rsidRDefault="009B729A" w:rsidP="00153FCA">
            <w:pPr>
              <w:jc w:val="center"/>
              <w:rPr>
                <w:rFonts w:eastAsia="Calibri" w:cs="Times New Roman"/>
                <w:sz w:val="20"/>
                <w:szCs w:val="20"/>
              </w:rPr>
            </w:pPr>
            <w:r>
              <w:rPr>
                <w:rFonts w:eastAsia="Calibri" w:cs="Times New Roman"/>
                <w:sz w:val="20"/>
                <w:szCs w:val="20"/>
              </w:rPr>
              <w:t xml:space="preserve">    2.95%</w:t>
            </w:r>
          </w:p>
        </w:tc>
        <w:tc>
          <w:tcPr>
            <w:tcW w:w="441" w:type="pct"/>
            <w:tcBorders>
              <w:top w:val="single" w:sz="4" w:space="0" w:color="auto"/>
              <w:bottom w:val="double" w:sz="4" w:space="0" w:color="auto"/>
            </w:tcBorders>
            <w:vAlign w:val="center"/>
          </w:tcPr>
          <w:p w14:paraId="4E2DDC54" w14:textId="1C3D56D0" w:rsidR="00F543B6" w:rsidRPr="00222560" w:rsidRDefault="009B729A" w:rsidP="00153FCA">
            <w:pPr>
              <w:jc w:val="center"/>
              <w:rPr>
                <w:rFonts w:eastAsia="Calibri" w:cs="Times New Roman"/>
                <w:sz w:val="20"/>
                <w:szCs w:val="20"/>
              </w:rPr>
            </w:pPr>
            <w:r>
              <w:rPr>
                <w:rFonts w:eastAsia="Calibri" w:cs="Times New Roman"/>
                <w:sz w:val="20"/>
                <w:szCs w:val="20"/>
              </w:rPr>
              <w:t xml:space="preserve">   </w:t>
            </w:r>
            <w:r w:rsidR="00C3082A">
              <w:rPr>
                <w:rFonts w:eastAsia="Calibri" w:cs="Times New Roman"/>
                <w:sz w:val="20"/>
                <w:szCs w:val="20"/>
              </w:rPr>
              <w:t>3.18%</w:t>
            </w:r>
          </w:p>
        </w:tc>
        <w:tc>
          <w:tcPr>
            <w:tcW w:w="424" w:type="pct"/>
            <w:tcBorders>
              <w:top w:val="single" w:sz="4" w:space="0" w:color="auto"/>
              <w:bottom w:val="double" w:sz="4" w:space="0" w:color="auto"/>
            </w:tcBorders>
            <w:vAlign w:val="center"/>
          </w:tcPr>
          <w:p w14:paraId="0C8051A0" w14:textId="79D7FDFC" w:rsidR="00F543B6" w:rsidRPr="00222560" w:rsidRDefault="009B729A" w:rsidP="00153FCA">
            <w:pPr>
              <w:jc w:val="center"/>
              <w:rPr>
                <w:rFonts w:eastAsia="Calibri" w:cs="Times New Roman"/>
                <w:sz w:val="20"/>
                <w:szCs w:val="20"/>
              </w:rPr>
            </w:pPr>
            <w:r>
              <w:rPr>
                <w:rFonts w:eastAsia="Calibri" w:cs="Times New Roman"/>
                <w:sz w:val="20"/>
                <w:szCs w:val="20"/>
              </w:rPr>
              <w:t xml:space="preserve">    </w:t>
            </w:r>
            <w:r w:rsidR="00F543B6">
              <w:rPr>
                <w:rFonts w:eastAsia="Calibri" w:cs="Times New Roman"/>
                <w:sz w:val="20"/>
                <w:szCs w:val="20"/>
              </w:rPr>
              <w:t>2.53%</w:t>
            </w:r>
          </w:p>
        </w:tc>
        <w:tc>
          <w:tcPr>
            <w:tcW w:w="514" w:type="pct"/>
            <w:gridSpan w:val="2"/>
            <w:tcBorders>
              <w:top w:val="single" w:sz="4" w:space="0" w:color="auto"/>
              <w:bottom w:val="double" w:sz="4" w:space="0" w:color="auto"/>
            </w:tcBorders>
            <w:vAlign w:val="center"/>
          </w:tcPr>
          <w:p w14:paraId="6C4E5350" w14:textId="633E3AFB" w:rsidR="00F543B6" w:rsidRPr="00222560" w:rsidRDefault="009B729A" w:rsidP="00153FCA">
            <w:pPr>
              <w:jc w:val="center"/>
              <w:rPr>
                <w:rFonts w:eastAsia="Calibri" w:cs="Times New Roman"/>
                <w:sz w:val="20"/>
                <w:szCs w:val="20"/>
              </w:rPr>
            </w:pPr>
            <w:r>
              <w:rPr>
                <w:rFonts w:eastAsia="Calibri" w:cs="Times New Roman"/>
                <w:sz w:val="20"/>
                <w:szCs w:val="20"/>
              </w:rPr>
              <w:t xml:space="preserve">    </w:t>
            </w:r>
            <w:r w:rsidR="00F34F94" w:rsidRPr="00222560">
              <w:rPr>
                <w:rFonts w:eastAsia="Calibri" w:cs="Times New Roman"/>
                <w:sz w:val="20"/>
                <w:szCs w:val="20"/>
              </w:rPr>
              <w:t>0.46%</w:t>
            </w:r>
          </w:p>
        </w:tc>
      </w:tr>
      <w:tr w:rsidR="008864A2" w:rsidRPr="00222560" w14:paraId="54E9F57F" w14:textId="77777777" w:rsidTr="00EA3E26">
        <w:trPr>
          <w:trHeight w:val="302"/>
        </w:trPr>
        <w:tc>
          <w:tcPr>
            <w:tcW w:w="497" w:type="pct"/>
            <w:vMerge w:val="restart"/>
            <w:tcBorders>
              <w:top w:val="double" w:sz="4" w:space="0" w:color="auto"/>
              <w:bottom w:val="double" w:sz="4" w:space="0" w:color="auto"/>
              <w:right w:val="double" w:sz="4" w:space="0" w:color="auto"/>
            </w:tcBorders>
          </w:tcPr>
          <w:p w14:paraId="6FD5D52C" w14:textId="6348EB4F" w:rsidR="00F543B6" w:rsidRPr="00222560" w:rsidRDefault="00F543B6" w:rsidP="00F543B6">
            <w:pPr>
              <w:rPr>
                <w:rFonts w:eastAsia="Times New Roman" w:cs="Times New Roman"/>
                <w:b/>
                <w:bCs/>
                <w:color w:val="000000"/>
                <w:sz w:val="20"/>
                <w:szCs w:val="20"/>
              </w:rPr>
            </w:pPr>
            <w:r w:rsidRPr="00222560">
              <w:rPr>
                <w:rFonts w:eastAsia="Times New Roman" w:cs="Times New Roman"/>
                <w:b/>
                <w:bCs/>
                <w:color w:val="000000"/>
                <w:sz w:val="20"/>
                <w:szCs w:val="20"/>
              </w:rPr>
              <w:t>Urban ATE Effect</w:t>
            </w:r>
          </w:p>
        </w:tc>
        <w:tc>
          <w:tcPr>
            <w:tcW w:w="1722" w:type="pct"/>
            <w:gridSpan w:val="2"/>
            <w:tcBorders>
              <w:top w:val="double" w:sz="4" w:space="0" w:color="auto"/>
              <w:left w:val="double" w:sz="4" w:space="0" w:color="auto"/>
              <w:bottom w:val="single" w:sz="4" w:space="0" w:color="auto"/>
              <w:right w:val="double" w:sz="4" w:space="0" w:color="auto"/>
            </w:tcBorders>
            <w:shd w:val="clear" w:color="auto" w:fill="auto"/>
            <w:noWrap/>
            <w:vAlign w:val="center"/>
          </w:tcPr>
          <w:p w14:paraId="795FF1EA" w14:textId="77777777" w:rsidR="00F543B6" w:rsidRPr="00222560" w:rsidRDefault="00F543B6" w:rsidP="00F543B6">
            <w:pPr>
              <w:rPr>
                <w:rFonts w:eastAsia="Times New Roman" w:cs="Times New Roman"/>
                <w:color w:val="000000"/>
                <w:sz w:val="20"/>
                <w:szCs w:val="20"/>
              </w:rPr>
            </w:pPr>
            <w:r w:rsidRPr="00222560">
              <w:rPr>
                <w:rFonts w:eastAsia="Times New Roman" w:cs="Times New Roman"/>
                <w:color w:val="000000"/>
                <w:sz w:val="20"/>
                <w:szCs w:val="20"/>
              </w:rPr>
              <w:t>ATE</w:t>
            </w:r>
          </w:p>
        </w:tc>
        <w:tc>
          <w:tcPr>
            <w:tcW w:w="496" w:type="pct"/>
            <w:tcBorders>
              <w:top w:val="double" w:sz="4" w:space="0" w:color="auto"/>
              <w:left w:val="double" w:sz="4" w:space="0" w:color="auto"/>
              <w:bottom w:val="single" w:sz="4" w:space="0" w:color="auto"/>
            </w:tcBorders>
            <w:vAlign w:val="center"/>
          </w:tcPr>
          <w:p w14:paraId="70D0A4CD" w14:textId="02E02492" w:rsidR="00F543B6" w:rsidRPr="00222560" w:rsidRDefault="009B729A" w:rsidP="00153FCA">
            <w:pPr>
              <w:jc w:val="center"/>
              <w:rPr>
                <w:rFonts w:eastAsia="Calibri" w:cs="Times New Roman"/>
                <w:sz w:val="20"/>
                <w:szCs w:val="20"/>
              </w:rPr>
            </w:pPr>
            <w:r>
              <w:rPr>
                <w:rFonts w:eastAsia="Calibri" w:cs="Times New Roman"/>
                <w:sz w:val="20"/>
                <w:szCs w:val="20"/>
              </w:rPr>
              <w:t xml:space="preserve">    </w:t>
            </w:r>
            <w:r w:rsidR="00F543B6" w:rsidRPr="00222560">
              <w:rPr>
                <w:rFonts w:eastAsia="Calibri" w:cs="Times New Roman"/>
                <w:sz w:val="20"/>
                <w:szCs w:val="20"/>
              </w:rPr>
              <w:t>0.062</w:t>
            </w:r>
          </w:p>
        </w:tc>
        <w:tc>
          <w:tcPr>
            <w:tcW w:w="466" w:type="pct"/>
            <w:tcBorders>
              <w:top w:val="double" w:sz="4" w:space="0" w:color="auto"/>
              <w:bottom w:val="single" w:sz="4" w:space="0" w:color="auto"/>
            </w:tcBorders>
            <w:vAlign w:val="center"/>
          </w:tcPr>
          <w:p w14:paraId="0F4F43FD" w14:textId="16767477" w:rsidR="00F543B6" w:rsidRPr="00222560" w:rsidRDefault="009B729A" w:rsidP="00153FCA">
            <w:pPr>
              <w:jc w:val="center"/>
              <w:rPr>
                <w:rFonts w:eastAsia="Calibri" w:cs="Times New Roman"/>
                <w:sz w:val="20"/>
                <w:szCs w:val="20"/>
              </w:rPr>
            </w:pPr>
            <w:r>
              <w:rPr>
                <w:rFonts w:eastAsia="Calibri" w:cs="Times New Roman"/>
                <w:sz w:val="20"/>
                <w:szCs w:val="20"/>
              </w:rPr>
              <w:t xml:space="preserve">  </w:t>
            </w:r>
            <w:r w:rsidR="00F543B6" w:rsidRPr="00222560">
              <w:rPr>
                <w:rFonts w:eastAsia="Calibri" w:cs="Times New Roman"/>
                <w:sz w:val="20"/>
                <w:szCs w:val="20"/>
              </w:rPr>
              <w:t>0.812</w:t>
            </w:r>
          </w:p>
        </w:tc>
        <w:tc>
          <w:tcPr>
            <w:tcW w:w="440" w:type="pct"/>
            <w:tcBorders>
              <w:top w:val="double" w:sz="4" w:space="0" w:color="auto"/>
              <w:bottom w:val="single" w:sz="4" w:space="0" w:color="auto"/>
            </w:tcBorders>
            <w:vAlign w:val="center"/>
          </w:tcPr>
          <w:p w14:paraId="6EEFE998" w14:textId="7B61E420" w:rsidR="00F543B6" w:rsidRPr="00222560" w:rsidRDefault="009B729A" w:rsidP="00153FCA">
            <w:pPr>
              <w:jc w:val="center"/>
              <w:rPr>
                <w:rFonts w:eastAsia="Calibri" w:cs="Times New Roman"/>
                <w:sz w:val="20"/>
                <w:szCs w:val="20"/>
              </w:rPr>
            </w:pPr>
            <w:r>
              <w:rPr>
                <w:rFonts w:eastAsia="Calibri" w:cs="Times New Roman"/>
                <w:sz w:val="20"/>
                <w:szCs w:val="20"/>
              </w:rPr>
              <w:t xml:space="preserve">  0.117</w:t>
            </w:r>
          </w:p>
        </w:tc>
        <w:tc>
          <w:tcPr>
            <w:tcW w:w="441" w:type="pct"/>
            <w:tcBorders>
              <w:top w:val="double" w:sz="4" w:space="0" w:color="auto"/>
              <w:bottom w:val="single" w:sz="4" w:space="0" w:color="auto"/>
            </w:tcBorders>
            <w:vAlign w:val="center"/>
          </w:tcPr>
          <w:p w14:paraId="1D6589B6" w14:textId="1BCA59CA" w:rsidR="00F543B6" w:rsidRPr="00222560" w:rsidRDefault="009B729A" w:rsidP="00153FCA">
            <w:pPr>
              <w:jc w:val="center"/>
              <w:rPr>
                <w:rFonts w:eastAsia="Calibri" w:cs="Times New Roman"/>
                <w:sz w:val="20"/>
                <w:szCs w:val="20"/>
              </w:rPr>
            </w:pPr>
            <w:r>
              <w:rPr>
                <w:rFonts w:eastAsia="Calibri" w:cs="Times New Roman"/>
                <w:sz w:val="20"/>
                <w:szCs w:val="20"/>
              </w:rPr>
              <w:t xml:space="preserve">  </w:t>
            </w:r>
            <w:r w:rsidR="00C3082A">
              <w:rPr>
                <w:rFonts w:eastAsia="Calibri" w:cs="Times New Roman"/>
                <w:sz w:val="20"/>
                <w:szCs w:val="20"/>
              </w:rPr>
              <w:t>1.080</w:t>
            </w:r>
          </w:p>
        </w:tc>
        <w:tc>
          <w:tcPr>
            <w:tcW w:w="424" w:type="pct"/>
            <w:tcBorders>
              <w:top w:val="double" w:sz="4" w:space="0" w:color="auto"/>
              <w:bottom w:val="single" w:sz="4" w:space="0" w:color="auto"/>
            </w:tcBorders>
            <w:vAlign w:val="center"/>
          </w:tcPr>
          <w:p w14:paraId="636106BF" w14:textId="6713A8B4" w:rsidR="00F543B6" w:rsidRPr="00222560" w:rsidRDefault="009B729A" w:rsidP="00153FCA">
            <w:pPr>
              <w:jc w:val="center"/>
              <w:rPr>
                <w:rFonts w:eastAsia="Calibri" w:cs="Times New Roman"/>
                <w:sz w:val="20"/>
                <w:szCs w:val="20"/>
              </w:rPr>
            </w:pPr>
            <w:r>
              <w:rPr>
                <w:rFonts w:eastAsia="Calibri" w:cs="Times New Roman"/>
                <w:sz w:val="20"/>
                <w:szCs w:val="20"/>
              </w:rPr>
              <w:t xml:space="preserve">  </w:t>
            </w:r>
            <w:r w:rsidR="00F543B6">
              <w:rPr>
                <w:rFonts w:eastAsia="Calibri" w:cs="Times New Roman"/>
                <w:sz w:val="20"/>
                <w:szCs w:val="20"/>
              </w:rPr>
              <w:t>0.163</w:t>
            </w:r>
          </w:p>
        </w:tc>
        <w:tc>
          <w:tcPr>
            <w:tcW w:w="514" w:type="pct"/>
            <w:gridSpan w:val="2"/>
            <w:tcBorders>
              <w:top w:val="double" w:sz="4" w:space="0" w:color="auto"/>
              <w:bottom w:val="single" w:sz="4" w:space="0" w:color="auto"/>
            </w:tcBorders>
            <w:vAlign w:val="center"/>
          </w:tcPr>
          <w:p w14:paraId="04E15E43" w14:textId="21B6C36F" w:rsidR="00F543B6" w:rsidRPr="00222560" w:rsidRDefault="009B729A" w:rsidP="00153FCA">
            <w:pPr>
              <w:jc w:val="center"/>
              <w:rPr>
                <w:rFonts w:eastAsia="Calibri" w:cs="Times New Roman"/>
                <w:sz w:val="20"/>
                <w:szCs w:val="20"/>
              </w:rPr>
            </w:pPr>
            <w:r>
              <w:rPr>
                <w:rFonts w:eastAsia="Calibri" w:cs="Times New Roman"/>
                <w:sz w:val="20"/>
                <w:szCs w:val="20"/>
              </w:rPr>
              <w:t xml:space="preserve">  </w:t>
            </w:r>
            <w:r w:rsidR="00F34F94" w:rsidRPr="00222560">
              <w:rPr>
                <w:rFonts w:eastAsia="Calibri" w:cs="Times New Roman"/>
                <w:sz w:val="20"/>
                <w:szCs w:val="20"/>
              </w:rPr>
              <w:t>1.004</w:t>
            </w:r>
          </w:p>
        </w:tc>
      </w:tr>
      <w:tr w:rsidR="008864A2" w:rsidRPr="00222560" w14:paraId="1260C668" w14:textId="77777777" w:rsidTr="00EA3E26">
        <w:trPr>
          <w:trHeight w:val="302"/>
        </w:trPr>
        <w:tc>
          <w:tcPr>
            <w:tcW w:w="497" w:type="pct"/>
            <w:vMerge/>
            <w:tcBorders>
              <w:top w:val="single" w:sz="4" w:space="0" w:color="auto"/>
              <w:bottom w:val="double" w:sz="4" w:space="0" w:color="auto"/>
              <w:right w:val="double" w:sz="4" w:space="0" w:color="auto"/>
            </w:tcBorders>
          </w:tcPr>
          <w:p w14:paraId="2E7BFC14" w14:textId="77777777" w:rsidR="00F543B6" w:rsidRPr="00222560" w:rsidRDefault="00F543B6" w:rsidP="00F543B6">
            <w:pPr>
              <w:rPr>
                <w:rFonts w:eastAsia="Times New Roman" w:cs="Times New Roman"/>
                <w:b/>
                <w:bCs/>
                <w:color w:val="000000"/>
                <w:sz w:val="20"/>
                <w:szCs w:val="20"/>
              </w:rPr>
            </w:pPr>
          </w:p>
        </w:tc>
        <w:tc>
          <w:tcPr>
            <w:tcW w:w="1722" w:type="pct"/>
            <w:gridSpan w:val="2"/>
            <w:tcBorders>
              <w:top w:val="single" w:sz="4" w:space="0" w:color="auto"/>
              <w:left w:val="double" w:sz="4" w:space="0" w:color="auto"/>
              <w:bottom w:val="double" w:sz="4" w:space="0" w:color="auto"/>
              <w:right w:val="double" w:sz="4" w:space="0" w:color="auto"/>
            </w:tcBorders>
            <w:shd w:val="clear" w:color="auto" w:fill="auto"/>
            <w:noWrap/>
            <w:vAlign w:val="center"/>
          </w:tcPr>
          <w:p w14:paraId="6582572B" w14:textId="77777777" w:rsidR="00F543B6" w:rsidRPr="00222560" w:rsidRDefault="00F543B6" w:rsidP="00F543B6">
            <w:pPr>
              <w:rPr>
                <w:rFonts w:eastAsia="Times New Roman" w:cs="Times New Roman"/>
                <w:color w:val="000000"/>
                <w:sz w:val="20"/>
                <w:szCs w:val="20"/>
              </w:rPr>
            </w:pPr>
            <w:r w:rsidRPr="00222560">
              <w:rPr>
                <w:rFonts w:eastAsia="Times New Roman" w:cs="Times New Roman"/>
                <w:color w:val="000000"/>
                <w:sz w:val="20"/>
                <w:szCs w:val="20"/>
              </w:rPr>
              <w:t>%ATE</w:t>
            </w:r>
          </w:p>
        </w:tc>
        <w:tc>
          <w:tcPr>
            <w:tcW w:w="496" w:type="pct"/>
            <w:tcBorders>
              <w:top w:val="single" w:sz="4" w:space="0" w:color="auto"/>
              <w:left w:val="double" w:sz="4" w:space="0" w:color="auto"/>
              <w:bottom w:val="double" w:sz="4" w:space="0" w:color="auto"/>
            </w:tcBorders>
            <w:vAlign w:val="center"/>
          </w:tcPr>
          <w:p w14:paraId="5456E689" w14:textId="6BE7B9E5" w:rsidR="00F543B6" w:rsidRPr="00222560" w:rsidRDefault="009B729A" w:rsidP="00153FCA">
            <w:pPr>
              <w:jc w:val="center"/>
              <w:rPr>
                <w:rFonts w:eastAsia="Calibri" w:cs="Times New Roman"/>
                <w:sz w:val="20"/>
                <w:szCs w:val="20"/>
              </w:rPr>
            </w:pPr>
            <w:r>
              <w:rPr>
                <w:rFonts w:eastAsia="Calibri" w:cs="Times New Roman"/>
                <w:sz w:val="20"/>
                <w:szCs w:val="20"/>
              </w:rPr>
              <w:t xml:space="preserve">   </w:t>
            </w:r>
            <w:r w:rsidR="00F543B6" w:rsidRPr="00222560">
              <w:rPr>
                <w:rFonts w:eastAsia="Calibri" w:cs="Times New Roman"/>
                <w:sz w:val="20"/>
                <w:szCs w:val="20"/>
              </w:rPr>
              <w:t>1.8%</w:t>
            </w:r>
          </w:p>
        </w:tc>
        <w:tc>
          <w:tcPr>
            <w:tcW w:w="466" w:type="pct"/>
            <w:tcBorders>
              <w:top w:val="single" w:sz="4" w:space="0" w:color="auto"/>
              <w:bottom w:val="double" w:sz="4" w:space="0" w:color="auto"/>
            </w:tcBorders>
            <w:vAlign w:val="center"/>
          </w:tcPr>
          <w:p w14:paraId="24D6EE69" w14:textId="23618768" w:rsidR="00F543B6" w:rsidRPr="00222560" w:rsidRDefault="009B729A" w:rsidP="00153FCA">
            <w:pPr>
              <w:jc w:val="center"/>
              <w:rPr>
                <w:rFonts w:eastAsia="Calibri" w:cs="Times New Roman"/>
                <w:sz w:val="20"/>
                <w:szCs w:val="20"/>
              </w:rPr>
            </w:pPr>
            <w:r>
              <w:rPr>
                <w:rFonts w:eastAsia="Calibri" w:cs="Times New Roman"/>
                <w:sz w:val="20"/>
                <w:szCs w:val="20"/>
              </w:rPr>
              <w:t xml:space="preserve">  </w:t>
            </w:r>
            <w:r w:rsidR="00F543B6" w:rsidRPr="00222560">
              <w:rPr>
                <w:rFonts w:eastAsia="Calibri" w:cs="Times New Roman"/>
                <w:sz w:val="20"/>
                <w:szCs w:val="20"/>
              </w:rPr>
              <w:t>29.9%</w:t>
            </w:r>
          </w:p>
        </w:tc>
        <w:tc>
          <w:tcPr>
            <w:tcW w:w="440" w:type="pct"/>
            <w:tcBorders>
              <w:top w:val="single" w:sz="4" w:space="0" w:color="auto"/>
              <w:bottom w:val="double" w:sz="4" w:space="0" w:color="auto"/>
            </w:tcBorders>
            <w:vAlign w:val="center"/>
          </w:tcPr>
          <w:p w14:paraId="64850769" w14:textId="54B93387" w:rsidR="00F543B6" w:rsidRPr="00222560" w:rsidRDefault="009B729A" w:rsidP="00153FCA">
            <w:pPr>
              <w:jc w:val="center"/>
              <w:rPr>
                <w:rFonts w:eastAsia="Calibri" w:cs="Times New Roman"/>
                <w:sz w:val="20"/>
                <w:szCs w:val="20"/>
              </w:rPr>
            </w:pPr>
            <w:r>
              <w:rPr>
                <w:rFonts w:eastAsia="Calibri" w:cs="Times New Roman"/>
                <w:sz w:val="20"/>
                <w:szCs w:val="20"/>
              </w:rPr>
              <w:t xml:space="preserve">  3.5%</w:t>
            </w:r>
          </w:p>
        </w:tc>
        <w:tc>
          <w:tcPr>
            <w:tcW w:w="441" w:type="pct"/>
            <w:tcBorders>
              <w:top w:val="single" w:sz="4" w:space="0" w:color="auto"/>
              <w:bottom w:val="double" w:sz="4" w:space="0" w:color="auto"/>
            </w:tcBorders>
            <w:vAlign w:val="center"/>
          </w:tcPr>
          <w:p w14:paraId="2E78E579" w14:textId="67233B1E" w:rsidR="00F543B6" w:rsidRPr="00222560" w:rsidRDefault="009B729A" w:rsidP="00153FCA">
            <w:pPr>
              <w:jc w:val="center"/>
              <w:rPr>
                <w:rFonts w:eastAsia="Calibri" w:cs="Times New Roman"/>
                <w:sz w:val="20"/>
                <w:szCs w:val="20"/>
              </w:rPr>
            </w:pPr>
            <w:r>
              <w:rPr>
                <w:rFonts w:eastAsia="Calibri" w:cs="Times New Roman"/>
                <w:sz w:val="20"/>
                <w:szCs w:val="20"/>
              </w:rPr>
              <w:t xml:space="preserve"> </w:t>
            </w:r>
            <w:r w:rsidR="00C3082A">
              <w:rPr>
                <w:rFonts w:eastAsia="Calibri" w:cs="Times New Roman"/>
                <w:sz w:val="20"/>
                <w:szCs w:val="20"/>
              </w:rPr>
              <w:t>43.3%</w:t>
            </w:r>
          </w:p>
        </w:tc>
        <w:tc>
          <w:tcPr>
            <w:tcW w:w="424" w:type="pct"/>
            <w:tcBorders>
              <w:top w:val="single" w:sz="4" w:space="0" w:color="auto"/>
              <w:bottom w:val="double" w:sz="4" w:space="0" w:color="auto"/>
            </w:tcBorders>
            <w:vAlign w:val="center"/>
          </w:tcPr>
          <w:p w14:paraId="46EB68E2" w14:textId="2FDF83DC" w:rsidR="00F543B6" w:rsidRPr="00222560" w:rsidRDefault="009B729A" w:rsidP="00153FCA">
            <w:pPr>
              <w:jc w:val="center"/>
              <w:rPr>
                <w:rFonts w:eastAsia="Calibri" w:cs="Times New Roman"/>
                <w:sz w:val="20"/>
                <w:szCs w:val="20"/>
              </w:rPr>
            </w:pPr>
            <w:r>
              <w:rPr>
                <w:rFonts w:eastAsia="Calibri" w:cs="Times New Roman"/>
                <w:sz w:val="20"/>
                <w:szCs w:val="20"/>
              </w:rPr>
              <w:t xml:space="preserve">  </w:t>
            </w:r>
            <w:r w:rsidR="00F543B6">
              <w:rPr>
                <w:rFonts w:eastAsia="Calibri" w:cs="Times New Roman"/>
                <w:sz w:val="20"/>
                <w:szCs w:val="20"/>
              </w:rPr>
              <w:t>5.0%</w:t>
            </w:r>
          </w:p>
        </w:tc>
        <w:tc>
          <w:tcPr>
            <w:tcW w:w="514" w:type="pct"/>
            <w:gridSpan w:val="2"/>
            <w:tcBorders>
              <w:top w:val="single" w:sz="4" w:space="0" w:color="auto"/>
              <w:bottom w:val="double" w:sz="4" w:space="0" w:color="auto"/>
            </w:tcBorders>
            <w:vAlign w:val="center"/>
          </w:tcPr>
          <w:p w14:paraId="5E7A3C1B" w14:textId="7A204204" w:rsidR="00F543B6" w:rsidRPr="00222560" w:rsidRDefault="00F34F94" w:rsidP="00153FCA">
            <w:pPr>
              <w:jc w:val="center"/>
              <w:rPr>
                <w:rFonts w:eastAsia="Calibri" w:cs="Times New Roman"/>
                <w:sz w:val="20"/>
                <w:szCs w:val="20"/>
              </w:rPr>
            </w:pPr>
            <w:r w:rsidRPr="00222560">
              <w:rPr>
                <w:rFonts w:eastAsia="Calibri" w:cs="Times New Roman"/>
                <w:sz w:val="20"/>
                <w:szCs w:val="20"/>
              </w:rPr>
              <w:t>39.2%</w:t>
            </w:r>
          </w:p>
        </w:tc>
      </w:tr>
    </w:tbl>
    <w:p w14:paraId="21BA3B21" w14:textId="77777777" w:rsidR="00222560" w:rsidRDefault="00222560" w:rsidP="00222560">
      <w:pPr>
        <w:spacing w:line="276" w:lineRule="auto"/>
        <w:jc w:val="both"/>
        <w:rPr>
          <w:b/>
          <w:bCs/>
        </w:rPr>
        <w:sectPr w:rsidR="00222560" w:rsidSect="00F34F94">
          <w:pgSz w:w="15840" w:h="12240" w:orient="landscape"/>
          <w:pgMar w:top="1008" w:right="1296" w:bottom="1008" w:left="1296" w:header="720" w:footer="720" w:gutter="0"/>
          <w:cols w:space="720"/>
          <w:docGrid w:linePitch="360"/>
        </w:sectPr>
      </w:pPr>
    </w:p>
    <w:p w14:paraId="05268065" w14:textId="0B5A4949" w:rsidR="00FD768A" w:rsidRPr="00B4106B" w:rsidRDefault="00FD768A" w:rsidP="00E937C8">
      <w:pPr>
        <w:numPr>
          <w:ilvl w:val="1"/>
          <w:numId w:val="7"/>
        </w:numPr>
        <w:spacing w:line="276" w:lineRule="auto"/>
        <w:ind w:left="540" w:hanging="540"/>
        <w:jc w:val="both"/>
        <w:rPr>
          <w:b/>
          <w:bCs/>
        </w:rPr>
      </w:pPr>
      <w:r w:rsidRPr="00B4106B">
        <w:rPr>
          <w:b/>
          <w:bCs/>
        </w:rPr>
        <w:lastRenderedPageBreak/>
        <w:t>Estimated Causal Effect of Urban Area Residence</w:t>
      </w:r>
    </w:p>
    <w:p w14:paraId="34699132" w14:textId="08F09A38" w:rsidR="001756B0" w:rsidRPr="009376C1" w:rsidRDefault="00697D26" w:rsidP="00B4106B">
      <w:pPr>
        <w:spacing w:line="276" w:lineRule="auto"/>
        <w:jc w:val="both"/>
        <w:rPr>
          <w:rFonts w:cs="Times New Roman"/>
          <w:szCs w:val="24"/>
        </w:rPr>
      </w:pPr>
      <w:r w:rsidRPr="009376C1">
        <w:rPr>
          <w:rFonts w:cs="Times New Roman"/>
          <w:szCs w:val="24"/>
        </w:rPr>
        <w:t xml:space="preserve">The results from the previous section illustrate the better data fit of our proposed model, but does not </w:t>
      </w:r>
      <w:r w:rsidR="009376C1" w:rsidRPr="009376C1">
        <w:rPr>
          <w:rFonts w:cs="Times New Roman"/>
          <w:szCs w:val="24"/>
        </w:rPr>
        <w:t>provide an indication of the extent of mis-estimation (if at all) of the substantive “true” causal effect of urban residence on walk frequency. For this, we</w:t>
      </w:r>
      <w:r w:rsidR="00F770C9" w:rsidRPr="009376C1">
        <w:rPr>
          <w:rFonts w:cs="Times New Roman"/>
          <w:szCs w:val="24"/>
        </w:rPr>
        <w:t xml:space="preserve"> </w:t>
      </w:r>
      <w:r w:rsidR="009376C1" w:rsidRPr="009376C1">
        <w:rPr>
          <w:rFonts w:cs="Times New Roman"/>
          <w:szCs w:val="24"/>
        </w:rPr>
        <w:t>examine the impact</w:t>
      </w:r>
      <w:r w:rsidR="00F770C9" w:rsidRPr="009376C1">
        <w:rPr>
          <w:rFonts w:cs="Times New Roman"/>
          <w:szCs w:val="24"/>
        </w:rPr>
        <w:t xml:space="preserve"> of urban area residence using </w:t>
      </w:r>
      <w:r w:rsidR="009376C1" w:rsidRPr="009376C1">
        <w:rPr>
          <w:rFonts w:cs="Times New Roman"/>
          <w:szCs w:val="24"/>
        </w:rPr>
        <w:t xml:space="preserve">an average </w:t>
      </w:r>
      <w:r w:rsidR="006C4143" w:rsidRPr="009376C1">
        <w:rPr>
          <w:rFonts w:cs="Times New Roman"/>
          <w:szCs w:val="24"/>
        </w:rPr>
        <w:t>treatment effect</w:t>
      </w:r>
      <w:r w:rsidR="009376C1" w:rsidRPr="009376C1">
        <w:rPr>
          <w:rFonts w:cs="Times New Roman"/>
          <w:szCs w:val="24"/>
        </w:rPr>
        <w:t xml:space="preserve"> or ATE</w:t>
      </w:r>
      <w:r w:rsidR="006C4143" w:rsidRPr="009376C1">
        <w:rPr>
          <w:rFonts w:cs="Times New Roman"/>
          <w:szCs w:val="24"/>
        </w:rPr>
        <w:t xml:space="preserve"> (see </w:t>
      </w:r>
      <w:bookmarkStart w:id="12" w:name="_Hlk155435482"/>
      <w:r w:rsidR="006C4143" w:rsidRPr="009376C1">
        <w:rPr>
          <w:rFonts w:cs="Times New Roman"/>
          <w:szCs w:val="24"/>
        </w:rPr>
        <w:t>Heckman and Vytlacil, 2000</w:t>
      </w:r>
      <w:r w:rsidR="007B6985">
        <w:rPr>
          <w:rFonts w:cs="Times New Roman"/>
          <w:szCs w:val="24"/>
        </w:rPr>
        <w:t>;</w:t>
      </w:r>
      <w:r w:rsidR="006C4143" w:rsidRPr="009376C1">
        <w:rPr>
          <w:rFonts w:cs="Times New Roman"/>
          <w:szCs w:val="24"/>
        </w:rPr>
        <w:t xml:space="preserve"> Heckman </w:t>
      </w:r>
      <w:r w:rsidR="007B6985">
        <w:rPr>
          <w:rFonts w:cs="Times New Roman"/>
          <w:szCs w:val="24"/>
        </w:rPr>
        <w:t>and Vytlacil,</w:t>
      </w:r>
      <w:r w:rsidR="006C4143" w:rsidRPr="009376C1">
        <w:rPr>
          <w:rFonts w:cs="Times New Roman"/>
          <w:szCs w:val="24"/>
        </w:rPr>
        <w:t xml:space="preserve"> 2001</w:t>
      </w:r>
      <w:r w:rsidR="007B6985">
        <w:rPr>
          <w:rFonts w:cs="Times New Roman"/>
          <w:szCs w:val="24"/>
        </w:rPr>
        <w:t>;</w:t>
      </w:r>
      <w:r w:rsidR="006C4143" w:rsidRPr="009376C1">
        <w:rPr>
          <w:rFonts w:cs="Times New Roman"/>
          <w:szCs w:val="24"/>
        </w:rPr>
        <w:t xml:space="preserve"> and Bhat and  Eluru, 2008</w:t>
      </w:r>
      <w:bookmarkEnd w:id="12"/>
      <w:r w:rsidR="006C4143" w:rsidRPr="009376C1">
        <w:rPr>
          <w:rFonts w:cs="Times New Roman"/>
          <w:szCs w:val="24"/>
        </w:rPr>
        <w:t>).</w:t>
      </w:r>
      <w:r w:rsidR="00F76E97">
        <w:rPr>
          <w:rStyle w:val="FootnoteReference"/>
          <w:rFonts w:cs="Times New Roman"/>
          <w:szCs w:val="24"/>
        </w:rPr>
        <w:footnoteReference w:id="10"/>
      </w:r>
      <w:r w:rsidR="006C4143" w:rsidRPr="009376C1">
        <w:rPr>
          <w:rFonts w:cs="Times New Roman"/>
          <w:szCs w:val="24"/>
        </w:rPr>
        <w:t xml:space="preserve"> In the current empirical context, </w:t>
      </w:r>
      <w:r w:rsidR="00F4333F" w:rsidRPr="009376C1">
        <w:rPr>
          <w:rFonts w:cs="Times New Roman"/>
          <w:szCs w:val="24"/>
        </w:rPr>
        <w:t xml:space="preserve">the average treatment effect (ATE) refers to the expected walk frequency shift for a randomly picked household (from the entire pool of households independent of currently observed residential neighborhood) if it were to reside in an urban neighborhood relative to a non-urban neighborhood.  It represents the “true” causal effect of urban residence on walk frequency. </w:t>
      </w:r>
      <w:r w:rsidR="009376C1" w:rsidRPr="009376C1">
        <w:rPr>
          <w:rFonts w:cs="Times New Roman"/>
          <w:szCs w:val="24"/>
        </w:rPr>
        <w:t>F</w:t>
      </w:r>
      <w:r w:rsidR="00373F0B" w:rsidRPr="009376C1">
        <w:rPr>
          <w:rFonts w:cs="Times New Roman"/>
          <w:szCs w:val="24"/>
        </w:rPr>
        <w:t>or ease in the computation of th</w:t>
      </w:r>
      <w:r w:rsidR="009376C1" w:rsidRPr="009376C1">
        <w:rPr>
          <w:rFonts w:cs="Times New Roman"/>
          <w:szCs w:val="24"/>
        </w:rPr>
        <w:t>is ATE effect</w:t>
      </w:r>
      <w:r w:rsidR="00373F0B" w:rsidRPr="009376C1">
        <w:rPr>
          <w:rFonts w:cs="Times New Roman"/>
          <w:szCs w:val="24"/>
        </w:rPr>
        <w:t xml:space="preserve">, we assign a cardinal value </w:t>
      </w:r>
      <w:r w:rsidR="00E214AA" w:rsidRPr="009376C1">
        <w:rPr>
          <w:rFonts w:cs="Times New Roman"/>
          <w:position w:val="-12"/>
          <w:szCs w:val="24"/>
        </w:rPr>
        <w:object w:dxaOrig="260" w:dyaOrig="360" w14:anchorId="0140A6CB">
          <v:shape id="_x0000_i1216" type="#_x0000_t75" style="width:13.3pt;height:18.85pt" o:ole="" o:preferrelative="f">
            <v:imagedata r:id="rId327" o:title=""/>
            <o:lock v:ext="edit" aspectratio="f"/>
          </v:shape>
          <o:OLEObject Type="Embed" ProgID="Equation.DSMT4" ShapeID="_x0000_i1216" DrawAspect="Content" ObjectID="_1790752935" r:id="rId328"/>
        </w:object>
      </w:r>
      <w:r w:rsidR="00F4333F" w:rsidRPr="009376C1">
        <w:rPr>
          <w:rFonts w:cs="Times New Roman"/>
          <w:szCs w:val="24"/>
        </w:rPr>
        <w:t xml:space="preserve"> </w:t>
      </w:r>
      <w:r w:rsidR="00373F0B" w:rsidRPr="009376C1">
        <w:rPr>
          <w:rFonts w:cs="Times New Roman"/>
          <w:szCs w:val="24"/>
        </w:rPr>
        <w:t>to each ordinal walk frequency category</w:t>
      </w:r>
      <w:r w:rsidR="001756B0" w:rsidRPr="009376C1">
        <w:rPr>
          <w:rFonts w:cs="Times New Roman"/>
          <w:szCs w:val="24"/>
        </w:rPr>
        <w:t xml:space="preserve"> </w:t>
      </w:r>
      <w:r w:rsidR="00F4333F" w:rsidRPr="009376C1">
        <w:rPr>
          <w:rFonts w:cs="Times New Roman"/>
          <w:i/>
          <w:iCs/>
          <w:szCs w:val="24"/>
        </w:rPr>
        <w:t>k</w:t>
      </w:r>
      <w:r w:rsidR="00F4333F" w:rsidRPr="009376C1">
        <w:rPr>
          <w:rFonts w:cs="Times New Roman"/>
          <w:szCs w:val="24"/>
        </w:rPr>
        <w:t xml:space="preserve"> </w:t>
      </w:r>
      <w:r w:rsidR="001756B0" w:rsidRPr="009376C1">
        <w:rPr>
          <w:rFonts w:cs="Times New Roman"/>
          <w:szCs w:val="24"/>
        </w:rPr>
        <w:t xml:space="preserve">as follows: </w:t>
      </w:r>
      <w:bookmarkStart w:id="13" w:name="_Hlk155098531"/>
      <w:r w:rsidR="001756B0" w:rsidRPr="009376C1">
        <w:rPr>
          <w:rFonts w:cs="Times New Roman"/>
          <w:szCs w:val="24"/>
        </w:rPr>
        <w:t>(a) Do not walk any day (</w:t>
      </w:r>
      <w:r w:rsidR="00F4333F" w:rsidRPr="009376C1">
        <w:rPr>
          <w:rFonts w:cs="Times New Roman"/>
          <w:i/>
          <w:iCs/>
          <w:szCs w:val="24"/>
        </w:rPr>
        <w:t>k</w:t>
      </w:r>
      <w:r w:rsidR="00F4333F" w:rsidRPr="009376C1">
        <w:rPr>
          <w:rFonts w:cs="Times New Roman"/>
          <w:szCs w:val="24"/>
        </w:rPr>
        <w:t xml:space="preserve">=1, </w:t>
      </w:r>
      <w:r w:rsidR="00D76ED6" w:rsidRPr="009376C1">
        <w:rPr>
          <w:rFonts w:cs="Times New Roman"/>
          <w:position w:val="-12"/>
          <w:szCs w:val="24"/>
        </w:rPr>
        <w:object w:dxaOrig="680" w:dyaOrig="360" w14:anchorId="53353B35">
          <v:shape id="_x0000_i1217" type="#_x0000_t75" style="width:33.85pt;height:18pt" o:ole="">
            <v:imagedata r:id="rId329" o:title=""/>
          </v:shape>
          <o:OLEObject Type="Embed" ProgID="Equation.DSMT4" ShapeID="_x0000_i1217" DrawAspect="Content" ObjectID="_1790752936" r:id="rId330"/>
        </w:object>
      </w:r>
      <w:r w:rsidR="001756B0" w:rsidRPr="009376C1">
        <w:rPr>
          <w:rFonts w:cs="Times New Roman"/>
          <w:szCs w:val="24"/>
        </w:rPr>
        <w:t xml:space="preserve">, (b) Walk 1-2 days per week </w:t>
      </w:r>
      <w:r w:rsidR="00F4333F" w:rsidRPr="009376C1">
        <w:rPr>
          <w:rFonts w:cs="Times New Roman"/>
          <w:szCs w:val="24"/>
        </w:rPr>
        <w:t>(</w:t>
      </w:r>
      <w:r w:rsidR="00F4333F" w:rsidRPr="009376C1">
        <w:rPr>
          <w:rFonts w:cs="Times New Roman"/>
          <w:i/>
          <w:iCs/>
          <w:szCs w:val="24"/>
        </w:rPr>
        <w:t>k</w:t>
      </w:r>
      <w:r w:rsidR="00F4333F" w:rsidRPr="009376C1">
        <w:rPr>
          <w:rFonts w:cs="Times New Roman"/>
          <w:szCs w:val="24"/>
        </w:rPr>
        <w:t xml:space="preserve">=2, </w:t>
      </w:r>
      <w:r w:rsidR="00D76ED6" w:rsidRPr="009376C1">
        <w:rPr>
          <w:rFonts w:cs="Times New Roman"/>
          <w:position w:val="-12"/>
          <w:szCs w:val="24"/>
        </w:rPr>
        <w:object w:dxaOrig="859" w:dyaOrig="360" w14:anchorId="61D03852">
          <v:shape id="_x0000_i1218" type="#_x0000_t75" style="width:43.7pt;height:18pt" o:ole="" o:preferrelative="f">
            <v:imagedata r:id="rId331" o:title=""/>
            <o:lock v:ext="edit" aspectratio="f"/>
          </v:shape>
          <o:OLEObject Type="Embed" ProgID="Equation.DSMT4" ShapeID="_x0000_i1218" DrawAspect="Content" ObjectID="_1790752937" r:id="rId332"/>
        </w:object>
      </w:r>
      <w:r w:rsidR="001756B0" w:rsidRPr="009376C1">
        <w:rPr>
          <w:rFonts w:cs="Times New Roman"/>
          <w:szCs w:val="24"/>
        </w:rPr>
        <w:t xml:space="preserve">, (c) Walk 3-4 days per week </w:t>
      </w:r>
      <w:r w:rsidR="00F4333F" w:rsidRPr="009376C1">
        <w:rPr>
          <w:rFonts w:cs="Times New Roman"/>
          <w:szCs w:val="24"/>
        </w:rPr>
        <w:t>(</w:t>
      </w:r>
      <w:r w:rsidR="00F4333F" w:rsidRPr="009376C1">
        <w:rPr>
          <w:rFonts w:cs="Times New Roman"/>
          <w:i/>
          <w:iCs/>
          <w:szCs w:val="24"/>
        </w:rPr>
        <w:t>k</w:t>
      </w:r>
      <w:r w:rsidR="00F4333F" w:rsidRPr="009376C1">
        <w:rPr>
          <w:rFonts w:cs="Times New Roman"/>
          <w:szCs w:val="24"/>
        </w:rPr>
        <w:t xml:space="preserve">=3, </w:t>
      </w:r>
      <w:r w:rsidR="00D76ED6" w:rsidRPr="009376C1">
        <w:rPr>
          <w:rFonts w:cs="Times New Roman"/>
          <w:position w:val="-12"/>
          <w:szCs w:val="24"/>
        </w:rPr>
        <w:object w:dxaOrig="880" w:dyaOrig="360" w14:anchorId="3D5A9F6A">
          <v:shape id="_x0000_i1219" type="#_x0000_t75" style="width:45pt;height:18pt" o:ole="" o:preferrelative="f">
            <v:imagedata r:id="rId333" o:title=""/>
            <o:lock v:ext="edit" aspectratio="f"/>
          </v:shape>
          <o:OLEObject Type="Embed" ProgID="Equation.DSMT4" ShapeID="_x0000_i1219" DrawAspect="Content" ObjectID="_1790752938" r:id="rId334"/>
        </w:object>
      </w:r>
      <w:r w:rsidR="001756B0" w:rsidRPr="009376C1">
        <w:rPr>
          <w:rFonts w:cs="Times New Roman"/>
          <w:szCs w:val="24"/>
        </w:rPr>
        <w:t>, (d) Walk 5-6 days per week (</w:t>
      </w:r>
      <w:r w:rsidR="00F4333F" w:rsidRPr="009376C1">
        <w:rPr>
          <w:rFonts w:cs="Times New Roman"/>
          <w:i/>
          <w:iCs/>
          <w:szCs w:val="24"/>
        </w:rPr>
        <w:t>k</w:t>
      </w:r>
      <w:r w:rsidR="00F4333F" w:rsidRPr="009376C1">
        <w:rPr>
          <w:rFonts w:cs="Times New Roman"/>
          <w:szCs w:val="24"/>
        </w:rPr>
        <w:t xml:space="preserve">=4, </w:t>
      </w:r>
      <w:r w:rsidR="00D76ED6" w:rsidRPr="009376C1">
        <w:rPr>
          <w:rFonts w:cs="Times New Roman"/>
          <w:position w:val="-12"/>
          <w:szCs w:val="24"/>
        </w:rPr>
        <w:object w:dxaOrig="940" w:dyaOrig="360" w14:anchorId="008ECD66">
          <v:shape id="_x0000_i1220" type="#_x0000_t75" style="width:46.3pt;height:18pt" o:ole="" o:preferrelative="f">
            <v:imagedata r:id="rId335" o:title=""/>
            <o:lock v:ext="edit" aspectratio="f"/>
          </v:shape>
          <o:OLEObject Type="Embed" ProgID="Equation.DSMT4" ShapeID="_x0000_i1220" DrawAspect="Content" ObjectID="_1790752939" r:id="rId336"/>
        </w:object>
      </w:r>
      <w:r w:rsidR="001756B0" w:rsidRPr="009376C1">
        <w:rPr>
          <w:rFonts w:cs="Times New Roman"/>
          <w:szCs w:val="24"/>
        </w:rPr>
        <w:t xml:space="preserve"> and (e) Walk 7 days per week </w:t>
      </w:r>
      <w:r w:rsidR="00F4333F" w:rsidRPr="009376C1">
        <w:rPr>
          <w:rFonts w:cs="Times New Roman"/>
          <w:szCs w:val="24"/>
        </w:rPr>
        <w:t>(</w:t>
      </w:r>
      <w:r w:rsidR="00F4333F" w:rsidRPr="009376C1">
        <w:rPr>
          <w:rFonts w:cs="Times New Roman"/>
          <w:i/>
          <w:iCs/>
          <w:szCs w:val="24"/>
        </w:rPr>
        <w:t>k</w:t>
      </w:r>
      <w:r w:rsidR="00F4333F" w:rsidRPr="009376C1">
        <w:rPr>
          <w:rFonts w:cs="Times New Roman"/>
          <w:szCs w:val="24"/>
        </w:rPr>
        <w:t xml:space="preserve">=5, </w:t>
      </w:r>
      <w:r w:rsidR="00D76ED6" w:rsidRPr="009376C1">
        <w:rPr>
          <w:rFonts w:cs="Times New Roman"/>
          <w:position w:val="-12"/>
          <w:szCs w:val="24"/>
        </w:rPr>
        <w:object w:dxaOrig="700" w:dyaOrig="360" w14:anchorId="3E29AA4D">
          <v:shape id="_x0000_i1221" type="#_x0000_t75" style="width:35.15pt;height:18pt" o:ole="" o:preferrelative="f">
            <v:imagedata r:id="rId337" o:title=""/>
            <o:lock v:ext="edit" aspectratio="f"/>
          </v:shape>
          <o:OLEObject Type="Embed" ProgID="Equation.DSMT4" ShapeID="_x0000_i1221" DrawAspect="Content" ObjectID="_1790752940" r:id="rId338"/>
        </w:object>
      </w:r>
      <w:r w:rsidR="001756B0" w:rsidRPr="009376C1">
        <w:rPr>
          <w:rFonts w:cs="Times New Roman"/>
          <w:szCs w:val="24"/>
        </w:rPr>
        <w:t xml:space="preserve">. </w:t>
      </w:r>
      <w:bookmarkEnd w:id="13"/>
      <w:r w:rsidR="00D35ABF" w:rsidRPr="009376C1">
        <w:rPr>
          <w:rFonts w:cs="Times New Roman"/>
          <w:szCs w:val="24"/>
        </w:rPr>
        <w:t>Then, the ATE</w:t>
      </w:r>
      <w:r w:rsidR="00304F9F" w:rsidRPr="009376C1">
        <w:rPr>
          <w:rFonts w:cs="Times New Roman"/>
          <w:szCs w:val="24"/>
        </w:rPr>
        <w:t xml:space="preserve"> </w:t>
      </w:r>
      <w:r w:rsidR="00D35ABF" w:rsidRPr="009376C1">
        <w:rPr>
          <w:rFonts w:cs="Times New Roman"/>
          <w:szCs w:val="24"/>
        </w:rPr>
        <w:t xml:space="preserve">metric </w:t>
      </w:r>
      <w:r w:rsidR="009376C1" w:rsidRPr="009376C1">
        <w:rPr>
          <w:rFonts w:cs="Times New Roman"/>
          <w:szCs w:val="24"/>
        </w:rPr>
        <w:t xml:space="preserve">is </w:t>
      </w:r>
      <w:r w:rsidR="00D35ABF" w:rsidRPr="009376C1">
        <w:rPr>
          <w:rFonts w:cs="Times New Roman"/>
          <w:szCs w:val="24"/>
        </w:rPr>
        <w:t xml:space="preserve">computed </w:t>
      </w:r>
      <w:r w:rsidR="009376C1" w:rsidRPr="009376C1">
        <w:rPr>
          <w:rFonts w:cs="Times New Roman"/>
          <w:szCs w:val="24"/>
        </w:rPr>
        <w:t xml:space="preserve">for our proposed model </w:t>
      </w:r>
      <w:r w:rsidR="00D35ABF" w:rsidRPr="009376C1">
        <w:rPr>
          <w:rFonts w:cs="Times New Roman"/>
          <w:szCs w:val="24"/>
        </w:rPr>
        <w:t>as follows</w:t>
      </w:r>
      <w:r w:rsidR="00B94402" w:rsidRPr="009376C1">
        <w:rPr>
          <w:rFonts w:cs="Times New Roman"/>
          <w:szCs w:val="24"/>
        </w:rPr>
        <w:t xml:space="preserve"> (using the same notations as earlier)</w:t>
      </w:r>
      <w:r w:rsidR="00D35ABF" w:rsidRPr="009376C1">
        <w:rPr>
          <w:rFonts w:cs="Times New Roman"/>
          <w:szCs w:val="24"/>
        </w:rPr>
        <w:t>:</w:t>
      </w:r>
    </w:p>
    <w:p w14:paraId="64F5BB6B" w14:textId="2A4704A2" w:rsidR="00D35ABF" w:rsidRPr="009376C1" w:rsidRDefault="00504DC0" w:rsidP="00D40E00">
      <w:pPr>
        <w:spacing w:before="60" w:after="60" w:line="276" w:lineRule="auto"/>
        <w:jc w:val="both"/>
        <w:rPr>
          <w:rFonts w:cs="Times New Roman"/>
          <w:szCs w:val="24"/>
        </w:rPr>
      </w:pPr>
      <w:r w:rsidRPr="009376C1">
        <w:rPr>
          <w:rFonts w:cs="Times New Roman"/>
          <w:position w:val="-68"/>
          <w:szCs w:val="24"/>
        </w:rPr>
        <w:object w:dxaOrig="8720" w:dyaOrig="1480" w14:anchorId="4223F693">
          <v:shape id="_x0000_i1222" type="#_x0000_t75" style="width:435.45pt;height:73.3pt" o:ole="" fillcolor="window">
            <v:imagedata r:id="rId339" o:title=""/>
          </v:shape>
          <o:OLEObject Type="Embed" ProgID="Equation.DSMT4" ShapeID="_x0000_i1222" DrawAspect="Content" ObjectID="_1790752941" r:id="rId340"/>
        </w:object>
      </w:r>
      <w:r w:rsidR="0051631C">
        <w:rPr>
          <w:rFonts w:cs="Times New Roman"/>
          <w:szCs w:val="24"/>
        </w:rPr>
        <w:t xml:space="preserve">    (1</w:t>
      </w:r>
      <w:r w:rsidR="00EA3E26">
        <w:rPr>
          <w:rFonts w:cs="Times New Roman"/>
          <w:szCs w:val="24"/>
        </w:rPr>
        <w:t>9</w:t>
      </w:r>
      <w:r w:rsidR="0051631C">
        <w:rPr>
          <w:rFonts w:cs="Times New Roman"/>
          <w:szCs w:val="24"/>
        </w:rPr>
        <w:t>)</w:t>
      </w:r>
    </w:p>
    <w:p w14:paraId="0AAEFE70" w14:textId="229DAF26" w:rsidR="00D35ABF" w:rsidRPr="009376C1" w:rsidRDefault="009376C1" w:rsidP="00B4106B">
      <w:pPr>
        <w:spacing w:line="276" w:lineRule="auto"/>
        <w:jc w:val="both"/>
        <w:rPr>
          <w:rFonts w:cs="Times New Roman"/>
          <w:szCs w:val="24"/>
        </w:rPr>
      </w:pPr>
      <w:r>
        <w:rPr>
          <w:rFonts w:cs="Times New Roman"/>
          <w:szCs w:val="24"/>
        </w:rPr>
        <w:t>For the more restrictive bivariate normal model, after estimation, we compute the ATE effect</w:t>
      </w:r>
      <w:r w:rsidR="00FB6F52">
        <w:rPr>
          <w:rFonts w:cs="Times New Roman"/>
          <w:szCs w:val="24"/>
        </w:rPr>
        <w:t xml:space="preserve"> without the YJ transformations appearing in the equation above. For the independent YJ model, the ATE takes the same form as </w:t>
      </w:r>
      <w:r w:rsidR="00FB6F52" w:rsidRPr="0051631C">
        <w:rPr>
          <w:rFonts w:cs="Times New Roman"/>
          <w:szCs w:val="24"/>
        </w:rPr>
        <w:t>Equation (</w:t>
      </w:r>
      <w:r w:rsidR="0051631C" w:rsidRPr="0051631C">
        <w:rPr>
          <w:rFonts w:cs="Times New Roman"/>
          <w:szCs w:val="24"/>
        </w:rPr>
        <w:t>1</w:t>
      </w:r>
      <w:r w:rsidR="00EA3E26">
        <w:rPr>
          <w:rFonts w:cs="Times New Roman"/>
          <w:szCs w:val="24"/>
        </w:rPr>
        <w:t>9</w:t>
      </w:r>
      <w:r w:rsidR="00FB6F52" w:rsidRPr="0051631C">
        <w:rPr>
          <w:rFonts w:cs="Times New Roman"/>
          <w:szCs w:val="24"/>
        </w:rPr>
        <w:t>)</w:t>
      </w:r>
      <w:r w:rsidR="00FB6F52">
        <w:rPr>
          <w:rFonts w:cs="Times New Roman"/>
          <w:szCs w:val="24"/>
        </w:rPr>
        <w:t xml:space="preserve"> after estimation, while, for the independent normal model, the ATE takes the same form as for the bivariate normal model except that the coefficients correspond to the case when the error correlation is ignored.</w:t>
      </w:r>
      <w:r>
        <w:rPr>
          <w:rFonts w:cs="Times New Roman"/>
          <w:szCs w:val="24"/>
        </w:rPr>
        <w:t xml:space="preserve"> </w:t>
      </w:r>
      <w:r w:rsidR="001E7051">
        <w:rPr>
          <w:rFonts w:cs="Times New Roman"/>
          <w:szCs w:val="24"/>
        </w:rPr>
        <w:t>For the independent and bivariate skew-normal models, similar expression</w:t>
      </w:r>
      <w:r w:rsidR="009F37D7">
        <w:rPr>
          <w:rFonts w:cs="Times New Roman"/>
          <w:szCs w:val="24"/>
        </w:rPr>
        <w:t>s</w:t>
      </w:r>
      <w:r w:rsidR="001E7051">
        <w:rPr>
          <w:rFonts w:cs="Times New Roman"/>
          <w:szCs w:val="24"/>
        </w:rPr>
        <w:t xml:space="preserve"> </w:t>
      </w:r>
      <w:r w:rsidR="009F37D7">
        <w:rPr>
          <w:rFonts w:cs="Times New Roman"/>
          <w:szCs w:val="24"/>
        </w:rPr>
        <w:t>(</w:t>
      </w:r>
      <w:r w:rsidR="001E7051">
        <w:rPr>
          <w:rFonts w:cs="Times New Roman"/>
          <w:szCs w:val="24"/>
        </w:rPr>
        <w:t>but using the probabilities based on the skew normal probability expressions</w:t>
      </w:r>
      <w:r w:rsidR="009F37D7">
        <w:rPr>
          <w:rFonts w:cs="Times New Roman"/>
          <w:szCs w:val="24"/>
        </w:rPr>
        <w:t>)</w:t>
      </w:r>
      <w:r w:rsidR="001E7051">
        <w:rPr>
          <w:rFonts w:cs="Times New Roman"/>
          <w:szCs w:val="24"/>
        </w:rPr>
        <w:t xml:space="preserve"> are computed. </w:t>
      </w:r>
      <w:r w:rsidR="00BF0FAD">
        <w:rPr>
          <w:rFonts w:cs="Times New Roman"/>
          <w:szCs w:val="24"/>
        </w:rPr>
        <w:t>In addition, we also compute the %ATE effect, considering the walk frequency predicted by our proposed model for a random household if it were located in an urban location as the base. To be noted here is that we do not observe the walk frequency for a random household if were in an urban location</w:t>
      </w:r>
      <w:r w:rsidR="009F37D7">
        <w:rPr>
          <w:rFonts w:cs="Times New Roman"/>
          <w:szCs w:val="24"/>
        </w:rPr>
        <w:t xml:space="preserve"> relative to if it were in a non-urban location</w:t>
      </w:r>
      <w:r w:rsidR="00BF0FAD">
        <w:rPr>
          <w:rFonts w:cs="Times New Roman"/>
          <w:szCs w:val="24"/>
        </w:rPr>
        <w:t>; th</w:t>
      </w:r>
      <w:r w:rsidR="009F37D7">
        <w:rPr>
          <w:rFonts w:cs="Times New Roman"/>
          <w:szCs w:val="24"/>
        </w:rPr>
        <w:t xml:space="preserve">ese are </w:t>
      </w:r>
      <w:r w:rsidR="00BF0FAD">
        <w:rPr>
          <w:rFonts w:cs="Times New Roman"/>
          <w:szCs w:val="24"/>
        </w:rPr>
        <w:t>counterfactual scenario</w:t>
      </w:r>
      <w:r w:rsidR="009F37D7">
        <w:rPr>
          <w:rFonts w:cs="Times New Roman"/>
          <w:szCs w:val="24"/>
        </w:rPr>
        <w:t>s</w:t>
      </w:r>
      <w:r w:rsidR="00BF0FAD">
        <w:rPr>
          <w:rFonts w:cs="Times New Roman"/>
          <w:szCs w:val="24"/>
        </w:rPr>
        <w:t xml:space="preserve"> that can be obtained only through prediction. </w:t>
      </w:r>
      <w:r w:rsidR="001A4A42">
        <w:rPr>
          <w:rFonts w:cs="Times New Roman"/>
          <w:szCs w:val="24"/>
        </w:rPr>
        <w:t>T</w:t>
      </w:r>
      <w:r w:rsidR="00BF0FAD">
        <w:rPr>
          <w:rFonts w:cs="Times New Roman"/>
          <w:szCs w:val="24"/>
        </w:rPr>
        <w:t>h</w:t>
      </w:r>
      <w:r w:rsidR="009F37D7">
        <w:rPr>
          <w:rFonts w:cs="Times New Roman"/>
          <w:szCs w:val="24"/>
        </w:rPr>
        <w:t>e</w:t>
      </w:r>
      <w:r w:rsidR="00BF0FAD">
        <w:rPr>
          <w:rFonts w:cs="Times New Roman"/>
          <w:szCs w:val="24"/>
        </w:rPr>
        <w:t xml:space="preserve"> counterfactual prediction</w:t>
      </w:r>
      <w:r w:rsidR="009F37D7">
        <w:rPr>
          <w:rFonts w:cs="Times New Roman"/>
          <w:szCs w:val="24"/>
        </w:rPr>
        <w:t>s</w:t>
      </w:r>
      <w:r w:rsidR="001A4A42">
        <w:rPr>
          <w:rFonts w:cs="Times New Roman"/>
          <w:szCs w:val="24"/>
        </w:rPr>
        <w:t xml:space="preserve"> </w:t>
      </w:r>
      <w:r w:rsidR="009F37D7">
        <w:rPr>
          <w:rFonts w:cs="Times New Roman"/>
          <w:szCs w:val="24"/>
        </w:rPr>
        <w:t>are</w:t>
      </w:r>
      <w:r w:rsidR="001A4A42">
        <w:rPr>
          <w:rFonts w:cs="Times New Roman"/>
          <w:szCs w:val="24"/>
        </w:rPr>
        <w:t xml:space="preserve"> obtained from each model and used as </w:t>
      </w:r>
      <w:r w:rsidR="00BF0FAD">
        <w:rPr>
          <w:rFonts w:cs="Times New Roman"/>
          <w:szCs w:val="24"/>
        </w:rPr>
        <w:t xml:space="preserve">the basis to compute the %ATE for </w:t>
      </w:r>
      <w:r w:rsidR="001A4A42">
        <w:rPr>
          <w:rFonts w:cs="Times New Roman"/>
          <w:szCs w:val="24"/>
        </w:rPr>
        <w:t xml:space="preserve">the </w:t>
      </w:r>
      <w:r w:rsidR="00BF0FAD">
        <w:rPr>
          <w:rFonts w:cs="Times New Roman"/>
          <w:szCs w:val="24"/>
        </w:rPr>
        <w:t>model</w:t>
      </w:r>
      <w:r w:rsidR="001A4A42">
        <w:rPr>
          <w:rFonts w:cs="Times New Roman"/>
          <w:szCs w:val="24"/>
        </w:rPr>
        <w:t xml:space="preserve"> </w:t>
      </w:r>
      <w:r w:rsidR="00A632BD">
        <w:rPr>
          <w:rFonts w:cs="Times New Roman"/>
          <w:szCs w:val="24"/>
        </w:rPr>
        <w:t>(th</w:t>
      </w:r>
      <w:r w:rsidR="009F37D7">
        <w:rPr>
          <w:rFonts w:cs="Times New Roman"/>
          <w:szCs w:val="24"/>
        </w:rPr>
        <w:t>e</w:t>
      </w:r>
      <w:r w:rsidR="00A632BD">
        <w:rPr>
          <w:rFonts w:cs="Times New Roman"/>
          <w:szCs w:val="24"/>
        </w:rPr>
        <w:t xml:space="preserve"> counterfactual walk frequency prediction</w:t>
      </w:r>
      <w:r w:rsidR="001A4A42">
        <w:rPr>
          <w:rFonts w:cs="Times New Roman"/>
          <w:szCs w:val="24"/>
        </w:rPr>
        <w:t xml:space="preserve">, in days of walk per week, for a random household if located in a non-urban area </w:t>
      </w:r>
      <w:r w:rsidR="00A632BD">
        <w:rPr>
          <w:rFonts w:cs="Times New Roman"/>
          <w:szCs w:val="24"/>
        </w:rPr>
        <w:t xml:space="preserve">is </w:t>
      </w:r>
      <w:r w:rsidR="001A4A42">
        <w:rPr>
          <w:rFonts w:cs="Times New Roman"/>
          <w:szCs w:val="24"/>
        </w:rPr>
        <w:t xml:space="preserve">3.37 for the independent normal model; 2.72 for the </w:t>
      </w:r>
      <w:r w:rsidR="001A4A42">
        <w:rPr>
          <w:rFonts w:cs="Times New Roman"/>
          <w:szCs w:val="24"/>
        </w:rPr>
        <w:lastRenderedPageBreak/>
        <w:t xml:space="preserve">bivariate normal model; </w:t>
      </w:r>
      <w:r w:rsidR="00775F78">
        <w:rPr>
          <w:rFonts w:cs="Times New Roman"/>
          <w:szCs w:val="24"/>
        </w:rPr>
        <w:t xml:space="preserve">3.32 for the independent skew-normal model; 2.49 for the bivariate skew-normal model; </w:t>
      </w:r>
      <w:r w:rsidR="001A4A42">
        <w:rPr>
          <w:rFonts w:cs="Times New Roman"/>
          <w:szCs w:val="24"/>
        </w:rPr>
        <w:t xml:space="preserve">3.28 for the independent YJ model, and </w:t>
      </w:r>
      <w:r w:rsidR="00A632BD">
        <w:rPr>
          <w:rFonts w:cs="Times New Roman"/>
          <w:szCs w:val="24"/>
        </w:rPr>
        <w:t xml:space="preserve">2.55 </w:t>
      </w:r>
      <w:r w:rsidR="001A4A42">
        <w:rPr>
          <w:rFonts w:cs="Times New Roman"/>
          <w:szCs w:val="24"/>
        </w:rPr>
        <w:t>for the bivariate YJ model</w:t>
      </w:r>
      <w:r w:rsidR="00A632BD">
        <w:rPr>
          <w:rFonts w:cs="Times New Roman"/>
          <w:szCs w:val="24"/>
        </w:rPr>
        <w:t>)</w:t>
      </w:r>
      <w:r w:rsidR="00BF0FAD">
        <w:rPr>
          <w:rFonts w:cs="Times New Roman"/>
          <w:szCs w:val="24"/>
        </w:rPr>
        <w:t xml:space="preserve">. </w:t>
      </w:r>
    </w:p>
    <w:p w14:paraId="0CFE07FF" w14:textId="6BBDD6EE" w:rsidR="00754F89" w:rsidRDefault="00E76311" w:rsidP="00B4106B">
      <w:pPr>
        <w:spacing w:line="276" w:lineRule="auto"/>
        <w:ind w:firstLine="720"/>
        <w:jc w:val="both"/>
        <w:rPr>
          <w:rFonts w:cs="Times New Roman"/>
          <w:szCs w:val="24"/>
        </w:rPr>
      </w:pPr>
      <w:r>
        <w:rPr>
          <w:rFonts w:cs="Times New Roman"/>
          <w:szCs w:val="24"/>
        </w:rPr>
        <w:t xml:space="preserve">The bottom panel of </w:t>
      </w:r>
      <w:r w:rsidR="0047288A">
        <w:rPr>
          <w:rFonts w:cs="Times New Roman"/>
          <w:szCs w:val="24"/>
        </w:rPr>
        <w:t xml:space="preserve">Table </w:t>
      </w:r>
      <w:r>
        <w:rPr>
          <w:rFonts w:cs="Times New Roman"/>
          <w:szCs w:val="24"/>
        </w:rPr>
        <w:t xml:space="preserve">2 </w:t>
      </w:r>
      <w:r w:rsidR="0047288A">
        <w:rPr>
          <w:rFonts w:cs="Times New Roman"/>
          <w:szCs w:val="24"/>
        </w:rPr>
        <w:t>presents these ATE effects</w:t>
      </w:r>
      <w:r w:rsidR="0010778A">
        <w:rPr>
          <w:rFonts w:cs="Times New Roman"/>
          <w:szCs w:val="24"/>
        </w:rPr>
        <w:t xml:space="preserve"> for each of the </w:t>
      </w:r>
      <w:r w:rsidR="007142A6">
        <w:rPr>
          <w:rFonts w:cs="Times New Roman"/>
          <w:szCs w:val="24"/>
        </w:rPr>
        <w:t>six</w:t>
      </w:r>
      <w:r w:rsidR="0010778A">
        <w:rPr>
          <w:rFonts w:cs="Times New Roman"/>
          <w:szCs w:val="24"/>
        </w:rPr>
        <w:t xml:space="preserve"> models</w:t>
      </w:r>
      <w:r w:rsidR="0047288A">
        <w:rPr>
          <w:rFonts w:cs="Times New Roman"/>
          <w:szCs w:val="24"/>
        </w:rPr>
        <w:t xml:space="preserve">. </w:t>
      </w:r>
      <w:r w:rsidR="00A632BD">
        <w:rPr>
          <w:rFonts w:cs="Times New Roman"/>
          <w:szCs w:val="24"/>
        </w:rPr>
        <w:t xml:space="preserve">The first numeric </w:t>
      </w:r>
      <w:r>
        <w:rPr>
          <w:rFonts w:cs="Times New Roman"/>
          <w:szCs w:val="24"/>
        </w:rPr>
        <w:t xml:space="preserve">value </w:t>
      </w:r>
      <w:r w:rsidR="00A632BD">
        <w:rPr>
          <w:rFonts w:cs="Times New Roman"/>
          <w:szCs w:val="24"/>
        </w:rPr>
        <w:t>(0.062) indicates that a random household would walk an additional 0.062 days per week if in an urban setting rather than a non-urban setting</w:t>
      </w:r>
      <w:r w:rsidR="001A4A42">
        <w:rPr>
          <w:rFonts w:cs="Times New Roman"/>
          <w:szCs w:val="24"/>
        </w:rPr>
        <w:t xml:space="preserve">, corresponding to a </w:t>
      </w:r>
      <w:r w:rsidR="00A632BD">
        <w:rPr>
          <w:rFonts w:cs="Times New Roman"/>
          <w:szCs w:val="24"/>
        </w:rPr>
        <w:t xml:space="preserve">%ATE effect </w:t>
      </w:r>
      <w:r w:rsidR="001A4A42">
        <w:rPr>
          <w:rFonts w:cs="Times New Roman"/>
          <w:szCs w:val="24"/>
        </w:rPr>
        <w:t xml:space="preserve">of 1.8% (that is, the independent normal model predicts that a random household </w:t>
      </w:r>
      <w:r w:rsidR="000E2A5D">
        <w:rPr>
          <w:rFonts w:cs="Times New Roman"/>
          <w:szCs w:val="24"/>
        </w:rPr>
        <w:t xml:space="preserve">would have 1.8% additional walk days if in an urban environment relative to a non-urban </w:t>
      </w:r>
      <w:r w:rsidR="00563765">
        <w:rPr>
          <w:rFonts w:cs="Times New Roman"/>
          <w:szCs w:val="24"/>
        </w:rPr>
        <w:t>environment)</w:t>
      </w:r>
      <w:r w:rsidR="000E2A5D">
        <w:rPr>
          <w:rFonts w:cs="Times New Roman"/>
          <w:szCs w:val="24"/>
        </w:rPr>
        <w:t xml:space="preserve">. The difference in ATE effects across the many models is rather clear. For the independent models, the ATE effect is substantially underestimated because of the negative correlation in the error terms of the urban residence equation and the walk frequency equation (that is, the fact that individuals with a high walk frequency propensity tend to locate themselves in non-urban areas gets comingled with the true “causal” effect, lowering the ATE substantially). The bivariate models disentangle the correlation effect from the “true” causal effect, which shows up as a much higher ATE effect. </w:t>
      </w:r>
      <w:r w:rsidR="007461E4">
        <w:rPr>
          <w:rFonts w:cs="Times New Roman"/>
          <w:szCs w:val="24"/>
        </w:rPr>
        <w:t>Even so, the bivariate normal model does underestimate the “true” causal effect (</w:t>
      </w:r>
      <w:r w:rsidR="00E25A25">
        <w:rPr>
          <w:rFonts w:cs="Times New Roman"/>
          <w:szCs w:val="24"/>
        </w:rPr>
        <w:t xml:space="preserve">an ATE of 0.812 or about </w:t>
      </w:r>
      <w:r w:rsidR="007461E4">
        <w:rPr>
          <w:rFonts w:cs="Times New Roman"/>
          <w:szCs w:val="24"/>
        </w:rPr>
        <w:t xml:space="preserve">30% ATE in the bivariate normal relative to </w:t>
      </w:r>
      <w:r w:rsidR="00E25A25">
        <w:rPr>
          <w:rFonts w:cs="Times New Roman"/>
          <w:szCs w:val="24"/>
        </w:rPr>
        <w:t xml:space="preserve">an ATE of 1.004 or </w:t>
      </w:r>
      <w:r w:rsidR="007461E4">
        <w:rPr>
          <w:rFonts w:cs="Times New Roman"/>
          <w:szCs w:val="24"/>
        </w:rPr>
        <w:t>about 40% ATE in the bivariate YJ model). This underestimation of the “true” causal</w:t>
      </w:r>
      <w:r w:rsidR="00E25A25">
        <w:rPr>
          <w:rFonts w:cs="Times New Roman"/>
          <w:szCs w:val="24"/>
        </w:rPr>
        <w:t xml:space="preserve"> ATE</w:t>
      </w:r>
      <w:r w:rsidR="007461E4">
        <w:rPr>
          <w:rFonts w:cs="Times New Roman"/>
          <w:szCs w:val="24"/>
        </w:rPr>
        <w:t xml:space="preserve"> effect of urban residence on walk frequency in the bivariate normal model is due to the asymmetry and rightward skew of the error term of the walk frequency propensity (as correctly recognized by the bivariate YJ model but ignored by the bivariate normal model). </w:t>
      </w:r>
      <w:r w:rsidR="00DD6400" w:rsidRPr="00DD6400">
        <w:rPr>
          <w:rFonts w:cs="Times New Roman"/>
          <w:szCs w:val="24"/>
        </w:rPr>
        <w:t xml:space="preserve">Of course, </w:t>
      </w:r>
      <w:r w:rsidR="00DD6400">
        <w:rPr>
          <w:rFonts w:cs="Times New Roman"/>
          <w:szCs w:val="24"/>
        </w:rPr>
        <w:t>the extent of differences in the ATE</w:t>
      </w:r>
      <w:r w:rsidR="00BA53CB">
        <w:rPr>
          <w:rFonts w:cs="Times New Roman"/>
          <w:szCs w:val="24"/>
        </w:rPr>
        <w:t>s</w:t>
      </w:r>
      <w:r w:rsidR="00DD6400">
        <w:rPr>
          <w:rFonts w:cs="Times New Roman"/>
          <w:szCs w:val="24"/>
        </w:rPr>
        <w:t xml:space="preserve"> </w:t>
      </w:r>
      <w:r w:rsidR="00BA53CB">
        <w:rPr>
          <w:rFonts w:cs="Times New Roman"/>
          <w:szCs w:val="24"/>
        </w:rPr>
        <w:t xml:space="preserve">between a </w:t>
      </w:r>
      <w:r w:rsidR="00DD6400">
        <w:rPr>
          <w:rFonts w:cs="Times New Roman"/>
          <w:szCs w:val="24"/>
        </w:rPr>
        <w:t xml:space="preserve">restrictive </w:t>
      </w:r>
      <w:r w:rsidR="00BA53CB">
        <w:rPr>
          <w:rFonts w:cs="Times New Roman"/>
          <w:szCs w:val="24"/>
        </w:rPr>
        <w:t xml:space="preserve">distribution </w:t>
      </w:r>
      <w:r w:rsidR="00DD6400">
        <w:rPr>
          <w:rFonts w:cs="Times New Roman"/>
          <w:szCs w:val="24"/>
        </w:rPr>
        <w:t xml:space="preserve">model and the proposed more general </w:t>
      </w:r>
      <w:r w:rsidR="00BA53CB">
        <w:rPr>
          <w:rFonts w:cs="Times New Roman"/>
          <w:szCs w:val="24"/>
        </w:rPr>
        <w:t xml:space="preserve">distribution </w:t>
      </w:r>
      <w:r w:rsidR="00DD6400">
        <w:rPr>
          <w:rFonts w:cs="Times New Roman"/>
          <w:szCs w:val="24"/>
        </w:rPr>
        <w:t xml:space="preserve">model will be </w:t>
      </w:r>
      <w:r w:rsidR="00DD6400" w:rsidRPr="00DD6400">
        <w:rPr>
          <w:rFonts w:cs="Times New Roman"/>
          <w:szCs w:val="24"/>
        </w:rPr>
        <w:t xml:space="preserve">specific to </w:t>
      </w:r>
      <w:r w:rsidR="00DD6400">
        <w:rPr>
          <w:rFonts w:cs="Times New Roman"/>
          <w:szCs w:val="24"/>
        </w:rPr>
        <w:t xml:space="preserve">each </w:t>
      </w:r>
      <w:r w:rsidR="00DD6400" w:rsidRPr="00DD6400">
        <w:rPr>
          <w:rFonts w:cs="Times New Roman"/>
          <w:szCs w:val="24"/>
        </w:rPr>
        <w:t>empirical context</w:t>
      </w:r>
      <w:r w:rsidR="00DD6400">
        <w:rPr>
          <w:rFonts w:cs="Times New Roman"/>
          <w:szCs w:val="24"/>
        </w:rPr>
        <w:t xml:space="preserve"> considered</w:t>
      </w:r>
      <w:r w:rsidR="00DD6400" w:rsidRPr="00DD6400">
        <w:rPr>
          <w:rFonts w:cs="Times New Roman"/>
          <w:szCs w:val="24"/>
        </w:rPr>
        <w:t xml:space="preserve">, </w:t>
      </w:r>
      <w:r w:rsidR="00DD6400">
        <w:rPr>
          <w:rFonts w:cs="Times New Roman"/>
          <w:szCs w:val="24"/>
        </w:rPr>
        <w:t xml:space="preserve">which implies that it is best to estimate the </w:t>
      </w:r>
      <w:r w:rsidR="00BA53CB">
        <w:rPr>
          <w:rFonts w:cs="Times New Roman"/>
          <w:szCs w:val="24"/>
        </w:rPr>
        <w:t xml:space="preserve">proposed </w:t>
      </w:r>
      <w:r w:rsidR="00DD6400">
        <w:rPr>
          <w:rFonts w:cs="Times New Roman"/>
          <w:szCs w:val="24"/>
        </w:rPr>
        <w:t xml:space="preserve">model proposed </w:t>
      </w:r>
      <w:r w:rsidR="00BA53CB">
        <w:rPr>
          <w:rFonts w:cs="Times New Roman"/>
          <w:szCs w:val="24"/>
        </w:rPr>
        <w:t xml:space="preserve">rather than </w:t>
      </w:r>
      <w:r w:rsidR="00BA53CB" w:rsidRPr="00BA53CB">
        <w:rPr>
          <w:rFonts w:cs="Times New Roman"/>
          <w:i/>
          <w:iCs/>
          <w:szCs w:val="24"/>
        </w:rPr>
        <w:t>a priori</w:t>
      </w:r>
      <w:r w:rsidR="00BA53CB">
        <w:rPr>
          <w:rFonts w:cs="Times New Roman"/>
          <w:szCs w:val="24"/>
        </w:rPr>
        <w:t xml:space="preserve"> settling for a restrictive structure that may provide inaccurate results. </w:t>
      </w:r>
      <w:r w:rsidR="00775F78">
        <w:rPr>
          <w:rFonts w:cs="Times New Roman"/>
          <w:szCs w:val="24"/>
        </w:rPr>
        <w:t xml:space="preserve">Also to be noted is that the ATE of the bivariate skew-normal is close to that of our proposed bivariate model, though slightly overestimated. </w:t>
      </w:r>
    </w:p>
    <w:p w14:paraId="4444B59D" w14:textId="7C2E6E60" w:rsidR="006559C3" w:rsidRDefault="00603200" w:rsidP="00B4106B">
      <w:pPr>
        <w:autoSpaceDE w:val="0"/>
        <w:autoSpaceDN w:val="0"/>
        <w:adjustRightInd w:val="0"/>
        <w:spacing w:line="276" w:lineRule="auto"/>
        <w:jc w:val="both"/>
        <w:rPr>
          <w:rFonts w:cs="Times New Roman"/>
          <w:szCs w:val="24"/>
        </w:rPr>
      </w:pPr>
      <w:r>
        <w:rPr>
          <w:rFonts w:cs="Times New Roman"/>
          <w:szCs w:val="24"/>
        </w:rPr>
        <w:tab/>
        <w:t xml:space="preserve">Finally, in terms of the residential self-selection effect, one may estimate this from the realization that any model that ignores the correlation between the urban residence and walk frequency equations comingles the associative effect of urban residence and the “true causal” effect of urban residence. Thus, considering the two YJ-based models, the ATE for the independent YJ model </w:t>
      </w:r>
      <w:r w:rsidRPr="009376C1">
        <w:rPr>
          <w:rFonts w:cs="Times New Roman"/>
          <w:szCs w:val="24"/>
        </w:rPr>
        <w:t>c</w:t>
      </w:r>
      <w:r>
        <w:rPr>
          <w:rFonts w:cs="Times New Roman"/>
          <w:szCs w:val="24"/>
        </w:rPr>
        <w:t>omingles</w:t>
      </w:r>
      <w:r w:rsidRPr="009376C1">
        <w:rPr>
          <w:rFonts w:cs="Times New Roman"/>
          <w:szCs w:val="24"/>
        </w:rPr>
        <w:t xml:space="preserve"> the </w:t>
      </w:r>
      <w:r>
        <w:rPr>
          <w:rFonts w:cs="Times New Roman"/>
          <w:szCs w:val="24"/>
        </w:rPr>
        <w:t>“</w:t>
      </w:r>
      <w:r w:rsidRPr="009376C1">
        <w:rPr>
          <w:rFonts w:cs="Times New Roman"/>
          <w:szCs w:val="24"/>
        </w:rPr>
        <w:t>spurious</w:t>
      </w:r>
      <w:r>
        <w:rPr>
          <w:rFonts w:cs="Times New Roman"/>
          <w:szCs w:val="24"/>
        </w:rPr>
        <w:t>”</w:t>
      </w:r>
      <w:r w:rsidRPr="009376C1">
        <w:rPr>
          <w:rFonts w:cs="Times New Roman"/>
          <w:szCs w:val="24"/>
        </w:rPr>
        <w:t xml:space="preserve"> </w:t>
      </w:r>
      <w:r>
        <w:rPr>
          <w:rFonts w:cs="Times New Roman"/>
          <w:szCs w:val="24"/>
        </w:rPr>
        <w:t xml:space="preserve">self-selection and </w:t>
      </w:r>
      <w:r w:rsidRPr="009376C1">
        <w:rPr>
          <w:rFonts w:cs="Times New Roman"/>
          <w:szCs w:val="24"/>
        </w:rPr>
        <w:t xml:space="preserve">“true” causal </w:t>
      </w:r>
      <w:r>
        <w:rPr>
          <w:rFonts w:cs="Times New Roman"/>
          <w:szCs w:val="24"/>
        </w:rPr>
        <w:t xml:space="preserve">urban residence effects, while the ATE for the bivariate model estimates the “true” causal effect. From the ATEs, one may then estimate the </w:t>
      </w:r>
      <w:r w:rsidR="008D5A84">
        <w:rPr>
          <w:rFonts w:cs="Times New Roman"/>
          <w:szCs w:val="24"/>
        </w:rPr>
        <w:t>total of the two effects to be 1.004+(1.004-0</w:t>
      </w:r>
      <w:r w:rsidR="00E25A25">
        <w:rPr>
          <w:rFonts w:cs="Times New Roman"/>
          <w:szCs w:val="24"/>
        </w:rPr>
        <w:t>.163</w:t>
      </w:r>
      <w:r w:rsidR="008D5A84">
        <w:rPr>
          <w:rFonts w:cs="Times New Roman"/>
          <w:szCs w:val="24"/>
        </w:rPr>
        <w:t>)=</w:t>
      </w:r>
      <w:r w:rsidR="00E25A25">
        <w:rPr>
          <w:rFonts w:cs="Times New Roman"/>
          <w:szCs w:val="24"/>
        </w:rPr>
        <w:t>1.845</w:t>
      </w:r>
      <w:r w:rsidR="008D5A84">
        <w:rPr>
          <w:rFonts w:cs="Times New Roman"/>
          <w:szCs w:val="24"/>
        </w:rPr>
        <w:t>.</w:t>
      </w:r>
      <w:r w:rsidR="00E25A25">
        <w:rPr>
          <w:rFonts w:cs="Times New Roman"/>
          <w:szCs w:val="24"/>
        </w:rPr>
        <w:t xml:space="preserve"> Then, the self-selection effect amounts to 45.6% and the “true” causal effect amounts to 54.4%.</w:t>
      </w:r>
    </w:p>
    <w:p w14:paraId="1C4D4E97" w14:textId="06773DE5" w:rsidR="00E25A25" w:rsidRDefault="00E25A25" w:rsidP="00B4106B">
      <w:pPr>
        <w:autoSpaceDE w:val="0"/>
        <w:autoSpaceDN w:val="0"/>
        <w:adjustRightInd w:val="0"/>
        <w:spacing w:line="276" w:lineRule="auto"/>
        <w:jc w:val="both"/>
        <w:rPr>
          <w:rFonts w:cs="Times New Roman"/>
          <w:szCs w:val="24"/>
        </w:rPr>
      </w:pPr>
    </w:p>
    <w:p w14:paraId="278E214E" w14:textId="01CFFDBB" w:rsidR="00991A71" w:rsidRPr="00504DC0" w:rsidRDefault="00991A71" w:rsidP="00E937C8">
      <w:pPr>
        <w:numPr>
          <w:ilvl w:val="0"/>
          <w:numId w:val="7"/>
        </w:numPr>
        <w:autoSpaceDE w:val="0"/>
        <w:autoSpaceDN w:val="0"/>
        <w:adjustRightInd w:val="0"/>
        <w:spacing w:line="276" w:lineRule="auto"/>
        <w:ind w:left="540" w:hanging="540"/>
        <w:jc w:val="both"/>
        <w:rPr>
          <w:b/>
          <w:bCs/>
          <w:caps/>
        </w:rPr>
      </w:pPr>
      <w:r w:rsidRPr="00504DC0">
        <w:rPr>
          <w:b/>
          <w:bCs/>
          <w:caps/>
        </w:rPr>
        <w:t>Conclusions</w:t>
      </w:r>
    </w:p>
    <w:p w14:paraId="755339A0" w14:textId="77777777" w:rsidR="002C2A51" w:rsidRDefault="00991A71" w:rsidP="002C2A51">
      <w:pPr>
        <w:autoSpaceDE w:val="0"/>
        <w:autoSpaceDN w:val="0"/>
        <w:adjustRightInd w:val="0"/>
        <w:spacing w:line="276" w:lineRule="auto"/>
        <w:jc w:val="both"/>
        <w:rPr>
          <w:rFonts w:cs="Times New Roman"/>
          <w:szCs w:val="24"/>
        </w:rPr>
      </w:pPr>
      <w:r>
        <w:rPr>
          <w:rFonts w:cs="Times New Roman"/>
          <w:szCs w:val="24"/>
        </w:rPr>
        <w:t xml:space="preserve">In this paper, we have shown the promise of </w:t>
      </w:r>
      <w:r w:rsidRPr="0065493C">
        <w:rPr>
          <w:rFonts w:cs="Times New Roman"/>
          <w:szCs w:val="24"/>
        </w:rPr>
        <w:t xml:space="preserve">the YJ transformation </w:t>
      </w:r>
      <w:r>
        <w:rPr>
          <w:rFonts w:cs="Times New Roman"/>
          <w:szCs w:val="24"/>
        </w:rPr>
        <w:t>to accommodate</w:t>
      </w:r>
      <w:r w:rsidRPr="0065493C">
        <w:rPr>
          <w:rFonts w:cs="Times New Roman"/>
          <w:szCs w:val="24"/>
        </w:rPr>
        <w:t xml:space="preserve"> flexible specification</w:t>
      </w:r>
      <w:r>
        <w:rPr>
          <w:rFonts w:cs="Times New Roman"/>
          <w:szCs w:val="24"/>
        </w:rPr>
        <w:t>s</w:t>
      </w:r>
      <w:r w:rsidRPr="0065493C">
        <w:rPr>
          <w:rFonts w:cs="Times New Roman"/>
          <w:szCs w:val="24"/>
        </w:rPr>
        <w:t xml:space="preserve"> of stochastic terms in multivariate mixed data models</w:t>
      </w:r>
      <w:r>
        <w:rPr>
          <w:rFonts w:cs="Times New Roman"/>
          <w:szCs w:val="24"/>
        </w:rPr>
        <w:t xml:space="preserve"> in general, and ordered-</w:t>
      </w:r>
      <w:r w:rsidRPr="00967572">
        <w:rPr>
          <w:rFonts w:cs="Times New Roman"/>
          <w:szCs w:val="24"/>
        </w:rPr>
        <w:t>response models with discrete EEVs in particular. To our knowledge, this is the first such formulation and application</w:t>
      </w:r>
      <w:r w:rsidR="0051631C">
        <w:rPr>
          <w:rFonts w:cs="Times New Roman"/>
          <w:szCs w:val="24"/>
        </w:rPr>
        <w:t xml:space="preserve"> in the econometric literature</w:t>
      </w:r>
      <w:r w:rsidRPr="00967572">
        <w:rPr>
          <w:rFonts w:cs="Times New Roman"/>
          <w:szCs w:val="24"/>
        </w:rPr>
        <w:t xml:space="preserve">. </w:t>
      </w:r>
      <w:r w:rsidR="00090396" w:rsidRPr="00967572">
        <w:rPr>
          <w:rFonts w:cs="Times New Roman"/>
          <w:szCs w:val="24"/>
        </w:rPr>
        <w:t xml:space="preserve">The use of such a flexible parametric distribution leads to added robustness of the maximum likelihood (ML) estimator. </w:t>
      </w:r>
      <w:r w:rsidR="00CF1271" w:rsidRPr="00967572">
        <w:rPr>
          <w:rFonts w:cs="Times New Roman"/>
          <w:szCs w:val="24"/>
        </w:rPr>
        <w:t xml:space="preserve">The resulting </w:t>
      </w:r>
      <w:r w:rsidR="009F37D7">
        <w:rPr>
          <w:rFonts w:cs="Times New Roman"/>
          <w:szCs w:val="24"/>
        </w:rPr>
        <w:t xml:space="preserve">multivariate </w:t>
      </w:r>
      <w:r w:rsidR="00CF1271" w:rsidRPr="00967572">
        <w:rPr>
          <w:rFonts w:cs="Times New Roman"/>
          <w:szCs w:val="24"/>
        </w:rPr>
        <w:t xml:space="preserve">YJ model is as easy to estimate as a </w:t>
      </w:r>
      <w:r w:rsidR="009F37D7">
        <w:rPr>
          <w:rFonts w:cs="Times New Roman"/>
          <w:szCs w:val="24"/>
        </w:rPr>
        <w:t>multi</w:t>
      </w:r>
      <w:r w:rsidR="00CF1271" w:rsidRPr="00967572">
        <w:rPr>
          <w:rFonts w:cs="Times New Roman"/>
          <w:szCs w:val="24"/>
        </w:rPr>
        <w:t>variate normal model.</w:t>
      </w:r>
      <w:r w:rsidR="00E76311" w:rsidRPr="00967572">
        <w:rPr>
          <w:rFonts w:cs="Times New Roman"/>
          <w:szCs w:val="24"/>
        </w:rPr>
        <w:t xml:space="preserve"> More generally, the </w:t>
      </w:r>
      <w:r w:rsidR="00E76311" w:rsidRPr="00967572">
        <w:rPr>
          <w:rFonts w:cs="Times New Roman"/>
          <w:szCs w:val="24"/>
        </w:rPr>
        <w:lastRenderedPageBreak/>
        <w:t>YJ transformation is an efficient way to capture flexible marginal error distributions, which then can be bound together using a</w:t>
      </w:r>
      <w:r w:rsidR="007C2184">
        <w:rPr>
          <w:rFonts w:cs="Times New Roman"/>
          <w:szCs w:val="24"/>
        </w:rPr>
        <w:t xml:space="preserve"> multivariate normal distribution</w:t>
      </w:r>
      <w:r w:rsidR="00E76311" w:rsidRPr="00967572">
        <w:rPr>
          <w:rFonts w:cs="Times New Roman"/>
          <w:szCs w:val="24"/>
        </w:rPr>
        <w:t xml:space="preserve">. </w:t>
      </w:r>
      <w:r w:rsidR="001E29EC">
        <w:rPr>
          <w:rFonts w:cs="Times New Roman"/>
          <w:szCs w:val="24"/>
        </w:rPr>
        <w:t>In the current paper, we have also shown that the proposed YJ approach is conceptually and empirically better than an a priori skew-normal specification for the error terms in an ordered-response model with an endogenous explanatory binary variable</w:t>
      </w:r>
      <w:r w:rsidR="001E29EC" w:rsidRPr="00967572">
        <w:rPr>
          <w:rFonts w:cs="Times New Roman"/>
          <w:szCs w:val="24"/>
        </w:rPr>
        <w:t xml:space="preserve"> </w:t>
      </w:r>
      <w:r w:rsidR="00E76311" w:rsidRPr="00967572">
        <w:rPr>
          <w:rFonts w:cs="Times New Roman"/>
          <w:szCs w:val="24"/>
        </w:rPr>
        <w:t>The proposed approach can be applied to a number of different univariate and multivariate mixed modeling structures, including sample selection models, endogenous switching models, multivariate mixed data models, and revealed preference-stated preference models. It can also be employed for empirical analysis in</w:t>
      </w:r>
      <w:r w:rsidR="00967572" w:rsidRPr="00967572">
        <w:rPr>
          <w:rFonts w:cs="Times New Roman"/>
          <w:szCs w:val="24"/>
        </w:rPr>
        <w:t xml:space="preserve"> a variety of </w:t>
      </w:r>
      <w:r w:rsidR="00E76311" w:rsidRPr="00967572">
        <w:rPr>
          <w:rFonts w:cs="Times New Roman"/>
          <w:szCs w:val="24"/>
        </w:rPr>
        <w:t xml:space="preserve">travel behavior, traffic safety, urban planning, education, </w:t>
      </w:r>
      <w:r w:rsidR="00967572" w:rsidRPr="00967572">
        <w:rPr>
          <w:rFonts w:cs="Times New Roman"/>
          <w:szCs w:val="24"/>
        </w:rPr>
        <w:t xml:space="preserve">public </w:t>
      </w:r>
      <w:r w:rsidR="00E76311" w:rsidRPr="00967572">
        <w:rPr>
          <w:rFonts w:cs="Times New Roman"/>
          <w:szCs w:val="24"/>
        </w:rPr>
        <w:t>health</w:t>
      </w:r>
      <w:r w:rsidR="00967572" w:rsidRPr="00967572">
        <w:rPr>
          <w:rFonts w:cs="Times New Roman"/>
          <w:szCs w:val="24"/>
        </w:rPr>
        <w:t xml:space="preserve">, geography, and </w:t>
      </w:r>
      <w:r w:rsidR="00E76311" w:rsidRPr="00967572">
        <w:rPr>
          <w:rFonts w:cs="Times New Roman"/>
          <w:szCs w:val="24"/>
        </w:rPr>
        <w:t xml:space="preserve"> </w:t>
      </w:r>
      <w:r w:rsidR="00967572" w:rsidRPr="00967572">
        <w:rPr>
          <w:rFonts w:cs="Times New Roman"/>
          <w:szCs w:val="24"/>
        </w:rPr>
        <w:t xml:space="preserve">environmental economics </w:t>
      </w:r>
      <w:r w:rsidR="00E76311" w:rsidRPr="00967572">
        <w:rPr>
          <w:rFonts w:cs="Times New Roman"/>
          <w:szCs w:val="24"/>
        </w:rPr>
        <w:t>fields</w:t>
      </w:r>
      <w:r w:rsidR="00967572" w:rsidRPr="00967572">
        <w:rPr>
          <w:rFonts w:cs="Times New Roman"/>
          <w:szCs w:val="24"/>
        </w:rPr>
        <w:t>, among other fields</w:t>
      </w:r>
      <w:r w:rsidR="00E76311" w:rsidRPr="00967572">
        <w:rPr>
          <w:rFonts w:cs="Times New Roman"/>
          <w:szCs w:val="24"/>
        </w:rPr>
        <w:t xml:space="preserve">. </w:t>
      </w:r>
    </w:p>
    <w:p w14:paraId="3A5F4477" w14:textId="39992484" w:rsidR="001E29EC" w:rsidRPr="00967572" w:rsidRDefault="001E29EC" w:rsidP="001D3452">
      <w:pPr>
        <w:autoSpaceDE w:val="0"/>
        <w:autoSpaceDN w:val="0"/>
        <w:adjustRightInd w:val="0"/>
        <w:spacing w:line="276" w:lineRule="auto"/>
        <w:ind w:firstLine="720"/>
        <w:jc w:val="both"/>
        <w:rPr>
          <w:rFonts w:cs="Times New Roman"/>
          <w:szCs w:val="24"/>
        </w:rPr>
      </w:pPr>
      <w:r>
        <w:t>Of course, while providing an easy-to-estimate and efficient way to relax the typical multivariate normal distribution assumption used for the error terms in mixed data models, future research would benefit from an examination of the computational time</w:t>
      </w:r>
      <w:r w:rsidR="002C2A51">
        <w:t>/estimation stability</w:t>
      </w:r>
      <w:r>
        <w:t xml:space="preserve"> gains from using our proposed approach, as well as comparing the potential flexibility losses of our proposed parametric approach</w:t>
      </w:r>
      <w:r w:rsidR="00F8690D">
        <w:t xml:space="preserve">, relative </w:t>
      </w:r>
      <w:r>
        <w:t>to</w:t>
      </w:r>
      <w:r w:rsidR="00F8690D">
        <w:t xml:space="preserve"> </w:t>
      </w:r>
      <w:r>
        <w:t xml:space="preserve">the </w:t>
      </w:r>
      <w:r w:rsidR="00CB36EB" w:rsidRPr="0065493C">
        <w:t xml:space="preserve">use </w:t>
      </w:r>
      <w:r>
        <w:t xml:space="preserve">of </w:t>
      </w:r>
      <w:r w:rsidR="00CB36EB" w:rsidRPr="0065493C">
        <w:t>a multivariate nonparametric joint distribution</w:t>
      </w:r>
      <w:r w:rsidR="00F8690D">
        <w:t xml:space="preserve"> for the error terms.</w:t>
      </w:r>
      <w:r w:rsidR="002C2A51">
        <w:t xml:space="preserve"> I</w:t>
      </w:r>
      <w:r w:rsidR="00F8690D">
        <w:t>mportant to note</w:t>
      </w:r>
      <w:r w:rsidR="002C2A51">
        <w:t>, however,</w:t>
      </w:r>
      <w:r w:rsidR="00F8690D">
        <w:t xml:space="preserve"> is that</w:t>
      </w:r>
      <w:r w:rsidR="00CB36EB" w:rsidRPr="0065493C">
        <w:t xml:space="preserve"> some assumptions related to smoothness and regularity </w:t>
      </w:r>
      <w:r w:rsidR="00F8690D">
        <w:t xml:space="preserve">need to be </w:t>
      </w:r>
      <w:r w:rsidR="00CB36EB" w:rsidRPr="0065493C">
        <w:t xml:space="preserve">imposed </w:t>
      </w:r>
      <w:r w:rsidR="00F8690D">
        <w:t xml:space="preserve">even </w:t>
      </w:r>
      <w:r w:rsidR="002C2A51">
        <w:t xml:space="preserve">when adopting multivariate </w:t>
      </w:r>
      <w:r w:rsidR="00F8690D">
        <w:t xml:space="preserve">non-parametric </w:t>
      </w:r>
      <w:r w:rsidR="00CB36EB" w:rsidRPr="0065493C">
        <w:t>joint distribution</w:t>
      </w:r>
      <w:r w:rsidR="00F8690D">
        <w:t>s</w:t>
      </w:r>
      <w:r w:rsidR="00CB36EB" w:rsidRPr="0065493C">
        <w:t xml:space="preserve"> (</w:t>
      </w:r>
      <w:r w:rsidR="00F8690D">
        <w:t xml:space="preserve">see </w:t>
      </w:r>
      <w:r w:rsidR="00CB36EB" w:rsidRPr="0065493C">
        <w:t xml:space="preserve">Gallant and Nychka, 1987, </w:t>
      </w:r>
      <w:r w:rsidR="00CB36EB" w:rsidRPr="00FE38B5">
        <w:t>Vytlacil and Yildiz</w:t>
      </w:r>
      <w:r w:rsidR="005B34C1">
        <w:t>,</w:t>
      </w:r>
      <w:r w:rsidR="00CB36EB" w:rsidRPr="00FE38B5">
        <w:t xml:space="preserve"> 2007, or Chesher and Rosen 2013). Such </w:t>
      </w:r>
      <w:r w:rsidR="00F8690D">
        <w:t xml:space="preserve">nonparametric </w:t>
      </w:r>
      <w:r w:rsidR="00CB36EB" w:rsidRPr="00FE38B5">
        <w:t>methods</w:t>
      </w:r>
      <w:r w:rsidR="00F8690D">
        <w:t xml:space="preserve"> also </w:t>
      </w:r>
      <w:r w:rsidR="00CB36EB" w:rsidRPr="00FE38B5">
        <w:t>quickly get extremely profligate in parameters because of series-based or similar approximations of the density function, especially when moving beyond a univariate distribution to a multivariate distribution (see Chen et al., 2006 and Denze</w:t>
      </w:r>
      <w:r w:rsidR="00335BFF">
        <w:t>r</w:t>
      </w:r>
      <w:r w:rsidR="00CB36EB" w:rsidRPr="00FE38B5">
        <w:t xml:space="preserve">, 2019). Besides, no clear asymptotic distribution results are available for such models (needed to compute parameter standard errors), and any treatment effects of one endogenous outcome on another are not point-identified (Schwiebert, 2013; Han and Lee, 2019). Similar issues of profligateness and kernel density estimation difficulty can arise when using </w:t>
      </w:r>
      <w:r w:rsidR="002C2A51">
        <w:t xml:space="preserve">flexible </w:t>
      </w:r>
      <w:r w:rsidR="00CB36EB" w:rsidRPr="00FE38B5">
        <w:t xml:space="preserve">semi-parametric approaches (such as those of Lewbel, 2000, Dong and Lewbel, 2015, Yildiz, 2013, and Mu and Zhang, 2018). These semi-parametric approaches also provide unbiased estimators only under specific conditions (such as a large support requirement for the “special regressor” in the Dong and Lewbel (2015) approach; see Bontemps and Nauges, 2017). </w:t>
      </w:r>
      <w:r w:rsidR="00F8690D">
        <w:t>In th</w:t>
      </w:r>
      <w:r w:rsidR="002C2A51">
        <w:t>e above</w:t>
      </w:r>
      <w:r w:rsidR="00F8690D">
        <w:t xml:space="preserve"> </w:t>
      </w:r>
      <w:r w:rsidR="00283904">
        <w:t xml:space="preserve">methodological </w:t>
      </w:r>
      <w:r w:rsidR="00F8690D">
        <w:t xml:space="preserve">context, </w:t>
      </w:r>
      <w:r w:rsidR="002C2A51">
        <w:t xml:space="preserve">what we have accomplished in this paper is to introduce </w:t>
      </w:r>
      <w:r w:rsidR="00F8690D" w:rsidRPr="00BD739C">
        <w:t xml:space="preserve">our </w:t>
      </w:r>
      <w:r w:rsidR="002C2A51">
        <w:t xml:space="preserve">YJ-based </w:t>
      </w:r>
      <w:r w:rsidR="00F8690D" w:rsidRPr="00BD739C">
        <w:t>formulation as a valuable addition to the toolbox of discrete choice modelers</w:t>
      </w:r>
      <w:r w:rsidR="002C2A51">
        <w:t xml:space="preserve"> to introduce non-normality </w:t>
      </w:r>
      <w:r w:rsidR="00283904">
        <w:t>in mixed data models</w:t>
      </w:r>
      <w:r w:rsidR="002C2A51">
        <w:t xml:space="preserve">. </w:t>
      </w:r>
      <w:r w:rsidR="002C2A51" w:rsidRPr="00335BFF">
        <w:rPr>
          <w:color w:val="222222"/>
        </w:rPr>
        <w:t>But w</w:t>
      </w:r>
      <w:r w:rsidR="002C2A51" w:rsidRPr="001D3452">
        <w:rPr>
          <w:color w:val="222222"/>
        </w:rPr>
        <w:t>e leave</w:t>
      </w:r>
      <w:r w:rsidR="00283904">
        <w:rPr>
          <w:color w:val="222222"/>
        </w:rPr>
        <w:t>, for future simulation-based work,</w:t>
      </w:r>
      <w:r w:rsidR="002C2A51" w:rsidRPr="00335BFF">
        <w:rPr>
          <w:color w:val="222222"/>
        </w:rPr>
        <w:t xml:space="preserve"> </w:t>
      </w:r>
      <w:r w:rsidR="00283904">
        <w:rPr>
          <w:color w:val="222222"/>
        </w:rPr>
        <w:t xml:space="preserve">extensive </w:t>
      </w:r>
      <w:r w:rsidR="002C2A51" w:rsidRPr="00335BFF">
        <w:rPr>
          <w:color w:val="222222"/>
        </w:rPr>
        <w:t>com</w:t>
      </w:r>
      <w:r w:rsidR="002C2A51" w:rsidRPr="001D3452">
        <w:rPr>
          <w:color w:val="222222"/>
        </w:rPr>
        <w:t xml:space="preserve">parisons (from a stability, efficiency, efficacy, and computational standpoint) of the many </w:t>
      </w:r>
      <w:r w:rsidR="00283904">
        <w:rPr>
          <w:color w:val="222222"/>
        </w:rPr>
        <w:t xml:space="preserve">possible non-normality </w:t>
      </w:r>
      <w:r w:rsidR="002C2A51" w:rsidRPr="00335BFF">
        <w:rPr>
          <w:color w:val="222222"/>
        </w:rPr>
        <w:t xml:space="preserve">approaches </w:t>
      </w:r>
      <w:r w:rsidR="00283904">
        <w:rPr>
          <w:color w:val="222222"/>
        </w:rPr>
        <w:t>in mixed data models (with different numbers and types of endogenous outcomes, different sample sizes, different dependence patterns, and different univariate marginal error distributions).</w:t>
      </w:r>
    </w:p>
    <w:p w14:paraId="060E617E" w14:textId="69ADBEE8" w:rsidR="00F26ACC" w:rsidRPr="00967572" w:rsidRDefault="00283904" w:rsidP="00B4106B">
      <w:pPr>
        <w:autoSpaceDE w:val="0"/>
        <w:autoSpaceDN w:val="0"/>
        <w:adjustRightInd w:val="0"/>
        <w:spacing w:line="276" w:lineRule="auto"/>
        <w:ind w:firstLine="720"/>
        <w:jc w:val="both"/>
        <w:rPr>
          <w:rFonts w:cs="Times New Roman"/>
          <w:szCs w:val="24"/>
        </w:rPr>
      </w:pPr>
      <w:r>
        <w:rPr>
          <w:rFonts w:cs="Times New Roman"/>
          <w:szCs w:val="24"/>
        </w:rPr>
        <w:t>From an empirical standpoint, t</w:t>
      </w:r>
      <w:r w:rsidR="00991A71" w:rsidRPr="00967572">
        <w:rPr>
          <w:rFonts w:cs="Times New Roman"/>
          <w:szCs w:val="24"/>
        </w:rPr>
        <w:t xml:space="preserve">he </w:t>
      </w:r>
      <w:r w:rsidR="00967572" w:rsidRPr="00967572">
        <w:rPr>
          <w:rFonts w:cs="Times New Roman"/>
          <w:szCs w:val="24"/>
        </w:rPr>
        <w:t xml:space="preserve">proposed </w:t>
      </w:r>
      <w:r w:rsidR="00991A71" w:rsidRPr="00967572">
        <w:rPr>
          <w:rFonts w:cs="Times New Roman"/>
          <w:szCs w:val="24"/>
        </w:rPr>
        <w:t xml:space="preserve">model is applied </w:t>
      </w:r>
      <w:r w:rsidR="00967572" w:rsidRPr="00967572">
        <w:rPr>
          <w:rFonts w:cs="Times New Roman"/>
          <w:szCs w:val="24"/>
        </w:rPr>
        <w:t xml:space="preserve">in the current paper </w:t>
      </w:r>
      <w:r w:rsidR="00991A71" w:rsidRPr="00967572">
        <w:rPr>
          <w:rFonts w:cs="Times New Roman"/>
          <w:szCs w:val="24"/>
        </w:rPr>
        <w:t xml:space="preserve">to investigate the effect of urban living on walking frequency, considering the choice of urban living as being endogenous to walking frequency. While this endogeneity has been attributed in the past to unobserved individual factors such as green consciousness, </w:t>
      </w:r>
      <w:r w:rsidR="00090396" w:rsidRPr="00967572">
        <w:rPr>
          <w:rFonts w:cs="Times New Roman"/>
          <w:szCs w:val="24"/>
        </w:rPr>
        <w:t>our results</w:t>
      </w:r>
      <w:r w:rsidR="00D77719" w:rsidRPr="00967572">
        <w:rPr>
          <w:rFonts w:cs="Times New Roman"/>
          <w:szCs w:val="24"/>
        </w:rPr>
        <w:t xml:space="preserve">, in the context of a post-pandemic world, </w:t>
      </w:r>
      <w:r w:rsidR="00991A71" w:rsidRPr="00967572">
        <w:rPr>
          <w:rFonts w:cs="Times New Roman"/>
          <w:szCs w:val="24"/>
        </w:rPr>
        <w:t xml:space="preserve">suggest that lower level </w:t>
      </w:r>
      <w:r w:rsidR="00090396" w:rsidRPr="00967572">
        <w:rPr>
          <w:rFonts w:cs="Times New Roman"/>
          <w:szCs w:val="24"/>
        </w:rPr>
        <w:t xml:space="preserve">needs of walking feasibility and safety related to health </w:t>
      </w:r>
      <w:r w:rsidR="00090396" w:rsidRPr="00967572">
        <w:rPr>
          <w:rFonts w:cs="Times New Roman"/>
          <w:szCs w:val="24"/>
        </w:rPr>
        <w:lastRenderedPageBreak/>
        <w:t>and virus spread consideration</w:t>
      </w:r>
      <w:r w:rsidR="00D77719" w:rsidRPr="00967572">
        <w:rPr>
          <w:rFonts w:cs="Times New Roman"/>
          <w:szCs w:val="24"/>
        </w:rPr>
        <w:t xml:space="preserve">s </w:t>
      </w:r>
      <w:r w:rsidR="00090396" w:rsidRPr="00967572">
        <w:rPr>
          <w:rFonts w:cs="Times New Roman"/>
          <w:color w:val="000000" w:themeColor="text1"/>
          <w:szCs w:val="24"/>
        </w:rPr>
        <w:t xml:space="preserve">may be the more dominant individual factors affecting walking frequency </w:t>
      </w:r>
      <w:r w:rsidR="00CE2760" w:rsidRPr="00967572">
        <w:rPr>
          <w:rFonts w:cs="Times New Roman"/>
          <w:color w:val="000000" w:themeColor="text1"/>
          <w:szCs w:val="24"/>
        </w:rPr>
        <w:t xml:space="preserve">today </w:t>
      </w:r>
      <w:r w:rsidR="00D77719" w:rsidRPr="00967572">
        <w:rPr>
          <w:rFonts w:cs="Times New Roman"/>
          <w:color w:val="000000" w:themeColor="text1"/>
          <w:szCs w:val="24"/>
        </w:rPr>
        <w:t>and also leading to a generic predisposition of those with a high walking propensity to locate themselves in non-</w:t>
      </w:r>
      <w:r w:rsidR="00762E93">
        <w:rPr>
          <w:rFonts w:cs="Times New Roman"/>
          <w:color w:val="000000" w:themeColor="text1"/>
          <w:szCs w:val="24"/>
        </w:rPr>
        <w:t>crowded non-</w:t>
      </w:r>
      <w:r w:rsidR="00D77719" w:rsidRPr="00967572">
        <w:rPr>
          <w:rFonts w:cs="Times New Roman"/>
          <w:color w:val="000000" w:themeColor="text1"/>
          <w:szCs w:val="24"/>
        </w:rPr>
        <w:t xml:space="preserve">urban areas. This is consistent with the findings from </w:t>
      </w:r>
      <w:r w:rsidR="00341D17" w:rsidRPr="00967572">
        <w:rPr>
          <w:rFonts w:cs="Times New Roman"/>
          <w:color w:val="000000" w:themeColor="text1"/>
          <w:szCs w:val="24"/>
        </w:rPr>
        <w:t>Payd</w:t>
      </w:r>
      <w:r w:rsidR="009F37D7">
        <w:rPr>
          <w:rFonts w:cs="Times New Roman"/>
          <w:color w:val="000000" w:themeColor="text1"/>
          <w:szCs w:val="24"/>
        </w:rPr>
        <w:t>ar</w:t>
      </w:r>
      <w:r w:rsidR="00341D17" w:rsidRPr="00967572">
        <w:rPr>
          <w:rFonts w:cs="Times New Roman"/>
          <w:color w:val="000000" w:themeColor="text1"/>
          <w:szCs w:val="24"/>
        </w:rPr>
        <w:t xml:space="preserve"> and Fard </w:t>
      </w:r>
      <w:r w:rsidR="009F37D7">
        <w:rPr>
          <w:rFonts w:cs="Times New Roman"/>
          <w:color w:val="000000" w:themeColor="text1"/>
          <w:szCs w:val="24"/>
        </w:rPr>
        <w:t xml:space="preserve">(2021) </w:t>
      </w:r>
      <w:r w:rsidR="00D77719" w:rsidRPr="00967572">
        <w:rPr>
          <w:rFonts w:cs="Times New Roman"/>
          <w:color w:val="000000" w:themeColor="text1"/>
          <w:szCs w:val="24"/>
        </w:rPr>
        <w:t xml:space="preserve">who </w:t>
      </w:r>
      <w:r w:rsidR="00341D17" w:rsidRPr="00967572">
        <w:rPr>
          <w:rFonts w:cs="Times New Roman"/>
          <w:color w:val="000000" w:themeColor="text1"/>
          <w:szCs w:val="24"/>
        </w:rPr>
        <w:t xml:space="preserve">note that high-density cities have been more vulnerable to the spread of COVID and so </w:t>
      </w:r>
      <w:r w:rsidR="00D77719" w:rsidRPr="00967572">
        <w:rPr>
          <w:rFonts w:cs="Times New Roman"/>
          <w:szCs w:val="24"/>
        </w:rPr>
        <w:t>“more basic walking needs may play a</w:t>
      </w:r>
      <w:r w:rsidR="00341D17" w:rsidRPr="00967572">
        <w:rPr>
          <w:rFonts w:cs="Times New Roman"/>
          <w:szCs w:val="24"/>
        </w:rPr>
        <w:t xml:space="preserve"> </w:t>
      </w:r>
      <w:r w:rsidR="00D77719" w:rsidRPr="00967572">
        <w:rPr>
          <w:rFonts w:cs="Times New Roman"/>
          <w:szCs w:val="24"/>
        </w:rPr>
        <w:t>more important role in the daily walking patterns of inhabitants</w:t>
      </w:r>
      <w:r w:rsidR="00341D17" w:rsidRPr="00967572">
        <w:rPr>
          <w:rFonts w:cs="Times New Roman"/>
          <w:szCs w:val="24"/>
        </w:rPr>
        <w:t xml:space="preserve">”. This is particularly so for the “not-so-young”, because of the increased vulnerability of older individuals to COVID. </w:t>
      </w:r>
      <w:r w:rsidR="00CE2760" w:rsidRPr="00967572">
        <w:rPr>
          <w:rFonts w:cs="Times New Roman"/>
          <w:szCs w:val="24"/>
        </w:rPr>
        <w:t xml:space="preserve">The net result is a need to understand how best to design walking infrastructure that not only </w:t>
      </w:r>
      <w:r w:rsidR="005F651B" w:rsidRPr="00967572">
        <w:rPr>
          <w:rFonts w:cs="Times New Roman"/>
          <w:szCs w:val="24"/>
        </w:rPr>
        <w:t xml:space="preserve">adheres to the </w:t>
      </w:r>
      <w:r w:rsidR="00CE2760" w:rsidRPr="00967572">
        <w:rPr>
          <w:rFonts w:cs="Times New Roman"/>
          <w:szCs w:val="24"/>
        </w:rPr>
        <w:t xml:space="preserve">traditional notions of pedestrian friendliness (such as narrow streets, continuity in walkways, frequent crossing points, </w:t>
      </w:r>
      <w:r w:rsidR="005F651B" w:rsidRPr="00967572">
        <w:rPr>
          <w:rFonts w:cs="Times New Roman"/>
          <w:szCs w:val="24"/>
        </w:rPr>
        <w:t>and low speed limits), but also</w:t>
      </w:r>
      <w:r w:rsidR="00CE2760" w:rsidRPr="00967572">
        <w:rPr>
          <w:rFonts w:cs="Times New Roman"/>
          <w:szCs w:val="24"/>
        </w:rPr>
        <w:t xml:space="preserve"> provides a sense of </w:t>
      </w:r>
      <w:r w:rsidR="00762E93">
        <w:rPr>
          <w:rFonts w:cs="Times New Roman"/>
          <w:szCs w:val="24"/>
        </w:rPr>
        <w:t xml:space="preserve">health safety from </w:t>
      </w:r>
      <w:r w:rsidR="005F651B" w:rsidRPr="00967572">
        <w:rPr>
          <w:rFonts w:cs="Times New Roman"/>
          <w:szCs w:val="24"/>
        </w:rPr>
        <w:t>contagion spread</w:t>
      </w:r>
      <w:r w:rsidR="00F26ACC" w:rsidRPr="00967572">
        <w:rPr>
          <w:rFonts w:cs="Times New Roman"/>
          <w:szCs w:val="24"/>
        </w:rPr>
        <w:t xml:space="preserve">. Doing so proactively would be beneficial in preparation for future pandemics. </w:t>
      </w:r>
      <w:r w:rsidR="005F651B" w:rsidRPr="00967572">
        <w:rPr>
          <w:rFonts w:cs="Times New Roman"/>
          <w:szCs w:val="24"/>
        </w:rPr>
        <w:t>The takeaway also is that</w:t>
      </w:r>
      <w:r w:rsidR="00CF1271" w:rsidRPr="00967572">
        <w:rPr>
          <w:rFonts w:cs="Times New Roman"/>
          <w:szCs w:val="24"/>
        </w:rPr>
        <w:t>, with shifting residential choices, improved walking infrastructure (as proxied by the “urban” variable in our analysis) can elevate walking frequency across the board in all geographic areas</w:t>
      </w:r>
      <w:r w:rsidR="00F26ACC" w:rsidRPr="00967572">
        <w:rPr>
          <w:rFonts w:cs="Times New Roman"/>
          <w:szCs w:val="24"/>
        </w:rPr>
        <w:t xml:space="preserve">, </w:t>
      </w:r>
      <w:r w:rsidR="00C63C09" w:rsidRPr="00967572">
        <w:rPr>
          <w:rFonts w:cs="Times New Roman"/>
          <w:szCs w:val="24"/>
        </w:rPr>
        <w:t xml:space="preserve">pointing to the importance of </w:t>
      </w:r>
      <w:r w:rsidR="00F26ACC" w:rsidRPr="00967572">
        <w:rPr>
          <w:rFonts w:cs="Times New Roman"/>
          <w:szCs w:val="24"/>
        </w:rPr>
        <w:t xml:space="preserve">supporting </w:t>
      </w:r>
      <w:r w:rsidR="00A83387" w:rsidRPr="00967572">
        <w:rPr>
          <w:rFonts w:cs="Times New Roman"/>
          <w:szCs w:val="24"/>
        </w:rPr>
        <w:t>policies to invest in walk-friendly environments</w:t>
      </w:r>
      <w:r w:rsidR="00C63C09" w:rsidRPr="00967572">
        <w:rPr>
          <w:rFonts w:cs="Times New Roman"/>
          <w:szCs w:val="24"/>
        </w:rPr>
        <w:t xml:space="preserve"> in a post-pandemic world</w:t>
      </w:r>
      <w:r w:rsidR="00A83387" w:rsidRPr="00967572">
        <w:rPr>
          <w:rFonts w:cs="Times New Roman"/>
          <w:szCs w:val="24"/>
        </w:rPr>
        <w:t>.</w:t>
      </w:r>
    </w:p>
    <w:p w14:paraId="2CF59C8A" w14:textId="3C66FDE1" w:rsidR="003D65FF" w:rsidRDefault="003D65FF" w:rsidP="00F76E97">
      <w:pPr>
        <w:spacing w:line="276" w:lineRule="auto"/>
        <w:rPr>
          <w:b/>
          <w:bCs/>
          <w:szCs w:val="24"/>
        </w:rPr>
      </w:pPr>
    </w:p>
    <w:p w14:paraId="1984A031" w14:textId="25BF0A29" w:rsidR="00167144" w:rsidRPr="00167144" w:rsidRDefault="00167144" w:rsidP="00F76E97">
      <w:pPr>
        <w:spacing w:line="276" w:lineRule="auto"/>
        <w:rPr>
          <w:b/>
          <w:bCs/>
          <w:szCs w:val="24"/>
        </w:rPr>
      </w:pPr>
      <w:r>
        <w:rPr>
          <w:b/>
          <w:bCs/>
          <w:szCs w:val="24"/>
        </w:rPr>
        <w:t>ACKNOWLEDGMENTS</w:t>
      </w:r>
    </w:p>
    <w:p w14:paraId="738A0F5B" w14:textId="1F6DA930" w:rsidR="00222560" w:rsidRDefault="00BA53CB" w:rsidP="00F76E97">
      <w:pPr>
        <w:spacing w:line="276" w:lineRule="auto"/>
        <w:jc w:val="both"/>
      </w:pPr>
      <w:r>
        <w:t>T</w:t>
      </w:r>
      <w:r w:rsidR="00C735DA">
        <w:t>his research was partially supported by the U.S. Department of Transportation through the Center for Understanding Future Travel Behavior and Demand (TBD) (Grant No. 69A3552344815 and No. 69A3552348320). The author is grateful to Lisa Macias for help in formatting this document.</w:t>
      </w:r>
      <w:r w:rsidR="0003111E">
        <w:t xml:space="preserve"> Two anonymous reviewers provided valuable feedback to improve the paper. </w:t>
      </w:r>
    </w:p>
    <w:p w14:paraId="5DE42FBC" w14:textId="07F8EC33" w:rsidR="00E50B7B" w:rsidRPr="00167144" w:rsidRDefault="00C735DA" w:rsidP="00F76E97">
      <w:pPr>
        <w:spacing w:line="276" w:lineRule="auto"/>
        <w:jc w:val="both"/>
      </w:pPr>
      <w:r>
        <w:t xml:space="preserve"> </w:t>
      </w:r>
    </w:p>
    <w:p w14:paraId="47AAFBE1" w14:textId="77777777" w:rsidR="00167144" w:rsidRPr="00167144" w:rsidRDefault="00167144" w:rsidP="00167144"/>
    <w:p w14:paraId="52A9832C" w14:textId="77777777" w:rsidR="00167144" w:rsidRDefault="00167144">
      <w:pPr>
        <w:spacing w:after="160" w:line="259" w:lineRule="auto"/>
        <w:rPr>
          <w:rFonts w:cs="Times New Roman"/>
          <w:b/>
          <w:bCs/>
          <w:szCs w:val="24"/>
        </w:rPr>
      </w:pPr>
      <w:r>
        <w:rPr>
          <w:rFonts w:cs="Times New Roman"/>
          <w:b/>
          <w:bCs/>
          <w:szCs w:val="24"/>
        </w:rPr>
        <w:br w:type="page"/>
      </w:r>
    </w:p>
    <w:p w14:paraId="33736460" w14:textId="364A1236" w:rsidR="00944E80" w:rsidRPr="00137EA9" w:rsidRDefault="00944E80" w:rsidP="00B4106B">
      <w:pPr>
        <w:autoSpaceDE w:val="0"/>
        <w:autoSpaceDN w:val="0"/>
        <w:adjustRightInd w:val="0"/>
        <w:spacing w:line="276" w:lineRule="auto"/>
        <w:rPr>
          <w:rFonts w:cs="Times New Roman"/>
          <w:b/>
          <w:bCs/>
          <w:szCs w:val="24"/>
        </w:rPr>
      </w:pPr>
      <w:r w:rsidRPr="00E50B7B">
        <w:rPr>
          <w:rFonts w:cs="Times New Roman"/>
          <w:b/>
          <w:bCs/>
          <w:szCs w:val="24"/>
        </w:rPr>
        <w:lastRenderedPageBreak/>
        <w:t>REFERENCES</w:t>
      </w:r>
    </w:p>
    <w:p w14:paraId="566929CB" w14:textId="0D2F300E" w:rsidR="007C2184" w:rsidRPr="00127514" w:rsidRDefault="007C2184" w:rsidP="00127514">
      <w:pPr>
        <w:autoSpaceDE w:val="0"/>
        <w:autoSpaceDN w:val="0"/>
        <w:adjustRightInd w:val="0"/>
        <w:ind w:left="630" w:hanging="630"/>
        <w:jc w:val="both"/>
        <w:rPr>
          <w:rFonts w:cs="Times New Roman"/>
          <w:szCs w:val="24"/>
        </w:rPr>
      </w:pPr>
      <w:r w:rsidRPr="00127514">
        <w:rPr>
          <w:rFonts w:cs="Times New Roman"/>
          <w:szCs w:val="24"/>
          <w:lang w:val="it-IT"/>
        </w:rPr>
        <w:t xml:space="preserve">Arellano-Valle, R.B. and Azzalini, A. (2006). </w:t>
      </w:r>
      <w:r w:rsidRPr="00127514">
        <w:rPr>
          <w:rFonts w:cs="Times New Roman"/>
          <w:szCs w:val="24"/>
        </w:rPr>
        <w:t xml:space="preserve">On the unification of families of skew-normal distributions. </w:t>
      </w:r>
      <w:r w:rsidRPr="00127514">
        <w:rPr>
          <w:rFonts w:cs="Times New Roman"/>
          <w:i/>
          <w:szCs w:val="24"/>
        </w:rPr>
        <w:t>Scandinavian Journal of Statistics</w:t>
      </w:r>
      <w:r w:rsidRPr="00127514">
        <w:rPr>
          <w:rFonts w:cs="Times New Roman"/>
          <w:szCs w:val="24"/>
        </w:rPr>
        <w:t xml:space="preserve"> 33(3), 561-574.</w:t>
      </w:r>
    </w:p>
    <w:p w14:paraId="252BD239" w14:textId="7ABD1F70" w:rsidR="007C2184" w:rsidRPr="00127514" w:rsidRDefault="007C2184" w:rsidP="00127514">
      <w:pPr>
        <w:autoSpaceDE w:val="0"/>
        <w:autoSpaceDN w:val="0"/>
        <w:adjustRightInd w:val="0"/>
        <w:ind w:left="630" w:hanging="630"/>
        <w:jc w:val="both"/>
        <w:rPr>
          <w:rFonts w:cs="Times New Roman"/>
          <w:szCs w:val="24"/>
        </w:rPr>
      </w:pPr>
      <w:r w:rsidRPr="00127514">
        <w:rPr>
          <w:rFonts w:cs="Times New Roman"/>
          <w:szCs w:val="24"/>
        </w:rPr>
        <w:t xml:space="preserve">Azzalini, A. and </w:t>
      </w:r>
      <w:r w:rsidRPr="00127514">
        <w:rPr>
          <w:rStyle w:val="referencetext"/>
          <w:rFonts w:cs="Times New Roman"/>
          <w:szCs w:val="24"/>
        </w:rPr>
        <w:t xml:space="preserve">Dalla Valle, A. (1996). The multivariate skew-normal distribution. </w:t>
      </w:r>
      <w:r w:rsidRPr="00127514">
        <w:rPr>
          <w:rStyle w:val="referencetext"/>
          <w:rFonts w:cs="Times New Roman"/>
          <w:i/>
          <w:iCs/>
          <w:szCs w:val="24"/>
        </w:rPr>
        <w:t>Biometrika</w:t>
      </w:r>
      <w:r w:rsidRPr="00127514">
        <w:rPr>
          <w:rStyle w:val="referencetext"/>
          <w:rFonts w:cs="Times New Roman"/>
          <w:szCs w:val="24"/>
        </w:rPr>
        <w:t xml:space="preserve"> </w:t>
      </w:r>
      <w:r w:rsidRPr="00127514">
        <w:rPr>
          <w:rStyle w:val="Strong"/>
          <w:rFonts w:cs="Times New Roman"/>
          <w:b w:val="0"/>
          <w:szCs w:val="24"/>
        </w:rPr>
        <w:t>83</w:t>
      </w:r>
      <w:r w:rsidRPr="00127514">
        <w:rPr>
          <w:rStyle w:val="referencetext"/>
          <w:rFonts w:cs="Times New Roman"/>
          <w:szCs w:val="24"/>
        </w:rPr>
        <w:t>(4), 715-726.</w:t>
      </w:r>
    </w:p>
    <w:p w14:paraId="46A1FB44" w14:textId="27542039" w:rsidR="00222560" w:rsidRPr="00127514" w:rsidRDefault="00222560" w:rsidP="00127514">
      <w:pPr>
        <w:ind w:left="540" w:hanging="540"/>
        <w:jc w:val="both"/>
        <w:rPr>
          <w:rFonts w:cs="Times New Roman"/>
          <w:szCs w:val="24"/>
        </w:rPr>
      </w:pPr>
      <w:r w:rsidRPr="00127514">
        <w:rPr>
          <w:rFonts w:cs="Times New Roman"/>
          <w:szCs w:val="24"/>
        </w:rPr>
        <w:t>Asmussen, K.E., Mondal, A., and Bhat, C.R. (202</w:t>
      </w:r>
      <w:r w:rsidR="00127514" w:rsidRPr="00127514">
        <w:rPr>
          <w:rFonts w:cs="Times New Roman"/>
          <w:szCs w:val="24"/>
        </w:rPr>
        <w:t>4</w:t>
      </w:r>
      <w:r w:rsidRPr="00127514">
        <w:rPr>
          <w:rFonts w:cs="Times New Roman"/>
          <w:szCs w:val="24"/>
        </w:rPr>
        <w:t xml:space="preserve">). The interplay between teleworking choice and commute distance. </w:t>
      </w:r>
      <w:r w:rsidR="00127514" w:rsidRPr="00127514">
        <w:rPr>
          <w:rFonts w:cs="Times New Roman"/>
          <w:i/>
          <w:iCs/>
          <w:szCs w:val="24"/>
        </w:rPr>
        <w:t>Transportation Research Part C</w:t>
      </w:r>
      <w:r w:rsidR="00127514" w:rsidRPr="00127514">
        <w:rPr>
          <w:rFonts w:cs="Times New Roman"/>
          <w:szCs w:val="24"/>
        </w:rPr>
        <w:t>, 165, 104690</w:t>
      </w:r>
      <w:r w:rsidRPr="00127514">
        <w:rPr>
          <w:rFonts w:cs="Times New Roman"/>
          <w:szCs w:val="24"/>
        </w:rPr>
        <w:t xml:space="preserve">. </w:t>
      </w:r>
    </w:p>
    <w:p w14:paraId="65D60E61" w14:textId="4D69EB8E" w:rsidR="006355B9" w:rsidRPr="00127514" w:rsidRDefault="006355B9" w:rsidP="00127514">
      <w:pPr>
        <w:pStyle w:val="Heading2"/>
        <w:spacing w:before="0"/>
        <w:ind w:left="540" w:hanging="540"/>
        <w:jc w:val="both"/>
        <w:rPr>
          <w:rFonts w:ascii="Times New Roman" w:eastAsia="Times New Roman" w:hAnsi="Times New Roman" w:cs="Times New Roman"/>
          <w:color w:val="auto"/>
          <w:sz w:val="24"/>
          <w:szCs w:val="24"/>
        </w:rPr>
      </w:pPr>
      <w:r w:rsidRPr="00127514">
        <w:rPr>
          <w:rStyle w:val="linkbluetoblue"/>
          <w:rFonts w:ascii="Times New Roman" w:hAnsi="Times New Roman" w:cs="Times New Roman"/>
          <w:color w:val="auto"/>
          <w:sz w:val="24"/>
          <w:szCs w:val="24"/>
          <w:shd w:val="clear" w:color="auto" w:fill="FFFFFF"/>
        </w:rPr>
        <w:t>Atkinson, A.C.,</w:t>
      </w:r>
      <w:r w:rsidRPr="00127514">
        <w:rPr>
          <w:rFonts w:ascii="Times New Roman" w:hAnsi="Times New Roman" w:cs="Times New Roman"/>
          <w:color w:val="auto"/>
          <w:sz w:val="24"/>
          <w:szCs w:val="24"/>
          <w:shd w:val="clear" w:color="auto" w:fill="FFFFFF"/>
        </w:rPr>
        <w:t> </w:t>
      </w:r>
      <w:r w:rsidRPr="00127514">
        <w:rPr>
          <w:rStyle w:val="linkbluetoblue"/>
          <w:rFonts w:ascii="Times New Roman" w:hAnsi="Times New Roman" w:cs="Times New Roman"/>
          <w:color w:val="auto"/>
          <w:sz w:val="24"/>
          <w:szCs w:val="24"/>
          <w:shd w:val="clear" w:color="auto" w:fill="FFFFFF"/>
        </w:rPr>
        <w:t>Riani, M., and Corbellini, A.</w:t>
      </w:r>
      <w:r w:rsidR="00222560" w:rsidRPr="00127514">
        <w:rPr>
          <w:rStyle w:val="linkbluetoblue"/>
          <w:rFonts w:ascii="Times New Roman" w:hAnsi="Times New Roman" w:cs="Times New Roman"/>
          <w:color w:val="auto"/>
          <w:sz w:val="24"/>
          <w:szCs w:val="24"/>
          <w:shd w:val="clear" w:color="auto" w:fill="FFFFFF"/>
        </w:rPr>
        <w:t xml:space="preserve"> (2021).</w:t>
      </w:r>
      <w:r w:rsidRPr="00127514">
        <w:rPr>
          <w:rFonts w:ascii="Times New Roman" w:hAnsi="Times New Roman" w:cs="Times New Roman"/>
          <w:color w:val="auto"/>
          <w:sz w:val="24"/>
          <w:szCs w:val="24"/>
          <w:shd w:val="clear" w:color="auto" w:fill="FFFFFF"/>
        </w:rPr>
        <w:t xml:space="preserve"> The Box–Cox transformation: </w:t>
      </w:r>
      <w:r w:rsidR="00222560" w:rsidRPr="00127514">
        <w:rPr>
          <w:rFonts w:ascii="Times New Roman" w:hAnsi="Times New Roman" w:cs="Times New Roman"/>
          <w:color w:val="auto"/>
          <w:sz w:val="24"/>
          <w:szCs w:val="24"/>
          <w:shd w:val="clear" w:color="auto" w:fill="FFFFFF"/>
        </w:rPr>
        <w:t>R</w:t>
      </w:r>
      <w:r w:rsidRPr="00127514">
        <w:rPr>
          <w:rFonts w:ascii="Times New Roman" w:hAnsi="Times New Roman" w:cs="Times New Roman"/>
          <w:color w:val="auto"/>
          <w:sz w:val="24"/>
          <w:szCs w:val="24"/>
          <w:shd w:val="clear" w:color="auto" w:fill="FFFFFF"/>
        </w:rPr>
        <w:t>eview and extensions. </w:t>
      </w:r>
      <w:r w:rsidRPr="00127514">
        <w:rPr>
          <w:rFonts w:ascii="Times New Roman" w:hAnsi="Times New Roman" w:cs="Times New Roman"/>
          <w:i/>
          <w:iCs/>
          <w:color w:val="auto"/>
          <w:sz w:val="24"/>
          <w:szCs w:val="24"/>
          <w:shd w:val="clear" w:color="auto" w:fill="FFFFFF"/>
        </w:rPr>
        <w:t>Statist</w:t>
      </w:r>
      <w:r w:rsidR="00222560" w:rsidRPr="00127514">
        <w:rPr>
          <w:rFonts w:ascii="Times New Roman" w:hAnsi="Times New Roman" w:cs="Times New Roman"/>
          <w:i/>
          <w:iCs/>
          <w:color w:val="auto"/>
          <w:sz w:val="24"/>
          <w:szCs w:val="24"/>
          <w:shd w:val="clear" w:color="auto" w:fill="FFFFFF"/>
        </w:rPr>
        <w:t>ical</w:t>
      </w:r>
      <w:r w:rsidRPr="00127514">
        <w:rPr>
          <w:rFonts w:ascii="Times New Roman" w:hAnsi="Times New Roman" w:cs="Times New Roman"/>
          <w:i/>
          <w:iCs/>
          <w:color w:val="auto"/>
          <w:sz w:val="24"/>
          <w:szCs w:val="24"/>
          <w:shd w:val="clear" w:color="auto" w:fill="FFFFFF"/>
        </w:rPr>
        <w:t xml:space="preserve"> Sci</w:t>
      </w:r>
      <w:r w:rsidR="00222560" w:rsidRPr="00127514">
        <w:rPr>
          <w:rFonts w:ascii="Times New Roman" w:hAnsi="Times New Roman" w:cs="Times New Roman"/>
          <w:i/>
          <w:iCs/>
          <w:color w:val="auto"/>
          <w:sz w:val="24"/>
          <w:szCs w:val="24"/>
          <w:shd w:val="clear" w:color="auto" w:fill="FFFFFF"/>
        </w:rPr>
        <w:t>ence</w:t>
      </w:r>
      <w:r w:rsidR="00222560" w:rsidRPr="00127514">
        <w:rPr>
          <w:rFonts w:ascii="Times New Roman" w:hAnsi="Times New Roman" w:cs="Times New Roman"/>
          <w:color w:val="auto"/>
          <w:sz w:val="24"/>
          <w:szCs w:val="24"/>
          <w:shd w:val="clear" w:color="auto" w:fill="FFFFFF"/>
        </w:rPr>
        <w:t>,</w:t>
      </w:r>
      <w:r w:rsidRPr="00127514">
        <w:rPr>
          <w:rFonts w:ascii="Times New Roman" w:hAnsi="Times New Roman" w:cs="Times New Roman"/>
          <w:color w:val="auto"/>
          <w:sz w:val="24"/>
          <w:szCs w:val="24"/>
          <w:shd w:val="clear" w:color="auto" w:fill="FFFFFF"/>
        </w:rPr>
        <w:t> 36(2) 239-255</w:t>
      </w:r>
      <w:r w:rsidR="00222560" w:rsidRPr="00127514">
        <w:rPr>
          <w:rFonts w:ascii="Times New Roman" w:hAnsi="Times New Roman" w:cs="Times New Roman"/>
          <w:color w:val="auto"/>
          <w:sz w:val="24"/>
          <w:szCs w:val="24"/>
          <w:shd w:val="clear" w:color="auto" w:fill="FFFFFF"/>
        </w:rPr>
        <w:t>.</w:t>
      </w:r>
      <w:r w:rsidRPr="00127514">
        <w:rPr>
          <w:rFonts w:ascii="Times New Roman" w:hAnsi="Times New Roman" w:cs="Times New Roman"/>
          <w:color w:val="auto"/>
          <w:sz w:val="24"/>
          <w:szCs w:val="24"/>
          <w:shd w:val="clear" w:color="auto" w:fill="FFFFFF"/>
        </w:rPr>
        <w:t xml:space="preserve"> https://doi.org/10.1214/20-STS778</w:t>
      </w:r>
    </w:p>
    <w:p w14:paraId="27F65FB9" w14:textId="77777777" w:rsidR="00944E80" w:rsidRPr="00127514" w:rsidRDefault="00944E80" w:rsidP="00127514">
      <w:pPr>
        <w:ind w:left="540" w:hanging="540"/>
        <w:jc w:val="both"/>
        <w:rPr>
          <w:rFonts w:cs="Times New Roman"/>
          <w:szCs w:val="24"/>
        </w:rPr>
      </w:pPr>
      <w:r w:rsidRPr="00127514">
        <w:rPr>
          <w:rFonts w:cs="Times New Roman"/>
          <w:szCs w:val="24"/>
        </w:rPr>
        <w:t xml:space="preserve">Bernardo, C., Paleti, R., Hoklas, M., and Bhat, C.R. (2015). An empirical investigation into the time-use and activity patterns of dual-earner couples with and without young children. </w:t>
      </w:r>
      <w:r w:rsidRPr="00127514">
        <w:rPr>
          <w:rFonts w:cs="Times New Roman"/>
          <w:i/>
          <w:iCs/>
          <w:szCs w:val="24"/>
        </w:rPr>
        <w:t>Transportation Research Part A</w:t>
      </w:r>
      <w:r w:rsidRPr="00127514">
        <w:rPr>
          <w:rFonts w:cs="Times New Roman"/>
          <w:szCs w:val="24"/>
        </w:rPr>
        <w:t>, 76, 71-91.</w:t>
      </w:r>
    </w:p>
    <w:p w14:paraId="1EB11B67" w14:textId="77777777" w:rsidR="00944E80" w:rsidRPr="00127514" w:rsidRDefault="00944E80" w:rsidP="00127514">
      <w:pPr>
        <w:ind w:left="540" w:hanging="540"/>
        <w:jc w:val="both"/>
        <w:rPr>
          <w:rFonts w:cs="Times New Roman"/>
          <w:szCs w:val="24"/>
        </w:rPr>
      </w:pPr>
      <w:r w:rsidRPr="00127514">
        <w:rPr>
          <w:rFonts w:cs="Times New Roman"/>
          <w:szCs w:val="24"/>
        </w:rPr>
        <w:t>Bhat, C.R. (1997). Work travel mode choice and number of nonwork commute stops. </w:t>
      </w:r>
      <w:r w:rsidRPr="00127514">
        <w:rPr>
          <w:rFonts w:cs="Times New Roman"/>
          <w:i/>
          <w:iCs/>
          <w:szCs w:val="24"/>
        </w:rPr>
        <w:t>Transportation Research Part B</w:t>
      </w:r>
      <w:r w:rsidRPr="00127514">
        <w:rPr>
          <w:rFonts w:cs="Times New Roman"/>
          <w:szCs w:val="24"/>
        </w:rPr>
        <w:t>, 31(1), 41-54. </w:t>
      </w:r>
    </w:p>
    <w:p w14:paraId="761BE7AF" w14:textId="77777777" w:rsidR="00944E80" w:rsidRPr="00127514" w:rsidRDefault="00944E80" w:rsidP="00127514">
      <w:pPr>
        <w:ind w:left="540" w:hanging="540"/>
        <w:jc w:val="both"/>
        <w:rPr>
          <w:rFonts w:cs="Times New Roman"/>
          <w:szCs w:val="24"/>
        </w:rPr>
      </w:pPr>
      <w:r w:rsidRPr="00127514">
        <w:rPr>
          <w:rFonts w:cs="Times New Roman"/>
          <w:szCs w:val="24"/>
        </w:rPr>
        <w:t xml:space="preserve">Bhat, C.R., and Eluru, N. (2009). </w:t>
      </w:r>
      <w:r w:rsidRPr="00127514">
        <w:rPr>
          <w:rFonts w:eastAsia="MS Mincho" w:cs="Times New Roman"/>
          <w:szCs w:val="24"/>
        </w:rPr>
        <w:t>A copula-based approach to accommodate residential self-selection effects in travel behavior modeling</w:t>
      </w:r>
      <w:r w:rsidRPr="00127514">
        <w:rPr>
          <w:rFonts w:cs="Times New Roman"/>
          <w:szCs w:val="24"/>
        </w:rPr>
        <w:t xml:space="preserve">. </w:t>
      </w:r>
      <w:r w:rsidRPr="00127514">
        <w:rPr>
          <w:rFonts w:cs="Times New Roman"/>
          <w:i/>
          <w:iCs/>
          <w:szCs w:val="24"/>
        </w:rPr>
        <w:t>Transportation Research Part B</w:t>
      </w:r>
      <w:r w:rsidRPr="00127514">
        <w:rPr>
          <w:rFonts w:cs="Times New Roman"/>
          <w:szCs w:val="24"/>
        </w:rPr>
        <w:t>, 43(7), 749-765.</w:t>
      </w:r>
    </w:p>
    <w:p w14:paraId="27941DF6" w14:textId="77777777" w:rsidR="00944E80" w:rsidRPr="00127514" w:rsidRDefault="00944E80" w:rsidP="00127514">
      <w:pPr>
        <w:ind w:left="540" w:hanging="540"/>
        <w:jc w:val="both"/>
        <w:rPr>
          <w:rFonts w:cs="Times New Roman"/>
          <w:noProof/>
          <w:szCs w:val="24"/>
        </w:rPr>
      </w:pPr>
      <w:r w:rsidRPr="00127514">
        <w:rPr>
          <w:rFonts w:cs="Times New Roman"/>
          <w:noProof/>
          <w:szCs w:val="24"/>
        </w:rPr>
        <w:t xml:space="preserve">Bhat, C.R., and Guo, J.Y. (2007). A comprehensive analysis of built environment characteristics on household residential choice and auto ownership levels. </w:t>
      </w:r>
      <w:r w:rsidRPr="00127514">
        <w:rPr>
          <w:rFonts w:cs="Times New Roman"/>
          <w:i/>
          <w:iCs/>
          <w:noProof/>
          <w:szCs w:val="24"/>
        </w:rPr>
        <w:t>Transportation Research Part B</w:t>
      </w:r>
      <w:r w:rsidRPr="00127514">
        <w:rPr>
          <w:rFonts w:cs="Times New Roman"/>
          <w:noProof/>
          <w:szCs w:val="24"/>
        </w:rPr>
        <w:t xml:space="preserve">, 41(5), 506-526. </w:t>
      </w:r>
    </w:p>
    <w:p w14:paraId="784E23BB" w14:textId="77777777" w:rsidR="00944E80" w:rsidRPr="00127514" w:rsidRDefault="00944E80" w:rsidP="00127514">
      <w:pPr>
        <w:ind w:left="540" w:hanging="540"/>
        <w:jc w:val="both"/>
        <w:rPr>
          <w:rFonts w:cs="Times New Roman"/>
          <w:szCs w:val="24"/>
        </w:rPr>
      </w:pPr>
      <w:r w:rsidRPr="00127514">
        <w:rPr>
          <w:rFonts w:cs="Times New Roman"/>
          <w:szCs w:val="24"/>
        </w:rPr>
        <w:t>Bhat, C.R., and Mondal, A. (2022). A new flexible generalized heterogeneous data model (GHDM) with an application to examine the effect of high density neighborhood living on bicycling frequency. </w:t>
      </w:r>
      <w:r w:rsidRPr="00127514">
        <w:rPr>
          <w:rFonts w:cs="Times New Roman"/>
          <w:i/>
          <w:iCs/>
          <w:szCs w:val="24"/>
        </w:rPr>
        <w:t>Transportation Research Part B</w:t>
      </w:r>
      <w:r w:rsidRPr="00127514">
        <w:rPr>
          <w:rFonts w:cs="Times New Roman"/>
          <w:szCs w:val="24"/>
        </w:rPr>
        <w:t>, 164, 244-266.</w:t>
      </w:r>
      <w:r w:rsidRPr="00127514">
        <w:rPr>
          <w:rFonts w:cs="Times New Roman"/>
          <w:szCs w:val="24"/>
        </w:rPr>
        <w:tab/>
        <w:t xml:space="preserve"> </w:t>
      </w:r>
    </w:p>
    <w:p w14:paraId="4F1596CB" w14:textId="748E7C6C" w:rsidR="000A397B" w:rsidRPr="00127514" w:rsidRDefault="000A397B" w:rsidP="00127514">
      <w:pPr>
        <w:ind w:left="540" w:hanging="540"/>
        <w:jc w:val="both"/>
        <w:rPr>
          <w:rFonts w:cs="Times New Roman"/>
          <w:szCs w:val="24"/>
        </w:rPr>
      </w:pPr>
      <w:r w:rsidRPr="00127514">
        <w:rPr>
          <w:rFonts w:cs="Times New Roman"/>
          <w:szCs w:val="24"/>
        </w:rPr>
        <w:t>Bhat, C.R., and Sidharthan, R. (2012). A new approach to specify and estimate non-normally mixed multinomial probit models, </w:t>
      </w:r>
      <w:r w:rsidRPr="00127514">
        <w:rPr>
          <w:rFonts w:cs="Times New Roman"/>
          <w:i/>
          <w:iCs/>
          <w:szCs w:val="24"/>
        </w:rPr>
        <w:t>Transportation Research Part B</w:t>
      </w:r>
      <w:r w:rsidRPr="00127514">
        <w:rPr>
          <w:rFonts w:cs="Times New Roman"/>
          <w:szCs w:val="24"/>
        </w:rPr>
        <w:t>, 46, 817-833. </w:t>
      </w:r>
    </w:p>
    <w:p w14:paraId="50B1E92F" w14:textId="2D591F61" w:rsidR="00944E80" w:rsidRPr="00127514" w:rsidRDefault="00944E80" w:rsidP="00127514">
      <w:pPr>
        <w:ind w:left="540" w:hanging="540"/>
        <w:jc w:val="both"/>
        <w:rPr>
          <w:rFonts w:cs="Times New Roman"/>
          <w:szCs w:val="24"/>
        </w:rPr>
      </w:pPr>
      <w:r w:rsidRPr="00127514">
        <w:rPr>
          <w:rFonts w:cs="Times New Roman"/>
          <w:szCs w:val="24"/>
        </w:rPr>
        <w:t>Bhat, C.R., and Singh, S.K.</w:t>
      </w:r>
      <w:r w:rsidR="00222560" w:rsidRPr="00127514">
        <w:rPr>
          <w:rFonts w:cs="Times New Roman"/>
          <w:szCs w:val="24"/>
        </w:rPr>
        <w:t xml:space="preserve"> </w:t>
      </w:r>
      <w:r w:rsidRPr="00127514">
        <w:rPr>
          <w:rFonts w:cs="Times New Roman"/>
          <w:szCs w:val="24"/>
        </w:rPr>
        <w:t xml:space="preserve">(2000). A comprehensive daily activity-travel generation model system for workers. </w:t>
      </w:r>
      <w:r w:rsidRPr="00127514">
        <w:rPr>
          <w:rFonts w:cs="Times New Roman"/>
          <w:i/>
          <w:iCs/>
          <w:szCs w:val="24"/>
        </w:rPr>
        <w:t>Transportation Research Part A</w:t>
      </w:r>
      <w:r w:rsidRPr="00127514">
        <w:rPr>
          <w:rFonts w:cs="Times New Roman"/>
          <w:szCs w:val="24"/>
        </w:rPr>
        <w:t>, 34(1), 1-22.</w:t>
      </w:r>
    </w:p>
    <w:p w14:paraId="72F93087" w14:textId="77777777" w:rsidR="00944E80" w:rsidRPr="00127514" w:rsidRDefault="00944E80" w:rsidP="00127514">
      <w:pPr>
        <w:keepLines/>
        <w:ind w:left="547" w:hanging="547"/>
        <w:jc w:val="both"/>
        <w:rPr>
          <w:rFonts w:cs="Times New Roman"/>
          <w:szCs w:val="24"/>
        </w:rPr>
      </w:pPr>
      <w:r w:rsidRPr="00127514">
        <w:rPr>
          <w:rFonts w:cs="Times New Roman"/>
          <w:szCs w:val="24"/>
        </w:rPr>
        <w:t>Bhat, C.R., Astroza, S., Bhat, A.C., and Nagel, K. (2016). Incorporating a multiple discrete-continuous outcome in the generalized heterogeneous data model: Application to residential self-selection effects analysis in an activity time-use behavior model. </w:t>
      </w:r>
      <w:r w:rsidRPr="00127514">
        <w:rPr>
          <w:rFonts w:cs="Times New Roman"/>
          <w:i/>
          <w:iCs/>
          <w:szCs w:val="24"/>
        </w:rPr>
        <w:t>Transportation Research Part B</w:t>
      </w:r>
      <w:r w:rsidRPr="00127514">
        <w:rPr>
          <w:rFonts w:cs="Times New Roman"/>
          <w:szCs w:val="24"/>
        </w:rPr>
        <w:t>, 91, 52-76. </w:t>
      </w:r>
    </w:p>
    <w:p w14:paraId="13BAB50D" w14:textId="77777777" w:rsidR="000A397B" w:rsidRPr="00127514" w:rsidRDefault="000A397B" w:rsidP="00127514">
      <w:pPr>
        <w:ind w:left="540" w:hanging="540"/>
        <w:jc w:val="both"/>
        <w:rPr>
          <w:rFonts w:cs="Times New Roman"/>
          <w:szCs w:val="24"/>
        </w:rPr>
      </w:pPr>
      <w:r w:rsidRPr="00127514">
        <w:rPr>
          <w:rFonts w:cs="Times New Roman"/>
          <w:szCs w:val="24"/>
        </w:rPr>
        <w:t xml:space="preserve">Bhat, A.C., Almeida, D.M., Fenelon, A., Santos-Lozada, A.R. (2022). A longitudinal analysis of the relationship between housing insecurity and physical health among midlife and aging adults in the United States. </w:t>
      </w:r>
      <w:r w:rsidRPr="00127514">
        <w:rPr>
          <w:rFonts w:cs="Times New Roman"/>
          <w:i/>
          <w:iCs/>
          <w:szCs w:val="24"/>
        </w:rPr>
        <w:t>SSM - Population Health</w:t>
      </w:r>
      <w:r w:rsidRPr="00127514">
        <w:rPr>
          <w:rFonts w:cs="Times New Roman"/>
          <w:szCs w:val="24"/>
        </w:rPr>
        <w:t xml:space="preserve">, 18, 101128. </w:t>
      </w:r>
      <w:hyperlink r:id="rId341" w:history="1">
        <w:r w:rsidRPr="00127514">
          <w:rPr>
            <w:rFonts w:cs="Times New Roman"/>
            <w:szCs w:val="24"/>
          </w:rPr>
          <w:t>https://doi.org/10.1016/j.ssmph.2022.101128</w:t>
        </w:r>
      </w:hyperlink>
    </w:p>
    <w:p w14:paraId="287756A1" w14:textId="3CD788AB" w:rsidR="00D82B3B" w:rsidRPr="00127514" w:rsidRDefault="00D82B3B" w:rsidP="00127514">
      <w:pPr>
        <w:ind w:left="540" w:hanging="540"/>
        <w:jc w:val="both"/>
        <w:rPr>
          <w:rFonts w:cs="Times New Roman"/>
          <w:szCs w:val="24"/>
        </w:rPr>
      </w:pPr>
      <w:r w:rsidRPr="00127514">
        <w:rPr>
          <w:rFonts w:cs="Times New Roman"/>
          <w:szCs w:val="24"/>
        </w:rPr>
        <w:t>Bhat, C.R., Mondal, A., and Pinjari, A.R. (2024). A flexible non-normal random coefficient multinomial probit model: application to investigating commuter's mode choice behavior in a developing economy context</w:t>
      </w:r>
      <w:r w:rsidR="00127514" w:rsidRPr="00127514">
        <w:rPr>
          <w:rFonts w:cs="Times New Roman"/>
          <w:szCs w:val="24"/>
        </w:rPr>
        <w:t>.</w:t>
      </w:r>
      <w:r w:rsidRPr="00127514">
        <w:rPr>
          <w:rFonts w:cs="Times New Roman"/>
          <w:szCs w:val="24"/>
        </w:rPr>
        <w:t xml:space="preserve"> Technical </w:t>
      </w:r>
      <w:r w:rsidR="00127514" w:rsidRPr="00127514">
        <w:rPr>
          <w:rFonts w:cs="Times New Roman"/>
          <w:szCs w:val="24"/>
        </w:rPr>
        <w:t>p</w:t>
      </w:r>
      <w:r w:rsidRPr="00127514">
        <w:rPr>
          <w:rFonts w:cs="Times New Roman"/>
          <w:szCs w:val="24"/>
        </w:rPr>
        <w:t>aper, Department of Civil, Architectural and Environmental Engineering, The University of Texas at Austin</w:t>
      </w:r>
      <w:r w:rsidR="00127514" w:rsidRPr="00127514">
        <w:rPr>
          <w:rFonts w:cs="Times New Roman"/>
          <w:szCs w:val="24"/>
        </w:rPr>
        <w:t>.</w:t>
      </w:r>
    </w:p>
    <w:p w14:paraId="5CC7A207" w14:textId="46222F24" w:rsidR="00944E80" w:rsidRPr="00127514" w:rsidRDefault="00944E80" w:rsidP="00127514">
      <w:pPr>
        <w:autoSpaceDE w:val="0"/>
        <w:autoSpaceDN w:val="0"/>
        <w:adjustRightInd w:val="0"/>
        <w:ind w:left="540" w:hanging="540"/>
        <w:jc w:val="both"/>
        <w:rPr>
          <w:rFonts w:cs="Times New Roman"/>
          <w:szCs w:val="24"/>
        </w:rPr>
      </w:pPr>
      <w:r w:rsidRPr="00127514">
        <w:rPr>
          <w:rFonts w:cs="Times New Roman"/>
          <w:szCs w:val="24"/>
        </w:rPr>
        <w:t xml:space="preserve">Blumenberg, E., and Wander, M. (2023). Housing affordability and commute distance. </w:t>
      </w:r>
      <w:r w:rsidRPr="00127514">
        <w:rPr>
          <w:rFonts w:cs="Times New Roman"/>
          <w:i/>
          <w:iCs/>
          <w:szCs w:val="24"/>
        </w:rPr>
        <w:t>Urban Geography</w:t>
      </w:r>
      <w:r w:rsidRPr="00127514">
        <w:rPr>
          <w:rFonts w:cs="Times New Roman"/>
          <w:szCs w:val="24"/>
        </w:rPr>
        <w:t>, 44(7), 1454-1473.</w:t>
      </w:r>
    </w:p>
    <w:p w14:paraId="719FD177" w14:textId="77777777" w:rsidR="00944E80" w:rsidRPr="00127514" w:rsidRDefault="00944E80" w:rsidP="00127514">
      <w:pPr>
        <w:autoSpaceDE w:val="0"/>
        <w:autoSpaceDN w:val="0"/>
        <w:adjustRightInd w:val="0"/>
        <w:ind w:left="540" w:hanging="540"/>
        <w:jc w:val="both"/>
        <w:rPr>
          <w:rFonts w:cs="Times New Roman"/>
          <w:szCs w:val="24"/>
        </w:rPr>
      </w:pPr>
      <w:r w:rsidRPr="00127514">
        <w:rPr>
          <w:rFonts w:cs="Times New Roman"/>
          <w:szCs w:val="24"/>
        </w:rPr>
        <w:t xml:space="preserve">Blundell, R., and Powell, J. (2004). Endogeneity in semiparametric binary response models. </w:t>
      </w:r>
      <w:r w:rsidRPr="00127514">
        <w:rPr>
          <w:rFonts w:cs="Times New Roman"/>
          <w:i/>
          <w:iCs/>
          <w:szCs w:val="24"/>
        </w:rPr>
        <w:t>The Review of Economic Studies</w:t>
      </w:r>
      <w:r w:rsidRPr="00127514">
        <w:rPr>
          <w:rFonts w:cs="Times New Roman"/>
          <w:szCs w:val="24"/>
        </w:rPr>
        <w:t>, 71(3), 655-679.</w:t>
      </w:r>
    </w:p>
    <w:p w14:paraId="592059BE" w14:textId="43D3B910" w:rsidR="00335BFF" w:rsidRPr="00137EA9" w:rsidRDefault="00335BFF" w:rsidP="005B34C1">
      <w:pPr>
        <w:keepLines/>
        <w:autoSpaceDE w:val="0"/>
        <w:autoSpaceDN w:val="0"/>
        <w:adjustRightInd w:val="0"/>
        <w:ind w:left="547" w:hanging="547"/>
        <w:jc w:val="both"/>
        <w:rPr>
          <w:rFonts w:cs="Times New Roman"/>
          <w:szCs w:val="24"/>
        </w:rPr>
      </w:pPr>
      <w:r w:rsidRPr="00137EA9">
        <w:rPr>
          <w:rFonts w:cs="Times New Roman"/>
          <w:szCs w:val="24"/>
        </w:rPr>
        <w:lastRenderedPageBreak/>
        <w:t xml:space="preserve">Bontemps, C., and Nauges, C. (2017). Endogenous variables in binary choice models: Some insights for practitioners. Working paper # 17-855, Toulouse School of Economics, </w:t>
      </w:r>
      <w:hyperlink r:id="rId342" w:history="1">
        <w:r w:rsidRPr="00137EA9">
          <w:rPr>
            <w:rFonts w:cs="Times New Roman"/>
            <w:szCs w:val="24"/>
          </w:rPr>
          <w:t>https://publications.ut-capitole.fr/id/eprint/25726/1/wp_tse_855.pdf</w:t>
        </w:r>
      </w:hyperlink>
      <w:r w:rsidRPr="00137EA9">
        <w:rPr>
          <w:rFonts w:cs="Times New Roman"/>
          <w:szCs w:val="24"/>
        </w:rPr>
        <w:t xml:space="preserve">, accessed </w:t>
      </w:r>
      <w:r>
        <w:rPr>
          <w:rFonts w:cs="Times New Roman"/>
          <w:szCs w:val="24"/>
        </w:rPr>
        <w:t>September 7</w:t>
      </w:r>
      <w:r w:rsidRPr="00137EA9">
        <w:rPr>
          <w:rFonts w:cs="Times New Roman"/>
          <w:szCs w:val="24"/>
        </w:rPr>
        <w:t>, 2024.</w:t>
      </w:r>
    </w:p>
    <w:p w14:paraId="271F430B" w14:textId="77777777" w:rsidR="00944E80" w:rsidRPr="00127514" w:rsidRDefault="00944E80" w:rsidP="00127514">
      <w:pPr>
        <w:keepLines/>
        <w:ind w:left="540" w:hanging="540"/>
        <w:jc w:val="both"/>
        <w:rPr>
          <w:rFonts w:cs="Times New Roman"/>
          <w:szCs w:val="24"/>
        </w:rPr>
      </w:pPr>
      <w:r w:rsidRPr="00127514">
        <w:rPr>
          <w:rFonts w:cs="Times New Roman"/>
          <w:color w:val="131413"/>
          <w:szCs w:val="24"/>
        </w:rPr>
        <w:t xml:space="preserve">Box, G.E.P., and Cox, D.R. (1964). An analysis of transformations. </w:t>
      </w:r>
      <w:r w:rsidRPr="00127514">
        <w:rPr>
          <w:rFonts w:cs="Times New Roman"/>
          <w:i/>
          <w:iCs/>
          <w:color w:val="000000"/>
          <w:spacing w:val="-5"/>
          <w:szCs w:val="24"/>
          <w:shd w:val="clear" w:color="auto" w:fill="FFFFFF"/>
        </w:rPr>
        <w:t>Journal of the Royal Statistical Society. Series B (Methodological)</w:t>
      </w:r>
      <w:r w:rsidRPr="00127514">
        <w:rPr>
          <w:rFonts w:cs="Times New Roman"/>
          <w:color w:val="000000"/>
          <w:spacing w:val="-5"/>
          <w:szCs w:val="24"/>
          <w:shd w:val="clear" w:color="auto" w:fill="FFFFFF"/>
        </w:rPr>
        <w:t>,</w:t>
      </w:r>
      <w:r w:rsidRPr="00127514">
        <w:rPr>
          <w:rFonts w:cs="Times New Roman"/>
          <w:color w:val="131413"/>
          <w:szCs w:val="24"/>
        </w:rPr>
        <w:t xml:space="preserve"> </w:t>
      </w:r>
      <w:r w:rsidRPr="00127514">
        <w:rPr>
          <w:rFonts w:cs="Times New Roman"/>
          <w:color w:val="000000"/>
          <w:spacing w:val="-5"/>
          <w:szCs w:val="24"/>
          <w:shd w:val="clear" w:color="auto" w:fill="FFFFFF"/>
        </w:rPr>
        <w:t>26(2), 211-252.</w:t>
      </w:r>
    </w:p>
    <w:p w14:paraId="05D13EE2" w14:textId="77777777" w:rsidR="00944E80" w:rsidRPr="00127514" w:rsidRDefault="00944E80" w:rsidP="00127514">
      <w:pPr>
        <w:ind w:left="540" w:hanging="540"/>
        <w:jc w:val="both"/>
        <w:rPr>
          <w:rFonts w:cs="Times New Roman"/>
          <w:szCs w:val="24"/>
        </w:rPr>
      </w:pPr>
      <w:r w:rsidRPr="00127514">
        <w:rPr>
          <w:rFonts w:cs="Times New Roman"/>
          <w:szCs w:val="24"/>
        </w:rPr>
        <w:t xml:space="preserve">Cerrato, J., and Cifre, E. (2018). Gender inequality in household chores and work-family conflict. </w:t>
      </w:r>
      <w:r w:rsidRPr="00127514">
        <w:rPr>
          <w:rFonts w:cs="Times New Roman"/>
          <w:i/>
          <w:iCs/>
          <w:szCs w:val="24"/>
        </w:rPr>
        <w:t>Frontiers in Psychology</w:t>
      </w:r>
      <w:r w:rsidRPr="00127514">
        <w:rPr>
          <w:rFonts w:cs="Times New Roman"/>
          <w:szCs w:val="24"/>
        </w:rPr>
        <w:t>, 9, 1330.</w:t>
      </w:r>
    </w:p>
    <w:p w14:paraId="6609A500" w14:textId="77777777" w:rsidR="00335BFF" w:rsidRPr="00137EA9" w:rsidRDefault="00335BFF" w:rsidP="00335BFF">
      <w:pPr>
        <w:ind w:left="540" w:hanging="540"/>
        <w:jc w:val="both"/>
        <w:rPr>
          <w:rFonts w:cs="Times New Roman"/>
          <w:szCs w:val="24"/>
        </w:rPr>
      </w:pPr>
      <w:r w:rsidRPr="00137EA9">
        <w:rPr>
          <w:rFonts w:cs="Times New Roman"/>
          <w:szCs w:val="24"/>
        </w:rPr>
        <w:t xml:space="preserve">Chen, X., Fan, Y., and Tsyrennikov, V. (2006). Efficient estimation of semiparametric multivariate copula models. </w:t>
      </w:r>
      <w:r w:rsidRPr="00137EA9">
        <w:rPr>
          <w:rFonts w:cs="Times New Roman"/>
          <w:i/>
          <w:iCs/>
          <w:szCs w:val="24"/>
        </w:rPr>
        <w:t>Journal of the American Statistical Association</w:t>
      </w:r>
      <w:r w:rsidRPr="00137EA9">
        <w:rPr>
          <w:rFonts w:cs="Times New Roman"/>
          <w:szCs w:val="24"/>
        </w:rPr>
        <w:t>, 101(475), 1228-1240.</w:t>
      </w:r>
    </w:p>
    <w:p w14:paraId="67B7CCF7" w14:textId="77777777" w:rsidR="00335BFF" w:rsidRPr="00137EA9" w:rsidRDefault="00335BFF" w:rsidP="00335BFF">
      <w:pPr>
        <w:autoSpaceDE w:val="0"/>
        <w:autoSpaceDN w:val="0"/>
        <w:adjustRightInd w:val="0"/>
        <w:ind w:left="540" w:hanging="540"/>
        <w:jc w:val="both"/>
        <w:rPr>
          <w:rFonts w:cs="Times New Roman"/>
          <w:szCs w:val="24"/>
        </w:rPr>
      </w:pPr>
      <w:r w:rsidRPr="00137EA9">
        <w:rPr>
          <w:rFonts w:cs="Times New Roman"/>
          <w:szCs w:val="24"/>
        </w:rPr>
        <w:t xml:space="preserve">Chesher, A., and Rosen, A. (2013). What do instrumental variable models deliver with discrete dependent variables? </w:t>
      </w:r>
      <w:r w:rsidRPr="00137EA9">
        <w:rPr>
          <w:rFonts w:cs="Times New Roman"/>
          <w:i/>
          <w:iCs/>
          <w:szCs w:val="24"/>
        </w:rPr>
        <w:t>American Economic Review</w:t>
      </w:r>
      <w:r w:rsidRPr="00137EA9">
        <w:rPr>
          <w:rFonts w:cs="Times New Roman"/>
          <w:szCs w:val="24"/>
        </w:rPr>
        <w:t>, 103(3), 557-62.</w:t>
      </w:r>
    </w:p>
    <w:p w14:paraId="13188CF6" w14:textId="77777777" w:rsidR="00944E80" w:rsidRPr="00127514" w:rsidRDefault="00944E80" w:rsidP="00127514">
      <w:pPr>
        <w:autoSpaceDE w:val="0"/>
        <w:autoSpaceDN w:val="0"/>
        <w:adjustRightInd w:val="0"/>
        <w:ind w:left="540" w:hanging="540"/>
        <w:jc w:val="both"/>
        <w:rPr>
          <w:rFonts w:cs="Times New Roman"/>
          <w:color w:val="000000"/>
          <w:szCs w:val="24"/>
        </w:rPr>
      </w:pPr>
      <w:r w:rsidRPr="00127514">
        <w:rPr>
          <w:rFonts w:cs="Times New Roman"/>
          <w:szCs w:val="24"/>
        </w:rPr>
        <w:t xml:space="preserve">Denzer, M. (2019). Estimating causal effects in binary response models with binary endogenous explanatory variables: A comparison of possible estimators. Discussion paper number 1916, </w:t>
      </w:r>
      <w:r w:rsidRPr="00127514">
        <w:rPr>
          <w:rFonts w:cs="Times New Roman"/>
          <w:color w:val="000000"/>
          <w:szCs w:val="24"/>
        </w:rPr>
        <w:t>Gutenberg School of Management and Economics, Johannes Gutenberg University Mainz, Germany.</w:t>
      </w:r>
    </w:p>
    <w:p w14:paraId="6972892A" w14:textId="77777777" w:rsidR="00944E80" w:rsidRPr="00127514" w:rsidRDefault="00944E80" w:rsidP="00127514">
      <w:pPr>
        <w:autoSpaceDE w:val="0"/>
        <w:autoSpaceDN w:val="0"/>
        <w:adjustRightInd w:val="0"/>
        <w:ind w:left="540" w:hanging="540"/>
        <w:jc w:val="both"/>
        <w:rPr>
          <w:rFonts w:cs="Times New Roman"/>
          <w:szCs w:val="24"/>
        </w:rPr>
      </w:pPr>
      <w:r w:rsidRPr="00127514">
        <w:rPr>
          <w:rFonts w:cs="Times New Roman"/>
          <w:szCs w:val="24"/>
        </w:rPr>
        <w:t xml:space="preserve">Dong, Y., and Lewbel, A. (2015). A simple estimator for binary choice models with endogenous regressors. </w:t>
      </w:r>
      <w:r w:rsidRPr="00127514">
        <w:rPr>
          <w:rFonts w:cs="Times New Roman"/>
          <w:i/>
          <w:iCs/>
          <w:szCs w:val="24"/>
        </w:rPr>
        <w:t>Econometric Reviews</w:t>
      </w:r>
      <w:r w:rsidRPr="00127514">
        <w:rPr>
          <w:rFonts w:cs="Times New Roman"/>
          <w:szCs w:val="24"/>
        </w:rPr>
        <w:t>, 34(1-2), 82-105.</w:t>
      </w:r>
    </w:p>
    <w:p w14:paraId="6A04FDF3" w14:textId="77777777" w:rsidR="00944E80" w:rsidRPr="00127514" w:rsidRDefault="00944E80" w:rsidP="00127514">
      <w:pPr>
        <w:autoSpaceDE w:val="0"/>
        <w:autoSpaceDN w:val="0"/>
        <w:adjustRightInd w:val="0"/>
        <w:ind w:left="540" w:hanging="540"/>
        <w:jc w:val="both"/>
        <w:rPr>
          <w:rFonts w:cs="Times New Roman"/>
          <w:szCs w:val="24"/>
        </w:rPr>
      </w:pPr>
      <w:r w:rsidRPr="00127514">
        <w:rPr>
          <w:rFonts w:cs="Times New Roman"/>
          <w:szCs w:val="24"/>
        </w:rPr>
        <w:t xml:space="preserve">Duque, M. (2021). Performing healthy ageing through images: From broadcasting to silence. </w:t>
      </w:r>
      <w:r w:rsidRPr="00127514">
        <w:rPr>
          <w:rFonts w:cs="Times New Roman"/>
          <w:i/>
          <w:iCs/>
          <w:szCs w:val="24"/>
        </w:rPr>
        <w:t>Global Media and China</w:t>
      </w:r>
      <w:r w:rsidRPr="00127514">
        <w:rPr>
          <w:rFonts w:cs="Times New Roman"/>
          <w:szCs w:val="24"/>
        </w:rPr>
        <w:t xml:space="preserve">, 6(3), </w:t>
      </w:r>
      <w:r w:rsidRPr="00127514">
        <w:rPr>
          <w:rFonts w:ascii="Tahoma" w:hAnsi="Tahoma" w:cs="Tahoma"/>
          <w:szCs w:val="24"/>
        </w:rPr>
        <w:t>﻿</w:t>
      </w:r>
      <w:r w:rsidRPr="00127514">
        <w:rPr>
          <w:rFonts w:cs="Times New Roman"/>
          <w:szCs w:val="24"/>
        </w:rPr>
        <w:t>303-324.</w:t>
      </w:r>
    </w:p>
    <w:p w14:paraId="5C8F507B" w14:textId="77777777" w:rsidR="00944E80" w:rsidRPr="00127514" w:rsidRDefault="00944E80" w:rsidP="00127514">
      <w:pPr>
        <w:ind w:left="540" w:hanging="540"/>
        <w:jc w:val="both"/>
        <w:rPr>
          <w:rFonts w:cs="Times New Roman"/>
          <w:szCs w:val="24"/>
        </w:rPr>
      </w:pPr>
      <w:r w:rsidRPr="00127514">
        <w:rPr>
          <w:rFonts w:cs="Times New Roman"/>
          <w:szCs w:val="24"/>
        </w:rPr>
        <w:t xml:space="preserve">Ewing, R., and Cervero, R. (2010). Travel and the built environment. </w:t>
      </w:r>
      <w:r w:rsidRPr="00127514">
        <w:rPr>
          <w:rFonts w:cs="Times New Roman"/>
          <w:i/>
          <w:iCs/>
          <w:szCs w:val="24"/>
        </w:rPr>
        <w:t>Journal of the American Planning Association</w:t>
      </w:r>
      <w:r w:rsidRPr="00127514">
        <w:rPr>
          <w:rFonts w:cs="Times New Roman"/>
          <w:szCs w:val="24"/>
        </w:rPr>
        <w:t>, 76(3), 265-294.</w:t>
      </w:r>
    </w:p>
    <w:p w14:paraId="010F6C88" w14:textId="77777777" w:rsidR="00944E80" w:rsidRPr="00127514" w:rsidRDefault="00944E80" w:rsidP="00127514">
      <w:pPr>
        <w:ind w:left="540" w:hanging="540"/>
        <w:jc w:val="both"/>
        <w:rPr>
          <w:rFonts w:cs="Times New Roman"/>
          <w:szCs w:val="24"/>
        </w:rPr>
      </w:pPr>
      <w:r w:rsidRPr="00127514">
        <w:rPr>
          <w:rFonts w:cs="Times New Roman"/>
          <w:szCs w:val="24"/>
        </w:rPr>
        <w:t xml:space="preserve">Faber, J.W. (2020). We built this: Consequences of new deal era intervention in America’s racial geography. </w:t>
      </w:r>
      <w:r w:rsidRPr="00127514">
        <w:rPr>
          <w:rFonts w:cs="Times New Roman"/>
          <w:i/>
          <w:iCs/>
          <w:szCs w:val="24"/>
          <w:shd w:val="clear" w:color="auto" w:fill="FFFFFF"/>
        </w:rPr>
        <w:t>American Sociological Review</w:t>
      </w:r>
      <w:r w:rsidRPr="00127514">
        <w:rPr>
          <w:rFonts w:cs="Times New Roman"/>
          <w:szCs w:val="24"/>
          <w:shd w:val="clear" w:color="auto" w:fill="FFFFFF"/>
        </w:rPr>
        <w:t>, 85(5), 739-775</w:t>
      </w:r>
      <w:r w:rsidRPr="00127514">
        <w:rPr>
          <w:rFonts w:cs="Times New Roman"/>
          <w:szCs w:val="24"/>
        </w:rPr>
        <w:t>.</w:t>
      </w:r>
    </w:p>
    <w:p w14:paraId="31AFC050" w14:textId="77777777" w:rsidR="00335BFF" w:rsidRPr="00137EA9" w:rsidRDefault="00335BFF" w:rsidP="00335BFF">
      <w:pPr>
        <w:ind w:left="540" w:hanging="540"/>
        <w:jc w:val="both"/>
        <w:rPr>
          <w:rFonts w:cs="Times New Roman"/>
          <w:szCs w:val="24"/>
        </w:rPr>
      </w:pPr>
      <w:r w:rsidRPr="00137EA9">
        <w:rPr>
          <w:rFonts w:cs="Times New Roman"/>
          <w:szCs w:val="24"/>
        </w:rPr>
        <w:t xml:space="preserve">Gallant, A.R., and Nychka, D.W. (1987). Semi-nonparametric maximum likelihood estimation. </w:t>
      </w:r>
      <w:r w:rsidRPr="00137EA9">
        <w:rPr>
          <w:rFonts w:cs="Times New Roman"/>
          <w:i/>
          <w:iCs/>
          <w:szCs w:val="24"/>
        </w:rPr>
        <w:t>Econometrica</w:t>
      </w:r>
      <w:r w:rsidRPr="00137EA9">
        <w:rPr>
          <w:rFonts w:cs="Times New Roman"/>
          <w:szCs w:val="24"/>
        </w:rPr>
        <w:t>, 55(2), 363-390.</w:t>
      </w:r>
    </w:p>
    <w:p w14:paraId="2CA66CE5" w14:textId="77777777" w:rsidR="00944E80" w:rsidRPr="00127514" w:rsidRDefault="00944E80" w:rsidP="00127514">
      <w:pPr>
        <w:ind w:left="540" w:hanging="540"/>
        <w:jc w:val="both"/>
        <w:rPr>
          <w:rFonts w:cs="Times New Roman"/>
          <w:color w:val="000000"/>
          <w:szCs w:val="24"/>
        </w:rPr>
      </w:pPr>
      <w:r w:rsidRPr="00127514">
        <w:rPr>
          <w:rFonts w:eastAsia="CMR12" w:cs="Times New Roman"/>
          <w:szCs w:val="24"/>
        </w:rPr>
        <w:t xml:space="preserve">Gallaugher, M.P.B, McNicholas, P.D., Melnykov, V., Zhu, X. (2020). </w:t>
      </w:r>
      <w:r w:rsidRPr="00127514">
        <w:rPr>
          <w:rFonts w:cs="Times New Roman"/>
          <w:color w:val="000000"/>
          <w:szCs w:val="24"/>
        </w:rPr>
        <w:t>Skewed distributions or transformations? Modelling skewness for a cluster analysis.</w:t>
      </w:r>
      <w:r w:rsidRPr="00127514">
        <w:rPr>
          <w:rStyle w:val="arxivid"/>
          <w:rFonts w:cs="Times New Roman"/>
          <w:color w:val="000000"/>
          <w:szCs w:val="24"/>
        </w:rPr>
        <w:t xml:space="preserve"> </w:t>
      </w:r>
      <w:hyperlink r:id="rId343" w:history="1">
        <w:r w:rsidRPr="00127514">
          <w:rPr>
            <w:rFonts w:cs="Times New Roman"/>
            <w:szCs w:val="24"/>
          </w:rPr>
          <w:t>https://doi.org/10.48550/arXiv.2011.09152</w:t>
        </w:r>
      </w:hyperlink>
      <w:r w:rsidRPr="00127514">
        <w:rPr>
          <w:rFonts w:cs="Times New Roman"/>
          <w:color w:val="000000"/>
          <w:szCs w:val="24"/>
        </w:rPr>
        <w:t>, accessed January 7, 2024</w:t>
      </w:r>
    </w:p>
    <w:p w14:paraId="3964625A" w14:textId="77777777" w:rsidR="00944E80" w:rsidRPr="00127514" w:rsidRDefault="00944E80" w:rsidP="00127514">
      <w:pPr>
        <w:ind w:left="540" w:hanging="540"/>
        <w:jc w:val="both"/>
        <w:rPr>
          <w:rFonts w:cs="Times New Roman"/>
          <w:szCs w:val="24"/>
        </w:rPr>
      </w:pPr>
      <w:r w:rsidRPr="00127514">
        <w:rPr>
          <w:rFonts w:eastAsia="STIX-Regular" w:cs="Times New Roman"/>
          <w:szCs w:val="24"/>
        </w:rPr>
        <w:t xml:space="preserve">Greene, W.H., and Hensher, D.A. (2010). </w:t>
      </w:r>
      <w:r w:rsidRPr="00127514">
        <w:rPr>
          <w:rFonts w:eastAsia="STIX-Italic" w:cs="Times New Roman"/>
          <w:i/>
          <w:iCs/>
          <w:szCs w:val="24"/>
        </w:rPr>
        <w:t>Modeling Ordered Choices: A Primer</w:t>
      </w:r>
      <w:r w:rsidRPr="00127514">
        <w:rPr>
          <w:rFonts w:eastAsia="STIX-Regular" w:cs="Times New Roman"/>
          <w:szCs w:val="24"/>
        </w:rPr>
        <w:t>. Cambridge University Press.</w:t>
      </w:r>
    </w:p>
    <w:p w14:paraId="53ABD914" w14:textId="77777777" w:rsidR="00944E80" w:rsidRPr="00127514" w:rsidRDefault="00944E80" w:rsidP="00127514">
      <w:pPr>
        <w:autoSpaceDE w:val="0"/>
        <w:autoSpaceDN w:val="0"/>
        <w:adjustRightInd w:val="0"/>
        <w:ind w:left="540" w:hanging="540"/>
        <w:jc w:val="both"/>
        <w:rPr>
          <w:rFonts w:cs="Times New Roman"/>
          <w:color w:val="0000FF"/>
          <w:szCs w:val="24"/>
        </w:rPr>
      </w:pPr>
      <w:r w:rsidRPr="00127514">
        <w:rPr>
          <w:rFonts w:cs="Times New Roman"/>
          <w:color w:val="000000"/>
          <w:szCs w:val="24"/>
        </w:rPr>
        <w:t xml:space="preserve">Han, S., and Lee, S. (2019). Estimation in a generalization of bivariate probit models with dummy endogenous regressors. </w:t>
      </w:r>
      <w:r w:rsidRPr="00127514">
        <w:rPr>
          <w:rFonts w:cs="Times New Roman"/>
          <w:i/>
          <w:iCs/>
          <w:color w:val="000000"/>
          <w:szCs w:val="24"/>
        </w:rPr>
        <w:t>Journal of Applied Econometrics</w:t>
      </w:r>
      <w:r w:rsidRPr="00127514">
        <w:rPr>
          <w:rFonts w:cs="Times New Roman"/>
          <w:color w:val="000000"/>
          <w:szCs w:val="24"/>
        </w:rPr>
        <w:t xml:space="preserve">, 34(6), 994-1015. </w:t>
      </w:r>
    </w:p>
    <w:p w14:paraId="41509D4F" w14:textId="77777777" w:rsidR="00944E80" w:rsidRPr="00127514" w:rsidRDefault="00944E80" w:rsidP="00127514">
      <w:pPr>
        <w:ind w:left="540" w:hanging="540"/>
        <w:jc w:val="both"/>
        <w:rPr>
          <w:rFonts w:cs="Times New Roman"/>
          <w:szCs w:val="24"/>
        </w:rPr>
      </w:pPr>
      <w:r w:rsidRPr="00127514">
        <w:rPr>
          <w:rFonts w:cs="Times New Roman"/>
          <w:szCs w:val="24"/>
        </w:rPr>
        <w:t xml:space="preserve">Heckman, J.J., and Vytlacil, E.J. (2000). The relationship between treatment parameters within a latent variable framework. </w:t>
      </w:r>
      <w:r w:rsidRPr="00127514">
        <w:rPr>
          <w:rFonts w:cs="Times New Roman"/>
          <w:i/>
          <w:iCs/>
          <w:szCs w:val="24"/>
        </w:rPr>
        <w:t>Economics Letters</w:t>
      </w:r>
      <w:r w:rsidRPr="00127514">
        <w:rPr>
          <w:rFonts w:cs="Times New Roman"/>
          <w:szCs w:val="24"/>
        </w:rPr>
        <w:t xml:space="preserve">, 66(1), 33-39. </w:t>
      </w:r>
    </w:p>
    <w:p w14:paraId="4CAFBF62" w14:textId="77777777" w:rsidR="00944E80" w:rsidRPr="00127514" w:rsidRDefault="00944E80" w:rsidP="00127514">
      <w:pPr>
        <w:pStyle w:val="Heading1"/>
        <w:spacing w:before="0" w:beforeAutospacing="0" w:after="0" w:afterAutospacing="0"/>
        <w:ind w:left="540" w:hanging="540"/>
        <w:jc w:val="both"/>
        <w:rPr>
          <w:b w:val="0"/>
          <w:bCs w:val="0"/>
          <w:color w:val="000000"/>
          <w:spacing w:val="-5"/>
          <w:sz w:val="24"/>
          <w:szCs w:val="24"/>
        </w:rPr>
      </w:pPr>
      <w:r w:rsidRPr="00127514">
        <w:rPr>
          <w:b w:val="0"/>
          <w:bCs w:val="0"/>
          <w:sz w:val="24"/>
          <w:szCs w:val="24"/>
        </w:rPr>
        <w:t xml:space="preserve">Heckman, J.J., and Vytlacil, E.J. (2001). </w:t>
      </w:r>
      <w:r w:rsidRPr="00127514">
        <w:rPr>
          <w:b w:val="0"/>
          <w:bCs w:val="0"/>
          <w:color w:val="000000"/>
          <w:spacing w:val="-5"/>
          <w:sz w:val="24"/>
          <w:szCs w:val="24"/>
        </w:rPr>
        <w:t xml:space="preserve">Policy-relevant treatment effects. </w:t>
      </w:r>
      <w:r w:rsidRPr="00127514">
        <w:rPr>
          <w:b w:val="0"/>
          <w:bCs w:val="0"/>
          <w:i/>
          <w:iCs/>
          <w:sz w:val="24"/>
          <w:szCs w:val="24"/>
        </w:rPr>
        <w:t>The American Economic Review</w:t>
      </w:r>
      <w:r w:rsidRPr="00127514">
        <w:rPr>
          <w:rStyle w:val="src"/>
          <w:b w:val="0"/>
          <w:bCs w:val="0"/>
          <w:spacing w:val="-5"/>
          <w:sz w:val="24"/>
          <w:szCs w:val="24"/>
        </w:rPr>
        <w:t xml:space="preserve">, 91,  107-111 </w:t>
      </w:r>
    </w:p>
    <w:p w14:paraId="1022BAC0" w14:textId="13EFE77C" w:rsidR="00944E80" w:rsidRPr="00D76ED6" w:rsidRDefault="00944E80" w:rsidP="00127514">
      <w:pPr>
        <w:keepLines/>
        <w:autoSpaceDE w:val="0"/>
        <w:autoSpaceDN w:val="0"/>
        <w:adjustRightInd w:val="0"/>
        <w:ind w:left="547" w:hanging="547"/>
        <w:jc w:val="both"/>
        <w:rPr>
          <w:rFonts w:cs="Times New Roman"/>
          <w:szCs w:val="24"/>
        </w:rPr>
      </w:pPr>
      <w:r w:rsidRPr="00127514">
        <w:rPr>
          <w:rFonts w:cs="Times New Roman"/>
          <w:szCs w:val="24"/>
        </w:rPr>
        <w:t xml:space="preserve">Jadhav, A., Dhaulakhandi, D., Kumar, S., Malviya, L., and Mewada, A. (2023). Data transformation: A preprocessing stage in machine learning regression problems. In </w:t>
      </w:r>
      <w:r w:rsidRPr="00127514">
        <w:rPr>
          <w:rFonts w:cs="Times New Roman"/>
          <w:i/>
          <w:iCs/>
          <w:szCs w:val="24"/>
        </w:rPr>
        <w:t>Artificial Intelligence Techniques in Power Systems Operations and Analysis</w:t>
      </w:r>
      <w:r w:rsidRPr="00127514">
        <w:rPr>
          <w:rFonts w:cs="Times New Roman"/>
          <w:szCs w:val="24"/>
        </w:rPr>
        <w:t xml:space="preserve">, Singh, N., Tamrakar, S., Mewada, A., </w:t>
      </w:r>
      <w:r w:rsidR="00A8718B" w:rsidRPr="00127514">
        <w:rPr>
          <w:rFonts w:cs="Times New Roman"/>
          <w:szCs w:val="24"/>
        </w:rPr>
        <w:t>and</w:t>
      </w:r>
      <w:r w:rsidRPr="00127514">
        <w:rPr>
          <w:rFonts w:cs="Times New Roman"/>
          <w:szCs w:val="24"/>
        </w:rPr>
        <w:t xml:space="preserve"> Gupta, S.K. (Eds.). Auerbach Publications</w:t>
      </w:r>
      <w:r w:rsidR="00127514">
        <w:rPr>
          <w:rFonts w:cs="Times New Roman"/>
          <w:szCs w:val="24"/>
        </w:rPr>
        <w:t>.</w:t>
      </w:r>
    </w:p>
    <w:p w14:paraId="70174613" w14:textId="77777777" w:rsidR="00944E80" w:rsidRPr="00127514" w:rsidRDefault="00944E80" w:rsidP="00127514">
      <w:pPr>
        <w:pStyle w:val="NormalWeb"/>
        <w:spacing w:before="0" w:beforeAutospacing="0" w:after="0" w:afterAutospacing="0"/>
        <w:ind w:left="540" w:hanging="540"/>
        <w:jc w:val="both"/>
        <w:rPr>
          <w:color w:val="000000"/>
        </w:rPr>
      </w:pPr>
      <w:r w:rsidRPr="00127514">
        <w:t>Kim</w:t>
      </w:r>
      <w:r w:rsidRPr="00127514">
        <w:rPr>
          <w:color w:val="000000"/>
        </w:rPr>
        <w:t>, J. and </w:t>
      </w:r>
      <w:r w:rsidRPr="00127514">
        <w:t>Brownstone</w:t>
      </w:r>
      <w:r w:rsidRPr="00127514">
        <w:rPr>
          <w:color w:val="000000"/>
        </w:rPr>
        <w:t xml:space="preserve">, D. (2013). </w:t>
      </w:r>
      <w:r w:rsidRPr="00127514">
        <w:t xml:space="preserve">The impact of residential density on vehicle usage and fuel consumption: Evidence from national samples. </w:t>
      </w:r>
      <w:hyperlink r:id="rId344" w:history="1">
        <w:r w:rsidRPr="00127514">
          <w:rPr>
            <w:i/>
            <w:iCs/>
          </w:rPr>
          <w:t>Energy Economics</w:t>
        </w:r>
      </w:hyperlink>
      <w:r w:rsidRPr="00127514">
        <w:t xml:space="preserve">, </w:t>
      </w:r>
      <w:r w:rsidRPr="00127514">
        <w:rPr>
          <w:color w:val="000000"/>
        </w:rPr>
        <w:t>40, 196-206.</w:t>
      </w:r>
    </w:p>
    <w:p w14:paraId="2FBB7EC3" w14:textId="77777777" w:rsidR="00944E80" w:rsidRPr="00127514" w:rsidRDefault="00944E80" w:rsidP="00127514">
      <w:pPr>
        <w:autoSpaceDE w:val="0"/>
        <w:autoSpaceDN w:val="0"/>
        <w:adjustRightInd w:val="0"/>
        <w:ind w:left="540" w:hanging="540"/>
        <w:jc w:val="both"/>
        <w:rPr>
          <w:rFonts w:cs="Times New Roman"/>
          <w:szCs w:val="24"/>
        </w:rPr>
      </w:pPr>
      <w:r w:rsidRPr="00127514">
        <w:rPr>
          <w:rFonts w:cs="Times New Roman"/>
          <w:szCs w:val="24"/>
        </w:rPr>
        <w:t xml:space="preserve">Lee, S.X., and McLachlan, G.L. (2022). </w:t>
      </w:r>
      <w:r w:rsidRPr="00127514">
        <w:rPr>
          <w:rFonts w:cs="Times New Roman"/>
          <w:color w:val="000000"/>
          <w:szCs w:val="24"/>
        </w:rPr>
        <w:t xml:space="preserve">An overview of skew distributions in model-based clustering. </w:t>
      </w:r>
      <w:r w:rsidRPr="00127514">
        <w:rPr>
          <w:rFonts w:cs="Times New Roman"/>
          <w:i/>
          <w:iCs/>
          <w:szCs w:val="24"/>
        </w:rPr>
        <w:t>Journal of Multivariate Analysis</w:t>
      </w:r>
      <w:r w:rsidRPr="00127514">
        <w:rPr>
          <w:rFonts w:cs="Times New Roman"/>
          <w:szCs w:val="24"/>
        </w:rPr>
        <w:t>, 188, 104853.</w:t>
      </w:r>
    </w:p>
    <w:p w14:paraId="0D88AC07" w14:textId="77777777" w:rsidR="00335BFF" w:rsidRPr="00137EA9" w:rsidRDefault="00335BFF" w:rsidP="00335BFF">
      <w:pPr>
        <w:autoSpaceDE w:val="0"/>
        <w:autoSpaceDN w:val="0"/>
        <w:adjustRightInd w:val="0"/>
        <w:ind w:left="540" w:hanging="540"/>
        <w:jc w:val="both"/>
        <w:rPr>
          <w:rFonts w:cs="Times New Roman"/>
          <w:szCs w:val="24"/>
        </w:rPr>
      </w:pPr>
      <w:r w:rsidRPr="00137EA9">
        <w:rPr>
          <w:rFonts w:cs="Times New Roman"/>
          <w:szCs w:val="24"/>
        </w:rPr>
        <w:lastRenderedPageBreak/>
        <w:t xml:space="preserve">Lewbel, A. (2000). Semiparametric qualitative response model estimation with unknown heteroscedasticity or instrumental variables. </w:t>
      </w:r>
      <w:r w:rsidRPr="00137EA9">
        <w:rPr>
          <w:rFonts w:cs="Times New Roman"/>
          <w:i/>
          <w:iCs/>
          <w:szCs w:val="24"/>
        </w:rPr>
        <w:t>Journal of Econometrics</w:t>
      </w:r>
      <w:r w:rsidRPr="00137EA9">
        <w:rPr>
          <w:rFonts w:cs="Times New Roman"/>
          <w:szCs w:val="24"/>
        </w:rPr>
        <w:t>, 97(1), 145-177.</w:t>
      </w:r>
    </w:p>
    <w:p w14:paraId="2EEC12D3" w14:textId="77777777" w:rsidR="001C29F6" w:rsidRPr="00127514" w:rsidRDefault="001C29F6" w:rsidP="00127514">
      <w:pPr>
        <w:ind w:left="540" w:hanging="540"/>
        <w:jc w:val="both"/>
        <w:rPr>
          <w:rFonts w:cs="Times New Roman"/>
          <w:szCs w:val="24"/>
        </w:rPr>
      </w:pPr>
      <w:r w:rsidRPr="00127514">
        <w:rPr>
          <w:rFonts w:cs="Times New Roman"/>
          <w:szCs w:val="24"/>
        </w:rPr>
        <w:t xml:space="preserve">Lotfata, A., Gemci, A., and Ferah, B. (2022). The changing context of walking behavior: Coping with the COVID-19 pandemic in urban neighborhoods. </w:t>
      </w:r>
      <w:r w:rsidRPr="00127514">
        <w:rPr>
          <w:rFonts w:cs="Times New Roman"/>
          <w:i/>
          <w:iCs/>
          <w:szCs w:val="24"/>
        </w:rPr>
        <w:t>Archnet-IJAR: International Journal of Architectural Research</w:t>
      </w:r>
      <w:r w:rsidRPr="00127514">
        <w:rPr>
          <w:rFonts w:cs="Times New Roman"/>
          <w:szCs w:val="24"/>
        </w:rPr>
        <w:t>, 16(3), 495-516.</w:t>
      </w:r>
    </w:p>
    <w:p w14:paraId="139A1E92" w14:textId="2DE26056" w:rsidR="0051631C" w:rsidRPr="00127514" w:rsidRDefault="0051631C" w:rsidP="00127514">
      <w:pPr>
        <w:ind w:left="540" w:hanging="540"/>
        <w:jc w:val="both"/>
        <w:rPr>
          <w:rFonts w:cs="Times New Roman"/>
          <w:szCs w:val="24"/>
          <w:bdr w:val="none" w:sz="0" w:space="0" w:color="auto" w:frame="1"/>
          <w:shd w:val="clear" w:color="auto" w:fill="FFFFFF"/>
        </w:rPr>
      </w:pPr>
      <w:r w:rsidRPr="00127514">
        <w:rPr>
          <w:rFonts w:cs="Times New Roman"/>
          <w:szCs w:val="24"/>
          <w:bdr w:val="none" w:sz="0" w:space="0" w:color="auto" w:frame="1"/>
          <w:shd w:val="clear" w:color="auto" w:fill="FFFFFF"/>
        </w:rPr>
        <w:t xml:space="preserve">Longo, A., Hutchinson, W. G., Hunter, R. F., Tully, M. A., </w:t>
      </w:r>
      <w:r w:rsidR="00A8718B" w:rsidRPr="00127514">
        <w:rPr>
          <w:rFonts w:cs="Times New Roman"/>
          <w:szCs w:val="24"/>
          <w:bdr w:val="none" w:sz="0" w:space="0" w:color="auto" w:frame="1"/>
          <w:shd w:val="clear" w:color="auto" w:fill="FFFFFF"/>
        </w:rPr>
        <w:t>and</w:t>
      </w:r>
      <w:r w:rsidRPr="00127514">
        <w:rPr>
          <w:rFonts w:cs="Times New Roman"/>
          <w:szCs w:val="24"/>
          <w:bdr w:val="none" w:sz="0" w:space="0" w:color="auto" w:frame="1"/>
          <w:shd w:val="clear" w:color="auto" w:fill="FFFFFF"/>
        </w:rPr>
        <w:t xml:space="preserve"> Kee, F. (2015). Demand response to improved walking infrastructure: A study into the economics of walking and health behaviour change. </w:t>
      </w:r>
      <w:r w:rsidRPr="00127514">
        <w:rPr>
          <w:rFonts w:cs="Times New Roman"/>
          <w:i/>
          <w:iCs/>
          <w:szCs w:val="24"/>
          <w:bdr w:val="none" w:sz="0" w:space="0" w:color="auto" w:frame="1"/>
          <w:shd w:val="clear" w:color="auto" w:fill="FFFFFF"/>
        </w:rPr>
        <w:t>Social Science &amp;</w:t>
      </w:r>
      <w:r w:rsidR="00A8718B" w:rsidRPr="00127514">
        <w:rPr>
          <w:rFonts w:cs="Times New Roman"/>
          <w:i/>
          <w:iCs/>
          <w:szCs w:val="24"/>
          <w:bdr w:val="none" w:sz="0" w:space="0" w:color="auto" w:frame="1"/>
          <w:shd w:val="clear" w:color="auto" w:fill="FFFFFF"/>
        </w:rPr>
        <w:t xml:space="preserve"> </w:t>
      </w:r>
      <w:r w:rsidRPr="00127514">
        <w:rPr>
          <w:rFonts w:cs="Times New Roman"/>
          <w:i/>
          <w:iCs/>
          <w:szCs w:val="24"/>
          <w:bdr w:val="none" w:sz="0" w:space="0" w:color="auto" w:frame="1"/>
          <w:shd w:val="clear" w:color="auto" w:fill="FFFFFF"/>
        </w:rPr>
        <w:t>Medicine</w:t>
      </w:r>
      <w:r w:rsidRPr="00127514">
        <w:rPr>
          <w:rFonts w:cs="Times New Roman"/>
          <w:szCs w:val="24"/>
          <w:bdr w:val="none" w:sz="0" w:space="0" w:color="auto" w:frame="1"/>
          <w:shd w:val="clear" w:color="auto" w:fill="FFFFFF"/>
        </w:rPr>
        <w:t>, 143, 107-116.</w:t>
      </w:r>
    </w:p>
    <w:p w14:paraId="56C2AD78" w14:textId="238CBC0F" w:rsidR="00944E80" w:rsidRPr="00127514" w:rsidRDefault="00944E80" w:rsidP="00127514">
      <w:pPr>
        <w:ind w:left="540" w:hanging="540"/>
        <w:jc w:val="both"/>
        <w:rPr>
          <w:rFonts w:eastAsia="CMR12" w:cs="Times New Roman"/>
          <w:szCs w:val="24"/>
        </w:rPr>
      </w:pPr>
      <w:r w:rsidRPr="00127514">
        <w:rPr>
          <w:rFonts w:eastAsia="CMR12" w:cs="Times New Roman"/>
          <w:szCs w:val="24"/>
        </w:rPr>
        <w:t xml:space="preserve">Mardia, K.V. (1970). Measures of multivariate skewness and kurtosis with applications. </w:t>
      </w:r>
      <w:r w:rsidRPr="00127514">
        <w:rPr>
          <w:rFonts w:eastAsia="CMR12" w:cs="Times New Roman"/>
          <w:i/>
          <w:iCs/>
          <w:szCs w:val="24"/>
        </w:rPr>
        <w:t>Biometrika</w:t>
      </w:r>
      <w:r w:rsidRPr="00127514">
        <w:rPr>
          <w:rFonts w:eastAsia="CMR12" w:cs="Times New Roman"/>
          <w:szCs w:val="24"/>
        </w:rPr>
        <w:t>, 57(3), 519-530.</w:t>
      </w:r>
    </w:p>
    <w:p w14:paraId="0585AC6A" w14:textId="77777777" w:rsidR="00944E80" w:rsidRPr="00127514" w:rsidRDefault="00944E80" w:rsidP="00127514">
      <w:pPr>
        <w:ind w:left="540" w:hanging="540"/>
        <w:jc w:val="both"/>
        <w:rPr>
          <w:rFonts w:cs="Times New Roman"/>
          <w:szCs w:val="24"/>
        </w:rPr>
      </w:pPr>
      <w:r w:rsidRPr="00127514">
        <w:rPr>
          <w:rFonts w:cs="Times New Roman"/>
          <w:szCs w:val="24"/>
        </w:rPr>
        <w:t>Marimuthu, S., Mani, T., Sudarsanam, T.D., George, S., Jeyaseelan, L. (2022).</w:t>
      </w:r>
      <w:r w:rsidRPr="00127514">
        <w:rPr>
          <w:rFonts w:eastAsia="CMR12" w:cs="Times New Roman"/>
          <w:szCs w:val="24"/>
        </w:rPr>
        <w:t xml:space="preserve"> </w:t>
      </w:r>
      <w:r w:rsidRPr="00127514">
        <w:rPr>
          <w:rFonts w:cs="Times New Roman"/>
          <w:szCs w:val="24"/>
        </w:rPr>
        <w:t xml:space="preserve">Preferring Box-Cox transformation, instead of log transformation to convert skewed distribution of outcomes to normal in medical research. </w:t>
      </w:r>
      <w:r w:rsidRPr="00127514">
        <w:rPr>
          <w:rFonts w:cs="Times New Roman"/>
          <w:i/>
          <w:iCs/>
          <w:szCs w:val="24"/>
        </w:rPr>
        <w:t>Clinical Epidemiology and Global Health</w:t>
      </w:r>
      <w:r w:rsidRPr="00127514">
        <w:rPr>
          <w:rFonts w:cs="Times New Roman"/>
          <w:szCs w:val="24"/>
        </w:rPr>
        <w:t>, 15, 101043.</w:t>
      </w:r>
    </w:p>
    <w:p w14:paraId="74340D7C" w14:textId="77777777" w:rsidR="00944E80" w:rsidRPr="00127514" w:rsidRDefault="00944E80" w:rsidP="00127514">
      <w:pPr>
        <w:numPr>
          <w:ilvl w:val="12"/>
          <w:numId w:val="0"/>
        </w:numPr>
        <w:ind w:left="540" w:hanging="540"/>
        <w:jc w:val="both"/>
        <w:rPr>
          <w:rFonts w:cs="Times New Roman"/>
          <w:szCs w:val="24"/>
        </w:rPr>
      </w:pPr>
      <w:r w:rsidRPr="00127514">
        <w:rPr>
          <w:rFonts w:cs="Times New Roman"/>
          <w:szCs w:val="24"/>
        </w:rPr>
        <w:t>McKelvey, R.D., and Zavoina, W. (1975). A statistical model for the analysis of ordinal level dependent variables</w:t>
      </w:r>
      <w:r w:rsidRPr="00127514">
        <w:rPr>
          <w:rFonts w:cs="Times New Roman"/>
          <w:i/>
          <w:iCs/>
          <w:szCs w:val="24"/>
        </w:rPr>
        <w:t>. Journal of Mathematical Sociology</w:t>
      </w:r>
      <w:r w:rsidRPr="00127514">
        <w:rPr>
          <w:rFonts w:cs="Times New Roman"/>
          <w:szCs w:val="24"/>
        </w:rPr>
        <w:t>, 4, 103-120.</w:t>
      </w:r>
    </w:p>
    <w:p w14:paraId="0BF649FB" w14:textId="77777777" w:rsidR="00944E80" w:rsidRPr="00127514" w:rsidRDefault="00944E80" w:rsidP="00127514">
      <w:pPr>
        <w:autoSpaceDE w:val="0"/>
        <w:autoSpaceDN w:val="0"/>
        <w:adjustRightInd w:val="0"/>
        <w:ind w:left="540" w:hanging="540"/>
        <w:jc w:val="both"/>
        <w:rPr>
          <w:rFonts w:cs="Times New Roman"/>
          <w:color w:val="131413"/>
          <w:szCs w:val="24"/>
        </w:rPr>
      </w:pPr>
      <w:r w:rsidRPr="00127514">
        <w:rPr>
          <w:rFonts w:cs="Times New Roman"/>
          <w:color w:val="000000"/>
          <w:szCs w:val="24"/>
        </w:rPr>
        <w:t xml:space="preserve">Melnykov, Y.,  Zhu, X., and Melnykov, V. (2021). Transformation mixture modeling for skewed data groups with heavy tails and scatter. </w:t>
      </w:r>
      <w:r w:rsidRPr="00127514">
        <w:rPr>
          <w:rFonts w:cs="Times New Roman"/>
          <w:i/>
          <w:iCs/>
          <w:color w:val="131413"/>
          <w:szCs w:val="24"/>
        </w:rPr>
        <w:t>Computational Statistics</w:t>
      </w:r>
      <w:r w:rsidRPr="00127514">
        <w:rPr>
          <w:rFonts w:cs="Times New Roman"/>
          <w:color w:val="131413"/>
          <w:szCs w:val="24"/>
        </w:rPr>
        <w:t>, 36, 61-78</w:t>
      </w:r>
      <w:r w:rsidRPr="00127514">
        <w:rPr>
          <w:rFonts w:cs="Times New Roman"/>
          <w:color w:val="000000"/>
          <w:szCs w:val="24"/>
        </w:rPr>
        <w:t>.</w:t>
      </w:r>
    </w:p>
    <w:p w14:paraId="0280E673" w14:textId="77777777" w:rsidR="00944E80" w:rsidRPr="00127514" w:rsidRDefault="00944E80" w:rsidP="00127514">
      <w:pPr>
        <w:autoSpaceDE w:val="0"/>
        <w:autoSpaceDN w:val="0"/>
        <w:adjustRightInd w:val="0"/>
        <w:ind w:left="540" w:hanging="540"/>
        <w:jc w:val="both"/>
        <w:rPr>
          <w:rFonts w:cs="Times New Roman"/>
          <w:szCs w:val="24"/>
        </w:rPr>
      </w:pPr>
      <w:r w:rsidRPr="00127514">
        <w:rPr>
          <w:rFonts w:cs="Times New Roman"/>
          <w:szCs w:val="24"/>
        </w:rPr>
        <w:t>Mondal, A., and Bhat, C.R. (2021). A new closed form multiple discrete-continuous extreme value (MDCEV) choice model with multiple linear constraints. </w:t>
      </w:r>
      <w:r w:rsidRPr="00127514">
        <w:rPr>
          <w:rFonts w:cs="Times New Roman"/>
          <w:i/>
          <w:iCs/>
          <w:szCs w:val="24"/>
        </w:rPr>
        <w:t>Transportation Research Part B</w:t>
      </w:r>
      <w:r w:rsidRPr="00127514">
        <w:rPr>
          <w:rFonts w:cs="Times New Roman"/>
          <w:szCs w:val="24"/>
        </w:rPr>
        <w:t>, 147, 42-66.</w:t>
      </w:r>
    </w:p>
    <w:p w14:paraId="26156919" w14:textId="77777777" w:rsidR="00944E80" w:rsidRPr="00127514" w:rsidRDefault="00944E80" w:rsidP="00127514">
      <w:pPr>
        <w:autoSpaceDE w:val="0"/>
        <w:autoSpaceDN w:val="0"/>
        <w:adjustRightInd w:val="0"/>
        <w:ind w:left="540" w:hanging="540"/>
        <w:jc w:val="both"/>
        <w:rPr>
          <w:rFonts w:cs="Times New Roman"/>
          <w:szCs w:val="24"/>
        </w:rPr>
      </w:pPr>
      <w:r w:rsidRPr="00127514">
        <w:rPr>
          <w:rFonts w:cs="Times New Roman"/>
          <w:szCs w:val="24"/>
        </w:rPr>
        <w:t xml:space="preserve">Mu, B., and Zhang, Z. (2018). Identification and estimation of heteroscedastic binary choice models with endogenous dummy regressors. </w:t>
      </w:r>
      <w:r w:rsidRPr="00127514">
        <w:rPr>
          <w:rFonts w:cs="Times New Roman"/>
          <w:i/>
          <w:iCs/>
          <w:szCs w:val="24"/>
        </w:rPr>
        <w:t>Econometrics Journal</w:t>
      </w:r>
      <w:r w:rsidRPr="00127514">
        <w:rPr>
          <w:rFonts w:cs="Times New Roman"/>
          <w:szCs w:val="24"/>
        </w:rPr>
        <w:t>, 21(2), 218-246.</w:t>
      </w:r>
    </w:p>
    <w:p w14:paraId="3348A7A0" w14:textId="77777777" w:rsidR="00944E80" w:rsidRPr="00127514" w:rsidRDefault="00944E80" w:rsidP="00127514">
      <w:pPr>
        <w:ind w:left="540" w:hanging="540"/>
        <w:jc w:val="both"/>
        <w:rPr>
          <w:rFonts w:cs="Times New Roman"/>
          <w:szCs w:val="24"/>
        </w:rPr>
      </w:pPr>
      <w:r w:rsidRPr="00127514">
        <w:rPr>
          <w:rFonts w:cs="Times New Roman"/>
          <w:szCs w:val="24"/>
        </w:rPr>
        <w:t xml:space="preserve">Osborne, J. (2010). Improving your data transformations: Applying the Box-Cox transformation. </w:t>
      </w:r>
      <w:r w:rsidRPr="00127514">
        <w:rPr>
          <w:rFonts w:cs="Times New Roman"/>
          <w:i/>
          <w:iCs/>
          <w:szCs w:val="24"/>
        </w:rPr>
        <w:t>Practical Assessment, Research, and Evaluation</w:t>
      </w:r>
      <w:r w:rsidRPr="00127514">
        <w:rPr>
          <w:rFonts w:cs="Times New Roman"/>
          <w:szCs w:val="24"/>
        </w:rPr>
        <w:t xml:space="preserve">, 15, Article 12.  </w:t>
      </w:r>
    </w:p>
    <w:p w14:paraId="3317441C" w14:textId="3CE4B7EF" w:rsidR="00944E80" w:rsidRPr="00127514" w:rsidRDefault="00944E80" w:rsidP="00127514">
      <w:pPr>
        <w:autoSpaceDE w:val="0"/>
        <w:autoSpaceDN w:val="0"/>
        <w:adjustRightInd w:val="0"/>
        <w:ind w:left="540" w:hanging="540"/>
        <w:jc w:val="both"/>
        <w:rPr>
          <w:rFonts w:cs="Times New Roman"/>
          <w:szCs w:val="24"/>
        </w:rPr>
      </w:pPr>
      <w:r w:rsidRPr="00127514">
        <w:rPr>
          <w:rFonts w:cs="Times New Roman"/>
          <w:szCs w:val="24"/>
        </w:rPr>
        <w:t xml:space="preserve">Paydar, M., and Kamani Fard, A. (2021). The hierarchy of walking needs and the COVID-19 pandemic. </w:t>
      </w:r>
      <w:r w:rsidRPr="00127514">
        <w:rPr>
          <w:rFonts w:cs="Times New Roman"/>
          <w:i/>
          <w:iCs/>
          <w:szCs w:val="24"/>
        </w:rPr>
        <w:t>International J</w:t>
      </w:r>
      <w:r w:rsidR="00C73FF0" w:rsidRPr="00127514">
        <w:rPr>
          <w:rFonts w:cs="Times New Roman"/>
          <w:i/>
          <w:iCs/>
          <w:szCs w:val="24"/>
        </w:rPr>
        <w:t>ournal</w:t>
      </w:r>
      <w:r w:rsidRPr="00127514">
        <w:rPr>
          <w:rFonts w:cs="Times New Roman"/>
          <w:i/>
          <w:iCs/>
          <w:szCs w:val="24"/>
        </w:rPr>
        <w:t xml:space="preserve"> of Environmental Research and Public Health</w:t>
      </w:r>
      <w:r w:rsidRPr="00127514">
        <w:rPr>
          <w:rFonts w:cs="Times New Roman"/>
          <w:szCs w:val="24"/>
        </w:rPr>
        <w:t xml:space="preserve">, 18(14), 7461. </w:t>
      </w:r>
    </w:p>
    <w:p w14:paraId="296F88A0" w14:textId="77777777" w:rsidR="00944E80" w:rsidRPr="00127514" w:rsidRDefault="00944E80" w:rsidP="00127514">
      <w:pPr>
        <w:pStyle w:val="dx-doi"/>
        <w:spacing w:before="0" w:beforeAutospacing="0" w:after="0" w:afterAutospacing="0"/>
        <w:ind w:left="540" w:hanging="540"/>
        <w:jc w:val="both"/>
      </w:pPr>
      <w:r w:rsidRPr="00127514">
        <w:t xml:space="preserve">Peterson, R.A., and Cavanaugh, J.E. (2020). </w:t>
      </w:r>
      <w:r w:rsidRPr="00127514">
        <w:rPr>
          <w:rStyle w:val="nlmarticle-title"/>
        </w:rPr>
        <w:t>Ordered quantile normalization: A semiparametric transformation built for the cross-validation era.</w:t>
      </w:r>
      <w:r w:rsidRPr="00127514">
        <w:rPr>
          <w:shd w:val="clear" w:color="auto" w:fill="FFFFFF"/>
        </w:rPr>
        <w:t> </w:t>
      </w:r>
      <w:r w:rsidRPr="00127514">
        <w:rPr>
          <w:i/>
          <w:iCs/>
        </w:rPr>
        <w:t>Journal of Applied Statistics</w:t>
      </w:r>
      <w:r w:rsidRPr="00127514">
        <w:t>, 47(13-15), 2312-2327.</w:t>
      </w:r>
    </w:p>
    <w:p w14:paraId="36D93B5E" w14:textId="77777777" w:rsidR="00944E80" w:rsidRPr="00127514" w:rsidRDefault="00944E80" w:rsidP="00127514">
      <w:pPr>
        <w:ind w:left="540" w:hanging="540"/>
        <w:jc w:val="both"/>
        <w:rPr>
          <w:rFonts w:cs="Times New Roman"/>
          <w:szCs w:val="24"/>
        </w:rPr>
      </w:pPr>
      <w:r w:rsidRPr="00127514">
        <w:rPr>
          <w:rFonts w:cs="Times New Roman"/>
          <w:szCs w:val="24"/>
        </w:rPr>
        <w:t xml:space="preserve">Petrin, A., and Train, K. (2010). A control function approach to endogeneity in consumer choice models. </w:t>
      </w:r>
      <w:r w:rsidRPr="00127514">
        <w:rPr>
          <w:rFonts w:cs="Times New Roman"/>
          <w:i/>
          <w:iCs/>
          <w:szCs w:val="24"/>
        </w:rPr>
        <w:t>Journal of Marketing Research</w:t>
      </w:r>
      <w:r w:rsidRPr="00127514">
        <w:rPr>
          <w:rFonts w:cs="Times New Roman"/>
          <w:szCs w:val="24"/>
        </w:rPr>
        <w:t xml:space="preserve">, 47(1), 3-13. </w:t>
      </w:r>
    </w:p>
    <w:p w14:paraId="0576DDCE" w14:textId="77777777" w:rsidR="00944E80" w:rsidRPr="00127514" w:rsidRDefault="00944E80" w:rsidP="00127514">
      <w:pPr>
        <w:autoSpaceDE w:val="0"/>
        <w:autoSpaceDN w:val="0"/>
        <w:adjustRightInd w:val="0"/>
        <w:ind w:left="540" w:hanging="540"/>
        <w:jc w:val="both"/>
        <w:rPr>
          <w:rFonts w:cs="Times New Roman"/>
          <w:szCs w:val="24"/>
        </w:rPr>
      </w:pPr>
      <w:r w:rsidRPr="00127514">
        <w:rPr>
          <w:rFonts w:cs="Times New Roman"/>
          <w:szCs w:val="24"/>
        </w:rPr>
        <w:t xml:space="preserve">Rhine, S.L.W., Greene, W.H., and Toussaint-Comeau, M. (2006). The importance of check-cashing businesses to the unbanked: Racial/ethnic differences. </w:t>
      </w:r>
      <w:r w:rsidRPr="00127514">
        <w:rPr>
          <w:rFonts w:cs="Times New Roman"/>
          <w:i/>
          <w:iCs/>
          <w:szCs w:val="24"/>
        </w:rPr>
        <w:t>The Review of Economics and Statistics</w:t>
      </w:r>
      <w:r w:rsidRPr="00127514">
        <w:rPr>
          <w:rFonts w:cs="Times New Roman"/>
          <w:szCs w:val="24"/>
        </w:rPr>
        <w:t>, 88(1), 146-157.</w:t>
      </w:r>
    </w:p>
    <w:p w14:paraId="3C27E966" w14:textId="77777777" w:rsidR="00944E80" w:rsidRPr="00127514" w:rsidRDefault="00944E80" w:rsidP="00127514">
      <w:pPr>
        <w:autoSpaceDE w:val="0"/>
        <w:autoSpaceDN w:val="0"/>
        <w:adjustRightInd w:val="0"/>
        <w:ind w:left="540" w:hanging="540"/>
        <w:jc w:val="both"/>
        <w:rPr>
          <w:rFonts w:cs="Times New Roman"/>
          <w:szCs w:val="24"/>
        </w:rPr>
      </w:pPr>
      <w:r w:rsidRPr="00127514">
        <w:rPr>
          <w:rFonts w:cs="Times New Roman"/>
          <w:szCs w:val="24"/>
        </w:rPr>
        <w:t xml:space="preserve">Rivers, D., and Vuong, Q.H. (1988). Limited information estimators and exogeneity tests for simultaneous probit models. </w:t>
      </w:r>
      <w:r w:rsidRPr="00127514">
        <w:rPr>
          <w:rFonts w:cs="Times New Roman"/>
          <w:i/>
          <w:iCs/>
          <w:szCs w:val="24"/>
        </w:rPr>
        <w:t>Journal of Econometrics</w:t>
      </w:r>
      <w:r w:rsidRPr="00127514">
        <w:rPr>
          <w:rFonts w:cs="Times New Roman"/>
          <w:szCs w:val="24"/>
        </w:rPr>
        <w:t>, 39(3), 347-366.</w:t>
      </w:r>
    </w:p>
    <w:p w14:paraId="55F5F465" w14:textId="385B051B" w:rsidR="00335BFF" w:rsidRPr="00137EA9" w:rsidRDefault="00335BFF" w:rsidP="00335BFF">
      <w:pPr>
        <w:autoSpaceDE w:val="0"/>
        <w:autoSpaceDN w:val="0"/>
        <w:adjustRightInd w:val="0"/>
        <w:ind w:left="540" w:hanging="540"/>
        <w:jc w:val="both"/>
        <w:rPr>
          <w:rFonts w:cs="Times New Roman"/>
          <w:szCs w:val="24"/>
        </w:rPr>
      </w:pPr>
      <w:r w:rsidRPr="00137EA9">
        <w:rPr>
          <w:rFonts w:cs="Times New Roman"/>
          <w:szCs w:val="24"/>
        </w:rPr>
        <w:t xml:space="preserve">Schwiebert, J. (2013). Sieve maximum likelihood estimation of a copula-based sample selection model. Leibniz University Hannover, Institute of Labor Economics, </w:t>
      </w:r>
      <w:hyperlink r:id="rId345" w:history="1">
        <w:r w:rsidRPr="00137EA9">
          <w:rPr>
            <w:rFonts w:cs="Times New Roman"/>
            <w:szCs w:val="24"/>
          </w:rPr>
          <w:t>https://conference.iza.org/conference_files/SUMS_2013/schwiebert_j8731.pdf</w:t>
        </w:r>
      </w:hyperlink>
      <w:r w:rsidRPr="00137EA9">
        <w:rPr>
          <w:rFonts w:cs="Times New Roman"/>
          <w:szCs w:val="24"/>
        </w:rPr>
        <w:t xml:space="preserve">, accessed </w:t>
      </w:r>
      <w:r>
        <w:rPr>
          <w:rFonts w:cs="Times New Roman"/>
          <w:szCs w:val="24"/>
        </w:rPr>
        <w:t>September 7</w:t>
      </w:r>
      <w:r w:rsidRPr="00137EA9">
        <w:rPr>
          <w:rFonts w:cs="Times New Roman"/>
          <w:szCs w:val="24"/>
        </w:rPr>
        <w:t>, 2024.</w:t>
      </w:r>
    </w:p>
    <w:p w14:paraId="372FF3BB" w14:textId="77777777" w:rsidR="00944E80" w:rsidRPr="00127514" w:rsidRDefault="00944E80" w:rsidP="00127514">
      <w:pPr>
        <w:autoSpaceDE w:val="0"/>
        <w:autoSpaceDN w:val="0"/>
        <w:adjustRightInd w:val="0"/>
        <w:ind w:left="540" w:hanging="540"/>
        <w:jc w:val="both"/>
        <w:rPr>
          <w:rFonts w:cs="Times New Roman"/>
          <w:szCs w:val="24"/>
        </w:rPr>
      </w:pPr>
      <w:r w:rsidRPr="00127514">
        <w:rPr>
          <w:rFonts w:cs="Times New Roman"/>
          <w:szCs w:val="24"/>
        </w:rPr>
        <w:t xml:space="preserve">Terza, J.V., Basu, A., and Rathouz, P.J. (2008). Two-stage residual inclusion estimation: Addressing endogeneity in health econometric modeling. </w:t>
      </w:r>
      <w:r w:rsidRPr="00127514">
        <w:rPr>
          <w:rFonts w:cs="Times New Roman"/>
          <w:i/>
          <w:iCs/>
          <w:szCs w:val="24"/>
        </w:rPr>
        <w:t>Journal of Health Economics</w:t>
      </w:r>
      <w:r w:rsidRPr="00127514">
        <w:rPr>
          <w:rFonts w:cs="Times New Roman"/>
          <w:szCs w:val="24"/>
        </w:rPr>
        <w:t>, 27(3), 531-543.</w:t>
      </w:r>
    </w:p>
    <w:p w14:paraId="45A62B1E" w14:textId="77777777" w:rsidR="00944E80" w:rsidRPr="00127514" w:rsidRDefault="00944E80" w:rsidP="00127514">
      <w:pPr>
        <w:ind w:left="540" w:hanging="540"/>
        <w:jc w:val="both"/>
        <w:rPr>
          <w:rFonts w:cs="Times New Roman"/>
          <w:noProof/>
          <w:szCs w:val="24"/>
        </w:rPr>
      </w:pPr>
      <w:r w:rsidRPr="00127514">
        <w:rPr>
          <w:rFonts w:cs="Times New Roman"/>
          <w:noProof/>
          <w:szCs w:val="24"/>
        </w:rPr>
        <w:lastRenderedPageBreak/>
        <w:t xml:space="preserve">Van Acker, V., Mokhtarian, P.L., and Witlox, F. (2014). Car availability explained by the structural relationships between lifestyles, residential location, and underlying residential and travel attitudes. </w:t>
      </w:r>
      <w:r w:rsidRPr="00127514">
        <w:rPr>
          <w:rFonts w:cs="Times New Roman"/>
          <w:i/>
          <w:iCs/>
          <w:noProof/>
          <w:szCs w:val="24"/>
        </w:rPr>
        <w:t>Transport Policy</w:t>
      </w:r>
      <w:r w:rsidRPr="00127514">
        <w:rPr>
          <w:rFonts w:cs="Times New Roman"/>
          <w:noProof/>
          <w:szCs w:val="24"/>
        </w:rPr>
        <w:t>, 35, 88-99.</w:t>
      </w:r>
    </w:p>
    <w:p w14:paraId="12D1041B" w14:textId="77777777" w:rsidR="00944E80" w:rsidRPr="00127514" w:rsidRDefault="00944E80" w:rsidP="00127514">
      <w:pPr>
        <w:ind w:left="540" w:hanging="540"/>
        <w:jc w:val="both"/>
        <w:rPr>
          <w:rFonts w:cs="Times New Roman"/>
          <w:noProof/>
          <w:szCs w:val="24"/>
        </w:rPr>
      </w:pPr>
      <w:r w:rsidRPr="00127514">
        <w:rPr>
          <w:rFonts w:cs="Times New Roman"/>
          <w:noProof/>
          <w:szCs w:val="24"/>
        </w:rPr>
        <w:t xml:space="preserve">Van Wee, B. (2009). Self‐Selection: A key to a better understanding of location choices, travel behaviour and transport externalities? </w:t>
      </w:r>
      <w:r w:rsidRPr="00127514">
        <w:rPr>
          <w:rFonts w:cs="Times New Roman"/>
          <w:i/>
          <w:iCs/>
          <w:noProof/>
          <w:szCs w:val="24"/>
        </w:rPr>
        <w:t>Transport Reviews</w:t>
      </w:r>
      <w:r w:rsidRPr="00127514">
        <w:rPr>
          <w:rFonts w:cs="Times New Roman"/>
          <w:noProof/>
          <w:szCs w:val="24"/>
        </w:rPr>
        <w:t>, 29(3), 279-292.</w:t>
      </w:r>
    </w:p>
    <w:p w14:paraId="1DBB14E5" w14:textId="77777777" w:rsidR="00335BFF" w:rsidRPr="00137EA9" w:rsidRDefault="00335BFF" w:rsidP="00335BFF">
      <w:pPr>
        <w:ind w:left="540" w:hanging="540"/>
        <w:jc w:val="both"/>
        <w:rPr>
          <w:rFonts w:cs="Times New Roman"/>
          <w:szCs w:val="24"/>
        </w:rPr>
      </w:pPr>
      <w:r w:rsidRPr="00137EA9">
        <w:rPr>
          <w:rFonts w:cs="Times New Roman"/>
          <w:szCs w:val="24"/>
        </w:rPr>
        <w:t xml:space="preserve">Vytlacil, E., and Yildiz, N. (2007). Dummy endogenous variables in weakly separable models. </w:t>
      </w:r>
      <w:r w:rsidRPr="00137EA9">
        <w:rPr>
          <w:rFonts w:cs="Times New Roman"/>
          <w:i/>
          <w:iCs/>
          <w:szCs w:val="24"/>
        </w:rPr>
        <w:t>Econometrica</w:t>
      </w:r>
      <w:r w:rsidRPr="00137EA9">
        <w:rPr>
          <w:rFonts w:cs="Times New Roman"/>
          <w:szCs w:val="24"/>
        </w:rPr>
        <w:t xml:space="preserve">, 75(3), 757-779. </w:t>
      </w:r>
    </w:p>
    <w:p w14:paraId="646C2AB2" w14:textId="77777777" w:rsidR="00944E80" w:rsidRPr="00127514" w:rsidRDefault="00944E80" w:rsidP="00127514">
      <w:pPr>
        <w:autoSpaceDE w:val="0"/>
        <w:autoSpaceDN w:val="0"/>
        <w:adjustRightInd w:val="0"/>
        <w:ind w:left="540" w:hanging="540"/>
        <w:jc w:val="both"/>
        <w:rPr>
          <w:rFonts w:cs="Times New Roman"/>
          <w:szCs w:val="24"/>
        </w:rPr>
      </w:pPr>
      <w:r w:rsidRPr="00127514">
        <w:rPr>
          <w:rFonts w:cs="Times New Roman"/>
          <w:szCs w:val="24"/>
        </w:rPr>
        <w:t xml:space="preserve">Wan, F., Small, D., and Mitra, N. (2018). A general approach to evaluating the bias of 2-stage instrumental variable estimators. </w:t>
      </w:r>
      <w:r w:rsidRPr="00127514">
        <w:rPr>
          <w:rFonts w:cs="Times New Roman"/>
          <w:i/>
          <w:iCs/>
          <w:szCs w:val="24"/>
        </w:rPr>
        <w:t>Statistics in Medicine</w:t>
      </w:r>
      <w:r w:rsidRPr="00127514">
        <w:rPr>
          <w:rFonts w:cs="Times New Roman"/>
          <w:szCs w:val="24"/>
        </w:rPr>
        <w:t>, 37(12), 1997-2015.</w:t>
      </w:r>
    </w:p>
    <w:p w14:paraId="24AEEE32" w14:textId="77777777" w:rsidR="00944E80" w:rsidRPr="00127514" w:rsidRDefault="00944E80" w:rsidP="00127514">
      <w:pPr>
        <w:ind w:left="540" w:hanging="540"/>
        <w:jc w:val="both"/>
        <w:rPr>
          <w:rFonts w:cs="Times New Roman"/>
          <w:szCs w:val="24"/>
        </w:rPr>
      </w:pPr>
      <w:r w:rsidRPr="00127514">
        <w:rPr>
          <w:rFonts w:cs="Times New Roman"/>
          <w:color w:val="000000"/>
          <w:szCs w:val="24"/>
        </w:rPr>
        <w:t>Wang, J., Yang, Y., Peng, J., Yang, L., Gou, Z.,  Lu, Y. (2021).</w:t>
      </w:r>
      <w:r w:rsidRPr="00127514">
        <w:rPr>
          <w:rFonts w:cs="Times New Roman"/>
          <w:szCs w:val="24"/>
        </w:rPr>
        <w:t xml:space="preserve"> </w:t>
      </w:r>
      <w:r w:rsidRPr="00127514">
        <w:rPr>
          <w:rFonts w:cs="Times New Roman"/>
          <w:color w:val="000000"/>
          <w:szCs w:val="24"/>
        </w:rPr>
        <w:t xml:space="preserve">Moderation effect of urban density on changes in physical activity during the coronavirus disease 2019 pandemic. </w:t>
      </w:r>
      <w:r w:rsidRPr="00127514">
        <w:rPr>
          <w:rFonts w:cs="Times New Roman"/>
          <w:i/>
          <w:iCs/>
          <w:szCs w:val="24"/>
        </w:rPr>
        <w:t>Sustainable Cities and Society</w:t>
      </w:r>
      <w:r w:rsidRPr="00127514">
        <w:rPr>
          <w:rFonts w:cs="Times New Roman"/>
          <w:szCs w:val="24"/>
        </w:rPr>
        <w:t>, 72, 103058.</w:t>
      </w:r>
    </w:p>
    <w:p w14:paraId="65F4AD7B" w14:textId="77777777" w:rsidR="00944E80" w:rsidRPr="00127514" w:rsidRDefault="00944E80" w:rsidP="00127514">
      <w:pPr>
        <w:ind w:left="540" w:hanging="540"/>
        <w:jc w:val="both"/>
        <w:rPr>
          <w:rFonts w:cs="Times New Roman"/>
          <w:szCs w:val="24"/>
        </w:rPr>
      </w:pPr>
      <w:r w:rsidRPr="00127514">
        <w:rPr>
          <w:rFonts w:cs="Times New Roman"/>
          <w:szCs w:val="24"/>
        </w:rPr>
        <w:t>Watthanacheewakul, L. (2021). Transformations for left skewed data. Proceedings of the World Congress on Engineering 2021 (WCE 2021), July 7-9, 2021, London, U.K.</w:t>
      </w:r>
    </w:p>
    <w:p w14:paraId="6380841C" w14:textId="77777777" w:rsidR="00944E80" w:rsidRPr="00127514" w:rsidRDefault="00944E80" w:rsidP="00127514">
      <w:pPr>
        <w:autoSpaceDE w:val="0"/>
        <w:autoSpaceDN w:val="0"/>
        <w:adjustRightInd w:val="0"/>
        <w:ind w:left="540" w:hanging="540"/>
        <w:jc w:val="both"/>
        <w:rPr>
          <w:rFonts w:cs="Times New Roman"/>
          <w:szCs w:val="24"/>
        </w:rPr>
      </w:pPr>
      <w:r w:rsidRPr="00127514">
        <w:rPr>
          <w:rFonts w:cs="Times New Roman"/>
          <w:szCs w:val="24"/>
        </w:rPr>
        <w:t xml:space="preserve">Wilde, J. (2000). Identification of multiple equation probit models with endogenous dummy regressors. </w:t>
      </w:r>
      <w:r w:rsidRPr="00127514">
        <w:rPr>
          <w:rFonts w:cs="Times New Roman"/>
          <w:i/>
          <w:iCs/>
          <w:szCs w:val="24"/>
        </w:rPr>
        <w:t>Economics Letters</w:t>
      </w:r>
      <w:r w:rsidRPr="00127514">
        <w:rPr>
          <w:rFonts w:cs="Times New Roman"/>
          <w:szCs w:val="24"/>
        </w:rPr>
        <w:t>, 69(3), 309-312.</w:t>
      </w:r>
    </w:p>
    <w:p w14:paraId="7808A63D" w14:textId="77777777" w:rsidR="00944E80" w:rsidRPr="00127514" w:rsidRDefault="00944E80" w:rsidP="00127514">
      <w:pPr>
        <w:autoSpaceDE w:val="0"/>
        <w:autoSpaceDN w:val="0"/>
        <w:adjustRightInd w:val="0"/>
        <w:ind w:left="540" w:hanging="540"/>
        <w:jc w:val="both"/>
        <w:rPr>
          <w:rFonts w:cs="Times New Roman"/>
          <w:color w:val="211D1E"/>
          <w:szCs w:val="24"/>
        </w:rPr>
      </w:pPr>
      <w:r w:rsidRPr="00127514">
        <w:rPr>
          <w:rFonts w:cs="Times New Roman"/>
          <w:color w:val="211D1E"/>
          <w:szCs w:val="24"/>
        </w:rPr>
        <w:t xml:space="preserve">Wooldridge, J.M. (2015). Control function methods in applied econometrics. </w:t>
      </w:r>
      <w:r w:rsidRPr="00127514">
        <w:rPr>
          <w:rFonts w:cs="Times New Roman"/>
          <w:i/>
          <w:iCs/>
          <w:color w:val="211D1E"/>
          <w:szCs w:val="24"/>
        </w:rPr>
        <w:t>The Journal of Human Resources</w:t>
      </w:r>
      <w:r w:rsidRPr="00127514">
        <w:rPr>
          <w:rFonts w:cs="Times New Roman"/>
          <w:color w:val="211D1E"/>
          <w:szCs w:val="24"/>
        </w:rPr>
        <w:t>, 50(2), 420-445.</w:t>
      </w:r>
    </w:p>
    <w:p w14:paraId="3227F12D" w14:textId="77777777" w:rsidR="00944E80" w:rsidRPr="00127514" w:rsidRDefault="00944E80" w:rsidP="00127514">
      <w:pPr>
        <w:ind w:left="540" w:hanging="540"/>
        <w:jc w:val="both"/>
        <w:rPr>
          <w:rFonts w:cs="Times New Roman"/>
          <w:color w:val="222222"/>
          <w:szCs w:val="24"/>
          <w:shd w:val="clear" w:color="auto" w:fill="FFFFFF"/>
        </w:rPr>
      </w:pPr>
      <w:r w:rsidRPr="00127514">
        <w:rPr>
          <w:rFonts w:cs="Times New Roman"/>
          <w:color w:val="222222"/>
          <w:szCs w:val="24"/>
          <w:shd w:val="clear" w:color="auto" w:fill="FFFFFF"/>
        </w:rPr>
        <w:t>Yeo, I.K., and Johnson, R.A. (2000). A new family of power transformations to improve normality or symmetry. </w:t>
      </w:r>
      <w:r w:rsidRPr="00127514">
        <w:rPr>
          <w:rFonts w:cs="Times New Roman"/>
          <w:i/>
          <w:iCs/>
          <w:color w:val="222222"/>
          <w:szCs w:val="24"/>
          <w:shd w:val="clear" w:color="auto" w:fill="FFFFFF"/>
        </w:rPr>
        <w:t>Biometrika</w:t>
      </w:r>
      <w:r w:rsidRPr="00127514">
        <w:rPr>
          <w:rFonts w:cs="Times New Roman"/>
          <w:color w:val="222222"/>
          <w:szCs w:val="24"/>
          <w:shd w:val="clear" w:color="auto" w:fill="FFFFFF"/>
        </w:rPr>
        <w:t>, 87(4), 954-959.</w:t>
      </w:r>
    </w:p>
    <w:p w14:paraId="2A8A47A0" w14:textId="77777777" w:rsidR="00335BFF" w:rsidRPr="00137EA9" w:rsidRDefault="00335BFF" w:rsidP="00335BFF">
      <w:pPr>
        <w:autoSpaceDE w:val="0"/>
        <w:autoSpaceDN w:val="0"/>
        <w:adjustRightInd w:val="0"/>
        <w:ind w:left="540" w:hanging="540"/>
        <w:jc w:val="both"/>
        <w:rPr>
          <w:rFonts w:cs="Times New Roman"/>
          <w:szCs w:val="24"/>
        </w:rPr>
      </w:pPr>
      <w:r w:rsidRPr="00137EA9">
        <w:rPr>
          <w:rFonts w:cs="Times New Roman"/>
          <w:szCs w:val="24"/>
        </w:rPr>
        <w:t xml:space="preserve">Yildiz, N. (2013). Estimation of binary choice models with linear index and dummy endogenous variables. </w:t>
      </w:r>
      <w:r w:rsidRPr="00137EA9">
        <w:rPr>
          <w:rFonts w:cs="Times New Roman"/>
          <w:i/>
          <w:iCs/>
          <w:szCs w:val="24"/>
        </w:rPr>
        <w:t>Econometric Theory</w:t>
      </w:r>
      <w:r w:rsidRPr="00137EA9">
        <w:rPr>
          <w:rFonts w:cs="Times New Roman"/>
          <w:szCs w:val="24"/>
        </w:rPr>
        <w:t>, 29(2), 354-92.</w:t>
      </w:r>
    </w:p>
    <w:p w14:paraId="1F1D02A5" w14:textId="2D95444D" w:rsidR="002936FC" w:rsidRPr="00127514" w:rsidRDefault="00944E80" w:rsidP="00127514">
      <w:pPr>
        <w:autoSpaceDE w:val="0"/>
        <w:autoSpaceDN w:val="0"/>
        <w:adjustRightInd w:val="0"/>
        <w:ind w:left="540" w:hanging="540"/>
        <w:jc w:val="both"/>
        <w:rPr>
          <w:rFonts w:cs="Times New Roman"/>
          <w:szCs w:val="24"/>
        </w:rPr>
      </w:pPr>
      <w:r w:rsidRPr="00127514">
        <w:rPr>
          <w:rFonts w:cs="Times New Roman"/>
          <w:szCs w:val="24"/>
        </w:rPr>
        <w:t xml:space="preserve">Zimmerman, D.W. (1998). Invalidation of parametric and nonparamteric statistical tests by concurrent violation of two assumptions. </w:t>
      </w:r>
      <w:r w:rsidRPr="00127514">
        <w:rPr>
          <w:rFonts w:cs="Times New Roman"/>
          <w:i/>
          <w:iCs/>
          <w:szCs w:val="24"/>
        </w:rPr>
        <w:t>Journal of Experimental Education</w:t>
      </w:r>
      <w:r w:rsidRPr="00127514">
        <w:rPr>
          <w:rFonts w:cs="Times New Roman"/>
          <w:szCs w:val="24"/>
        </w:rPr>
        <w:t xml:space="preserve">, 67(1), 55-68. </w:t>
      </w:r>
    </w:p>
    <w:sectPr w:rsidR="002936FC" w:rsidRPr="00127514" w:rsidSect="002225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8FA79" w14:textId="77777777" w:rsidR="008B151F" w:rsidRDefault="008B151F" w:rsidP="00466AEE">
      <w:r>
        <w:separator/>
      </w:r>
    </w:p>
  </w:endnote>
  <w:endnote w:type="continuationSeparator" w:id="0">
    <w:p w14:paraId="1F3BFEFB" w14:textId="77777777" w:rsidR="008B151F" w:rsidRDefault="008B151F" w:rsidP="0046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MR12">
    <w:altName w:val="Yu Gothic"/>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IX-Regular">
    <w:altName w:val="Yu Gothic"/>
    <w:panose1 w:val="00000000000000000000"/>
    <w:charset w:val="81"/>
    <w:family w:val="roman"/>
    <w:notTrueType/>
    <w:pitch w:val="default"/>
    <w:sig w:usb0="00000001" w:usb1="09060000" w:usb2="00000010" w:usb3="00000000" w:csb0="00080000" w:csb1="00000000"/>
  </w:font>
  <w:font w:name="STIX-Italic">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81BA" w14:textId="77777777" w:rsidR="00944E80" w:rsidRPr="00A06000" w:rsidRDefault="00944E80" w:rsidP="00942200">
    <w:pPr>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C98D" w14:textId="05A784CB" w:rsidR="00944E80" w:rsidRPr="00FE38B5" w:rsidRDefault="00944E80" w:rsidP="00FE38B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556967"/>
      <w:docPartObj>
        <w:docPartGallery w:val="Page Numbers (Bottom of Page)"/>
        <w:docPartUnique/>
      </w:docPartObj>
    </w:sdtPr>
    <w:sdtEndPr>
      <w:rPr>
        <w:rFonts w:ascii="Times New Roman" w:hAnsi="Times New Roman"/>
        <w:noProof/>
        <w:sz w:val="24"/>
        <w:szCs w:val="24"/>
      </w:rPr>
    </w:sdtEndPr>
    <w:sdtContent>
      <w:p w14:paraId="0556C02D" w14:textId="7B2E6321" w:rsidR="00FE38B5" w:rsidRPr="00222560" w:rsidRDefault="00222560" w:rsidP="00222560">
        <w:pPr>
          <w:pStyle w:val="Footer"/>
          <w:jc w:val="center"/>
          <w:rPr>
            <w:rFonts w:ascii="Times New Roman" w:hAnsi="Times New Roman"/>
            <w:sz w:val="24"/>
            <w:szCs w:val="24"/>
          </w:rPr>
        </w:pPr>
        <w:r w:rsidRPr="00222560">
          <w:rPr>
            <w:rFonts w:ascii="Times New Roman" w:hAnsi="Times New Roman"/>
            <w:sz w:val="24"/>
            <w:szCs w:val="24"/>
          </w:rPr>
          <w:fldChar w:fldCharType="begin"/>
        </w:r>
        <w:r w:rsidRPr="00222560">
          <w:rPr>
            <w:rFonts w:ascii="Times New Roman" w:hAnsi="Times New Roman"/>
            <w:sz w:val="24"/>
            <w:szCs w:val="24"/>
          </w:rPr>
          <w:instrText xml:space="preserve"> PAGE   \* MERGEFORMAT </w:instrText>
        </w:r>
        <w:r w:rsidRPr="00222560">
          <w:rPr>
            <w:rFonts w:ascii="Times New Roman" w:hAnsi="Times New Roman"/>
            <w:sz w:val="24"/>
            <w:szCs w:val="24"/>
          </w:rPr>
          <w:fldChar w:fldCharType="separate"/>
        </w:r>
        <w:r w:rsidRPr="00222560">
          <w:rPr>
            <w:rFonts w:ascii="Times New Roman" w:hAnsi="Times New Roman"/>
            <w:noProof/>
            <w:sz w:val="24"/>
            <w:szCs w:val="24"/>
          </w:rPr>
          <w:t>2</w:t>
        </w:r>
        <w:r w:rsidRPr="00222560">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00D52" w14:textId="77777777" w:rsidR="008B151F" w:rsidRDefault="008B151F" w:rsidP="00466AEE">
      <w:r>
        <w:separator/>
      </w:r>
    </w:p>
  </w:footnote>
  <w:footnote w:type="continuationSeparator" w:id="0">
    <w:p w14:paraId="73FB2A1E" w14:textId="77777777" w:rsidR="008B151F" w:rsidRDefault="008B151F" w:rsidP="00466AEE">
      <w:r>
        <w:continuationSeparator/>
      </w:r>
    </w:p>
  </w:footnote>
  <w:footnote w:id="1">
    <w:p w14:paraId="6B4AB9C2" w14:textId="635F8700" w:rsidR="00466AEE" w:rsidRPr="00212DC9" w:rsidRDefault="00466AEE" w:rsidP="00212DC9">
      <w:pPr>
        <w:jc w:val="both"/>
        <w:rPr>
          <w:rFonts w:cs="Times New Roman"/>
          <w:sz w:val="20"/>
          <w:szCs w:val="20"/>
        </w:rPr>
      </w:pPr>
      <w:r w:rsidRPr="008B25E6">
        <w:rPr>
          <w:rFonts w:cs="Times New Roman"/>
          <w:sz w:val="20"/>
          <w:szCs w:val="20"/>
          <w:vertAlign w:val="superscript"/>
        </w:rPr>
        <w:footnoteRef/>
      </w:r>
      <w:r w:rsidRPr="00212DC9">
        <w:rPr>
          <w:rFonts w:cs="Times New Roman"/>
          <w:sz w:val="20"/>
          <w:szCs w:val="20"/>
        </w:rPr>
        <w:t xml:space="preserve"> Mixtures of univariate skew distributions for each marginal distribution </w:t>
      </w:r>
      <w:r w:rsidR="00325E55" w:rsidRPr="00212DC9">
        <w:rPr>
          <w:rFonts w:cs="Times New Roman"/>
          <w:sz w:val="20"/>
          <w:szCs w:val="20"/>
        </w:rPr>
        <w:t xml:space="preserve">(in the skew approach) </w:t>
      </w:r>
      <w:r w:rsidRPr="00212DC9">
        <w:rPr>
          <w:rFonts w:cs="Times New Roman"/>
          <w:sz w:val="20"/>
          <w:szCs w:val="20"/>
        </w:rPr>
        <w:t xml:space="preserve">or </w:t>
      </w:r>
      <w:r w:rsidR="00325E55" w:rsidRPr="00212DC9">
        <w:rPr>
          <w:rFonts w:cs="Times New Roman"/>
          <w:sz w:val="20"/>
          <w:szCs w:val="20"/>
        </w:rPr>
        <w:t xml:space="preserve">transforming the target density function to a mixture distribution (in the transformation approach) provide additional flexibility for each marginal. However, such mixtures entail additional parameters that get particularly difficult to estimate and implement for a high dimensional joint model with many outcome variables. </w:t>
      </w:r>
    </w:p>
  </w:footnote>
  <w:footnote w:id="2">
    <w:p w14:paraId="3EACD9E9" w14:textId="44795F76" w:rsidR="00761D50" w:rsidRDefault="00761D50" w:rsidP="00761D50">
      <w:pPr>
        <w:pStyle w:val="FootnoteText"/>
        <w:jc w:val="both"/>
      </w:pPr>
      <w:r>
        <w:rPr>
          <w:rStyle w:val="FootnoteReference"/>
        </w:rPr>
        <w:footnoteRef/>
      </w:r>
      <w:r>
        <w:t xml:space="preserve"> </w:t>
      </w:r>
      <w:r>
        <w:rPr>
          <w:rFonts w:cs="Times New Roman"/>
          <w:szCs w:val="24"/>
        </w:rPr>
        <w:t xml:space="preserve">While </w:t>
      </w:r>
      <w:r w:rsidRPr="00761D50">
        <w:rPr>
          <w:rFonts w:cs="Times New Roman"/>
          <w:i/>
          <w:iCs/>
          <w:szCs w:val="24"/>
        </w:rPr>
        <w:t>u</w:t>
      </w:r>
      <w:r>
        <w:rPr>
          <w:rFonts w:cs="Times New Roman"/>
          <w:szCs w:val="24"/>
        </w:rPr>
        <w:t xml:space="preserve"> can be absorbed in the vector </w:t>
      </w:r>
      <w:r w:rsidRPr="00761D50">
        <w:rPr>
          <w:rFonts w:cs="Times New Roman"/>
          <w:b/>
          <w:bCs/>
          <w:szCs w:val="24"/>
        </w:rPr>
        <w:t>x</w:t>
      </w:r>
      <w:r>
        <w:rPr>
          <w:rFonts w:cs="Times New Roman"/>
          <w:szCs w:val="24"/>
        </w:rPr>
        <w:t>, separating it out will be helpful as we transition later to the specific application</w:t>
      </w:r>
      <w:r w:rsidR="000412BF">
        <w:rPr>
          <w:rFonts w:cs="Times New Roman"/>
          <w:szCs w:val="24"/>
        </w:rPr>
        <w:t xml:space="preserve"> of our approach</w:t>
      </w:r>
      <w:r>
        <w:rPr>
          <w:rFonts w:cs="Times New Roman"/>
          <w:szCs w:val="24"/>
        </w:rPr>
        <w:t xml:space="preserve"> </w:t>
      </w:r>
      <w:r w:rsidR="000412BF">
        <w:rPr>
          <w:rFonts w:cs="Times New Roman"/>
          <w:szCs w:val="24"/>
        </w:rPr>
        <w:t xml:space="preserve">for </w:t>
      </w:r>
      <w:r>
        <w:rPr>
          <w:rFonts w:cs="Times New Roman"/>
          <w:szCs w:val="24"/>
        </w:rPr>
        <w:t>an ordered-response model structure with an endogenous binary explanatory variable.</w:t>
      </w:r>
    </w:p>
  </w:footnote>
  <w:footnote w:id="3">
    <w:p w14:paraId="7DD693CD" w14:textId="3E732F48" w:rsidR="005D0DA2" w:rsidRPr="00B02E20" w:rsidRDefault="005D0DA2" w:rsidP="005D0DA2">
      <w:pPr>
        <w:jc w:val="both"/>
        <w:rPr>
          <w:rFonts w:cs="Times New Roman"/>
          <w:sz w:val="20"/>
          <w:szCs w:val="20"/>
        </w:rPr>
      </w:pPr>
      <w:r w:rsidRPr="008B25E6">
        <w:rPr>
          <w:rFonts w:cs="Times New Roman"/>
          <w:sz w:val="20"/>
          <w:szCs w:val="20"/>
          <w:vertAlign w:val="superscript"/>
        </w:rPr>
        <w:footnoteRef/>
      </w:r>
      <w:r w:rsidRPr="00B02E20">
        <w:rPr>
          <w:rFonts w:cs="Times New Roman"/>
          <w:sz w:val="20"/>
          <w:szCs w:val="20"/>
        </w:rPr>
        <w:t xml:space="preserve"> The non-constant coefficients in</w:t>
      </w:r>
      <w:r>
        <w:rPr>
          <w:rFonts w:cs="Times New Roman"/>
          <w:sz w:val="20"/>
          <w:szCs w:val="20"/>
        </w:rPr>
        <w:t xml:space="preserve"> </w:t>
      </w:r>
      <w:r w:rsidRPr="008B25E6">
        <w:rPr>
          <w:rFonts w:cs="Times New Roman"/>
          <w:b/>
          <w:bCs/>
          <w:sz w:val="20"/>
          <w:szCs w:val="20"/>
        </w:rPr>
        <w:t>γ</w:t>
      </w:r>
      <w:r>
        <w:rPr>
          <w:rFonts w:cs="Times New Roman"/>
          <w:sz w:val="20"/>
          <w:szCs w:val="20"/>
        </w:rPr>
        <w:t xml:space="preserve"> </w:t>
      </w:r>
      <w:r w:rsidRPr="00B02E20">
        <w:rPr>
          <w:rFonts w:cs="Times New Roman"/>
          <w:sz w:val="20"/>
          <w:szCs w:val="20"/>
        </w:rPr>
        <w:t xml:space="preserve">can be considered as </w:t>
      </w:r>
      <w:r w:rsidR="00EC2A76">
        <w:rPr>
          <w:rFonts w:cs="Times New Roman"/>
          <w:sz w:val="20"/>
          <w:szCs w:val="20"/>
        </w:rPr>
        <w:t xml:space="preserve">being </w:t>
      </w:r>
      <w:r w:rsidRPr="00B02E20">
        <w:rPr>
          <w:rFonts w:cs="Times New Roman"/>
          <w:sz w:val="20"/>
          <w:szCs w:val="20"/>
        </w:rPr>
        <w:t>random to accommodate unobserved heterogeneity in the sensitivity to the exogenous variables in</w:t>
      </w:r>
      <w:r>
        <w:rPr>
          <w:rFonts w:cs="Times New Roman"/>
          <w:sz w:val="20"/>
          <w:szCs w:val="20"/>
        </w:rPr>
        <w:t xml:space="preserve"> </w:t>
      </w:r>
      <w:r w:rsidRPr="007142A6">
        <w:rPr>
          <w:rFonts w:cs="Times New Roman"/>
          <w:b/>
          <w:bCs/>
          <w:sz w:val="20"/>
          <w:szCs w:val="20"/>
        </w:rPr>
        <w:t>x</w:t>
      </w:r>
      <w:r w:rsidRPr="00B02E20">
        <w:rPr>
          <w:rFonts w:cs="Times New Roman"/>
          <w:sz w:val="20"/>
          <w:szCs w:val="20"/>
        </w:rPr>
        <w:t xml:space="preserve">. Doing so would not substantially change the basic formulation presented here, except that the resulting mixing would need appropriate integration. In this paper, we assume the non-constant coefficients in </w:t>
      </w:r>
      <w:r w:rsidRPr="008B25E6">
        <w:rPr>
          <w:rFonts w:cs="Times New Roman"/>
          <w:b/>
          <w:bCs/>
          <w:sz w:val="20"/>
          <w:szCs w:val="20"/>
        </w:rPr>
        <w:t>γ</w:t>
      </w:r>
      <w:r>
        <w:rPr>
          <w:rFonts w:cs="Times New Roman"/>
          <w:sz w:val="20"/>
          <w:szCs w:val="20"/>
        </w:rPr>
        <w:t xml:space="preserve"> </w:t>
      </w:r>
      <w:r w:rsidRPr="00B02E20">
        <w:rPr>
          <w:rFonts w:cs="Times New Roman"/>
          <w:sz w:val="20"/>
          <w:szCs w:val="20"/>
        </w:rPr>
        <w:t xml:space="preserve">to be fixed to maintain focus on </w:t>
      </w:r>
      <w:r w:rsidR="00EC2A76">
        <w:rPr>
          <w:rFonts w:cs="Times New Roman"/>
          <w:sz w:val="20"/>
          <w:szCs w:val="20"/>
        </w:rPr>
        <w:t xml:space="preserve">allowing a flexible </w:t>
      </w:r>
      <w:r w:rsidRPr="00B02E20">
        <w:rPr>
          <w:rFonts w:cs="Times New Roman"/>
          <w:sz w:val="20"/>
          <w:szCs w:val="20"/>
        </w:rPr>
        <w:t xml:space="preserve">distribution </w:t>
      </w:r>
      <w:r w:rsidR="00EC2A76">
        <w:rPr>
          <w:rFonts w:cs="Times New Roman"/>
          <w:sz w:val="20"/>
          <w:szCs w:val="20"/>
        </w:rPr>
        <w:t>for</w:t>
      </w:r>
      <w:r w:rsidRPr="00B02E20">
        <w:rPr>
          <w:rFonts w:cs="Times New Roman"/>
          <w:sz w:val="20"/>
          <w:szCs w:val="20"/>
        </w:rPr>
        <w:t xml:space="preserve"> the kernel error term</w:t>
      </w:r>
      <w:r w:rsidR="000C4B4E">
        <w:rPr>
          <w:rFonts w:cs="Times New Roman"/>
          <w:sz w:val="20"/>
          <w:szCs w:val="20"/>
        </w:rPr>
        <w:t xml:space="preserve"> </w:t>
      </w:r>
      <w:r w:rsidR="000C4B4E" w:rsidRPr="000C4B4E">
        <w:rPr>
          <w:rFonts w:cs="Times New Roman"/>
          <w:i/>
          <w:iCs/>
          <w:sz w:val="20"/>
          <w:szCs w:val="20"/>
        </w:rPr>
        <w:t>ε</w:t>
      </w:r>
      <w:r w:rsidR="000C4B4E">
        <w:rPr>
          <w:rFonts w:cs="Times New Roman"/>
          <w:sz w:val="20"/>
          <w:szCs w:val="20"/>
        </w:rPr>
        <w:t>,</w:t>
      </w:r>
      <w:r w:rsidR="00EC2A76">
        <w:rPr>
          <w:rFonts w:cs="Times New Roman"/>
          <w:sz w:val="20"/>
          <w:szCs w:val="20"/>
        </w:rPr>
        <w:t xml:space="preserve"> </w:t>
      </w:r>
      <w:r w:rsidRPr="00B02E20">
        <w:rPr>
          <w:rFonts w:cs="Times New Roman"/>
          <w:sz w:val="20"/>
          <w:szCs w:val="20"/>
        </w:rPr>
        <w:t xml:space="preserve">the main emphasis of the current paper. </w:t>
      </w:r>
      <w:r w:rsidR="00C864DA">
        <w:rPr>
          <w:rFonts w:cs="Times New Roman"/>
          <w:sz w:val="20"/>
          <w:szCs w:val="20"/>
        </w:rPr>
        <w:t xml:space="preserve"> </w:t>
      </w:r>
    </w:p>
  </w:footnote>
  <w:footnote w:id="4">
    <w:p w14:paraId="0301F12A" w14:textId="563C47B6" w:rsidR="001C3F34" w:rsidRDefault="001C3F34" w:rsidP="001C3F34">
      <w:pPr>
        <w:pStyle w:val="FootnoteText"/>
        <w:jc w:val="both"/>
      </w:pPr>
      <w:r>
        <w:rPr>
          <w:rStyle w:val="FootnoteReference"/>
        </w:rPr>
        <w:footnoteRef/>
      </w:r>
      <w:r>
        <w:t xml:space="preserve"> There is no known closed form for the moments of the untransformed error vector </w:t>
      </w:r>
      <w:r w:rsidR="00582F59" w:rsidRPr="00582F59">
        <w:rPr>
          <w:rFonts w:cs="Times New Roman"/>
          <w:position w:val="-6"/>
          <w:szCs w:val="24"/>
        </w:rPr>
        <w:object w:dxaOrig="200" w:dyaOrig="220" w14:anchorId="475B0D3F">
          <v:shape id="_x0000_i1224" type="#_x0000_t75" style="width:9pt;height:9.85pt" o:ole="">
            <v:imagedata r:id="rId1" o:title=""/>
          </v:shape>
          <o:OLEObject Type="Embed" ProgID="Equation.DSMT4" ShapeID="_x0000_i1224" DrawAspect="Content" ObjectID="_1790752942" r:id="rId2"/>
        </w:object>
      </w:r>
      <w:r>
        <w:rPr>
          <w:rFonts w:cs="Times New Roman"/>
          <w:szCs w:val="24"/>
        </w:rPr>
        <w:t xml:space="preserve"> as a function of the YJ parameter vector</w:t>
      </w:r>
      <w:r w:rsidR="00D93764">
        <w:rPr>
          <w:rFonts w:cs="Times New Roman"/>
          <w:szCs w:val="24"/>
        </w:rPr>
        <w:t xml:space="preserve"> </w:t>
      </w:r>
      <w:r w:rsidR="00D93764" w:rsidRPr="00D93764">
        <w:rPr>
          <w:rFonts w:cs="Times New Roman"/>
          <w:i/>
          <w:iCs/>
          <w:szCs w:val="24"/>
        </w:rPr>
        <w:t>λ</w:t>
      </w:r>
      <w:r w:rsidR="00582F59">
        <w:rPr>
          <w:rFonts w:eastAsia="Times New Roman" w:cs="Times New Roman"/>
          <w:szCs w:val="24"/>
        </w:rPr>
        <w:t xml:space="preserve"> when</w:t>
      </w:r>
      <w:r w:rsidR="009D3BD9">
        <w:rPr>
          <w:rFonts w:eastAsia="Times New Roman" w:cs="Times New Roman"/>
          <w:szCs w:val="24"/>
        </w:rPr>
        <w:t xml:space="preserve"> </w:t>
      </w:r>
      <w:r w:rsidR="009D3BD9" w:rsidRPr="002A6F72">
        <w:rPr>
          <w:position w:val="-10"/>
        </w:rPr>
        <w:object w:dxaOrig="200" w:dyaOrig="260" w14:anchorId="628E963F">
          <v:shape id="_x0000_i1226" type="#_x0000_t75" style="width:10.7pt;height:13.3pt" o:ole="">
            <v:imagedata r:id="rId3" o:title=""/>
          </v:shape>
          <o:OLEObject Type="Embed" ProgID="Equation.DSMT4" ShapeID="_x0000_i1226" DrawAspect="Content" ObjectID="_1790752943" r:id="rId4"/>
        </w:object>
      </w:r>
      <w:r w:rsidR="009D3BD9">
        <w:t xml:space="preserve"> </w:t>
      </w:r>
      <w:r w:rsidR="00582F59">
        <w:rPr>
          <w:rFonts w:eastAsia="Times New Roman" w:cs="Times New Roman"/>
          <w:szCs w:val="24"/>
        </w:rPr>
        <w:t xml:space="preserve">is assumed to be normally distributed. </w:t>
      </w:r>
      <w:r>
        <w:rPr>
          <w:rFonts w:eastAsia="Times New Roman" w:cs="Times New Roman"/>
          <w:szCs w:val="24"/>
        </w:rPr>
        <w:t>But these moments can be estimated through numerical integration based on the probability density function in Equation (</w:t>
      </w:r>
      <w:r w:rsidR="007142A6">
        <w:rPr>
          <w:rFonts w:eastAsia="Times New Roman" w:cs="Times New Roman"/>
          <w:szCs w:val="24"/>
        </w:rPr>
        <w:t>8</w:t>
      </w:r>
      <w:r>
        <w:rPr>
          <w:rFonts w:eastAsia="Times New Roman" w:cs="Times New Roman"/>
          <w:szCs w:val="24"/>
        </w:rPr>
        <w:t xml:space="preserve">). </w:t>
      </w:r>
    </w:p>
  </w:footnote>
  <w:footnote w:id="5">
    <w:p w14:paraId="5C703331" w14:textId="3E33996B" w:rsidR="00740DB4" w:rsidRPr="00FE38B5" w:rsidRDefault="00740DB4" w:rsidP="009B5EC0">
      <w:pPr>
        <w:tabs>
          <w:tab w:val="left" w:pos="900"/>
        </w:tabs>
        <w:autoSpaceDE w:val="0"/>
        <w:autoSpaceDN w:val="0"/>
        <w:adjustRightInd w:val="0"/>
        <w:jc w:val="both"/>
        <w:rPr>
          <w:rFonts w:cs="Times New Roman"/>
          <w:sz w:val="20"/>
          <w:szCs w:val="20"/>
        </w:rPr>
      </w:pPr>
      <w:r w:rsidRPr="00504DC0">
        <w:rPr>
          <w:rFonts w:cs="Times New Roman"/>
          <w:sz w:val="20"/>
          <w:szCs w:val="20"/>
          <w:vertAlign w:val="superscript"/>
        </w:rPr>
        <w:footnoteRef/>
      </w:r>
      <w:r w:rsidR="00D93764">
        <w:rPr>
          <w:rFonts w:cs="Times New Roman"/>
          <w:sz w:val="20"/>
          <w:szCs w:val="20"/>
        </w:rPr>
        <w:t xml:space="preserve"> </w:t>
      </w:r>
      <w:r w:rsidRPr="00DF4896">
        <w:rPr>
          <w:rFonts w:cs="Times New Roman"/>
          <w:sz w:val="20"/>
          <w:szCs w:val="20"/>
        </w:rPr>
        <w:t xml:space="preserve">These same identification issues also apply to joint models (such as a binary selection equation and an ordered-response equation) that do not have treatment parameters, since the likelihood function take identical forms with or without the treatment parameters in such cases. </w:t>
      </w:r>
      <w:bookmarkStart w:id="4" w:name="_Hlk155431966"/>
      <w:r w:rsidR="00DF4896" w:rsidRPr="00DF4896">
        <w:rPr>
          <w:rFonts w:cs="Times New Roman"/>
          <w:sz w:val="20"/>
          <w:szCs w:val="20"/>
        </w:rPr>
        <w:t xml:space="preserve">Also to be noted is that the control function (or two stage residual inclusion) method (see Rivers and Vuong 1988, Blundell and Powell 2004, Terza et al., 2008, Petrin and Train, 2010, </w:t>
      </w:r>
      <w:r w:rsidR="00EB35E1">
        <w:rPr>
          <w:rFonts w:cs="Times New Roman"/>
          <w:sz w:val="20"/>
          <w:szCs w:val="20"/>
        </w:rPr>
        <w:t xml:space="preserve">and </w:t>
      </w:r>
      <w:r w:rsidR="00DF4896" w:rsidRPr="00DF4896">
        <w:rPr>
          <w:rFonts w:cs="Times New Roman"/>
          <w:sz w:val="20"/>
          <w:szCs w:val="20"/>
        </w:rPr>
        <w:t>Wooldridge, 2015) to estimate models of the type in Equation system (</w:t>
      </w:r>
      <w:r w:rsidR="0033379D">
        <w:rPr>
          <w:rFonts w:cs="Times New Roman"/>
          <w:sz w:val="20"/>
          <w:szCs w:val="20"/>
        </w:rPr>
        <w:t>11</w:t>
      </w:r>
      <w:r w:rsidR="00DF4896" w:rsidRPr="00DF4896">
        <w:rPr>
          <w:rFonts w:cs="Times New Roman"/>
          <w:sz w:val="20"/>
          <w:szCs w:val="20"/>
        </w:rPr>
        <w:t xml:space="preserve">) is applicable only for continuous EEVs, and not for EEVs that have a limited range (including discrete EEVs) as in our case. The control function approach, as suggested by Terza et al. (2008), may work reasonably okay with limited-dependent EEVs when the endogeneity intensity is small (see Woolridge, 2015). But, as indicated by Wan et al. (2018), Mu and Zhang (2018) and Denzer (2019), </w:t>
      </w:r>
      <w:bookmarkEnd w:id="4"/>
      <w:r w:rsidR="00DF4896" w:rsidRPr="00DF4896">
        <w:rPr>
          <w:rFonts w:cs="Times New Roman"/>
          <w:sz w:val="20"/>
          <w:szCs w:val="20"/>
        </w:rPr>
        <w:t xml:space="preserve">such a control function approach requires the limited-dependent EEV to be a strictly increasing function of the first stage error. In other words, the first stage error (obtained as the difference between the limited-dependent EEV and its expected value in the population) is not independent of the exogenous variables in the EEV model, a necessary condition for the control function to be a consistent estimator. Thus, the control function is not, in general, appropriate for models with limited dependent EEVs. </w:t>
      </w:r>
    </w:p>
  </w:footnote>
  <w:footnote w:id="6">
    <w:p w14:paraId="7A718547" w14:textId="0428B3D9" w:rsidR="00DF4896" w:rsidRPr="009B5EC0" w:rsidRDefault="00DF4896" w:rsidP="009B5EC0">
      <w:pPr>
        <w:autoSpaceDE w:val="0"/>
        <w:autoSpaceDN w:val="0"/>
        <w:adjustRightInd w:val="0"/>
        <w:jc w:val="both"/>
        <w:rPr>
          <w:rFonts w:cs="Times New Roman"/>
          <w:sz w:val="20"/>
          <w:szCs w:val="20"/>
        </w:rPr>
      </w:pPr>
      <w:r w:rsidRPr="00DF4896">
        <w:rPr>
          <w:rStyle w:val="FootnoteReference"/>
          <w:sz w:val="20"/>
          <w:szCs w:val="20"/>
        </w:rPr>
        <w:footnoteRef/>
      </w:r>
      <w:r w:rsidR="007F2BF6">
        <w:rPr>
          <w:rFonts w:cs="Times New Roman"/>
          <w:sz w:val="20"/>
          <w:szCs w:val="20"/>
        </w:rPr>
        <w:t xml:space="preserve"> </w:t>
      </w:r>
      <w:r w:rsidRPr="00DF4896">
        <w:rPr>
          <w:rFonts w:cs="Times New Roman"/>
          <w:sz w:val="20"/>
          <w:szCs w:val="20"/>
        </w:rPr>
        <w:t>The maximum likelihood (ML) method is predicated on the correct specification of the multivariate error structure underlying the overall limited dependent variable system (including the main outcome and the limited-dependent EEVs). Deviations from the correct distribution can lead to inconsistent estimation, especially in the effect of the limited-dependent EEV (sometimes referred to as the treatment effect when this happens to be a discrete EEV). This is where flexible parametric multivariate distributions, particularly the marginal distributions, can be substantially beneficial, while also being parsimonious in parameters and efficient in estimation. At the same time, because the ML estimator is a single-step estimator, standard errors are immediately available for all parameters. Further, the ML approach provides information on the joint (and marginal) distribution of the error terms.</w:t>
      </w:r>
    </w:p>
  </w:footnote>
  <w:footnote w:id="7">
    <w:p w14:paraId="4922CED2" w14:textId="06E5D05D" w:rsidR="00AF1536" w:rsidRPr="00B4106B" w:rsidRDefault="00AF1536" w:rsidP="00E214AA">
      <w:pPr>
        <w:rPr>
          <w:sz w:val="20"/>
          <w:szCs w:val="20"/>
        </w:rPr>
      </w:pPr>
      <w:r w:rsidRPr="00504DC0">
        <w:rPr>
          <w:sz w:val="20"/>
          <w:szCs w:val="20"/>
          <w:vertAlign w:val="superscript"/>
        </w:rPr>
        <w:footnoteRef/>
      </w:r>
      <w:r w:rsidRPr="00B4106B">
        <w:rPr>
          <w:sz w:val="20"/>
          <w:szCs w:val="20"/>
        </w:rPr>
        <w:t xml:space="preserve"> Additional details of the survey administration and methodology are available at </w:t>
      </w:r>
      <w:hyperlink r:id="rId5" w:history="1">
        <w:r w:rsidRPr="00B4106B">
          <w:rPr>
            <w:sz w:val="20"/>
            <w:szCs w:val="20"/>
          </w:rPr>
          <w:t>https://www.aarp.org/pri/topics/health/prevention-wellness/walking-attitudes-habits-adults-50-older/</w:t>
        </w:r>
      </w:hyperlink>
      <w:r w:rsidRPr="00B4106B">
        <w:rPr>
          <w:sz w:val="20"/>
          <w:szCs w:val="20"/>
        </w:rPr>
        <w:t>.</w:t>
      </w:r>
      <w:r w:rsidR="00E214AA">
        <w:rPr>
          <w:sz w:val="20"/>
          <w:szCs w:val="20"/>
        </w:rPr>
        <w:t xml:space="preserve"> </w:t>
      </w:r>
      <w:r w:rsidRPr="00B4106B">
        <w:rPr>
          <w:sz w:val="20"/>
          <w:szCs w:val="20"/>
        </w:rPr>
        <w:t xml:space="preserve">Accessed November 13, 2023. </w:t>
      </w:r>
    </w:p>
  </w:footnote>
  <w:footnote w:id="8">
    <w:p w14:paraId="53DC1AF7" w14:textId="18CEE166" w:rsidR="00F75AE3" w:rsidRPr="003D61DE" w:rsidRDefault="00F75AE3" w:rsidP="003D61DE">
      <w:pPr>
        <w:autoSpaceDE w:val="0"/>
        <w:autoSpaceDN w:val="0"/>
        <w:adjustRightInd w:val="0"/>
        <w:jc w:val="both"/>
        <w:rPr>
          <w:rFonts w:cs="Times New Roman"/>
          <w:sz w:val="20"/>
          <w:szCs w:val="20"/>
        </w:rPr>
      </w:pPr>
      <w:r w:rsidRPr="00202391">
        <w:rPr>
          <w:rFonts w:cs="Times New Roman"/>
          <w:sz w:val="20"/>
          <w:szCs w:val="20"/>
          <w:vertAlign w:val="superscript"/>
        </w:rPr>
        <w:footnoteRef/>
      </w:r>
      <w:r w:rsidR="00504DC0">
        <w:rPr>
          <w:rFonts w:cs="Times New Roman"/>
          <w:sz w:val="20"/>
          <w:szCs w:val="20"/>
        </w:rPr>
        <w:t xml:space="preserve"> </w:t>
      </w:r>
      <w:r w:rsidRPr="003D61DE">
        <w:rPr>
          <w:rFonts w:cs="Times New Roman"/>
          <w:sz w:val="20"/>
          <w:szCs w:val="20"/>
        </w:rPr>
        <w:t xml:space="preserve">The U.S. was </w:t>
      </w:r>
      <w:r w:rsidR="007142A6">
        <w:rPr>
          <w:rFonts w:cs="Times New Roman"/>
          <w:sz w:val="20"/>
          <w:szCs w:val="20"/>
        </w:rPr>
        <w:t xml:space="preserve">geographically </w:t>
      </w:r>
      <w:r w:rsidRPr="003D61DE">
        <w:rPr>
          <w:rFonts w:cs="Times New Roman"/>
          <w:sz w:val="20"/>
          <w:szCs w:val="20"/>
        </w:rPr>
        <w:t xml:space="preserve">classified into four regions; Northeast, South, West, and Midwest; based on the Census Division of residence  as follows: (a) New England and Mid-Atlantic = Northeast, (b) South Atlantic, West South Central and East South Central = South, (c) Pacific and Mountain=West, (d) East North Central and West North Central = Midwest. </w:t>
      </w:r>
    </w:p>
  </w:footnote>
  <w:footnote w:id="9">
    <w:p w14:paraId="3FEA3855" w14:textId="751DCEDF" w:rsidR="000D02B5" w:rsidRDefault="000D02B5" w:rsidP="00F34F94">
      <w:pPr>
        <w:pStyle w:val="FootnoteText"/>
        <w:jc w:val="both"/>
      </w:pPr>
      <w:r>
        <w:rPr>
          <w:rStyle w:val="FootnoteReference"/>
        </w:rPr>
        <w:footnoteRef/>
      </w:r>
      <w:r>
        <w:t xml:space="preserve">In estimating the skew-normal models, we first estimated the walk frequency </w:t>
      </w:r>
      <w:r w:rsidR="0086763B">
        <w:t xml:space="preserve">ordered-response </w:t>
      </w:r>
      <w:r>
        <w:t>component</w:t>
      </w:r>
      <w:r w:rsidR="0086763B">
        <w:t xml:space="preserve"> separately</w:t>
      </w:r>
      <w:r>
        <w:t xml:space="preserve">. </w:t>
      </w:r>
      <w:r w:rsidR="0086763B">
        <w:t>But the maximum likelihood estimation would not converge. So, we fixed the skew parameter at a battery of different values and estimated the model multiple times, and obtained the optimal skew value as the one at which the best (lowest) log-likelihood value was obtained. For the bivariate skew-normal model, we then fixed the skew parameter at what was estimated in the univariate walk frequency estimation and obtained an estimate of the correlation between the error terms of the urban residence and walk frequency equations, along with other parameter estimates.</w:t>
      </w:r>
    </w:p>
  </w:footnote>
  <w:footnote w:id="10">
    <w:p w14:paraId="5081CF67" w14:textId="11591C41" w:rsidR="00F76E97" w:rsidRDefault="00F76E97" w:rsidP="00F76E97">
      <w:pPr>
        <w:pStyle w:val="FootnoteText"/>
        <w:jc w:val="both"/>
      </w:pPr>
      <w:r>
        <w:rPr>
          <w:rStyle w:val="FootnoteReference"/>
        </w:rPr>
        <w:footnoteRef/>
      </w:r>
      <w:r w:rsidR="00D76ED6">
        <w:t xml:space="preserve"> </w:t>
      </w:r>
      <w:r>
        <w:t xml:space="preserve">The ATE effect, as discussed in this section to determine </w:t>
      </w:r>
      <w:r w:rsidR="00945103">
        <w:t xml:space="preserve">the </w:t>
      </w:r>
      <w:r>
        <w:t xml:space="preserve">urban neighborhood residence effect on walk frequency, can also be used to estimate the magnitude effect of any other sociodemographic, employment, or geographic residence region variable on walk frequency. However, we confine attention here to the urban residence effect.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30675"/>
    <w:multiLevelType w:val="multilevel"/>
    <w:tmpl w:val="053E9FE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DEA4604"/>
    <w:multiLevelType w:val="hybridMultilevel"/>
    <w:tmpl w:val="404AC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CB48D9"/>
    <w:multiLevelType w:val="hybridMultilevel"/>
    <w:tmpl w:val="9762F2F0"/>
    <w:lvl w:ilvl="0" w:tplc="F264729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ED463A"/>
    <w:multiLevelType w:val="hybridMultilevel"/>
    <w:tmpl w:val="E2904E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560F71"/>
    <w:multiLevelType w:val="multilevel"/>
    <w:tmpl w:val="1004B6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B8C29A7"/>
    <w:multiLevelType w:val="multilevel"/>
    <w:tmpl w:val="67A820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89023F"/>
    <w:multiLevelType w:val="multilevel"/>
    <w:tmpl w:val="A9CA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1F6"/>
    <w:rsid w:val="000009D0"/>
    <w:rsid w:val="00001C67"/>
    <w:rsid w:val="00004107"/>
    <w:rsid w:val="0001261E"/>
    <w:rsid w:val="000136A7"/>
    <w:rsid w:val="000167CD"/>
    <w:rsid w:val="00024E11"/>
    <w:rsid w:val="0003111E"/>
    <w:rsid w:val="000401BC"/>
    <w:rsid w:val="000412BF"/>
    <w:rsid w:val="00047801"/>
    <w:rsid w:val="000523BB"/>
    <w:rsid w:val="000603FD"/>
    <w:rsid w:val="00064886"/>
    <w:rsid w:val="00064FE2"/>
    <w:rsid w:val="00070667"/>
    <w:rsid w:val="000713A2"/>
    <w:rsid w:val="000775C1"/>
    <w:rsid w:val="00081F12"/>
    <w:rsid w:val="0008337C"/>
    <w:rsid w:val="000876D1"/>
    <w:rsid w:val="00090153"/>
    <w:rsid w:val="00090396"/>
    <w:rsid w:val="00093616"/>
    <w:rsid w:val="00093B53"/>
    <w:rsid w:val="000966CC"/>
    <w:rsid w:val="000A397B"/>
    <w:rsid w:val="000A544B"/>
    <w:rsid w:val="000A7A4E"/>
    <w:rsid w:val="000B14E2"/>
    <w:rsid w:val="000B73A6"/>
    <w:rsid w:val="000C10CF"/>
    <w:rsid w:val="000C230E"/>
    <w:rsid w:val="000C4B4E"/>
    <w:rsid w:val="000D02B5"/>
    <w:rsid w:val="000D077F"/>
    <w:rsid w:val="000D632E"/>
    <w:rsid w:val="000D762B"/>
    <w:rsid w:val="000E1DF9"/>
    <w:rsid w:val="000E2A5D"/>
    <w:rsid w:val="000E3B8F"/>
    <w:rsid w:val="000E55EA"/>
    <w:rsid w:val="000E7432"/>
    <w:rsid w:val="000F3267"/>
    <w:rsid w:val="000F3B47"/>
    <w:rsid w:val="000F446E"/>
    <w:rsid w:val="00102A55"/>
    <w:rsid w:val="00107764"/>
    <w:rsid w:val="0010778A"/>
    <w:rsid w:val="001105EA"/>
    <w:rsid w:val="00112BFB"/>
    <w:rsid w:val="00127514"/>
    <w:rsid w:val="0013215F"/>
    <w:rsid w:val="00140CD0"/>
    <w:rsid w:val="00141699"/>
    <w:rsid w:val="00143435"/>
    <w:rsid w:val="00153FCA"/>
    <w:rsid w:val="00163E0F"/>
    <w:rsid w:val="00164564"/>
    <w:rsid w:val="00167144"/>
    <w:rsid w:val="001756B0"/>
    <w:rsid w:val="00177A62"/>
    <w:rsid w:val="001832A8"/>
    <w:rsid w:val="00184D0C"/>
    <w:rsid w:val="00187219"/>
    <w:rsid w:val="001935B3"/>
    <w:rsid w:val="00193C9C"/>
    <w:rsid w:val="00197AD8"/>
    <w:rsid w:val="001A0CE7"/>
    <w:rsid w:val="001A10FA"/>
    <w:rsid w:val="001A4A42"/>
    <w:rsid w:val="001A6FC6"/>
    <w:rsid w:val="001B14CC"/>
    <w:rsid w:val="001B6A1B"/>
    <w:rsid w:val="001B77CA"/>
    <w:rsid w:val="001C29F6"/>
    <w:rsid w:val="001C3380"/>
    <w:rsid w:val="001C3C10"/>
    <w:rsid w:val="001C3F34"/>
    <w:rsid w:val="001C487A"/>
    <w:rsid w:val="001C4B4D"/>
    <w:rsid w:val="001C5081"/>
    <w:rsid w:val="001C627A"/>
    <w:rsid w:val="001D2CA7"/>
    <w:rsid w:val="001D3452"/>
    <w:rsid w:val="001D4C22"/>
    <w:rsid w:val="001D5D89"/>
    <w:rsid w:val="001D5DE1"/>
    <w:rsid w:val="001E29EC"/>
    <w:rsid w:val="001E2C5F"/>
    <w:rsid w:val="001E5441"/>
    <w:rsid w:val="001E7051"/>
    <w:rsid w:val="001E7EE6"/>
    <w:rsid w:val="001F00FC"/>
    <w:rsid w:val="001F1EB3"/>
    <w:rsid w:val="00202391"/>
    <w:rsid w:val="002024F4"/>
    <w:rsid w:val="0020570E"/>
    <w:rsid w:val="00212DC9"/>
    <w:rsid w:val="002153F5"/>
    <w:rsid w:val="002213D1"/>
    <w:rsid w:val="00221F15"/>
    <w:rsid w:val="00222560"/>
    <w:rsid w:val="00222EDA"/>
    <w:rsid w:val="00225B8E"/>
    <w:rsid w:val="00227F22"/>
    <w:rsid w:val="0023044B"/>
    <w:rsid w:val="00233881"/>
    <w:rsid w:val="002374EF"/>
    <w:rsid w:val="002377EA"/>
    <w:rsid w:val="0024402E"/>
    <w:rsid w:val="0024479E"/>
    <w:rsid w:val="0024492B"/>
    <w:rsid w:val="00245EB1"/>
    <w:rsid w:val="00251145"/>
    <w:rsid w:val="00254AA3"/>
    <w:rsid w:val="0025616D"/>
    <w:rsid w:val="0027278C"/>
    <w:rsid w:val="00276DAC"/>
    <w:rsid w:val="00280800"/>
    <w:rsid w:val="0028261A"/>
    <w:rsid w:val="00282AEC"/>
    <w:rsid w:val="00283904"/>
    <w:rsid w:val="00284B3A"/>
    <w:rsid w:val="002936FC"/>
    <w:rsid w:val="0029515E"/>
    <w:rsid w:val="002A2D31"/>
    <w:rsid w:val="002A3AB4"/>
    <w:rsid w:val="002A55A3"/>
    <w:rsid w:val="002A6F72"/>
    <w:rsid w:val="002B0B70"/>
    <w:rsid w:val="002B4044"/>
    <w:rsid w:val="002B5473"/>
    <w:rsid w:val="002B57CC"/>
    <w:rsid w:val="002B5B2F"/>
    <w:rsid w:val="002C2A51"/>
    <w:rsid w:val="002C5A8E"/>
    <w:rsid w:val="002C638B"/>
    <w:rsid w:val="002D2B62"/>
    <w:rsid w:val="002D4712"/>
    <w:rsid w:val="002E43DD"/>
    <w:rsid w:val="002F783F"/>
    <w:rsid w:val="002F7B9F"/>
    <w:rsid w:val="0030158D"/>
    <w:rsid w:val="00302D48"/>
    <w:rsid w:val="00304F9F"/>
    <w:rsid w:val="0031001F"/>
    <w:rsid w:val="0031004A"/>
    <w:rsid w:val="0031176A"/>
    <w:rsid w:val="00317A55"/>
    <w:rsid w:val="0032577B"/>
    <w:rsid w:val="00325E55"/>
    <w:rsid w:val="00332871"/>
    <w:rsid w:val="00332FB7"/>
    <w:rsid w:val="00333230"/>
    <w:rsid w:val="0033379D"/>
    <w:rsid w:val="00335BFF"/>
    <w:rsid w:val="003365C6"/>
    <w:rsid w:val="00340ECC"/>
    <w:rsid w:val="00341D17"/>
    <w:rsid w:val="00347A30"/>
    <w:rsid w:val="00350551"/>
    <w:rsid w:val="00350EFC"/>
    <w:rsid w:val="00352364"/>
    <w:rsid w:val="00352C7E"/>
    <w:rsid w:val="003532CA"/>
    <w:rsid w:val="0035597D"/>
    <w:rsid w:val="0036427C"/>
    <w:rsid w:val="00365A72"/>
    <w:rsid w:val="00366E8A"/>
    <w:rsid w:val="003734CF"/>
    <w:rsid w:val="00373F0B"/>
    <w:rsid w:val="003740AA"/>
    <w:rsid w:val="0037725D"/>
    <w:rsid w:val="00377ED9"/>
    <w:rsid w:val="00385552"/>
    <w:rsid w:val="00386F2A"/>
    <w:rsid w:val="0038799D"/>
    <w:rsid w:val="00390B96"/>
    <w:rsid w:val="003951C5"/>
    <w:rsid w:val="003A31B6"/>
    <w:rsid w:val="003A7067"/>
    <w:rsid w:val="003A7593"/>
    <w:rsid w:val="003B1F63"/>
    <w:rsid w:val="003B7C04"/>
    <w:rsid w:val="003B7E3A"/>
    <w:rsid w:val="003C2CA8"/>
    <w:rsid w:val="003C31CD"/>
    <w:rsid w:val="003C6EE0"/>
    <w:rsid w:val="003C6FF2"/>
    <w:rsid w:val="003C7D54"/>
    <w:rsid w:val="003D27AA"/>
    <w:rsid w:val="003D5BB5"/>
    <w:rsid w:val="003D61DE"/>
    <w:rsid w:val="003D65FF"/>
    <w:rsid w:val="003D7128"/>
    <w:rsid w:val="003E0F5F"/>
    <w:rsid w:val="003E2204"/>
    <w:rsid w:val="003F4897"/>
    <w:rsid w:val="003F4D6F"/>
    <w:rsid w:val="003F5590"/>
    <w:rsid w:val="003F63C9"/>
    <w:rsid w:val="00402CD8"/>
    <w:rsid w:val="004040E6"/>
    <w:rsid w:val="004109FA"/>
    <w:rsid w:val="004116BD"/>
    <w:rsid w:val="004119BD"/>
    <w:rsid w:val="00416710"/>
    <w:rsid w:val="0042498C"/>
    <w:rsid w:val="00436FEC"/>
    <w:rsid w:val="00440473"/>
    <w:rsid w:val="00442728"/>
    <w:rsid w:val="00442FF5"/>
    <w:rsid w:val="00445EE5"/>
    <w:rsid w:val="004479F0"/>
    <w:rsid w:val="004537FF"/>
    <w:rsid w:val="0045451B"/>
    <w:rsid w:val="00454B76"/>
    <w:rsid w:val="00462919"/>
    <w:rsid w:val="00463811"/>
    <w:rsid w:val="00466AEE"/>
    <w:rsid w:val="00467349"/>
    <w:rsid w:val="0047114E"/>
    <w:rsid w:val="0047288A"/>
    <w:rsid w:val="00472FEA"/>
    <w:rsid w:val="004740DF"/>
    <w:rsid w:val="00476C31"/>
    <w:rsid w:val="004771A0"/>
    <w:rsid w:val="00477DCD"/>
    <w:rsid w:val="00480805"/>
    <w:rsid w:val="00482BEB"/>
    <w:rsid w:val="0048452F"/>
    <w:rsid w:val="00485E66"/>
    <w:rsid w:val="004863A9"/>
    <w:rsid w:val="00486636"/>
    <w:rsid w:val="00495867"/>
    <w:rsid w:val="004A0E10"/>
    <w:rsid w:val="004A53FF"/>
    <w:rsid w:val="004B1735"/>
    <w:rsid w:val="004B3930"/>
    <w:rsid w:val="004B4150"/>
    <w:rsid w:val="004B4E9B"/>
    <w:rsid w:val="004B6584"/>
    <w:rsid w:val="004C3B4C"/>
    <w:rsid w:val="004C614B"/>
    <w:rsid w:val="004C7E46"/>
    <w:rsid w:val="004E07F0"/>
    <w:rsid w:val="004E47FA"/>
    <w:rsid w:val="004E6F42"/>
    <w:rsid w:val="004F2721"/>
    <w:rsid w:val="00504DC0"/>
    <w:rsid w:val="005050A0"/>
    <w:rsid w:val="00506566"/>
    <w:rsid w:val="00513D0C"/>
    <w:rsid w:val="0051631C"/>
    <w:rsid w:val="00525FE8"/>
    <w:rsid w:val="0052780C"/>
    <w:rsid w:val="00527F23"/>
    <w:rsid w:val="00544ED2"/>
    <w:rsid w:val="005502E3"/>
    <w:rsid w:val="005539F3"/>
    <w:rsid w:val="00554F09"/>
    <w:rsid w:val="00563765"/>
    <w:rsid w:val="005640BE"/>
    <w:rsid w:val="0056775F"/>
    <w:rsid w:val="00572DC1"/>
    <w:rsid w:val="0057456F"/>
    <w:rsid w:val="005757B9"/>
    <w:rsid w:val="00582F59"/>
    <w:rsid w:val="005846BD"/>
    <w:rsid w:val="0059137C"/>
    <w:rsid w:val="00593544"/>
    <w:rsid w:val="00595F4B"/>
    <w:rsid w:val="005A1D13"/>
    <w:rsid w:val="005A397C"/>
    <w:rsid w:val="005A7555"/>
    <w:rsid w:val="005B34C1"/>
    <w:rsid w:val="005B6EB1"/>
    <w:rsid w:val="005C242D"/>
    <w:rsid w:val="005C623B"/>
    <w:rsid w:val="005D0DA2"/>
    <w:rsid w:val="005D0DFF"/>
    <w:rsid w:val="005D2C56"/>
    <w:rsid w:val="005D60F5"/>
    <w:rsid w:val="005E0E39"/>
    <w:rsid w:val="005E3A9D"/>
    <w:rsid w:val="005E3C7F"/>
    <w:rsid w:val="005E5166"/>
    <w:rsid w:val="005E66D5"/>
    <w:rsid w:val="005E707A"/>
    <w:rsid w:val="005E7899"/>
    <w:rsid w:val="005F5D2B"/>
    <w:rsid w:val="005F651B"/>
    <w:rsid w:val="00602ADE"/>
    <w:rsid w:val="00603200"/>
    <w:rsid w:val="00607F85"/>
    <w:rsid w:val="0062066A"/>
    <w:rsid w:val="00624C4C"/>
    <w:rsid w:val="0062535E"/>
    <w:rsid w:val="00625C17"/>
    <w:rsid w:val="006355B9"/>
    <w:rsid w:val="006517C1"/>
    <w:rsid w:val="00652067"/>
    <w:rsid w:val="0065493C"/>
    <w:rsid w:val="00654E3D"/>
    <w:rsid w:val="00655646"/>
    <w:rsid w:val="006559C3"/>
    <w:rsid w:val="00656990"/>
    <w:rsid w:val="00656A34"/>
    <w:rsid w:val="00657764"/>
    <w:rsid w:val="0066252C"/>
    <w:rsid w:val="006627CB"/>
    <w:rsid w:val="00674427"/>
    <w:rsid w:val="006871EB"/>
    <w:rsid w:val="00691318"/>
    <w:rsid w:val="00691403"/>
    <w:rsid w:val="00697D26"/>
    <w:rsid w:val="006A4C98"/>
    <w:rsid w:val="006A5EA7"/>
    <w:rsid w:val="006A7485"/>
    <w:rsid w:val="006A7B96"/>
    <w:rsid w:val="006B2008"/>
    <w:rsid w:val="006B4D74"/>
    <w:rsid w:val="006C37DE"/>
    <w:rsid w:val="006C4143"/>
    <w:rsid w:val="006D10EA"/>
    <w:rsid w:val="006D360C"/>
    <w:rsid w:val="006D363A"/>
    <w:rsid w:val="006D5966"/>
    <w:rsid w:val="006E0E53"/>
    <w:rsid w:val="006E1AE0"/>
    <w:rsid w:val="006E3F9B"/>
    <w:rsid w:val="006F6727"/>
    <w:rsid w:val="006F6827"/>
    <w:rsid w:val="006F68BC"/>
    <w:rsid w:val="00702571"/>
    <w:rsid w:val="007062A5"/>
    <w:rsid w:val="00711D64"/>
    <w:rsid w:val="00711EEF"/>
    <w:rsid w:val="007124A8"/>
    <w:rsid w:val="00713582"/>
    <w:rsid w:val="00713BE0"/>
    <w:rsid w:val="007142A6"/>
    <w:rsid w:val="007148AE"/>
    <w:rsid w:val="00714A4A"/>
    <w:rsid w:val="00715222"/>
    <w:rsid w:val="00722A92"/>
    <w:rsid w:val="00724CEC"/>
    <w:rsid w:val="00725562"/>
    <w:rsid w:val="007255C0"/>
    <w:rsid w:val="00726671"/>
    <w:rsid w:val="00726F99"/>
    <w:rsid w:val="007312E1"/>
    <w:rsid w:val="00740DB4"/>
    <w:rsid w:val="00741FB2"/>
    <w:rsid w:val="007461E4"/>
    <w:rsid w:val="00752482"/>
    <w:rsid w:val="00754F89"/>
    <w:rsid w:val="00760B71"/>
    <w:rsid w:val="00761D50"/>
    <w:rsid w:val="00762E93"/>
    <w:rsid w:val="00763158"/>
    <w:rsid w:val="007653A2"/>
    <w:rsid w:val="0076696D"/>
    <w:rsid w:val="00766BAF"/>
    <w:rsid w:val="00766C53"/>
    <w:rsid w:val="00770F49"/>
    <w:rsid w:val="00771560"/>
    <w:rsid w:val="00772163"/>
    <w:rsid w:val="00772AE1"/>
    <w:rsid w:val="00775F78"/>
    <w:rsid w:val="0079127F"/>
    <w:rsid w:val="00797296"/>
    <w:rsid w:val="00797669"/>
    <w:rsid w:val="007A05B9"/>
    <w:rsid w:val="007A1514"/>
    <w:rsid w:val="007A1F91"/>
    <w:rsid w:val="007A28A2"/>
    <w:rsid w:val="007A57BC"/>
    <w:rsid w:val="007B15B9"/>
    <w:rsid w:val="007B2A67"/>
    <w:rsid w:val="007B3018"/>
    <w:rsid w:val="007B6985"/>
    <w:rsid w:val="007C2184"/>
    <w:rsid w:val="007E75BE"/>
    <w:rsid w:val="007F2BF6"/>
    <w:rsid w:val="007F5850"/>
    <w:rsid w:val="007F7802"/>
    <w:rsid w:val="007F7AFC"/>
    <w:rsid w:val="00800BC1"/>
    <w:rsid w:val="00803909"/>
    <w:rsid w:val="00810288"/>
    <w:rsid w:val="008171D7"/>
    <w:rsid w:val="00820E63"/>
    <w:rsid w:val="008256D4"/>
    <w:rsid w:val="00834FF3"/>
    <w:rsid w:val="008410A0"/>
    <w:rsid w:val="008412B6"/>
    <w:rsid w:val="00843330"/>
    <w:rsid w:val="008442BF"/>
    <w:rsid w:val="008445CF"/>
    <w:rsid w:val="00846F03"/>
    <w:rsid w:val="00852247"/>
    <w:rsid w:val="0085259C"/>
    <w:rsid w:val="0085385D"/>
    <w:rsid w:val="0086129D"/>
    <w:rsid w:val="0086560D"/>
    <w:rsid w:val="008665A2"/>
    <w:rsid w:val="008674F2"/>
    <w:rsid w:val="0086763B"/>
    <w:rsid w:val="00870C1D"/>
    <w:rsid w:val="008736C1"/>
    <w:rsid w:val="00877267"/>
    <w:rsid w:val="008853A6"/>
    <w:rsid w:val="0088541F"/>
    <w:rsid w:val="0088635E"/>
    <w:rsid w:val="008864A2"/>
    <w:rsid w:val="0089066A"/>
    <w:rsid w:val="008919DE"/>
    <w:rsid w:val="008921F9"/>
    <w:rsid w:val="00895A3C"/>
    <w:rsid w:val="00896D2D"/>
    <w:rsid w:val="008A2399"/>
    <w:rsid w:val="008A5F21"/>
    <w:rsid w:val="008B030F"/>
    <w:rsid w:val="008B151F"/>
    <w:rsid w:val="008B25E6"/>
    <w:rsid w:val="008D0711"/>
    <w:rsid w:val="008D15AD"/>
    <w:rsid w:val="008D31D7"/>
    <w:rsid w:val="008D5A84"/>
    <w:rsid w:val="008E5C31"/>
    <w:rsid w:val="009013E6"/>
    <w:rsid w:val="00902FAA"/>
    <w:rsid w:val="0090385E"/>
    <w:rsid w:val="00922ECB"/>
    <w:rsid w:val="00924EF2"/>
    <w:rsid w:val="009251CF"/>
    <w:rsid w:val="00927E39"/>
    <w:rsid w:val="00931436"/>
    <w:rsid w:val="00931537"/>
    <w:rsid w:val="00933936"/>
    <w:rsid w:val="009376C1"/>
    <w:rsid w:val="009435AF"/>
    <w:rsid w:val="00943799"/>
    <w:rsid w:val="00943BEE"/>
    <w:rsid w:val="00944E80"/>
    <w:rsid w:val="00945103"/>
    <w:rsid w:val="0094769A"/>
    <w:rsid w:val="0095182F"/>
    <w:rsid w:val="00967572"/>
    <w:rsid w:val="009721C9"/>
    <w:rsid w:val="009724B2"/>
    <w:rsid w:val="00974C8D"/>
    <w:rsid w:val="00976B07"/>
    <w:rsid w:val="00977F07"/>
    <w:rsid w:val="00981DC8"/>
    <w:rsid w:val="00982477"/>
    <w:rsid w:val="00982FF0"/>
    <w:rsid w:val="009850BA"/>
    <w:rsid w:val="0098603C"/>
    <w:rsid w:val="00987C11"/>
    <w:rsid w:val="0099171D"/>
    <w:rsid w:val="00991A71"/>
    <w:rsid w:val="00994EC3"/>
    <w:rsid w:val="009A15C3"/>
    <w:rsid w:val="009A7249"/>
    <w:rsid w:val="009B2186"/>
    <w:rsid w:val="009B5EC0"/>
    <w:rsid w:val="009B6AF0"/>
    <w:rsid w:val="009B729A"/>
    <w:rsid w:val="009C4621"/>
    <w:rsid w:val="009C4A42"/>
    <w:rsid w:val="009C5A88"/>
    <w:rsid w:val="009C6795"/>
    <w:rsid w:val="009C7CE7"/>
    <w:rsid w:val="009D328E"/>
    <w:rsid w:val="009D3A5D"/>
    <w:rsid w:val="009D3BD9"/>
    <w:rsid w:val="009D50A8"/>
    <w:rsid w:val="009D67A4"/>
    <w:rsid w:val="009E625A"/>
    <w:rsid w:val="009F134B"/>
    <w:rsid w:val="009F2C91"/>
    <w:rsid w:val="009F37D7"/>
    <w:rsid w:val="00A04ADB"/>
    <w:rsid w:val="00A05ABF"/>
    <w:rsid w:val="00A062E8"/>
    <w:rsid w:val="00A07171"/>
    <w:rsid w:val="00A1032A"/>
    <w:rsid w:val="00A13C2A"/>
    <w:rsid w:val="00A1716A"/>
    <w:rsid w:val="00A23840"/>
    <w:rsid w:val="00A26C62"/>
    <w:rsid w:val="00A26E22"/>
    <w:rsid w:val="00A31B45"/>
    <w:rsid w:val="00A3615A"/>
    <w:rsid w:val="00A365CA"/>
    <w:rsid w:val="00A42E7E"/>
    <w:rsid w:val="00A438EB"/>
    <w:rsid w:val="00A45BDA"/>
    <w:rsid w:val="00A5227E"/>
    <w:rsid w:val="00A53086"/>
    <w:rsid w:val="00A56835"/>
    <w:rsid w:val="00A56B71"/>
    <w:rsid w:val="00A575A2"/>
    <w:rsid w:val="00A57D00"/>
    <w:rsid w:val="00A60218"/>
    <w:rsid w:val="00A6300E"/>
    <w:rsid w:val="00A632BD"/>
    <w:rsid w:val="00A70734"/>
    <w:rsid w:val="00A70A35"/>
    <w:rsid w:val="00A71FD6"/>
    <w:rsid w:val="00A750D2"/>
    <w:rsid w:val="00A77701"/>
    <w:rsid w:val="00A83387"/>
    <w:rsid w:val="00A863C7"/>
    <w:rsid w:val="00A8718B"/>
    <w:rsid w:val="00A87CFD"/>
    <w:rsid w:val="00A90574"/>
    <w:rsid w:val="00A908C4"/>
    <w:rsid w:val="00A91013"/>
    <w:rsid w:val="00A915BA"/>
    <w:rsid w:val="00A92086"/>
    <w:rsid w:val="00A92360"/>
    <w:rsid w:val="00A978F3"/>
    <w:rsid w:val="00AA035B"/>
    <w:rsid w:val="00AA1FB0"/>
    <w:rsid w:val="00AB2C68"/>
    <w:rsid w:val="00AB4649"/>
    <w:rsid w:val="00AC0755"/>
    <w:rsid w:val="00AC15BD"/>
    <w:rsid w:val="00AC2A6A"/>
    <w:rsid w:val="00AC3C17"/>
    <w:rsid w:val="00AC6517"/>
    <w:rsid w:val="00AD2A74"/>
    <w:rsid w:val="00AD4FB1"/>
    <w:rsid w:val="00AF1536"/>
    <w:rsid w:val="00AF36FD"/>
    <w:rsid w:val="00AF5762"/>
    <w:rsid w:val="00AF6E97"/>
    <w:rsid w:val="00B00F0B"/>
    <w:rsid w:val="00B02E20"/>
    <w:rsid w:val="00B0311B"/>
    <w:rsid w:val="00B051F5"/>
    <w:rsid w:val="00B074B4"/>
    <w:rsid w:val="00B13D04"/>
    <w:rsid w:val="00B153E8"/>
    <w:rsid w:val="00B239A1"/>
    <w:rsid w:val="00B27C80"/>
    <w:rsid w:val="00B333D5"/>
    <w:rsid w:val="00B35D6C"/>
    <w:rsid w:val="00B36533"/>
    <w:rsid w:val="00B36613"/>
    <w:rsid w:val="00B4106B"/>
    <w:rsid w:val="00B42A56"/>
    <w:rsid w:val="00B42B1A"/>
    <w:rsid w:val="00B476AA"/>
    <w:rsid w:val="00B52C13"/>
    <w:rsid w:val="00B546A0"/>
    <w:rsid w:val="00B56E49"/>
    <w:rsid w:val="00B64575"/>
    <w:rsid w:val="00B6755B"/>
    <w:rsid w:val="00B70BB5"/>
    <w:rsid w:val="00B76B80"/>
    <w:rsid w:val="00B77680"/>
    <w:rsid w:val="00B77BEA"/>
    <w:rsid w:val="00B77D12"/>
    <w:rsid w:val="00B80FA1"/>
    <w:rsid w:val="00B81B59"/>
    <w:rsid w:val="00B83B99"/>
    <w:rsid w:val="00B85D56"/>
    <w:rsid w:val="00B94402"/>
    <w:rsid w:val="00B94761"/>
    <w:rsid w:val="00B94D21"/>
    <w:rsid w:val="00B95A9C"/>
    <w:rsid w:val="00BA0AC3"/>
    <w:rsid w:val="00BA36B6"/>
    <w:rsid w:val="00BA53CB"/>
    <w:rsid w:val="00BB78C1"/>
    <w:rsid w:val="00BD133D"/>
    <w:rsid w:val="00BD420F"/>
    <w:rsid w:val="00BD7E22"/>
    <w:rsid w:val="00BE1D13"/>
    <w:rsid w:val="00BE65E7"/>
    <w:rsid w:val="00BF0FAD"/>
    <w:rsid w:val="00BF2456"/>
    <w:rsid w:val="00BF2952"/>
    <w:rsid w:val="00BF35BB"/>
    <w:rsid w:val="00BF3C11"/>
    <w:rsid w:val="00BF4C05"/>
    <w:rsid w:val="00BF7550"/>
    <w:rsid w:val="00C002FE"/>
    <w:rsid w:val="00C0093D"/>
    <w:rsid w:val="00C02FBF"/>
    <w:rsid w:val="00C0415C"/>
    <w:rsid w:val="00C0542F"/>
    <w:rsid w:val="00C05CBC"/>
    <w:rsid w:val="00C120D1"/>
    <w:rsid w:val="00C1276F"/>
    <w:rsid w:val="00C3082A"/>
    <w:rsid w:val="00C31774"/>
    <w:rsid w:val="00C32CB0"/>
    <w:rsid w:val="00C32CE3"/>
    <w:rsid w:val="00C33E27"/>
    <w:rsid w:val="00C347A3"/>
    <w:rsid w:val="00C37F29"/>
    <w:rsid w:val="00C50E1E"/>
    <w:rsid w:val="00C63C09"/>
    <w:rsid w:val="00C66917"/>
    <w:rsid w:val="00C66A2C"/>
    <w:rsid w:val="00C675EC"/>
    <w:rsid w:val="00C735DA"/>
    <w:rsid w:val="00C73FF0"/>
    <w:rsid w:val="00C864DA"/>
    <w:rsid w:val="00C90BC5"/>
    <w:rsid w:val="00C921A3"/>
    <w:rsid w:val="00C9570B"/>
    <w:rsid w:val="00CA4618"/>
    <w:rsid w:val="00CA6258"/>
    <w:rsid w:val="00CA7111"/>
    <w:rsid w:val="00CB041A"/>
    <w:rsid w:val="00CB0B08"/>
    <w:rsid w:val="00CB0DFE"/>
    <w:rsid w:val="00CB355F"/>
    <w:rsid w:val="00CB356F"/>
    <w:rsid w:val="00CB36EB"/>
    <w:rsid w:val="00CB42CF"/>
    <w:rsid w:val="00CB79F0"/>
    <w:rsid w:val="00CD290A"/>
    <w:rsid w:val="00CE2760"/>
    <w:rsid w:val="00CE32E6"/>
    <w:rsid w:val="00CE66D5"/>
    <w:rsid w:val="00CE67DF"/>
    <w:rsid w:val="00CF1271"/>
    <w:rsid w:val="00CF2B4D"/>
    <w:rsid w:val="00CF7C9A"/>
    <w:rsid w:val="00D01FB0"/>
    <w:rsid w:val="00D048A5"/>
    <w:rsid w:val="00D0568F"/>
    <w:rsid w:val="00D126CD"/>
    <w:rsid w:val="00D1476A"/>
    <w:rsid w:val="00D1775E"/>
    <w:rsid w:val="00D20CC7"/>
    <w:rsid w:val="00D251FE"/>
    <w:rsid w:val="00D268F9"/>
    <w:rsid w:val="00D31B24"/>
    <w:rsid w:val="00D3201F"/>
    <w:rsid w:val="00D35ABF"/>
    <w:rsid w:val="00D361D1"/>
    <w:rsid w:val="00D37A2F"/>
    <w:rsid w:val="00D40406"/>
    <w:rsid w:val="00D40E00"/>
    <w:rsid w:val="00D50EC2"/>
    <w:rsid w:val="00D52E77"/>
    <w:rsid w:val="00D57DEE"/>
    <w:rsid w:val="00D6170C"/>
    <w:rsid w:val="00D65954"/>
    <w:rsid w:val="00D6764A"/>
    <w:rsid w:val="00D734D1"/>
    <w:rsid w:val="00D7374D"/>
    <w:rsid w:val="00D73A5C"/>
    <w:rsid w:val="00D73D09"/>
    <w:rsid w:val="00D74678"/>
    <w:rsid w:val="00D76ED6"/>
    <w:rsid w:val="00D77719"/>
    <w:rsid w:val="00D80509"/>
    <w:rsid w:val="00D82B3B"/>
    <w:rsid w:val="00D83C35"/>
    <w:rsid w:val="00D86E93"/>
    <w:rsid w:val="00D93764"/>
    <w:rsid w:val="00DA03B1"/>
    <w:rsid w:val="00DB16D8"/>
    <w:rsid w:val="00DC3A7B"/>
    <w:rsid w:val="00DD49CF"/>
    <w:rsid w:val="00DD6400"/>
    <w:rsid w:val="00DE310F"/>
    <w:rsid w:val="00DE31CF"/>
    <w:rsid w:val="00DF08FA"/>
    <w:rsid w:val="00DF4896"/>
    <w:rsid w:val="00DF4ABA"/>
    <w:rsid w:val="00E040B4"/>
    <w:rsid w:val="00E046E0"/>
    <w:rsid w:val="00E052CD"/>
    <w:rsid w:val="00E063BE"/>
    <w:rsid w:val="00E10B41"/>
    <w:rsid w:val="00E175A8"/>
    <w:rsid w:val="00E213BA"/>
    <w:rsid w:val="00E214AA"/>
    <w:rsid w:val="00E21F98"/>
    <w:rsid w:val="00E24AD0"/>
    <w:rsid w:val="00E25A25"/>
    <w:rsid w:val="00E265EB"/>
    <w:rsid w:val="00E41D09"/>
    <w:rsid w:val="00E50B7B"/>
    <w:rsid w:val="00E56FE8"/>
    <w:rsid w:val="00E61E5C"/>
    <w:rsid w:val="00E66F0F"/>
    <w:rsid w:val="00E76311"/>
    <w:rsid w:val="00E772E2"/>
    <w:rsid w:val="00E8159A"/>
    <w:rsid w:val="00E85755"/>
    <w:rsid w:val="00E85E1A"/>
    <w:rsid w:val="00E860AD"/>
    <w:rsid w:val="00E86355"/>
    <w:rsid w:val="00E90110"/>
    <w:rsid w:val="00E937C8"/>
    <w:rsid w:val="00EA0C56"/>
    <w:rsid w:val="00EA13CF"/>
    <w:rsid w:val="00EA3E26"/>
    <w:rsid w:val="00EA65A1"/>
    <w:rsid w:val="00EB2A7D"/>
    <w:rsid w:val="00EB35E1"/>
    <w:rsid w:val="00EC11F6"/>
    <w:rsid w:val="00EC2A76"/>
    <w:rsid w:val="00EC5D13"/>
    <w:rsid w:val="00ED09B4"/>
    <w:rsid w:val="00ED1042"/>
    <w:rsid w:val="00ED2E07"/>
    <w:rsid w:val="00ED34AD"/>
    <w:rsid w:val="00ED4832"/>
    <w:rsid w:val="00EE7FB1"/>
    <w:rsid w:val="00EF6B7F"/>
    <w:rsid w:val="00F03F01"/>
    <w:rsid w:val="00F06519"/>
    <w:rsid w:val="00F0661D"/>
    <w:rsid w:val="00F1329D"/>
    <w:rsid w:val="00F1780B"/>
    <w:rsid w:val="00F20534"/>
    <w:rsid w:val="00F22C7D"/>
    <w:rsid w:val="00F25E14"/>
    <w:rsid w:val="00F26ACC"/>
    <w:rsid w:val="00F2787C"/>
    <w:rsid w:val="00F300D9"/>
    <w:rsid w:val="00F309BC"/>
    <w:rsid w:val="00F34F94"/>
    <w:rsid w:val="00F4333F"/>
    <w:rsid w:val="00F467AD"/>
    <w:rsid w:val="00F525EE"/>
    <w:rsid w:val="00F53B0A"/>
    <w:rsid w:val="00F5432B"/>
    <w:rsid w:val="00F543B6"/>
    <w:rsid w:val="00F5489D"/>
    <w:rsid w:val="00F55F82"/>
    <w:rsid w:val="00F576AF"/>
    <w:rsid w:val="00F6622E"/>
    <w:rsid w:val="00F72C2F"/>
    <w:rsid w:val="00F72D6A"/>
    <w:rsid w:val="00F74AFB"/>
    <w:rsid w:val="00F75AE3"/>
    <w:rsid w:val="00F76E97"/>
    <w:rsid w:val="00F7702E"/>
    <w:rsid w:val="00F770C9"/>
    <w:rsid w:val="00F83533"/>
    <w:rsid w:val="00F8361C"/>
    <w:rsid w:val="00F836DC"/>
    <w:rsid w:val="00F84B2A"/>
    <w:rsid w:val="00F86138"/>
    <w:rsid w:val="00F8690D"/>
    <w:rsid w:val="00F86DF3"/>
    <w:rsid w:val="00F90100"/>
    <w:rsid w:val="00F905F6"/>
    <w:rsid w:val="00F93F77"/>
    <w:rsid w:val="00F95184"/>
    <w:rsid w:val="00F95224"/>
    <w:rsid w:val="00F96496"/>
    <w:rsid w:val="00FA0695"/>
    <w:rsid w:val="00FA3578"/>
    <w:rsid w:val="00FA3AD7"/>
    <w:rsid w:val="00FA40A1"/>
    <w:rsid w:val="00FB63BA"/>
    <w:rsid w:val="00FB6F52"/>
    <w:rsid w:val="00FB7034"/>
    <w:rsid w:val="00FC2B2B"/>
    <w:rsid w:val="00FC4D32"/>
    <w:rsid w:val="00FC5858"/>
    <w:rsid w:val="00FC7ACE"/>
    <w:rsid w:val="00FD0DDA"/>
    <w:rsid w:val="00FD141C"/>
    <w:rsid w:val="00FD334C"/>
    <w:rsid w:val="00FD75BF"/>
    <w:rsid w:val="00FD768A"/>
    <w:rsid w:val="00FE38B5"/>
    <w:rsid w:val="00FE57B3"/>
    <w:rsid w:val="00FF02A9"/>
    <w:rsid w:val="00FF063B"/>
    <w:rsid w:val="00FF2AD2"/>
    <w:rsid w:val="00FF4E43"/>
    <w:rsid w:val="00FF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6"/>
    <o:shapelayout v:ext="edit">
      <o:idmap v:ext="edit" data="1"/>
    </o:shapelayout>
  </w:shapeDefaults>
  <w:decimalSymbol w:val="."/>
  <w:listSeparator w:val=","/>
  <w14:docId w14:val="456A406C"/>
  <w15:chartTrackingRefBased/>
  <w15:docId w15:val="{E48E3538-CCAA-4234-A882-B7BD7D1AE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8B5"/>
    <w:pPr>
      <w:spacing w:after="0" w:line="240" w:lineRule="auto"/>
    </w:pPr>
    <w:rPr>
      <w:rFonts w:ascii="Times New Roman" w:hAnsi="Times New Roman"/>
      <w:sz w:val="24"/>
    </w:rPr>
  </w:style>
  <w:style w:type="paragraph" w:styleId="Heading1">
    <w:name w:val="heading 1"/>
    <w:basedOn w:val="Normal"/>
    <w:link w:val="Heading1Char"/>
    <w:uiPriority w:val="9"/>
    <w:qFormat/>
    <w:rsid w:val="009C6795"/>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next w:val="Normal"/>
    <w:link w:val="Heading2Char"/>
    <w:uiPriority w:val="9"/>
    <w:unhideWhenUsed/>
    <w:qFormat/>
    <w:rsid w:val="0000410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79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04107"/>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unhideWhenUsed/>
    <w:rsid w:val="00466AEE"/>
    <w:rPr>
      <w:sz w:val="20"/>
      <w:szCs w:val="20"/>
    </w:rPr>
  </w:style>
  <w:style w:type="character" w:customStyle="1" w:styleId="FootnoteTextChar">
    <w:name w:val="Footnote Text Char"/>
    <w:basedOn w:val="DefaultParagraphFont"/>
    <w:link w:val="FootnoteText"/>
    <w:uiPriority w:val="99"/>
    <w:qFormat/>
    <w:rsid w:val="00466AEE"/>
    <w:rPr>
      <w:sz w:val="20"/>
      <w:szCs w:val="20"/>
    </w:rPr>
  </w:style>
  <w:style w:type="character" w:styleId="FootnoteReference">
    <w:name w:val="footnote reference"/>
    <w:basedOn w:val="DefaultParagraphFont"/>
    <w:semiHidden/>
    <w:unhideWhenUsed/>
    <w:rsid w:val="00466AEE"/>
    <w:rPr>
      <w:vertAlign w:val="superscript"/>
    </w:rPr>
  </w:style>
  <w:style w:type="paragraph" w:styleId="ListParagraph">
    <w:name w:val="List Paragraph"/>
    <w:basedOn w:val="Normal"/>
    <w:uiPriority w:val="34"/>
    <w:qFormat/>
    <w:rsid w:val="006F6727"/>
    <w:pPr>
      <w:ind w:left="720"/>
      <w:contextualSpacing/>
    </w:pPr>
    <w:rPr>
      <w:rFonts w:eastAsia="Times New Roman" w:cs="Times New Roman"/>
      <w:szCs w:val="24"/>
    </w:rPr>
  </w:style>
  <w:style w:type="paragraph" w:customStyle="1" w:styleId="Default">
    <w:name w:val="Default"/>
    <w:rsid w:val="00F72D6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
    <w:name w:val="text"/>
    <w:aliases w:val="t"/>
    <w:basedOn w:val="Normal"/>
    <w:rsid w:val="00B36613"/>
    <w:pPr>
      <w:overflowPunct w:val="0"/>
      <w:autoSpaceDE w:val="0"/>
      <w:autoSpaceDN w:val="0"/>
      <w:adjustRightInd w:val="0"/>
      <w:spacing w:line="480" w:lineRule="atLeast"/>
      <w:ind w:firstLine="720"/>
      <w:jc w:val="both"/>
      <w:textAlignment w:val="baseline"/>
    </w:pPr>
    <w:rPr>
      <w:rFonts w:ascii="Times" w:eastAsia="Times New Roman" w:hAnsi="Times" w:cs="Times New Roman"/>
      <w:szCs w:val="20"/>
    </w:rPr>
  </w:style>
  <w:style w:type="character" w:styleId="Emphasis">
    <w:name w:val="Emphasis"/>
    <w:basedOn w:val="DefaultParagraphFont"/>
    <w:uiPriority w:val="20"/>
    <w:qFormat/>
    <w:rsid w:val="007B3018"/>
    <w:rPr>
      <w:i/>
      <w:iCs/>
    </w:rPr>
  </w:style>
  <w:style w:type="character" w:styleId="Hyperlink">
    <w:name w:val="Hyperlink"/>
    <w:basedOn w:val="DefaultParagraphFont"/>
    <w:uiPriority w:val="99"/>
    <w:unhideWhenUsed/>
    <w:rsid w:val="007B3018"/>
    <w:rPr>
      <w:color w:val="0000FF"/>
      <w:u w:val="single"/>
    </w:rPr>
  </w:style>
  <w:style w:type="character" w:styleId="UnresolvedMention">
    <w:name w:val="Unresolved Mention"/>
    <w:basedOn w:val="DefaultParagraphFont"/>
    <w:uiPriority w:val="99"/>
    <w:semiHidden/>
    <w:unhideWhenUsed/>
    <w:rsid w:val="00AF1536"/>
    <w:rPr>
      <w:color w:val="605E5C"/>
      <w:shd w:val="clear" w:color="auto" w:fill="E1DFDD"/>
    </w:rPr>
  </w:style>
  <w:style w:type="character" w:customStyle="1" w:styleId="mi">
    <w:name w:val="mi"/>
    <w:basedOn w:val="DefaultParagraphFont"/>
    <w:rsid w:val="00047801"/>
  </w:style>
  <w:style w:type="paragraph" w:styleId="Bibliography">
    <w:name w:val="Bibliography"/>
    <w:basedOn w:val="Normal"/>
    <w:next w:val="Normal"/>
    <w:uiPriority w:val="37"/>
    <w:unhideWhenUsed/>
    <w:rsid w:val="00004107"/>
  </w:style>
  <w:style w:type="character" w:customStyle="1" w:styleId="title-text">
    <w:name w:val="title-text"/>
    <w:basedOn w:val="DefaultParagraphFont"/>
    <w:rsid w:val="00004107"/>
  </w:style>
  <w:style w:type="character" w:customStyle="1" w:styleId="anchor-text">
    <w:name w:val="anchor-text"/>
    <w:basedOn w:val="DefaultParagraphFont"/>
    <w:rsid w:val="00004107"/>
  </w:style>
  <w:style w:type="character" w:customStyle="1" w:styleId="sr-only">
    <w:name w:val="sr-only"/>
    <w:basedOn w:val="DefaultParagraphFont"/>
    <w:rsid w:val="00004107"/>
  </w:style>
  <w:style w:type="character" w:customStyle="1" w:styleId="react-xocs-alternative-link">
    <w:name w:val="react-xocs-alternative-link"/>
    <w:basedOn w:val="DefaultParagraphFont"/>
    <w:rsid w:val="00004107"/>
  </w:style>
  <w:style w:type="character" w:customStyle="1" w:styleId="given-name">
    <w:name w:val="given-name"/>
    <w:basedOn w:val="DefaultParagraphFont"/>
    <w:rsid w:val="00004107"/>
  </w:style>
  <w:style w:type="character" w:customStyle="1" w:styleId="author-ref">
    <w:name w:val="author-ref"/>
    <w:basedOn w:val="DefaultParagraphFont"/>
    <w:rsid w:val="00004107"/>
  </w:style>
  <w:style w:type="character" w:customStyle="1" w:styleId="arxivid">
    <w:name w:val="arxivid"/>
    <w:basedOn w:val="DefaultParagraphFont"/>
    <w:rsid w:val="004E07F0"/>
  </w:style>
  <w:style w:type="paragraph" w:styleId="NormalWeb">
    <w:name w:val="Normal (Web)"/>
    <w:basedOn w:val="Normal"/>
    <w:uiPriority w:val="99"/>
    <w:unhideWhenUsed/>
    <w:rsid w:val="002A2D31"/>
    <w:pPr>
      <w:spacing w:before="100" w:beforeAutospacing="1" w:after="100" w:afterAutospacing="1"/>
    </w:pPr>
    <w:rPr>
      <w:rFonts w:eastAsia="Times New Roman" w:cs="Times New Roman"/>
      <w:szCs w:val="24"/>
    </w:rPr>
  </w:style>
  <w:style w:type="character" w:customStyle="1" w:styleId="nlmarticle-title">
    <w:name w:val="nlm_article-title"/>
    <w:basedOn w:val="DefaultParagraphFont"/>
    <w:rsid w:val="004A0E10"/>
  </w:style>
  <w:style w:type="paragraph" w:customStyle="1" w:styleId="dx-doi">
    <w:name w:val="dx-doi"/>
    <w:basedOn w:val="Normal"/>
    <w:rsid w:val="004A0E10"/>
    <w:pPr>
      <w:spacing w:before="100" w:beforeAutospacing="1" w:after="100" w:afterAutospacing="1"/>
    </w:pPr>
    <w:rPr>
      <w:rFonts w:eastAsia="Times New Roman" w:cs="Times New Roman"/>
      <w:szCs w:val="24"/>
    </w:rPr>
  </w:style>
  <w:style w:type="character" w:customStyle="1" w:styleId="ref-title">
    <w:name w:val="ref-title"/>
    <w:basedOn w:val="DefaultParagraphFont"/>
    <w:rsid w:val="00CA6258"/>
  </w:style>
  <w:style w:type="character" w:customStyle="1" w:styleId="ref-journal">
    <w:name w:val="ref-journal"/>
    <w:basedOn w:val="DefaultParagraphFont"/>
    <w:rsid w:val="00CA6258"/>
  </w:style>
  <w:style w:type="character" w:customStyle="1" w:styleId="ref-vol">
    <w:name w:val="ref-vol"/>
    <w:basedOn w:val="DefaultParagraphFont"/>
    <w:rsid w:val="00CA6258"/>
  </w:style>
  <w:style w:type="character" w:customStyle="1" w:styleId="button-link-text">
    <w:name w:val="button-link-text"/>
    <w:basedOn w:val="DefaultParagraphFont"/>
    <w:rsid w:val="00B94D21"/>
  </w:style>
  <w:style w:type="character" w:styleId="FollowedHyperlink">
    <w:name w:val="FollowedHyperlink"/>
    <w:basedOn w:val="DefaultParagraphFont"/>
    <w:uiPriority w:val="99"/>
    <w:semiHidden/>
    <w:unhideWhenUsed/>
    <w:rsid w:val="001D2CA7"/>
    <w:rPr>
      <w:color w:val="954F72" w:themeColor="followedHyperlink"/>
      <w:u w:val="single"/>
    </w:rPr>
  </w:style>
  <w:style w:type="character" w:styleId="HTMLCite">
    <w:name w:val="HTML Cite"/>
    <w:basedOn w:val="DefaultParagraphFont"/>
    <w:uiPriority w:val="99"/>
    <w:semiHidden/>
    <w:unhideWhenUsed/>
    <w:rsid w:val="007B6985"/>
    <w:rPr>
      <w:i/>
      <w:iCs/>
    </w:rPr>
  </w:style>
  <w:style w:type="character" w:customStyle="1" w:styleId="src">
    <w:name w:val="src"/>
    <w:basedOn w:val="DefaultParagraphFont"/>
    <w:rsid w:val="007B6985"/>
  </w:style>
  <w:style w:type="character" w:customStyle="1" w:styleId="booktitle">
    <w:name w:val="book_title"/>
    <w:basedOn w:val="DefaultParagraphFont"/>
    <w:rsid w:val="002D4712"/>
  </w:style>
  <w:style w:type="paragraph" w:styleId="Footer">
    <w:name w:val="footer"/>
    <w:basedOn w:val="Normal"/>
    <w:link w:val="FooterChar"/>
    <w:uiPriority w:val="99"/>
    <w:rsid w:val="00944E80"/>
    <w:pPr>
      <w:tabs>
        <w:tab w:val="center" w:pos="4680"/>
        <w:tab w:val="right" w:pos="9360"/>
      </w:tabs>
    </w:pPr>
    <w:rPr>
      <w:rFonts w:ascii="Calibri" w:eastAsia="Calibri" w:hAnsi="Calibri" w:cs="Times New Roman"/>
      <w:sz w:val="20"/>
      <w:szCs w:val="20"/>
      <w:lang w:val="x-none" w:eastAsia="x-none"/>
    </w:rPr>
  </w:style>
  <w:style w:type="character" w:customStyle="1" w:styleId="FooterChar">
    <w:name w:val="Footer Char"/>
    <w:basedOn w:val="DefaultParagraphFont"/>
    <w:link w:val="Footer"/>
    <w:uiPriority w:val="99"/>
    <w:rsid w:val="00944E80"/>
    <w:rPr>
      <w:rFonts w:ascii="Calibri" w:eastAsia="Calibri" w:hAnsi="Calibri" w:cs="Times New Roman"/>
      <w:sz w:val="20"/>
      <w:szCs w:val="20"/>
      <w:lang w:val="x-none" w:eastAsia="x-none"/>
    </w:rPr>
  </w:style>
  <w:style w:type="paragraph" w:styleId="Header">
    <w:name w:val="header"/>
    <w:basedOn w:val="Normal"/>
    <w:link w:val="HeaderChar"/>
    <w:uiPriority w:val="99"/>
    <w:unhideWhenUsed/>
    <w:rsid w:val="00E21F98"/>
    <w:pPr>
      <w:tabs>
        <w:tab w:val="center" w:pos="4680"/>
        <w:tab w:val="right" w:pos="9360"/>
      </w:tabs>
    </w:pPr>
  </w:style>
  <w:style w:type="character" w:customStyle="1" w:styleId="HeaderChar">
    <w:name w:val="Header Char"/>
    <w:basedOn w:val="DefaultParagraphFont"/>
    <w:link w:val="Header"/>
    <w:uiPriority w:val="99"/>
    <w:rsid w:val="00E21F98"/>
  </w:style>
  <w:style w:type="character" w:customStyle="1" w:styleId="linkbluetoblue">
    <w:name w:val="linkbluetoblue"/>
    <w:basedOn w:val="DefaultParagraphFont"/>
    <w:rsid w:val="006355B9"/>
  </w:style>
  <w:style w:type="character" w:styleId="Strong">
    <w:name w:val="Strong"/>
    <w:basedOn w:val="DefaultParagraphFont"/>
    <w:uiPriority w:val="22"/>
    <w:qFormat/>
    <w:rsid w:val="007C2184"/>
    <w:rPr>
      <w:b/>
      <w:bCs/>
    </w:rPr>
  </w:style>
  <w:style w:type="character" w:customStyle="1" w:styleId="referencetext">
    <w:name w:val="referencetext"/>
    <w:basedOn w:val="DefaultParagraphFont"/>
    <w:rsid w:val="007C2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8453">
      <w:bodyDiv w:val="1"/>
      <w:marLeft w:val="0"/>
      <w:marRight w:val="0"/>
      <w:marTop w:val="0"/>
      <w:marBottom w:val="0"/>
      <w:divBdr>
        <w:top w:val="none" w:sz="0" w:space="0" w:color="auto"/>
        <w:left w:val="none" w:sz="0" w:space="0" w:color="auto"/>
        <w:bottom w:val="none" w:sz="0" w:space="0" w:color="auto"/>
        <w:right w:val="none" w:sz="0" w:space="0" w:color="auto"/>
      </w:divBdr>
    </w:div>
    <w:div w:id="62027589">
      <w:bodyDiv w:val="1"/>
      <w:marLeft w:val="0"/>
      <w:marRight w:val="0"/>
      <w:marTop w:val="0"/>
      <w:marBottom w:val="0"/>
      <w:divBdr>
        <w:top w:val="none" w:sz="0" w:space="0" w:color="auto"/>
        <w:left w:val="none" w:sz="0" w:space="0" w:color="auto"/>
        <w:bottom w:val="none" w:sz="0" w:space="0" w:color="auto"/>
        <w:right w:val="none" w:sz="0" w:space="0" w:color="auto"/>
      </w:divBdr>
    </w:div>
    <w:div w:id="146822201">
      <w:bodyDiv w:val="1"/>
      <w:marLeft w:val="0"/>
      <w:marRight w:val="0"/>
      <w:marTop w:val="0"/>
      <w:marBottom w:val="0"/>
      <w:divBdr>
        <w:top w:val="none" w:sz="0" w:space="0" w:color="auto"/>
        <w:left w:val="none" w:sz="0" w:space="0" w:color="auto"/>
        <w:bottom w:val="none" w:sz="0" w:space="0" w:color="auto"/>
        <w:right w:val="none" w:sz="0" w:space="0" w:color="auto"/>
      </w:divBdr>
    </w:div>
    <w:div w:id="167717226">
      <w:bodyDiv w:val="1"/>
      <w:marLeft w:val="0"/>
      <w:marRight w:val="0"/>
      <w:marTop w:val="0"/>
      <w:marBottom w:val="0"/>
      <w:divBdr>
        <w:top w:val="none" w:sz="0" w:space="0" w:color="auto"/>
        <w:left w:val="none" w:sz="0" w:space="0" w:color="auto"/>
        <w:bottom w:val="none" w:sz="0" w:space="0" w:color="auto"/>
        <w:right w:val="none" w:sz="0" w:space="0" w:color="auto"/>
      </w:divBdr>
    </w:div>
    <w:div w:id="226184699">
      <w:bodyDiv w:val="1"/>
      <w:marLeft w:val="0"/>
      <w:marRight w:val="0"/>
      <w:marTop w:val="0"/>
      <w:marBottom w:val="0"/>
      <w:divBdr>
        <w:top w:val="none" w:sz="0" w:space="0" w:color="auto"/>
        <w:left w:val="none" w:sz="0" w:space="0" w:color="auto"/>
        <w:bottom w:val="none" w:sz="0" w:space="0" w:color="auto"/>
        <w:right w:val="none" w:sz="0" w:space="0" w:color="auto"/>
      </w:divBdr>
      <w:divsChild>
        <w:div w:id="446237655">
          <w:marLeft w:val="0"/>
          <w:marRight w:val="0"/>
          <w:marTop w:val="0"/>
          <w:marBottom w:val="0"/>
          <w:divBdr>
            <w:top w:val="none" w:sz="0" w:space="0" w:color="auto"/>
            <w:left w:val="none" w:sz="0" w:space="0" w:color="auto"/>
            <w:bottom w:val="none" w:sz="0" w:space="0" w:color="auto"/>
            <w:right w:val="none" w:sz="0" w:space="0" w:color="auto"/>
          </w:divBdr>
        </w:div>
        <w:div w:id="1492405774">
          <w:marLeft w:val="0"/>
          <w:marRight w:val="0"/>
          <w:marTop w:val="0"/>
          <w:marBottom w:val="0"/>
          <w:divBdr>
            <w:top w:val="none" w:sz="0" w:space="0" w:color="auto"/>
            <w:left w:val="none" w:sz="0" w:space="0" w:color="auto"/>
            <w:bottom w:val="none" w:sz="0" w:space="0" w:color="auto"/>
            <w:right w:val="none" w:sz="0" w:space="0" w:color="auto"/>
          </w:divBdr>
          <w:divsChild>
            <w:div w:id="1367368910">
              <w:marLeft w:val="0"/>
              <w:marRight w:val="0"/>
              <w:marTop w:val="0"/>
              <w:marBottom w:val="0"/>
              <w:divBdr>
                <w:top w:val="none" w:sz="0" w:space="0" w:color="auto"/>
                <w:left w:val="none" w:sz="0" w:space="0" w:color="auto"/>
                <w:bottom w:val="none" w:sz="0" w:space="0" w:color="auto"/>
                <w:right w:val="none" w:sz="0" w:space="0" w:color="auto"/>
              </w:divBdr>
              <w:divsChild>
                <w:div w:id="85500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32028">
      <w:bodyDiv w:val="1"/>
      <w:marLeft w:val="0"/>
      <w:marRight w:val="0"/>
      <w:marTop w:val="0"/>
      <w:marBottom w:val="0"/>
      <w:divBdr>
        <w:top w:val="none" w:sz="0" w:space="0" w:color="auto"/>
        <w:left w:val="none" w:sz="0" w:space="0" w:color="auto"/>
        <w:bottom w:val="none" w:sz="0" w:space="0" w:color="auto"/>
        <w:right w:val="none" w:sz="0" w:space="0" w:color="auto"/>
      </w:divBdr>
      <w:divsChild>
        <w:div w:id="1983074800">
          <w:marLeft w:val="0"/>
          <w:marRight w:val="0"/>
          <w:marTop w:val="0"/>
          <w:marBottom w:val="120"/>
          <w:divBdr>
            <w:top w:val="none" w:sz="0" w:space="0" w:color="auto"/>
            <w:left w:val="none" w:sz="0" w:space="0" w:color="auto"/>
            <w:bottom w:val="none" w:sz="0" w:space="0" w:color="auto"/>
            <w:right w:val="none" w:sz="0" w:space="0" w:color="auto"/>
          </w:divBdr>
          <w:divsChild>
            <w:div w:id="2136215970">
              <w:marLeft w:val="0"/>
              <w:marRight w:val="0"/>
              <w:marTop w:val="0"/>
              <w:marBottom w:val="0"/>
              <w:divBdr>
                <w:top w:val="none" w:sz="0" w:space="0" w:color="auto"/>
                <w:left w:val="none" w:sz="0" w:space="0" w:color="auto"/>
                <w:bottom w:val="none" w:sz="0" w:space="0" w:color="auto"/>
                <w:right w:val="none" w:sz="0" w:space="0" w:color="auto"/>
              </w:divBdr>
              <w:divsChild>
                <w:div w:id="1801725454">
                  <w:marLeft w:val="0"/>
                  <w:marRight w:val="0"/>
                  <w:marTop w:val="0"/>
                  <w:marBottom w:val="0"/>
                  <w:divBdr>
                    <w:top w:val="none" w:sz="0" w:space="0" w:color="auto"/>
                    <w:left w:val="none" w:sz="0" w:space="0" w:color="auto"/>
                    <w:bottom w:val="none" w:sz="0" w:space="0" w:color="auto"/>
                    <w:right w:val="none" w:sz="0" w:space="0" w:color="auto"/>
                  </w:divBdr>
                  <w:divsChild>
                    <w:div w:id="181910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264002">
      <w:bodyDiv w:val="1"/>
      <w:marLeft w:val="0"/>
      <w:marRight w:val="0"/>
      <w:marTop w:val="0"/>
      <w:marBottom w:val="0"/>
      <w:divBdr>
        <w:top w:val="none" w:sz="0" w:space="0" w:color="auto"/>
        <w:left w:val="none" w:sz="0" w:space="0" w:color="auto"/>
        <w:bottom w:val="none" w:sz="0" w:space="0" w:color="auto"/>
        <w:right w:val="none" w:sz="0" w:space="0" w:color="auto"/>
      </w:divBdr>
    </w:div>
    <w:div w:id="342518533">
      <w:bodyDiv w:val="1"/>
      <w:marLeft w:val="0"/>
      <w:marRight w:val="0"/>
      <w:marTop w:val="0"/>
      <w:marBottom w:val="0"/>
      <w:divBdr>
        <w:top w:val="none" w:sz="0" w:space="0" w:color="auto"/>
        <w:left w:val="none" w:sz="0" w:space="0" w:color="auto"/>
        <w:bottom w:val="none" w:sz="0" w:space="0" w:color="auto"/>
        <w:right w:val="none" w:sz="0" w:space="0" w:color="auto"/>
      </w:divBdr>
    </w:div>
    <w:div w:id="455418102">
      <w:bodyDiv w:val="1"/>
      <w:marLeft w:val="0"/>
      <w:marRight w:val="0"/>
      <w:marTop w:val="0"/>
      <w:marBottom w:val="0"/>
      <w:divBdr>
        <w:top w:val="none" w:sz="0" w:space="0" w:color="auto"/>
        <w:left w:val="none" w:sz="0" w:space="0" w:color="auto"/>
        <w:bottom w:val="none" w:sz="0" w:space="0" w:color="auto"/>
        <w:right w:val="none" w:sz="0" w:space="0" w:color="auto"/>
      </w:divBdr>
    </w:div>
    <w:div w:id="633340188">
      <w:bodyDiv w:val="1"/>
      <w:marLeft w:val="0"/>
      <w:marRight w:val="0"/>
      <w:marTop w:val="0"/>
      <w:marBottom w:val="0"/>
      <w:divBdr>
        <w:top w:val="none" w:sz="0" w:space="0" w:color="auto"/>
        <w:left w:val="none" w:sz="0" w:space="0" w:color="auto"/>
        <w:bottom w:val="none" w:sz="0" w:space="0" w:color="auto"/>
        <w:right w:val="none" w:sz="0" w:space="0" w:color="auto"/>
      </w:divBdr>
    </w:div>
    <w:div w:id="652224448">
      <w:bodyDiv w:val="1"/>
      <w:marLeft w:val="0"/>
      <w:marRight w:val="0"/>
      <w:marTop w:val="0"/>
      <w:marBottom w:val="0"/>
      <w:divBdr>
        <w:top w:val="none" w:sz="0" w:space="0" w:color="auto"/>
        <w:left w:val="none" w:sz="0" w:space="0" w:color="auto"/>
        <w:bottom w:val="none" w:sz="0" w:space="0" w:color="auto"/>
        <w:right w:val="none" w:sz="0" w:space="0" w:color="auto"/>
      </w:divBdr>
    </w:div>
    <w:div w:id="707998813">
      <w:bodyDiv w:val="1"/>
      <w:marLeft w:val="0"/>
      <w:marRight w:val="0"/>
      <w:marTop w:val="0"/>
      <w:marBottom w:val="0"/>
      <w:divBdr>
        <w:top w:val="none" w:sz="0" w:space="0" w:color="auto"/>
        <w:left w:val="none" w:sz="0" w:space="0" w:color="auto"/>
        <w:bottom w:val="none" w:sz="0" w:space="0" w:color="auto"/>
        <w:right w:val="none" w:sz="0" w:space="0" w:color="auto"/>
      </w:divBdr>
    </w:div>
    <w:div w:id="803086679">
      <w:bodyDiv w:val="1"/>
      <w:marLeft w:val="0"/>
      <w:marRight w:val="0"/>
      <w:marTop w:val="0"/>
      <w:marBottom w:val="0"/>
      <w:divBdr>
        <w:top w:val="none" w:sz="0" w:space="0" w:color="auto"/>
        <w:left w:val="none" w:sz="0" w:space="0" w:color="auto"/>
        <w:bottom w:val="none" w:sz="0" w:space="0" w:color="auto"/>
        <w:right w:val="none" w:sz="0" w:space="0" w:color="auto"/>
      </w:divBdr>
    </w:div>
    <w:div w:id="812719118">
      <w:bodyDiv w:val="1"/>
      <w:marLeft w:val="0"/>
      <w:marRight w:val="0"/>
      <w:marTop w:val="0"/>
      <w:marBottom w:val="0"/>
      <w:divBdr>
        <w:top w:val="none" w:sz="0" w:space="0" w:color="auto"/>
        <w:left w:val="none" w:sz="0" w:space="0" w:color="auto"/>
        <w:bottom w:val="none" w:sz="0" w:space="0" w:color="auto"/>
        <w:right w:val="none" w:sz="0" w:space="0" w:color="auto"/>
      </w:divBdr>
    </w:div>
    <w:div w:id="861629035">
      <w:bodyDiv w:val="1"/>
      <w:marLeft w:val="0"/>
      <w:marRight w:val="0"/>
      <w:marTop w:val="0"/>
      <w:marBottom w:val="0"/>
      <w:divBdr>
        <w:top w:val="none" w:sz="0" w:space="0" w:color="auto"/>
        <w:left w:val="none" w:sz="0" w:space="0" w:color="auto"/>
        <w:bottom w:val="none" w:sz="0" w:space="0" w:color="auto"/>
        <w:right w:val="none" w:sz="0" w:space="0" w:color="auto"/>
      </w:divBdr>
    </w:div>
    <w:div w:id="1006326661">
      <w:bodyDiv w:val="1"/>
      <w:marLeft w:val="0"/>
      <w:marRight w:val="0"/>
      <w:marTop w:val="0"/>
      <w:marBottom w:val="0"/>
      <w:divBdr>
        <w:top w:val="none" w:sz="0" w:space="0" w:color="auto"/>
        <w:left w:val="none" w:sz="0" w:space="0" w:color="auto"/>
        <w:bottom w:val="none" w:sz="0" w:space="0" w:color="auto"/>
        <w:right w:val="none" w:sz="0" w:space="0" w:color="auto"/>
      </w:divBdr>
    </w:div>
    <w:div w:id="1017346078">
      <w:bodyDiv w:val="1"/>
      <w:marLeft w:val="0"/>
      <w:marRight w:val="0"/>
      <w:marTop w:val="0"/>
      <w:marBottom w:val="0"/>
      <w:divBdr>
        <w:top w:val="none" w:sz="0" w:space="0" w:color="auto"/>
        <w:left w:val="none" w:sz="0" w:space="0" w:color="auto"/>
        <w:bottom w:val="none" w:sz="0" w:space="0" w:color="auto"/>
        <w:right w:val="none" w:sz="0" w:space="0" w:color="auto"/>
      </w:divBdr>
    </w:div>
    <w:div w:id="1030881607">
      <w:bodyDiv w:val="1"/>
      <w:marLeft w:val="0"/>
      <w:marRight w:val="0"/>
      <w:marTop w:val="0"/>
      <w:marBottom w:val="0"/>
      <w:divBdr>
        <w:top w:val="none" w:sz="0" w:space="0" w:color="auto"/>
        <w:left w:val="none" w:sz="0" w:space="0" w:color="auto"/>
        <w:bottom w:val="none" w:sz="0" w:space="0" w:color="auto"/>
        <w:right w:val="none" w:sz="0" w:space="0" w:color="auto"/>
      </w:divBdr>
    </w:div>
    <w:div w:id="1041394389">
      <w:bodyDiv w:val="1"/>
      <w:marLeft w:val="0"/>
      <w:marRight w:val="0"/>
      <w:marTop w:val="0"/>
      <w:marBottom w:val="0"/>
      <w:divBdr>
        <w:top w:val="none" w:sz="0" w:space="0" w:color="auto"/>
        <w:left w:val="none" w:sz="0" w:space="0" w:color="auto"/>
        <w:bottom w:val="none" w:sz="0" w:space="0" w:color="auto"/>
        <w:right w:val="none" w:sz="0" w:space="0" w:color="auto"/>
      </w:divBdr>
    </w:div>
    <w:div w:id="1042829433">
      <w:bodyDiv w:val="1"/>
      <w:marLeft w:val="0"/>
      <w:marRight w:val="0"/>
      <w:marTop w:val="0"/>
      <w:marBottom w:val="0"/>
      <w:divBdr>
        <w:top w:val="none" w:sz="0" w:space="0" w:color="auto"/>
        <w:left w:val="none" w:sz="0" w:space="0" w:color="auto"/>
        <w:bottom w:val="none" w:sz="0" w:space="0" w:color="auto"/>
        <w:right w:val="none" w:sz="0" w:space="0" w:color="auto"/>
      </w:divBdr>
    </w:div>
    <w:div w:id="1129208510">
      <w:bodyDiv w:val="1"/>
      <w:marLeft w:val="0"/>
      <w:marRight w:val="0"/>
      <w:marTop w:val="0"/>
      <w:marBottom w:val="0"/>
      <w:divBdr>
        <w:top w:val="none" w:sz="0" w:space="0" w:color="auto"/>
        <w:left w:val="none" w:sz="0" w:space="0" w:color="auto"/>
        <w:bottom w:val="none" w:sz="0" w:space="0" w:color="auto"/>
        <w:right w:val="none" w:sz="0" w:space="0" w:color="auto"/>
      </w:divBdr>
    </w:div>
    <w:div w:id="1129861413">
      <w:bodyDiv w:val="1"/>
      <w:marLeft w:val="0"/>
      <w:marRight w:val="0"/>
      <w:marTop w:val="0"/>
      <w:marBottom w:val="0"/>
      <w:divBdr>
        <w:top w:val="none" w:sz="0" w:space="0" w:color="auto"/>
        <w:left w:val="none" w:sz="0" w:space="0" w:color="auto"/>
        <w:bottom w:val="none" w:sz="0" w:space="0" w:color="auto"/>
        <w:right w:val="none" w:sz="0" w:space="0" w:color="auto"/>
      </w:divBdr>
    </w:div>
    <w:div w:id="1174537552">
      <w:bodyDiv w:val="1"/>
      <w:marLeft w:val="0"/>
      <w:marRight w:val="0"/>
      <w:marTop w:val="0"/>
      <w:marBottom w:val="0"/>
      <w:divBdr>
        <w:top w:val="none" w:sz="0" w:space="0" w:color="auto"/>
        <w:left w:val="none" w:sz="0" w:space="0" w:color="auto"/>
        <w:bottom w:val="none" w:sz="0" w:space="0" w:color="auto"/>
        <w:right w:val="none" w:sz="0" w:space="0" w:color="auto"/>
      </w:divBdr>
    </w:div>
    <w:div w:id="1174763245">
      <w:bodyDiv w:val="1"/>
      <w:marLeft w:val="0"/>
      <w:marRight w:val="0"/>
      <w:marTop w:val="0"/>
      <w:marBottom w:val="0"/>
      <w:divBdr>
        <w:top w:val="none" w:sz="0" w:space="0" w:color="auto"/>
        <w:left w:val="none" w:sz="0" w:space="0" w:color="auto"/>
        <w:bottom w:val="none" w:sz="0" w:space="0" w:color="auto"/>
        <w:right w:val="none" w:sz="0" w:space="0" w:color="auto"/>
      </w:divBdr>
    </w:div>
    <w:div w:id="1191869431">
      <w:bodyDiv w:val="1"/>
      <w:marLeft w:val="0"/>
      <w:marRight w:val="0"/>
      <w:marTop w:val="0"/>
      <w:marBottom w:val="0"/>
      <w:divBdr>
        <w:top w:val="none" w:sz="0" w:space="0" w:color="auto"/>
        <w:left w:val="none" w:sz="0" w:space="0" w:color="auto"/>
        <w:bottom w:val="none" w:sz="0" w:space="0" w:color="auto"/>
        <w:right w:val="none" w:sz="0" w:space="0" w:color="auto"/>
      </w:divBdr>
    </w:div>
    <w:div w:id="1216698113">
      <w:bodyDiv w:val="1"/>
      <w:marLeft w:val="0"/>
      <w:marRight w:val="0"/>
      <w:marTop w:val="0"/>
      <w:marBottom w:val="0"/>
      <w:divBdr>
        <w:top w:val="none" w:sz="0" w:space="0" w:color="auto"/>
        <w:left w:val="none" w:sz="0" w:space="0" w:color="auto"/>
        <w:bottom w:val="none" w:sz="0" w:space="0" w:color="auto"/>
        <w:right w:val="none" w:sz="0" w:space="0" w:color="auto"/>
      </w:divBdr>
    </w:div>
    <w:div w:id="1221284827">
      <w:bodyDiv w:val="1"/>
      <w:marLeft w:val="0"/>
      <w:marRight w:val="0"/>
      <w:marTop w:val="0"/>
      <w:marBottom w:val="0"/>
      <w:divBdr>
        <w:top w:val="none" w:sz="0" w:space="0" w:color="auto"/>
        <w:left w:val="none" w:sz="0" w:space="0" w:color="auto"/>
        <w:bottom w:val="none" w:sz="0" w:space="0" w:color="auto"/>
        <w:right w:val="none" w:sz="0" w:space="0" w:color="auto"/>
      </w:divBdr>
    </w:div>
    <w:div w:id="1301499437">
      <w:bodyDiv w:val="1"/>
      <w:marLeft w:val="0"/>
      <w:marRight w:val="0"/>
      <w:marTop w:val="0"/>
      <w:marBottom w:val="0"/>
      <w:divBdr>
        <w:top w:val="none" w:sz="0" w:space="0" w:color="auto"/>
        <w:left w:val="none" w:sz="0" w:space="0" w:color="auto"/>
        <w:bottom w:val="none" w:sz="0" w:space="0" w:color="auto"/>
        <w:right w:val="none" w:sz="0" w:space="0" w:color="auto"/>
      </w:divBdr>
      <w:divsChild>
        <w:div w:id="186332930">
          <w:marLeft w:val="300"/>
          <w:marRight w:val="0"/>
          <w:marTop w:val="120"/>
          <w:marBottom w:val="120"/>
          <w:divBdr>
            <w:top w:val="none" w:sz="0" w:space="0" w:color="auto"/>
            <w:left w:val="none" w:sz="0" w:space="0" w:color="auto"/>
            <w:bottom w:val="none" w:sz="0" w:space="0" w:color="auto"/>
            <w:right w:val="none" w:sz="0" w:space="0" w:color="auto"/>
          </w:divBdr>
        </w:div>
      </w:divsChild>
    </w:div>
    <w:div w:id="1333947686">
      <w:bodyDiv w:val="1"/>
      <w:marLeft w:val="0"/>
      <w:marRight w:val="0"/>
      <w:marTop w:val="0"/>
      <w:marBottom w:val="0"/>
      <w:divBdr>
        <w:top w:val="none" w:sz="0" w:space="0" w:color="auto"/>
        <w:left w:val="none" w:sz="0" w:space="0" w:color="auto"/>
        <w:bottom w:val="none" w:sz="0" w:space="0" w:color="auto"/>
        <w:right w:val="none" w:sz="0" w:space="0" w:color="auto"/>
      </w:divBdr>
      <w:divsChild>
        <w:div w:id="977343736">
          <w:marLeft w:val="0"/>
          <w:marRight w:val="0"/>
          <w:marTop w:val="0"/>
          <w:marBottom w:val="0"/>
          <w:divBdr>
            <w:top w:val="none" w:sz="0" w:space="0" w:color="auto"/>
            <w:left w:val="none" w:sz="0" w:space="0" w:color="auto"/>
            <w:bottom w:val="none" w:sz="0" w:space="0" w:color="auto"/>
            <w:right w:val="none" w:sz="0" w:space="0" w:color="auto"/>
          </w:divBdr>
        </w:div>
        <w:div w:id="1308391478">
          <w:marLeft w:val="0"/>
          <w:marRight w:val="0"/>
          <w:marTop w:val="0"/>
          <w:marBottom w:val="0"/>
          <w:divBdr>
            <w:top w:val="none" w:sz="0" w:space="0" w:color="auto"/>
            <w:left w:val="none" w:sz="0" w:space="0" w:color="auto"/>
            <w:bottom w:val="none" w:sz="0" w:space="0" w:color="auto"/>
            <w:right w:val="none" w:sz="0" w:space="0" w:color="auto"/>
          </w:divBdr>
          <w:divsChild>
            <w:div w:id="84882177">
              <w:marLeft w:val="0"/>
              <w:marRight w:val="0"/>
              <w:marTop w:val="0"/>
              <w:marBottom w:val="0"/>
              <w:divBdr>
                <w:top w:val="none" w:sz="0" w:space="0" w:color="auto"/>
                <w:left w:val="none" w:sz="0" w:space="0" w:color="auto"/>
                <w:bottom w:val="none" w:sz="0" w:space="0" w:color="auto"/>
                <w:right w:val="none" w:sz="0" w:space="0" w:color="auto"/>
              </w:divBdr>
              <w:divsChild>
                <w:div w:id="18317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57406">
      <w:bodyDiv w:val="1"/>
      <w:marLeft w:val="0"/>
      <w:marRight w:val="0"/>
      <w:marTop w:val="0"/>
      <w:marBottom w:val="0"/>
      <w:divBdr>
        <w:top w:val="none" w:sz="0" w:space="0" w:color="auto"/>
        <w:left w:val="none" w:sz="0" w:space="0" w:color="auto"/>
        <w:bottom w:val="none" w:sz="0" w:space="0" w:color="auto"/>
        <w:right w:val="none" w:sz="0" w:space="0" w:color="auto"/>
      </w:divBdr>
    </w:div>
    <w:div w:id="1409420184">
      <w:bodyDiv w:val="1"/>
      <w:marLeft w:val="0"/>
      <w:marRight w:val="0"/>
      <w:marTop w:val="0"/>
      <w:marBottom w:val="0"/>
      <w:divBdr>
        <w:top w:val="none" w:sz="0" w:space="0" w:color="auto"/>
        <w:left w:val="none" w:sz="0" w:space="0" w:color="auto"/>
        <w:bottom w:val="none" w:sz="0" w:space="0" w:color="auto"/>
        <w:right w:val="none" w:sz="0" w:space="0" w:color="auto"/>
      </w:divBdr>
    </w:div>
    <w:div w:id="1423183125">
      <w:bodyDiv w:val="1"/>
      <w:marLeft w:val="0"/>
      <w:marRight w:val="0"/>
      <w:marTop w:val="0"/>
      <w:marBottom w:val="0"/>
      <w:divBdr>
        <w:top w:val="none" w:sz="0" w:space="0" w:color="auto"/>
        <w:left w:val="none" w:sz="0" w:space="0" w:color="auto"/>
        <w:bottom w:val="none" w:sz="0" w:space="0" w:color="auto"/>
        <w:right w:val="none" w:sz="0" w:space="0" w:color="auto"/>
      </w:divBdr>
      <w:divsChild>
        <w:div w:id="2075934033">
          <w:marLeft w:val="0"/>
          <w:marRight w:val="0"/>
          <w:marTop w:val="0"/>
          <w:marBottom w:val="120"/>
          <w:divBdr>
            <w:top w:val="none" w:sz="0" w:space="0" w:color="auto"/>
            <w:left w:val="none" w:sz="0" w:space="0" w:color="auto"/>
            <w:bottom w:val="none" w:sz="0" w:space="0" w:color="auto"/>
            <w:right w:val="none" w:sz="0" w:space="0" w:color="auto"/>
          </w:divBdr>
          <w:divsChild>
            <w:div w:id="1250700418">
              <w:marLeft w:val="0"/>
              <w:marRight w:val="0"/>
              <w:marTop w:val="0"/>
              <w:marBottom w:val="0"/>
              <w:divBdr>
                <w:top w:val="none" w:sz="0" w:space="0" w:color="auto"/>
                <w:left w:val="none" w:sz="0" w:space="0" w:color="auto"/>
                <w:bottom w:val="none" w:sz="0" w:space="0" w:color="auto"/>
                <w:right w:val="none" w:sz="0" w:space="0" w:color="auto"/>
              </w:divBdr>
              <w:divsChild>
                <w:div w:id="1246451723">
                  <w:marLeft w:val="0"/>
                  <w:marRight w:val="0"/>
                  <w:marTop w:val="0"/>
                  <w:marBottom w:val="0"/>
                  <w:divBdr>
                    <w:top w:val="none" w:sz="0" w:space="0" w:color="auto"/>
                    <w:left w:val="none" w:sz="0" w:space="0" w:color="auto"/>
                    <w:bottom w:val="none" w:sz="0" w:space="0" w:color="auto"/>
                    <w:right w:val="none" w:sz="0" w:space="0" w:color="auto"/>
                  </w:divBdr>
                  <w:divsChild>
                    <w:div w:id="114793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5994">
      <w:bodyDiv w:val="1"/>
      <w:marLeft w:val="0"/>
      <w:marRight w:val="0"/>
      <w:marTop w:val="0"/>
      <w:marBottom w:val="0"/>
      <w:divBdr>
        <w:top w:val="none" w:sz="0" w:space="0" w:color="auto"/>
        <w:left w:val="none" w:sz="0" w:space="0" w:color="auto"/>
        <w:bottom w:val="none" w:sz="0" w:space="0" w:color="auto"/>
        <w:right w:val="none" w:sz="0" w:space="0" w:color="auto"/>
      </w:divBdr>
    </w:div>
    <w:div w:id="1797992636">
      <w:bodyDiv w:val="1"/>
      <w:marLeft w:val="0"/>
      <w:marRight w:val="0"/>
      <w:marTop w:val="0"/>
      <w:marBottom w:val="0"/>
      <w:divBdr>
        <w:top w:val="none" w:sz="0" w:space="0" w:color="auto"/>
        <w:left w:val="none" w:sz="0" w:space="0" w:color="auto"/>
        <w:bottom w:val="none" w:sz="0" w:space="0" w:color="auto"/>
        <w:right w:val="none" w:sz="0" w:space="0" w:color="auto"/>
      </w:divBdr>
    </w:div>
    <w:div w:id="1847864800">
      <w:bodyDiv w:val="1"/>
      <w:marLeft w:val="0"/>
      <w:marRight w:val="0"/>
      <w:marTop w:val="0"/>
      <w:marBottom w:val="0"/>
      <w:divBdr>
        <w:top w:val="none" w:sz="0" w:space="0" w:color="auto"/>
        <w:left w:val="none" w:sz="0" w:space="0" w:color="auto"/>
        <w:bottom w:val="none" w:sz="0" w:space="0" w:color="auto"/>
        <w:right w:val="none" w:sz="0" w:space="0" w:color="auto"/>
      </w:divBdr>
    </w:div>
    <w:div w:id="1938907451">
      <w:bodyDiv w:val="1"/>
      <w:marLeft w:val="0"/>
      <w:marRight w:val="0"/>
      <w:marTop w:val="0"/>
      <w:marBottom w:val="0"/>
      <w:divBdr>
        <w:top w:val="none" w:sz="0" w:space="0" w:color="auto"/>
        <w:left w:val="none" w:sz="0" w:space="0" w:color="auto"/>
        <w:bottom w:val="none" w:sz="0" w:space="0" w:color="auto"/>
        <w:right w:val="none" w:sz="0" w:space="0" w:color="auto"/>
      </w:divBdr>
    </w:div>
    <w:div w:id="1943299031">
      <w:bodyDiv w:val="1"/>
      <w:marLeft w:val="0"/>
      <w:marRight w:val="0"/>
      <w:marTop w:val="0"/>
      <w:marBottom w:val="0"/>
      <w:divBdr>
        <w:top w:val="none" w:sz="0" w:space="0" w:color="auto"/>
        <w:left w:val="none" w:sz="0" w:space="0" w:color="auto"/>
        <w:bottom w:val="none" w:sz="0" w:space="0" w:color="auto"/>
        <w:right w:val="none" w:sz="0" w:space="0" w:color="auto"/>
      </w:divBdr>
    </w:div>
    <w:div w:id="1956866357">
      <w:bodyDiv w:val="1"/>
      <w:marLeft w:val="0"/>
      <w:marRight w:val="0"/>
      <w:marTop w:val="0"/>
      <w:marBottom w:val="0"/>
      <w:divBdr>
        <w:top w:val="none" w:sz="0" w:space="0" w:color="auto"/>
        <w:left w:val="none" w:sz="0" w:space="0" w:color="auto"/>
        <w:bottom w:val="none" w:sz="0" w:space="0" w:color="auto"/>
        <w:right w:val="none" w:sz="0" w:space="0" w:color="auto"/>
      </w:divBdr>
    </w:div>
    <w:div w:id="2066101654">
      <w:bodyDiv w:val="1"/>
      <w:marLeft w:val="0"/>
      <w:marRight w:val="0"/>
      <w:marTop w:val="0"/>
      <w:marBottom w:val="0"/>
      <w:divBdr>
        <w:top w:val="none" w:sz="0" w:space="0" w:color="auto"/>
        <w:left w:val="none" w:sz="0" w:space="0" w:color="auto"/>
        <w:bottom w:val="none" w:sz="0" w:space="0" w:color="auto"/>
        <w:right w:val="none" w:sz="0" w:space="0" w:color="auto"/>
      </w:divBdr>
    </w:div>
    <w:div w:id="2087917511">
      <w:bodyDiv w:val="1"/>
      <w:marLeft w:val="0"/>
      <w:marRight w:val="0"/>
      <w:marTop w:val="0"/>
      <w:marBottom w:val="0"/>
      <w:divBdr>
        <w:top w:val="none" w:sz="0" w:space="0" w:color="auto"/>
        <w:left w:val="none" w:sz="0" w:space="0" w:color="auto"/>
        <w:bottom w:val="none" w:sz="0" w:space="0" w:color="auto"/>
        <w:right w:val="none" w:sz="0" w:space="0" w:color="auto"/>
      </w:divBdr>
      <w:divsChild>
        <w:div w:id="934020757">
          <w:marLeft w:val="0"/>
          <w:marRight w:val="0"/>
          <w:marTop w:val="0"/>
          <w:marBottom w:val="0"/>
          <w:divBdr>
            <w:top w:val="none" w:sz="0" w:space="0" w:color="auto"/>
            <w:left w:val="none" w:sz="0" w:space="0" w:color="auto"/>
            <w:bottom w:val="none" w:sz="0" w:space="0" w:color="auto"/>
            <w:right w:val="none" w:sz="0" w:space="0" w:color="auto"/>
          </w:divBdr>
          <w:divsChild>
            <w:div w:id="1898123807">
              <w:marLeft w:val="0"/>
              <w:marRight w:val="0"/>
              <w:marTop w:val="0"/>
              <w:marBottom w:val="0"/>
              <w:divBdr>
                <w:top w:val="none" w:sz="0" w:space="0" w:color="auto"/>
                <w:left w:val="none" w:sz="0" w:space="0" w:color="auto"/>
                <w:bottom w:val="none" w:sz="0" w:space="0" w:color="auto"/>
                <w:right w:val="none" w:sz="0" w:space="0" w:color="auto"/>
              </w:divBdr>
            </w:div>
            <w:div w:id="1187477043">
              <w:marLeft w:val="0"/>
              <w:marRight w:val="0"/>
              <w:marTop w:val="0"/>
              <w:marBottom w:val="0"/>
              <w:divBdr>
                <w:top w:val="none" w:sz="0" w:space="0" w:color="auto"/>
                <w:left w:val="none" w:sz="0" w:space="0" w:color="auto"/>
                <w:bottom w:val="none" w:sz="0" w:space="0" w:color="auto"/>
                <w:right w:val="none" w:sz="0" w:space="0" w:color="auto"/>
              </w:divBdr>
            </w:div>
          </w:divsChild>
        </w:div>
        <w:div w:id="562257833">
          <w:marLeft w:val="0"/>
          <w:marRight w:val="0"/>
          <w:marTop w:val="0"/>
          <w:marBottom w:val="0"/>
          <w:divBdr>
            <w:top w:val="none" w:sz="0" w:space="0" w:color="auto"/>
            <w:left w:val="none" w:sz="0" w:space="0" w:color="auto"/>
            <w:bottom w:val="none" w:sz="0" w:space="0" w:color="auto"/>
            <w:right w:val="none" w:sz="0" w:space="0" w:color="auto"/>
          </w:divBdr>
          <w:divsChild>
            <w:div w:id="204027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2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7.bin"/><Relationship Id="rId299" Type="http://schemas.openxmlformats.org/officeDocument/2006/relationships/oleObject" Target="embeddings/oleObject177.bin"/><Relationship Id="rId21" Type="http://schemas.openxmlformats.org/officeDocument/2006/relationships/image" Target="media/image6.wmf"/><Relationship Id="rId63" Type="http://schemas.openxmlformats.org/officeDocument/2006/relationships/oleObject" Target="embeddings/oleObject30.bin"/><Relationship Id="rId159" Type="http://schemas.openxmlformats.org/officeDocument/2006/relationships/image" Target="media/image57.wmf"/><Relationship Id="rId324" Type="http://schemas.openxmlformats.org/officeDocument/2006/relationships/image" Target="media/image125.wmf"/><Relationship Id="rId170" Type="http://schemas.openxmlformats.org/officeDocument/2006/relationships/oleObject" Target="embeddings/oleObject99.bin"/><Relationship Id="rId226" Type="http://schemas.openxmlformats.org/officeDocument/2006/relationships/oleObject" Target="embeddings/oleObject131.bin"/><Relationship Id="rId268" Type="http://schemas.openxmlformats.org/officeDocument/2006/relationships/image" Target="media/image100.wmf"/><Relationship Id="rId32" Type="http://schemas.openxmlformats.org/officeDocument/2006/relationships/oleObject" Target="embeddings/oleObject11.bin"/><Relationship Id="rId74" Type="http://schemas.openxmlformats.org/officeDocument/2006/relationships/image" Target="media/image29.wmf"/><Relationship Id="rId128" Type="http://schemas.openxmlformats.org/officeDocument/2006/relationships/image" Target="media/image43.wmf"/><Relationship Id="rId335" Type="http://schemas.openxmlformats.org/officeDocument/2006/relationships/image" Target="media/image130.wmf"/><Relationship Id="rId5" Type="http://schemas.openxmlformats.org/officeDocument/2006/relationships/webSettings" Target="webSettings.xml"/><Relationship Id="rId181" Type="http://schemas.openxmlformats.org/officeDocument/2006/relationships/oleObject" Target="embeddings/oleObject108.bin"/><Relationship Id="rId237" Type="http://schemas.openxmlformats.org/officeDocument/2006/relationships/oleObject" Target="embeddings/oleObject140.bin"/><Relationship Id="rId279" Type="http://schemas.openxmlformats.org/officeDocument/2006/relationships/oleObject" Target="embeddings/oleObject167.bin"/><Relationship Id="rId43" Type="http://schemas.openxmlformats.org/officeDocument/2006/relationships/image" Target="media/image16.wmf"/><Relationship Id="rId139" Type="http://schemas.openxmlformats.org/officeDocument/2006/relationships/oleObject" Target="embeddings/oleObject82.bin"/><Relationship Id="rId290" Type="http://schemas.openxmlformats.org/officeDocument/2006/relationships/image" Target="media/image111.wmf"/><Relationship Id="rId304" Type="http://schemas.openxmlformats.org/officeDocument/2006/relationships/oleObject" Target="embeddings/oleObject180.bin"/><Relationship Id="rId346" Type="http://schemas.openxmlformats.org/officeDocument/2006/relationships/fontTable" Target="fontTable.xml"/><Relationship Id="rId85" Type="http://schemas.openxmlformats.org/officeDocument/2006/relationships/image" Target="media/image32.wmf"/><Relationship Id="rId150" Type="http://schemas.openxmlformats.org/officeDocument/2006/relationships/oleObject" Target="embeddings/oleObject88.bin"/><Relationship Id="rId192" Type="http://schemas.openxmlformats.org/officeDocument/2006/relationships/image" Target="media/image72.wmf"/><Relationship Id="rId206" Type="http://schemas.openxmlformats.org/officeDocument/2006/relationships/image" Target="media/image79.wmf"/><Relationship Id="rId248" Type="http://schemas.openxmlformats.org/officeDocument/2006/relationships/image" Target="media/image91.wmf"/><Relationship Id="rId12" Type="http://schemas.openxmlformats.org/officeDocument/2006/relationships/oleObject" Target="embeddings/oleObject1.bin"/><Relationship Id="rId108" Type="http://schemas.openxmlformats.org/officeDocument/2006/relationships/oleObject" Target="embeddings/oleObject60.bin"/><Relationship Id="rId315" Type="http://schemas.openxmlformats.org/officeDocument/2006/relationships/image" Target="media/image121.wmf"/><Relationship Id="rId54" Type="http://schemas.openxmlformats.org/officeDocument/2006/relationships/oleObject" Target="embeddings/oleObject25.bin"/><Relationship Id="rId96" Type="http://schemas.openxmlformats.org/officeDocument/2006/relationships/image" Target="media/image36.wmf"/><Relationship Id="rId161" Type="http://schemas.openxmlformats.org/officeDocument/2006/relationships/image" Target="media/image58.wmf"/><Relationship Id="rId217" Type="http://schemas.openxmlformats.org/officeDocument/2006/relationships/oleObject" Target="embeddings/oleObject126.bin"/><Relationship Id="rId259" Type="http://schemas.openxmlformats.org/officeDocument/2006/relationships/oleObject" Target="embeddings/oleObject157.bin"/><Relationship Id="rId23" Type="http://schemas.openxmlformats.org/officeDocument/2006/relationships/image" Target="media/image7.wmf"/><Relationship Id="rId119" Type="http://schemas.openxmlformats.org/officeDocument/2006/relationships/oleObject" Target="embeddings/oleObject69.bin"/><Relationship Id="rId270" Type="http://schemas.openxmlformats.org/officeDocument/2006/relationships/image" Target="media/image101.wmf"/><Relationship Id="rId326" Type="http://schemas.openxmlformats.org/officeDocument/2006/relationships/footer" Target="footer3.xml"/><Relationship Id="rId65" Type="http://schemas.openxmlformats.org/officeDocument/2006/relationships/oleObject" Target="embeddings/oleObject31.bin"/><Relationship Id="rId130" Type="http://schemas.openxmlformats.org/officeDocument/2006/relationships/oleObject" Target="embeddings/oleObject77.bin"/><Relationship Id="rId172" Type="http://schemas.openxmlformats.org/officeDocument/2006/relationships/oleObject" Target="embeddings/oleObject101.bin"/><Relationship Id="rId228" Type="http://schemas.openxmlformats.org/officeDocument/2006/relationships/oleObject" Target="embeddings/oleObject132.bin"/><Relationship Id="rId281" Type="http://schemas.openxmlformats.org/officeDocument/2006/relationships/oleObject" Target="embeddings/oleObject168.bin"/><Relationship Id="rId337" Type="http://schemas.openxmlformats.org/officeDocument/2006/relationships/image" Target="media/image131.wmf"/><Relationship Id="rId34" Type="http://schemas.openxmlformats.org/officeDocument/2006/relationships/oleObject" Target="embeddings/oleObject12.bin"/><Relationship Id="rId76" Type="http://schemas.openxmlformats.org/officeDocument/2006/relationships/oleObject" Target="embeddings/oleObject37.bin"/><Relationship Id="rId141" Type="http://schemas.openxmlformats.org/officeDocument/2006/relationships/oleObject" Target="embeddings/oleObject83.bin"/><Relationship Id="rId7" Type="http://schemas.openxmlformats.org/officeDocument/2006/relationships/endnotes" Target="endnotes.xml"/><Relationship Id="rId183" Type="http://schemas.openxmlformats.org/officeDocument/2006/relationships/oleObject" Target="embeddings/oleObject109.bin"/><Relationship Id="rId239" Type="http://schemas.openxmlformats.org/officeDocument/2006/relationships/oleObject" Target="embeddings/oleObject142.bin"/><Relationship Id="rId250" Type="http://schemas.openxmlformats.org/officeDocument/2006/relationships/image" Target="media/image92.wmf"/><Relationship Id="rId292" Type="http://schemas.openxmlformats.org/officeDocument/2006/relationships/image" Target="media/image112.wmf"/><Relationship Id="rId306" Type="http://schemas.openxmlformats.org/officeDocument/2006/relationships/oleObject" Target="embeddings/oleObject182.bin"/><Relationship Id="rId45" Type="http://schemas.openxmlformats.org/officeDocument/2006/relationships/oleObject" Target="embeddings/oleObject19.bin"/><Relationship Id="rId87" Type="http://schemas.openxmlformats.org/officeDocument/2006/relationships/image" Target="media/image33.wmf"/><Relationship Id="rId110" Type="http://schemas.openxmlformats.org/officeDocument/2006/relationships/oleObject" Target="embeddings/oleObject61.bin"/><Relationship Id="rId152" Type="http://schemas.openxmlformats.org/officeDocument/2006/relationships/oleObject" Target="embeddings/oleObject89.bin"/><Relationship Id="rId194" Type="http://schemas.openxmlformats.org/officeDocument/2006/relationships/image" Target="media/image73.wmf"/><Relationship Id="rId208" Type="http://schemas.openxmlformats.org/officeDocument/2006/relationships/image" Target="media/image80.wmf"/><Relationship Id="rId261" Type="http://schemas.openxmlformats.org/officeDocument/2006/relationships/oleObject" Target="embeddings/oleObject158.bin"/><Relationship Id="rId14" Type="http://schemas.openxmlformats.org/officeDocument/2006/relationships/oleObject" Target="embeddings/oleObject2.bin"/><Relationship Id="rId35" Type="http://schemas.openxmlformats.org/officeDocument/2006/relationships/oleObject" Target="embeddings/oleObject13.bin"/><Relationship Id="rId56" Type="http://schemas.openxmlformats.org/officeDocument/2006/relationships/oleObject" Target="embeddings/oleObject26.bin"/><Relationship Id="rId77" Type="http://schemas.openxmlformats.org/officeDocument/2006/relationships/oleObject" Target="embeddings/oleObject38.bin"/><Relationship Id="rId100" Type="http://schemas.openxmlformats.org/officeDocument/2006/relationships/oleObject" Target="embeddings/oleObject54.bin"/><Relationship Id="rId282" Type="http://schemas.openxmlformats.org/officeDocument/2006/relationships/image" Target="media/image107.wmf"/><Relationship Id="rId317" Type="http://schemas.openxmlformats.org/officeDocument/2006/relationships/image" Target="media/image122.wmf"/><Relationship Id="rId338" Type="http://schemas.openxmlformats.org/officeDocument/2006/relationships/oleObject" Target="embeddings/oleObject199.bin"/><Relationship Id="rId8" Type="http://schemas.openxmlformats.org/officeDocument/2006/relationships/hyperlink" Target="mailto:bhat@mail.utexas.edu" TargetMode="External"/><Relationship Id="rId98" Type="http://schemas.openxmlformats.org/officeDocument/2006/relationships/oleObject" Target="embeddings/oleObject52.bin"/><Relationship Id="rId121" Type="http://schemas.openxmlformats.org/officeDocument/2006/relationships/image" Target="media/image41.wmf"/><Relationship Id="rId142" Type="http://schemas.openxmlformats.org/officeDocument/2006/relationships/image" Target="media/image49.wmf"/><Relationship Id="rId163" Type="http://schemas.openxmlformats.org/officeDocument/2006/relationships/image" Target="media/image59.png"/><Relationship Id="rId184" Type="http://schemas.openxmlformats.org/officeDocument/2006/relationships/image" Target="media/image68.wmf"/><Relationship Id="rId219" Type="http://schemas.openxmlformats.org/officeDocument/2006/relationships/oleObject" Target="embeddings/oleObject127.bin"/><Relationship Id="rId230" Type="http://schemas.openxmlformats.org/officeDocument/2006/relationships/oleObject" Target="embeddings/oleObject134.bin"/><Relationship Id="rId251" Type="http://schemas.openxmlformats.org/officeDocument/2006/relationships/oleObject" Target="embeddings/oleObject152.bin"/><Relationship Id="rId25" Type="http://schemas.openxmlformats.org/officeDocument/2006/relationships/image" Target="media/image8.wmf"/><Relationship Id="rId46" Type="http://schemas.openxmlformats.org/officeDocument/2006/relationships/image" Target="media/image17.wmf"/><Relationship Id="rId67" Type="http://schemas.openxmlformats.org/officeDocument/2006/relationships/oleObject" Target="embeddings/oleObject32.bin"/><Relationship Id="rId272" Type="http://schemas.openxmlformats.org/officeDocument/2006/relationships/image" Target="media/image102.wmf"/><Relationship Id="rId293" Type="http://schemas.openxmlformats.org/officeDocument/2006/relationships/oleObject" Target="embeddings/oleObject174.bin"/><Relationship Id="rId307" Type="http://schemas.openxmlformats.org/officeDocument/2006/relationships/oleObject" Target="embeddings/oleObject183.bin"/><Relationship Id="rId328" Type="http://schemas.openxmlformats.org/officeDocument/2006/relationships/oleObject" Target="embeddings/oleObject194.bin"/><Relationship Id="rId88" Type="http://schemas.openxmlformats.org/officeDocument/2006/relationships/oleObject" Target="embeddings/oleObject45.bin"/><Relationship Id="rId111" Type="http://schemas.openxmlformats.org/officeDocument/2006/relationships/image" Target="media/image40.wmf"/><Relationship Id="rId132" Type="http://schemas.openxmlformats.org/officeDocument/2006/relationships/oleObject" Target="embeddings/oleObject78.bin"/><Relationship Id="rId153" Type="http://schemas.openxmlformats.org/officeDocument/2006/relationships/image" Target="media/image54.wmf"/><Relationship Id="rId174" Type="http://schemas.openxmlformats.org/officeDocument/2006/relationships/oleObject" Target="embeddings/oleObject102.bin"/><Relationship Id="rId195" Type="http://schemas.openxmlformats.org/officeDocument/2006/relationships/oleObject" Target="embeddings/oleObject115.bin"/><Relationship Id="rId209" Type="http://schemas.openxmlformats.org/officeDocument/2006/relationships/oleObject" Target="embeddings/oleObject122.bin"/><Relationship Id="rId220" Type="http://schemas.openxmlformats.org/officeDocument/2006/relationships/image" Target="media/image86.wmf"/><Relationship Id="rId241" Type="http://schemas.openxmlformats.org/officeDocument/2006/relationships/oleObject" Target="embeddings/oleObject144.bin"/><Relationship Id="rId15" Type="http://schemas.openxmlformats.org/officeDocument/2006/relationships/image" Target="media/image3.wmf"/><Relationship Id="rId36" Type="http://schemas.openxmlformats.org/officeDocument/2006/relationships/image" Target="media/image13.wmf"/><Relationship Id="rId57" Type="http://schemas.openxmlformats.org/officeDocument/2006/relationships/image" Target="media/image21.wmf"/><Relationship Id="rId262" Type="http://schemas.openxmlformats.org/officeDocument/2006/relationships/image" Target="media/image97.wmf"/><Relationship Id="rId283" Type="http://schemas.openxmlformats.org/officeDocument/2006/relationships/oleObject" Target="embeddings/oleObject169.bin"/><Relationship Id="rId318" Type="http://schemas.openxmlformats.org/officeDocument/2006/relationships/oleObject" Target="embeddings/oleObject189.bin"/><Relationship Id="rId339" Type="http://schemas.openxmlformats.org/officeDocument/2006/relationships/image" Target="media/image132.wmf"/><Relationship Id="rId78" Type="http://schemas.openxmlformats.org/officeDocument/2006/relationships/image" Target="media/image30.wmf"/><Relationship Id="rId99" Type="http://schemas.openxmlformats.org/officeDocument/2006/relationships/oleObject" Target="embeddings/oleObject53.bin"/><Relationship Id="rId101" Type="http://schemas.openxmlformats.org/officeDocument/2006/relationships/oleObject" Target="embeddings/oleObject55.bin"/><Relationship Id="rId122" Type="http://schemas.openxmlformats.org/officeDocument/2006/relationships/oleObject" Target="embeddings/oleObject71.bin"/><Relationship Id="rId143" Type="http://schemas.openxmlformats.org/officeDocument/2006/relationships/oleObject" Target="embeddings/oleObject84.bin"/><Relationship Id="rId164" Type="http://schemas.openxmlformats.org/officeDocument/2006/relationships/oleObject" Target="embeddings/oleObject95.bin"/><Relationship Id="rId185" Type="http://schemas.openxmlformats.org/officeDocument/2006/relationships/oleObject" Target="embeddings/oleObject110.bin"/><Relationship Id="rId9" Type="http://schemas.openxmlformats.org/officeDocument/2006/relationships/footer" Target="footer1.xml"/><Relationship Id="rId210" Type="http://schemas.openxmlformats.org/officeDocument/2006/relationships/image" Target="media/image81.wmf"/><Relationship Id="rId26" Type="http://schemas.openxmlformats.org/officeDocument/2006/relationships/oleObject" Target="embeddings/oleObject8.bin"/><Relationship Id="rId231" Type="http://schemas.openxmlformats.org/officeDocument/2006/relationships/oleObject" Target="embeddings/oleObject135.bin"/><Relationship Id="rId252" Type="http://schemas.openxmlformats.org/officeDocument/2006/relationships/image" Target="media/image93.wmf"/><Relationship Id="rId273" Type="http://schemas.openxmlformats.org/officeDocument/2006/relationships/oleObject" Target="embeddings/oleObject164.bin"/><Relationship Id="rId294" Type="http://schemas.openxmlformats.org/officeDocument/2006/relationships/image" Target="media/image113.wmf"/><Relationship Id="rId308" Type="http://schemas.openxmlformats.org/officeDocument/2006/relationships/oleObject" Target="embeddings/oleObject184.bin"/><Relationship Id="rId329" Type="http://schemas.openxmlformats.org/officeDocument/2006/relationships/image" Target="media/image127.wmf"/><Relationship Id="rId47" Type="http://schemas.openxmlformats.org/officeDocument/2006/relationships/oleObject" Target="embeddings/oleObject20.bin"/><Relationship Id="rId68" Type="http://schemas.openxmlformats.org/officeDocument/2006/relationships/image" Target="media/image26.wmf"/><Relationship Id="rId89" Type="http://schemas.openxmlformats.org/officeDocument/2006/relationships/oleObject" Target="embeddings/oleObject46.bin"/><Relationship Id="rId112" Type="http://schemas.openxmlformats.org/officeDocument/2006/relationships/oleObject" Target="embeddings/oleObject62.bin"/><Relationship Id="rId133" Type="http://schemas.openxmlformats.org/officeDocument/2006/relationships/oleObject" Target="embeddings/oleObject79.bin"/><Relationship Id="rId154" Type="http://schemas.openxmlformats.org/officeDocument/2006/relationships/oleObject" Target="embeddings/oleObject90.bin"/><Relationship Id="rId175" Type="http://schemas.openxmlformats.org/officeDocument/2006/relationships/oleObject" Target="embeddings/oleObject103.bin"/><Relationship Id="rId340" Type="http://schemas.openxmlformats.org/officeDocument/2006/relationships/oleObject" Target="embeddings/oleObject200.bin"/><Relationship Id="rId196" Type="http://schemas.openxmlformats.org/officeDocument/2006/relationships/image" Target="media/image74.wmf"/><Relationship Id="rId200" Type="http://schemas.openxmlformats.org/officeDocument/2006/relationships/image" Target="media/image76.wmf"/><Relationship Id="rId16" Type="http://schemas.openxmlformats.org/officeDocument/2006/relationships/oleObject" Target="embeddings/oleObject3.bin"/><Relationship Id="rId221" Type="http://schemas.openxmlformats.org/officeDocument/2006/relationships/oleObject" Target="embeddings/oleObject128.bin"/><Relationship Id="rId242" Type="http://schemas.openxmlformats.org/officeDocument/2006/relationships/oleObject" Target="embeddings/oleObject145.bin"/><Relationship Id="rId263" Type="http://schemas.openxmlformats.org/officeDocument/2006/relationships/oleObject" Target="embeddings/oleObject159.bin"/><Relationship Id="rId284" Type="http://schemas.openxmlformats.org/officeDocument/2006/relationships/image" Target="media/image108.wmf"/><Relationship Id="rId319" Type="http://schemas.openxmlformats.org/officeDocument/2006/relationships/image" Target="media/image123.wmf"/><Relationship Id="rId37" Type="http://schemas.openxmlformats.org/officeDocument/2006/relationships/oleObject" Target="embeddings/oleObject14.bin"/><Relationship Id="rId58" Type="http://schemas.openxmlformats.org/officeDocument/2006/relationships/oleObject" Target="embeddings/oleObject27.bin"/><Relationship Id="rId79" Type="http://schemas.openxmlformats.org/officeDocument/2006/relationships/oleObject" Target="embeddings/oleObject39.bin"/><Relationship Id="rId102" Type="http://schemas.openxmlformats.org/officeDocument/2006/relationships/oleObject" Target="embeddings/oleObject56.bin"/><Relationship Id="rId123" Type="http://schemas.openxmlformats.org/officeDocument/2006/relationships/image" Target="media/image42.wmf"/><Relationship Id="rId144" Type="http://schemas.openxmlformats.org/officeDocument/2006/relationships/image" Target="media/image50.wmf"/><Relationship Id="rId330" Type="http://schemas.openxmlformats.org/officeDocument/2006/relationships/oleObject" Target="embeddings/oleObject195.bin"/><Relationship Id="rId90" Type="http://schemas.openxmlformats.org/officeDocument/2006/relationships/image" Target="media/image34.wmf"/><Relationship Id="rId165" Type="http://schemas.openxmlformats.org/officeDocument/2006/relationships/image" Target="media/image60.wmf"/><Relationship Id="rId186" Type="http://schemas.openxmlformats.org/officeDocument/2006/relationships/image" Target="media/image69.wmf"/><Relationship Id="rId211" Type="http://schemas.openxmlformats.org/officeDocument/2006/relationships/oleObject" Target="embeddings/oleObject123.bin"/><Relationship Id="rId232" Type="http://schemas.openxmlformats.org/officeDocument/2006/relationships/oleObject" Target="embeddings/oleObject136.bin"/><Relationship Id="rId253" Type="http://schemas.openxmlformats.org/officeDocument/2006/relationships/oleObject" Target="embeddings/oleObject153.bin"/><Relationship Id="rId274" Type="http://schemas.openxmlformats.org/officeDocument/2006/relationships/image" Target="media/image103.wmf"/><Relationship Id="rId295" Type="http://schemas.openxmlformats.org/officeDocument/2006/relationships/oleObject" Target="embeddings/oleObject175.bin"/><Relationship Id="rId309" Type="http://schemas.openxmlformats.org/officeDocument/2006/relationships/image" Target="media/image118.wmf"/><Relationship Id="rId27" Type="http://schemas.openxmlformats.org/officeDocument/2006/relationships/image" Target="media/image9.wmf"/><Relationship Id="rId48" Type="http://schemas.openxmlformats.org/officeDocument/2006/relationships/oleObject" Target="embeddings/oleObject21.bin"/><Relationship Id="rId69" Type="http://schemas.openxmlformats.org/officeDocument/2006/relationships/oleObject" Target="embeddings/oleObject33.bin"/><Relationship Id="rId113" Type="http://schemas.openxmlformats.org/officeDocument/2006/relationships/oleObject" Target="embeddings/oleObject63.bin"/><Relationship Id="rId134" Type="http://schemas.openxmlformats.org/officeDocument/2006/relationships/image" Target="media/image45.wmf"/><Relationship Id="rId320" Type="http://schemas.openxmlformats.org/officeDocument/2006/relationships/oleObject" Target="embeddings/oleObject190.bin"/><Relationship Id="rId80" Type="http://schemas.openxmlformats.org/officeDocument/2006/relationships/image" Target="media/image31.wmf"/><Relationship Id="rId155" Type="http://schemas.openxmlformats.org/officeDocument/2006/relationships/image" Target="media/image55.wmf"/><Relationship Id="rId176" Type="http://schemas.openxmlformats.org/officeDocument/2006/relationships/image" Target="media/image64.wmf"/><Relationship Id="rId197" Type="http://schemas.openxmlformats.org/officeDocument/2006/relationships/oleObject" Target="embeddings/oleObject116.bin"/><Relationship Id="rId341" Type="http://schemas.openxmlformats.org/officeDocument/2006/relationships/hyperlink" Target="https://doi.org/10.1016/j.ssmph.2022.101128" TargetMode="External"/><Relationship Id="rId201" Type="http://schemas.openxmlformats.org/officeDocument/2006/relationships/oleObject" Target="embeddings/oleObject118.bin"/><Relationship Id="rId222" Type="http://schemas.openxmlformats.org/officeDocument/2006/relationships/oleObject" Target="embeddings/oleObject129.bin"/><Relationship Id="rId243" Type="http://schemas.openxmlformats.org/officeDocument/2006/relationships/oleObject" Target="embeddings/oleObject146.bin"/><Relationship Id="rId264" Type="http://schemas.openxmlformats.org/officeDocument/2006/relationships/image" Target="media/image98.wmf"/><Relationship Id="rId285" Type="http://schemas.openxmlformats.org/officeDocument/2006/relationships/oleObject" Target="embeddings/oleObject170.bin"/><Relationship Id="rId17" Type="http://schemas.openxmlformats.org/officeDocument/2006/relationships/image" Target="media/image4.wmf"/><Relationship Id="rId38" Type="http://schemas.openxmlformats.org/officeDocument/2006/relationships/oleObject" Target="embeddings/oleObject15.bin"/><Relationship Id="rId59" Type="http://schemas.openxmlformats.org/officeDocument/2006/relationships/oleObject" Target="embeddings/oleObject28.bin"/><Relationship Id="rId103" Type="http://schemas.openxmlformats.org/officeDocument/2006/relationships/image" Target="media/image37.wmf"/><Relationship Id="rId124" Type="http://schemas.openxmlformats.org/officeDocument/2006/relationships/oleObject" Target="embeddings/oleObject72.bin"/><Relationship Id="rId310" Type="http://schemas.openxmlformats.org/officeDocument/2006/relationships/oleObject" Target="embeddings/oleObject185.bin"/><Relationship Id="rId70" Type="http://schemas.openxmlformats.org/officeDocument/2006/relationships/image" Target="media/image27.wmf"/><Relationship Id="rId91" Type="http://schemas.openxmlformats.org/officeDocument/2006/relationships/oleObject" Target="embeddings/oleObject47.bin"/><Relationship Id="rId145" Type="http://schemas.openxmlformats.org/officeDocument/2006/relationships/oleObject" Target="embeddings/oleObject85.bin"/><Relationship Id="rId166" Type="http://schemas.openxmlformats.org/officeDocument/2006/relationships/oleObject" Target="embeddings/oleObject96.bin"/><Relationship Id="rId187" Type="http://schemas.openxmlformats.org/officeDocument/2006/relationships/oleObject" Target="embeddings/oleObject111.bin"/><Relationship Id="rId331" Type="http://schemas.openxmlformats.org/officeDocument/2006/relationships/image" Target="media/image128.wmf"/><Relationship Id="rId1" Type="http://schemas.openxmlformats.org/officeDocument/2006/relationships/customXml" Target="../customXml/item1.xml"/><Relationship Id="rId212" Type="http://schemas.openxmlformats.org/officeDocument/2006/relationships/image" Target="media/image82.wmf"/><Relationship Id="rId233" Type="http://schemas.openxmlformats.org/officeDocument/2006/relationships/oleObject" Target="embeddings/oleObject137.bin"/><Relationship Id="rId254" Type="http://schemas.openxmlformats.org/officeDocument/2006/relationships/image" Target="media/image94.wmf"/><Relationship Id="rId28" Type="http://schemas.openxmlformats.org/officeDocument/2006/relationships/oleObject" Target="embeddings/oleObject9.bin"/><Relationship Id="rId49" Type="http://schemas.openxmlformats.org/officeDocument/2006/relationships/oleObject" Target="embeddings/oleObject22.bin"/><Relationship Id="rId114" Type="http://schemas.openxmlformats.org/officeDocument/2006/relationships/oleObject" Target="embeddings/oleObject64.bin"/><Relationship Id="rId275" Type="http://schemas.openxmlformats.org/officeDocument/2006/relationships/oleObject" Target="embeddings/oleObject165.bin"/><Relationship Id="rId296" Type="http://schemas.openxmlformats.org/officeDocument/2006/relationships/image" Target="media/image114.wmf"/><Relationship Id="rId300" Type="http://schemas.openxmlformats.org/officeDocument/2006/relationships/image" Target="media/image116.wmf"/><Relationship Id="rId60" Type="http://schemas.openxmlformats.org/officeDocument/2006/relationships/image" Target="media/image22.wmf"/><Relationship Id="rId81" Type="http://schemas.openxmlformats.org/officeDocument/2006/relationships/oleObject" Target="embeddings/oleObject40.bin"/><Relationship Id="rId135" Type="http://schemas.openxmlformats.org/officeDocument/2006/relationships/oleObject" Target="embeddings/oleObject80.bin"/><Relationship Id="rId156" Type="http://schemas.openxmlformats.org/officeDocument/2006/relationships/oleObject" Target="embeddings/oleObject91.bin"/><Relationship Id="rId177" Type="http://schemas.openxmlformats.org/officeDocument/2006/relationships/oleObject" Target="embeddings/oleObject106.bin"/><Relationship Id="rId198" Type="http://schemas.openxmlformats.org/officeDocument/2006/relationships/image" Target="media/image75.wmf"/><Relationship Id="rId321" Type="http://schemas.openxmlformats.org/officeDocument/2006/relationships/oleObject" Target="embeddings/oleObject191.bin"/><Relationship Id="rId342" Type="http://schemas.openxmlformats.org/officeDocument/2006/relationships/hyperlink" Target="https://publications.ut-capitole.fr/id/eprint/25726/1/wp_tse_855.pdf" TargetMode="External"/><Relationship Id="rId202" Type="http://schemas.openxmlformats.org/officeDocument/2006/relationships/image" Target="media/image77.wmf"/><Relationship Id="rId223" Type="http://schemas.openxmlformats.org/officeDocument/2006/relationships/image" Target="media/image87.wmf"/><Relationship Id="rId244" Type="http://schemas.openxmlformats.org/officeDocument/2006/relationships/oleObject" Target="embeddings/oleObject147.bin"/><Relationship Id="rId18" Type="http://schemas.openxmlformats.org/officeDocument/2006/relationships/oleObject" Target="embeddings/oleObject4.bin"/><Relationship Id="rId39" Type="http://schemas.openxmlformats.org/officeDocument/2006/relationships/image" Target="media/image14.wmf"/><Relationship Id="rId265" Type="http://schemas.openxmlformats.org/officeDocument/2006/relationships/oleObject" Target="embeddings/oleObject160.bin"/><Relationship Id="rId286" Type="http://schemas.openxmlformats.org/officeDocument/2006/relationships/image" Target="media/image109.wmf"/><Relationship Id="rId50" Type="http://schemas.openxmlformats.org/officeDocument/2006/relationships/image" Target="media/image18.wmf"/><Relationship Id="rId104" Type="http://schemas.openxmlformats.org/officeDocument/2006/relationships/oleObject" Target="embeddings/oleObject57.bin"/><Relationship Id="rId125" Type="http://schemas.openxmlformats.org/officeDocument/2006/relationships/oleObject" Target="embeddings/oleObject73.bin"/><Relationship Id="rId146" Type="http://schemas.openxmlformats.org/officeDocument/2006/relationships/image" Target="media/image51.wmf"/><Relationship Id="rId167" Type="http://schemas.openxmlformats.org/officeDocument/2006/relationships/oleObject" Target="embeddings/oleObject97.bin"/><Relationship Id="rId188" Type="http://schemas.openxmlformats.org/officeDocument/2006/relationships/image" Target="media/image70.wmf"/><Relationship Id="rId311" Type="http://schemas.openxmlformats.org/officeDocument/2006/relationships/image" Target="media/image119.wmf"/><Relationship Id="rId332" Type="http://schemas.openxmlformats.org/officeDocument/2006/relationships/oleObject" Target="embeddings/oleObject196.bin"/><Relationship Id="rId71" Type="http://schemas.openxmlformats.org/officeDocument/2006/relationships/oleObject" Target="embeddings/oleObject34.bin"/><Relationship Id="rId92" Type="http://schemas.openxmlformats.org/officeDocument/2006/relationships/image" Target="media/image35.wmf"/><Relationship Id="rId213" Type="http://schemas.openxmlformats.org/officeDocument/2006/relationships/oleObject" Target="embeddings/oleObject124.bin"/><Relationship Id="rId234" Type="http://schemas.openxmlformats.org/officeDocument/2006/relationships/image" Target="media/image90.wmf"/><Relationship Id="rId2" Type="http://schemas.openxmlformats.org/officeDocument/2006/relationships/numbering" Target="numbering.xml"/><Relationship Id="rId29" Type="http://schemas.openxmlformats.org/officeDocument/2006/relationships/image" Target="media/image10.wmf"/><Relationship Id="rId255" Type="http://schemas.openxmlformats.org/officeDocument/2006/relationships/oleObject" Target="embeddings/oleObject154.bin"/><Relationship Id="rId276" Type="http://schemas.openxmlformats.org/officeDocument/2006/relationships/image" Target="media/image104.wmf"/><Relationship Id="rId297" Type="http://schemas.openxmlformats.org/officeDocument/2006/relationships/oleObject" Target="embeddings/oleObject176.bin"/><Relationship Id="rId40" Type="http://schemas.openxmlformats.org/officeDocument/2006/relationships/oleObject" Target="embeddings/oleObject16.bin"/><Relationship Id="rId115" Type="http://schemas.openxmlformats.org/officeDocument/2006/relationships/oleObject" Target="embeddings/oleObject65.bin"/><Relationship Id="rId136" Type="http://schemas.openxmlformats.org/officeDocument/2006/relationships/image" Target="media/image46.wmf"/><Relationship Id="rId157" Type="http://schemas.openxmlformats.org/officeDocument/2006/relationships/image" Target="media/image56.wmf"/><Relationship Id="rId178" Type="http://schemas.openxmlformats.org/officeDocument/2006/relationships/image" Target="media/image65.wmf"/><Relationship Id="rId301" Type="http://schemas.openxmlformats.org/officeDocument/2006/relationships/oleObject" Target="embeddings/oleObject178.bin"/><Relationship Id="rId322" Type="http://schemas.openxmlformats.org/officeDocument/2006/relationships/image" Target="media/image124.wmf"/><Relationship Id="rId343" Type="http://schemas.openxmlformats.org/officeDocument/2006/relationships/hyperlink" Target="https://doi.org/10.48550/arXiv.2011.09152" TargetMode="External"/><Relationship Id="rId61" Type="http://schemas.openxmlformats.org/officeDocument/2006/relationships/oleObject" Target="embeddings/oleObject29.bin"/><Relationship Id="rId82" Type="http://schemas.openxmlformats.org/officeDocument/2006/relationships/oleObject" Target="embeddings/oleObject41.bin"/><Relationship Id="rId199" Type="http://schemas.openxmlformats.org/officeDocument/2006/relationships/oleObject" Target="embeddings/oleObject117.bin"/><Relationship Id="rId203" Type="http://schemas.openxmlformats.org/officeDocument/2006/relationships/oleObject" Target="embeddings/oleObject119.bin"/><Relationship Id="rId19" Type="http://schemas.openxmlformats.org/officeDocument/2006/relationships/image" Target="media/image5.wmf"/><Relationship Id="rId224" Type="http://schemas.openxmlformats.org/officeDocument/2006/relationships/oleObject" Target="embeddings/oleObject130.bin"/><Relationship Id="rId245" Type="http://schemas.openxmlformats.org/officeDocument/2006/relationships/oleObject" Target="embeddings/oleObject148.bin"/><Relationship Id="rId266" Type="http://schemas.openxmlformats.org/officeDocument/2006/relationships/image" Target="media/image99.wmf"/><Relationship Id="rId287" Type="http://schemas.openxmlformats.org/officeDocument/2006/relationships/oleObject" Target="embeddings/oleObject171.bin"/><Relationship Id="rId30" Type="http://schemas.openxmlformats.org/officeDocument/2006/relationships/oleObject" Target="embeddings/oleObject10.bin"/><Relationship Id="rId105" Type="http://schemas.openxmlformats.org/officeDocument/2006/relationships/oleObject" Target="embeddings/oleObject58.bin"/><Relationship Id="rId126" Type="http://schemas.openxmlformats.org/officeDocument/2006/relationships/oleObject" Target="embeddings/oleObject74.bin"/><Relationship Id="rId147" Type="http://schemas.openxmlformats.org/officeDocument/2006/relationships/oleObject" Target="embeddings/oleObject86.bin"/><Relationship Id="rId168" Type="http://schemas.openxmlformats.org/officeDocument/2006/relationships/oleObject" Target="embeddings/oleObject98.bin"/><Relationship Id="rId312" Type="http://schemas.openxmlformats.org/officeDocument/2006/relationships/oleObject" Target="embeddings/oleObject186.bin"/><Relationship Id="rId333" Type="http://schemas.openxmlformats.org/officeDocument/2006/relationships/image" Target="media/image129.wmf"/><Relationship Id="rId51" Type="http://schemas.openxmlformats.org/officeDocument/2006/relationships/oleObject" Target="embeddings/oleObject23.bin"/><Relationship Id="rId72" Type="http://schemas.openxmlformats.org/officeDocument/2006/relationships/image" Target="media/image28.wmf"/><Relationship Id="rId93" Type="http://schemas.openxmlformats.org/officeDocument/2006/relationships/oleObject" Target="embeddings/oleObject48.bin"/><Relationship Id="rId189" Type="http://schemas.openxmlformats.org/officeDocument/2006/relationships/oleObject" Target="embeddings/oleObject112.bin"/><Relationship Id="rId3" Type="http://schemas.openxmlformats.org/officeDocument/2006/relationships/styles" Target="styles.xml"/><Relationship Id="rId214" Type="http://schemas.openxmlformats.org/officeDocument/2006/relationships/image" Target="media/image83.wmf"/><Relationship Id="rId235" Type="http://schemas.openxmlformats.org/officeDocument/2006/relationships/oleObject" Target="embeddings/oleObject138.bin"/><Relationship Id="rId256" Type="http://schemas.openxmlformats.org/officeDocument/2006/relationships/image" Target="media/image95.wmf"/><Relationship Id="rId277" Type="http://schemas.openxmlformats.org/officeDocument/2006/relationships/oleObject" Target="embeddings/oleObject166.bin"/><Relationship Id="rId298" Type="http://schemas.openxmlformats.org/officeDocument/2006/relationships/image" Target="media/image115.wmf"/><Relationship Id="rId116" Type="http://schemas.openxmlformats.org/officeDocument/2006/relationships/oleObject" Target="embeddings/oleObject66.bin"/><Relationship Id="rId137" Type="http://schemas.openxmlformats.org/officeDocument/2006/relationships/oleObject" Target="embeddings/oleObject81.bin"/><Relationship Id="rId158" Type="http://schemas.openxmlformats.org/officeDocument/2006/relationships/oleObject" Target="embeddings/oleObject92.bin"/><Relationship Id="rId302" Type="http://schemas.openxmlformats.org/officeDocument/2006/relationships/image" Target="media/image117.wmf"/><Relationship Id="rId323" Type="http://schemas.openxmlformats.org/officeDocument/2006/relationships/oleObject" Target="embeddings/oleObject192.bin"/><Relationship Id="rId344" Type="http://schemas.openxmlformats.org/officeDocument/2006/relationships/hyperlink" Target="https://econpapers.repec.org/article/eeeeneeco/" TargetMode="External"/><Relationship Id="rId20" Type="http://schemas.openxmlformats.org/officeDocument/2006/relationships/oleObject" Target="embeddings/oleObject5.bin"/><Relationship Id="rId41" Type="http://schemas.openxmlformats.org/officeDocument/2006/relationships/image" Target="media/image15.wmf"/><Relationship Id="rId62" Type="http://schemas.openxmlformats.org/officeDocument/2006/relationships/image" Target="media/image23.wmf"/><Relationship Id="rId83" Type="http://schemas.openxmlformats.org/officeDocument/2006/relationships/oleObject" Target="embeddings/oleObject42.bin"/><Relationship Id="rId179" Type="http://schemas.openxmlformats.org/officeDocument/2006/relationships/oleObject" Target="embeddings/oleObject107.bin"/><Relationship Id="rId190" Type="http://schemas.openxmlformats.org/officeDocument/2006/relationships/image" Target="media/image71.wmf"/><Relationship Id="rId204" Type="http://schemas.openxmlformats.org/officeDocument/2006/relationships/image" Target="media/image78.wmf"/><Relationship Id="rId225" Type="http://schemas.openxmlformats.org/officeDocument/2006/relationships/image" Target="media/image88.wmf"/><Relationship Id="rId246" Type="http://schemas.openxmlformats.org/officeDocument/2006/relationships/oleObject" Target="embeddings/oleObject149.bin"/><Relationship Id="rId267" Type="http://schemas.openxmlformats.org/officeDocument/2006/relationships/oleObject" Target="embeddings/oleObject161.bin"/><Relationship Id="rId288" Type="http://schemas.openxmlformats.org/officeDocument/2006/relationships/image" Target="media/image110.wmf"/><Relationship Id="rId106" Type="http://schemas.openxmlformats.org/officeDocument/2006/relationships/image" Target="media/image38.wmf"/><Relationship Id="rId127" Type="http://schemas.openxmlformats.org/officeDocument/2006/relationships/oleObject" Target="embeddings/oleObject75.bin"/><Relationship Id="rId313" Type="http://schemas.openxmlformats.org/officeDocument/2006/relationships/image" Target="media/image120.wmf"/><Relationship Id="rId10" Type="http://schemas.openxmlformats.org/officeDocument/2006/relationships/footer" Target="footer2.xml"/><Relationship Id="rId31" Type="http://schemas.openxmlformats.org/officeDocument/2006/relationships/image" Target="media/image11.wmf"/><Relationship Id="rId52" Type="http://schemas.openxmlformats.org/officeDocument/2006/relationships/image" Target="media/image19.wmf"/><Relationship Id="rId73" Type="http://schemas.openxmlformats.org/officeDocument/2006/relationships/oleObject" Target="embeddings/oleObject35.bin"/><Relationship Id="rId94" Type="http://schemas.openxmlformats.org/officeDocument/2006/relationships/oleObject" Target="embeddings/oleObject49.bin"/><Relationship Id="rId148" Type="http://schemas.openxmlformats.org/officeDocument/2006/relationships/image" Target="media/image52.wmf"/><Relationship Id="rId169" Type="http://schemas.openxmlformats.org/officeDocument/2006/relationships/image" Target="media/image61.wmf"/><Relationship Id="rId334" Type="http://schemas.openxmlformats.org/officeDocument/2006/relationships/oleObject" Target="embeddings/oleObject197.bin"/><Relationship Id="rId4" Type="http://schemas.openxmlformats.org/officeDocument/2006/relationships/settings" Target="settings.xml"/><Relationship Id="rId180" Type="http://schemas.openxmlformats.org/officeDocument/2006/relationships/image" Target="media/image66.wmf"/><Relationship Id="rId215" Type="http://schemas.openxmlformats.org/officeDocument/2006/relationships/oleObject" Target="embeddings/oleObject125.bin"/><Relationship Id="rId236" Type="http://schemas.openxmlformats.org/officeDocument/2006/relationships/oleObject" Target="embeddings/oleObject139.bin"/><Relationship Id="rId257" Type="http://schemas.openxmlformats.org/officeDocument/2006/relationships/oleObject" Target="embeddings/oleObject155.bin"/><Relationship Id="rId278" Type="http://schemas.openxmlformats.org/officeDocument/2006/relationships/image" Target="media/image105.wmf"/><Relationship Id="rId303" Type="http://schemas.openxmlformats.org/officeDocument/2006/relationships/oleObject" Target="embeddings/oleObject179.bin"/><Relationship Id="rId42" Type="http://schemas.openxmlformats.org/officeDocument/2006/relationships/oleObject" Target="embeddings/oleObject17.bin"/><Relationship Id="rId84" Type="http://schemas.openxmlformats.org/officeDocument/2006/relationships/oleObject" Target="embeddings/oleObject43.bin"/><Relationship Id="rId138" Type="http://schemas.openxmlformats.org/officeDocument/2006/relationships/image" Target="media/image47.wmf"/><Relationship Id="rId345" Type="http://schemas.openxmlformats.org/officeDocument/2006/relationships/hyperlink" Target="https://conference.iza.org/conference_files/SUMS_2013/schwiebert_j8731.pdf" TargetMode="External"/><Relationship Id="rId191" Type="http://schemas.openxmlformats.org/officeDocument/2006/relationships/oleObject" Target="embeddings/oleObject113.bin"/><Relationship Id="rId205" Type="http://schemas.openxmlformats.org/officeDocument/2006/relationships/oleObject" Target="embeddings/oleObject120.bin"/><Relationship Id="rId247" Type="http://schemas.openxmlformats.org/officeDocument/2006/relationships/oleObject" Target="embeddings/oleObject150.bin"/><Relationship Id="rId107" Type="http://schemas.openxmlformats.org/officeDocument/2006/relationships/oleObject" Target="embeddings/oleObject59.bin"/><Relationship Id="rId289" Type="http://schemas.openxmlformats.org/officeDocument/2006/relationships/oleObject" Target="embeddings/oleObject172.bin"/><Relationship Id="rId11" Type="http://schemas.openxmlformats.org/officeDocument/2006/relationships/image" Target="media/image1.wmf"/><Relationship Id="rId53" Type="http://schemas.openxmlformats.org/officeDocument/2006/relationships/oleObject" Target="embeddings/oleObject24.bin"/><Relationship Id="rId149" Type="http://schemas.openxmlformats.org/officeDocument/2006/relationships/oleObject" Target="embeddings/oleObject87.bin"/><Relationship Id="rId314" Type="http://schemas.openxmlformats.org/officeDocument/2006/relationships/oleObject" Target="embeddings/oleObject187.bin"/><Relationship Id="rId95" Type="http://schemas.openxmlformats.org/officeDocument/2006/relationships/oleObject" Target="embeddings/oleObject50.bin"/><Relationship Id="rId160" Type="http://schemas.openxmlformats.org/officeDocument/2006/relationships/oleObject" Target="embeddings/oleObject93.bin"/><Relationship Id="rId216" Type="http://schemas.openxmlformats.org/officeDocument/2006/relationships/image" Target="media/image84.wmf"/><Relationship Id="rId258" Type="http://schemas.openxmlformats.org/officeDocument/2006/relationships/oleObject" Target="embeddings/oleObject156.bin"/><Relationship Id="rId22" Type="http://schemas.openxmlformats.org/officeDocument/2006/relationships/oleObject" Target="embeddings/oleObject6.bin"/><Relationship Id="rId64" Type="http://schemas.openxmlformats.org/officeDocument/2006/relationships/image" Target="media/image24.wmf"/><Relationship Id="rId118" Type="http://schemas.openxmlformats.org/officeDocument/2006/relationships/oleObject" Target="embeddings/oleObject68.bin"/><Relationship Id="rId325" Type="http://schemas.openxmlformats.org/officeDocument/2006/relationships/oleObject" Target="embeddings/oleObject193.bin"/><Relationship Id="rId171" Type="http://schemas.openxmlformats.org/officeDocument/2006/relationships/oleObject" Target="embeddings/oleObject100.bin"/><Relationship Id="rId227" Type="http://schemas.openxmlformats.org/officeDocument/2006/relationships/image" Target="media/image89.wmf"/><Relationship Id="rId269" Type="http://schemas.openxmlformats.org/officeDocument/2006/relationships/oleObject" Target="embeddings/oleObject162.bin"/><Relationship Id="rId33" Type="http://schemas.openxmlformats.org/officeDocument/2006/relationships/image" Target="media/image12.wmf"/><Relationship Id="rId129" Type="http://schemas.openxmlformats.org/officeDocument/2006/relationships/oleObject" Target="embeddings/oleObject76.bin"/><Relationship Id="rId280" Type="http://schemas.openxmlformats.org/officeDocument/2006/relationships/image" Target="media/image106.wmf"/><Relationship Id="rId336" Type="http://schemas.openxmlformats.org/officeDocument/2006/relationships/oleObject" Target="embeddings/oleObject198.bin"/><Relationship Id="rId75" Type="http://schemas.openxmlformats.org/officeDocument/2006/relationships/oleObject" Target="embeddings/oleObject36.bin"/><Relationship Id="rId140" Type="http://schemas.openxmlformats.org/officeDocument/2006/relationships/image" Target="media/image48.wmf"/><Relationship Id="rId182" Type="http://schemas.openxmlformats.org/officeDocument/2006/relationships/image" Target="media/image67.wmf"/><Relationship Id="rId6" Type="http://schemas.openxmlformats.org/officeDocument/2006/relationships/footnotes" Target="footnotes.xml"/><Relationship Id="rId238" Type="http://schemas.openxmlformats.org/officeDocument/2006/relationships/oleObject" Target="embeddings/oleObject141.bin"/><Relationship Id="rId291" Type="http://schemas.openxmlformats.org/officeDocument/2006/relationships/oleObject" Target="embeddings/oleObject173.bin"/><Relationship Id="rId305" Type="http://schemas.openxmlformats.org/officeDocument/2006/relationships/oleObject" Target="embeddings/oleObject181.bin"/><Relationship Id="rId347" Type="http://schemas.openxmlformats.org/officeDocument/2006/relationships/theme" Target="theme/theme1.xml"/><Relationship Id="rId44" Type="http://schemas.openxmlformats.org/officeDocument/2006/relationships/oleObject" Target="embeddings/oleObject18.bin"/><Relationship Id="rId86" Type="http://schemas.openxmlformats.org/officeDocument/2006/relationships/oleObject" Target="embeddings/oleObject44.bin"/><Relationship Id="rId151" Type="http://schemas.openxmlformats.org/officeDocument/2006/relationships/image" Target="media/image53.wmf"/><Relationship Id="rId193" Type="http://schemas.openxmlformats.org/officeDocument/2006/relationships/oleObject" Target="embeddings/oleObject114.bin"/><Relationship Id="rId207" Type="http://schemas.openxmlformats.org/officeDocument/2006/relationships/oleObject" Target="embeddings/oleObject121.bin"/><Relationship Id="rId249" Type="http://schemas.openxmlformats.org/officeDocument/2006/relationships/oleObject" Target="embeddings/oleObject151.bin"/><Relationship Id="rId13" Type="http://schemas.openxmlformats.org/officeDocument/2006/relationships/image" Target="media/image2.wmf"/><Relationship Id="rId109" Type="http://schemas.openxmlformats.org/officeDocument/2006/relationships/image" Target="media/image39.wmf"/><Relationship Id="rId260" Type="http://schemas.openxmlformats.org/officeDocument/2006/relationships/image" Target="media/image96.wmf"/><Relationship Id="rId316" Type="http://schemas.openxmlformats.org/officeDocument/2006/relationships/oleObject" Target="embeddings/oleObject188.bin"/><Relationship Id="rId55" Type="http://schemas.openxmlformats.org/officeDocument/2006/relationships/image" Target="media/image20.wmf"/><Relationship Id="rId97" Type="http://schemas.openxmlformats.org/officeDocument/2006/relationships/oleObject" Target="embeddings/oleObject51.bin"/><Relationship Id="rId120" Type="http://schemas.openxmlformats.org/officeDocument/2006/relationships/oleObject" Target="embeddings/oleObject70.bin"/><Relationship Id="rId162" Type="http://schemas.openxmlformats.org/officeDocument/2006/relationships/oleObject" Target="embeddings/oleObject94.bin"/><Relationship Id="rId218" Type="http://schemas.openxmlformats.org/officeDocument/2006/relationships/image" Target="media/image85.wmf"/><Relationship Id="rId271" Type="http://schemas.openxmlformats.org/officeDocument/2006/relationships/oleObject" Target="embeddings/oleObject163.bin"/><Relationship Id="rId24" Type="http://schemas.openxmlformats.org/officeDocument/2006/relationships/oleObject" Target="embeddings/oleObject7.bin"/><Relationship Id="rId66" Type="http://schemas.openxmlformats.org/officeDocument/2006/relationships/image" Target="media/image25.wmf"/><Relationship Id="rId131" Type="http://schemas.openxmlformats.org/officeDocument/2006/relationships/image" Target="media/image44.wmf"/><Relationship Id="rId327" Type="http://schemas.openxmlformats.org/officeDocument/2006/relationships/image" Target="media/image126.wmf"/><Relationship Id="rId173" Type="http://schemas.openxmlformats.org/officeDocument/2006/relationships/image" Target="media/image62.wmf"/><Relationship Id="rId229" Type="http://schemas.openxmlformats.org/officeDocument/2006/relationships/oleObject" Target="embeddings/oleObject133.bin"/><Relationship Id="rId240" Type="http://schemas.openxmlformats.org/officeDocument/2006/relationships/oleObject" Target="embeddings/oleObject143.bin"/></Relationships>
</file>

<file path=word/_rels/footnotes.xml.rels><?xml version="1.0" encoding="UTF-8" standalone="yes"?>
<Relationships xmlns="http://schemas.openxmlformats.org/package/2006/relationships"><Relationship Id="rId3" Type="http://schemas.openxmlformats.org/officeDocument/2006/relationships/image" Target="media/image15.wmf"/><Relationship Id="rId2" Type="http://schemas.openxmlformats.org/officeDocument/2006/relationships/oleObject" Target="embeddings/oleObject104.bin"/><Relationship Id="rId1" Type="http://schemas.openxmlformats.org/officeDocument/2006/relationships/image" Target="media/image63.wmf"/><Relationship Id="rId5" Type="http://schemas.openxmlformats.org/officeDocument/2006/relationships/hyperlink" Target="https://www.aarp.org/pri/topics/health/prevention-wellness/walking-attitudes-habits-adults-50-older/" TargetMode="External"/><Relationship Id="rId4" Type="http://schemas.openxmlformats.org/officeDocument/2006/relationships/oleObject" Target="embeddings/oleObject10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C6924-520E-4513-AF1A-A9D7019AC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11437</Words>
  <Characters>65195</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Bhat, Chandra R</dc:creator>
  <cp:keywords/>
  <dc:description/>
  <cp:lastModifiedBy>Macias, Lisa J</cp:lastModifiedBy>
  <cp:revision>2</cp:revision>
  <cp:lastPrinted>2024-09-09T20:09:00Z</cp:lastPrinted>
  <dcterms:created xsi:type="dcterms:W3CDTF">2024-10-18T15:29:00Z</dcterms:created>
  <dcterms:modified xsi:type="dcterms:W3CDTF">2024-10-18T15:29:00Z</dcterms:modified>
</cp:coreProperties>
</file>